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6775_322426499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066777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066779_3224264995">
            <w:r>
              <w:rPr>
                <w:webHidden/>
                <w:rStyle w:val="IndexLink"/>
                <w:rtl w:val="true"/>
              </w:rPr>
              <w:t>درباره این مجموعه</w:t>
            </w:r>
            <w:r>
              <w:rPr>
                <w:rStyle w:val="IndexLink"/>
                <w:rtl w:val="true"/>
              </w:rPr>
              <w:tab/>
            </w:r>
            <w:r>
              <w:rPr>
                <w:rStyle w:val="IndexLink"/>
              </w:rPr>
              <w:t>14</w:t>
            </w:r>
          </w:hyperlink>
        </w:p>
        <w:p>
          <w:pPr>
            <w:pStyle w:val="Contents2"/>
            <w:tabs>
              <w:tab w:val="clear" w:pos="8743"/>
              <w:tab w:val="right" w:pos="9026" w:leader="dot"/>
            </w:tabs>
            <w:rPr/>
          </w:pPr>
          <w:hyperlink w:anchor="__RefHeading___Toc4066781_3224264995">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4066783_3224264995">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4066785_3224264995">
            <w:r>
              <w:rPr>
                <w:webHidden/>
                <w:rStyle w:val="IndexLink"/>
                <w:rtl w:val="true"/>
              </w:rPr>
              <w:t>[</w:t>
            </w:r>
            <w:r>
              <w:rPr>
                <w:rStyle w:val="IndexLink"/>
                <w:rtl w:val="true"/>
              </w:rPr>
              <w:t>معرفی اجمالی رساله های این دفتر</w:t>
            </w:r>
            <w:r>
              <w:rPr>
                <w:rStyle w:val="IndexLink"/>
                <w:rtl w:val="true"/>
              </w:rPr>
              <w:t>]</w:t>
              <w:tab/>
            </w:r>
            <w:r>
              <w:rPr>
                <w:rStyle w:val="IndexLink"/>
              </w:rPr>
              <w:t>28</w:t>
            </w:r>
          </w:hyperlink>
        </w:p>
        <w:p>
          <w:pPr>
            <w:pStyle w:val="Contents3"/>
            <w:tabs>
              <w:tab w:val="clear" w:pos="8459"/>
              <w:tab w:val="right" w:pos="9026" w:leader="dot"/>
            </w:tabs>
            <w:rPr/>
          </w:pPr>
          <w:hyperlink w:anchor="__RefHeading___Toc4066787_3224264995">
            <w:r>
              <w:rPr>
                <w:webHidden/>
                <w:rStyle w:val="IndexLink"/>
              </w:rPr>
              <w:t>1</w:t>
            </w:r>
            <w:r>
              <w:rPr>
                <w:rStyle w:val="IndexLink"/>
                <w:rtl w:val="true"/>
              </w:rPr>
              <w:t>-</w:t>
            </w:r>
            <w:r>
              <w:rPr>
                <w:rStyle w:val="IndexLink"/>
                <w:rtl w:val="true"/>
              </w:rPr>
              <w:t>تعلیقات زبدة البیان</w:t>
            </w:r>
            <w:r>
              <w:rPr>
                <w:rStyle w:val="IndexLink"/>
                <w:rtl w:val="true"/>
              </w:rPr>
              <w:tab/>
            </w:r>
            <w:r>
              <w:rPr>
                <w:rStyle w:val="IndexLink"/>
              </w:rPr>
              <w:t>28</w:t>
            </w:r>
          </w:hyperlink>
        </w:p>
        <w:p>
          <w:pPr>
            <w:pStyle w:val="Contents3"/>
            <w:tabs>
              <w:tab w:val="clear" w:pos="8459"/>
              <w:tab w:val="right" w:pos="9026" w:leader="dot"/>
            </w:tabs>
            <w:rPr/>
          </w:pPr>
          <w:hyperlink w:anchor="__RefHeading___Toc4066789_3224264995">
            <w:r>
              <w:rPr>
                <w:webHidden/>
                <w:rStyle w:val="IndexLink"/>
              </w:rPr>
              <w:t>2</w:t>
            </w:r>
            <w:r>
              <w:rPr>
                <w:rStyle w:val="IndexLink"/>
                <w:rtl w:val="true"/>
              </w:rPr>
              <w:t>-</w:t>
            </w:r>
            <w:r>
              <w:rPr>
                <w:rStyle w:val="IndexLink"/>
                <w:rtl w:val="true"/>
              </w:rPr>
              <w:t>هدایة الضبط فی علم الخط</w:t>
            </w:r>
            <w:r>
              <w:rPr>
                <w:rStyle w:val="IndexLink"/>
                <w:rtl w:val="true"/>
              </w:rPr>
              <w:tab/>
            </w:r>
            <w:r>
              <w:rPr>
                <w:rStyle w:val="IndexLink"/>
              </w:rPr>
              <w:t>29</w:t>
            </w:r>
          </w:hyperlink>
        </w:p>
        <w:p>
          <w:pPr>
            <w:pStyle w:val="Contents3"/>
            <w:tabs>
              <w:tab w:val="clear" w:pos="8459"/>
              <w:tab w:val="right" w:pos="9026" w:leader="dot"/>
            </w:tabs>
            <w:rPr/>
          </w:pPr>
          <w:hyperlink w:anchor="__RefHeading___Toc4066791_3224264995">
            <w:r>
              <w:rPr>
                <w:webHidden/>
                <w:rStyle w:val="IndexLink"/>
              </w:rPr>
              <w:t>3</w:t>
            </w:r>
            <w:r>
              <w:rPr>
                <w:rStyle w:val="IndexLink"/>
                <w:rtl w:val="true"/>
              </w:rPr>
              <w:t>-</w:t>
            </w:r>
            <w:r>
              <w:rPr>
                <w:rStyle w:val="IndexLink"/>
                <w:rtl w:val="true"/>
              </w:rPr>
              <w:t>رساله طاهریه</w:t>
            </w:r>
            <w:r>
              <w:rPr>
                <w:rStyle w:val="IndexLink"/>
                <w:rtl w:val="true"/>
              </w:rPr>
              <w:tab/>
            </w:r>
            <w:r>
              <w:rPr>
                <w:rStyle w:val="IndexLink"/>
              </w:rPr>
              <w:t>29</w:t>
            </w:r>
          </w:hyperlink>
        </w:p>
        <w:p>
          <w:pPr>
            <w:pStyle w:val="Contents3"/>
            <w:tabs>
              <w:tab w:val="clear" w:pos="8459"/>
              <w:tab w:val="right" w:pos="9026" w:leader="dot"/>
            </w:tabs>
            <w:rPr/>
          </w:pPr>
          <w:hyperlink w:anchor="__RefHeading___Toc4066793_3224264995">
            <w:r>
              <w:rPr>
                <w:webHidden/>
                <w:rStyle w:val="IndexLink"/>
              </w:rPr>
              <w:t>4</w:t>
            </w:r>
            <w:r>
              <w:rPr>
                <w:rStyle w:val="IndexLink"/>
                <w:rtl w:val="true"/>
              </w:rPr>
              <w:t>-</w:t>
            </w:r>
            <w:r>
              <w:rPr>
                <w:rStyle w:val="IndexLink"/>
                <w:rtl w:val="true"/>
              </w:rPr>
              <w:t>الانوار اللامعة لزوّار الجامعة</w:t>
            </w:r>
            <w:r>
              <w:rPr>
                <w:rStyle w:val="IndexLink"/>
                <w:rtl w:val="true"/>
              </w:rPr>
              <w:tab/>
            </w:r>
            <w:r>
              <w:rPr>
                <w:rStyle w:val="IndexLink"/>
              </w:rPr>
              <w:t>29</w:t>
            </w:r>
          </w:hyperlink>
        </w:p>
        <w:p>
          <w:pPr>
            <w:pStyle w:val="Contents2"/>
            <w:tabs>
              <w:tab w:val="clear" w:pos="8743"/>
              <w:tab w:val="right" w:pos="9026" w:leader="dot"/>
            </w:tabs>
            <w:rPr/>
          </w:pPr>
          <w:hyperlink w:anchor="__RefHeading___Toc4066795_3224264995">
            <w:r>
              <w:rPr>
                <w:webHidden/>
                <w:rStyle w:val="IndexLink"/>
                <w:rtl w:val="true"/>
              </w:rPr>
              <w:t>التعلیقات علی زبدة البیان</w:t>
            </w:r>
            <w:r>
              <w:rPr>
                <w:rStyle w:val="IndexLink"/>
                <w:rtl w:val="true"/>
              </w:rPr>
              <w:tab/>
            </w:r>
            <w:r>
              <w:rPr>
                <w:rStyle w:val="IndexLink"/>
              </w:rPr>
              <w:t>32</w:t>
            </w:r>
          </w:hyperlink>
        </w:p>
        <w:p>
          <w:pPr>
            <w:pStyle w:val="Contents3"/>
            <w:tabs>
              <w:tab w:val="clear" w:pos="8459"/>
              <w:tab w:val="right" w:pos="9026" w:leader="dot"/>
            </w:tabs>
            <w:rPr/>
          </w:pPr>
          <w:hyperlink w:anchor="__RefHeading___Toc4066797_3224264995">
            <w:r>
              <w:rPr>
                <w:webHidden/>
                <w:rStyle w:val="IndexLink"/>
                <w:rtl w:val="true"/>
              </w:rPr>
              <w:t>[</w:t>
            </w:r>
            <w:r>
              <w:rPr>
                <w:rStyle w:val="IndexLink"/>
                <w:rtl w:val="true"/>
              </w:rPr>
              <w:t>مقدمه تحقیق</w:t>
            </w:r>
            <w:r>
              <w:rPr>
                <w:rStyle w:val="IndexLink"/>
                <w:rtl w:val="true"/>
              </w:rPr>
              <w:t>]</w:t>
              <w:tab/>
            </w:r>
            <w:r>
              <w:rPr>
                <w:rStyle w:val="IndexLink"/>
              </w:rPr>
              <w:t>32</w:t>
            </w:r>
          </w:hyperlink>
        </w:p>
        <w:p>
          <w:pPr>
            <w:pStyle w:val="Contents4"/>
            <w:tabs>
              <w:tab w:val="clear" w:pos="8176"/>
              <w:tab w:val="right" w:pos="9026" w:leader="dot"/>
            </w:tabs>
            <w:rPr/>
          </w:pPr>
          <w:hyperlink w:anchor="__RefHeading___Toc4066799_322426499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066801_3224264995">
            <w:r>
              <w:rPr>
                <w:webHidden/>
                <w:rStyle w:val="IndexLink"/>
                <w:rtl w:val="true"/>
              </w:rPr>
              <w:t>آیات الأحکام و جایگاه آن</w:t>
            </w:r>
            <w:r>
              <w:rPr>
                <w:rStyle w:val="IndexLink"/>
                <w:rtl w:val="true"/>
              </w:rPr>
              <w:tab/>
            </w:r>
            <w:r>
              <w:rPr>
                <w:rStyle w:val="IndexLink"/>
              </w:rPr>
              <w:t>32</w:t>
            </w:r>
          </w:hyperlink>
        </w:p>
        <w:p>
          <w:pPr>
            <w:pStyle w:val="Contents4"/>
            <w:tabs>
              <w:tab w:val="clear" w:pos="8176"/>
              <w:tab w:val="right" w:pos="9026" w:leader="dot"/>
            </w:tabs>
            <w:rPr/>
          </w:pPr>
          <w:hyperlink w:anchor="__RefHeading___Toc4066803_3224264995">
            <w:r>
              <w:rPr>
                <w:webHidden/>
                <w:rStyle w:val="IndexLink"/>
                <w:rtl w:val="true"/>
              </w:rPr>
              <w:t>الف</w:t>
            </w:r>
            <w:r>
              <w:rPr>
                <w:rStyle w:val="IndexLink"/>
                <w:rtl w:val="true"/>
              </w:rPr>
              <w:t>:</w:t>
            </w:r>
            <w:r>
              <w:rPr>
                <w:rStyle w:val="IndexLink"/>
                <w:rtl w:val="true"/>
              </w:rPr>
              <w:t>درنگی کوتاه در حیات فاضل سراب</w:t>
            </w:r>
            <w:r>
              <w:rPr>
                <w:rStyle w:val="IndexLink"/>
                <w:rtl w:val="true"/>
              </w:rPr>
              <w:tab/>
            </w:r>
            <w:r>
              <w:rPr>
                <w:rStyle w:val="IndexLink"/>
              </w:rPr>
              <w:t>34</w:t>
            </w:r>
          </w:hyperlink>
        </w:p>
        <w:p>
          <w:pPr>
            <w:pStyle w:val="Contents5"/>
            <w:tabs>
              <w:tab w:val="clear" w:pos="7892"/>
              <w:tab w:val="right" w:pos="9026" w:leader="dot"/>
            </w:tabs>
            <w:rPr/>
          </w:pPr>
          <w:hyperlink w:anchor="__RefHeading___Toc4066805_3224264995">
            <w:r>
              <w:rPr>
                <w:webHidden/>
                <w:rStyle w:val="IndexLink"/>
              </w:rPr>
              <w:t>1</w:t>
            </w:r>
            <w:r>
              <w:rPr>
                <w:rStyle w:val="IndexLink"/>
                <w:rtl w:val="true"/>
              </w:rPr>
              <w:t>-</w:t>
            </w:r>
            <w:r>
              <w:rPr>
                <w:rStyle w:val="IndexLink"/>
                <w:rtl w:val="true"/>
              </w:rPr>
              <w:t>ولادت،تحصیلات و وفات</w:t>
            </w:r>
            <w:r>
              <w:rPr>
                <w:rStyle w:val="IndexLink"/>
                <w:rtl w:val="true"/>
              </w:rPr>
              <w:tab/>
            </w:r>
            <w:r>
              <w:rPr>
                <w:rStyle w:val="IndexLink"/>
              </w:rPr>
              <w:t>34</w:t>
            </w:r>
          </w:hyperlink>
        </w:p>
        <w:p>
          <w:pPr>
            <w:pStyle w:val="Contents5"/>
            <w:tabs>
              <w:tab w:val="clear" w:pos="7892"/>
              <w:tab w:val="right" w:pos="9026" w:leader="dot"/>
            </w:tabs>
            <w:rPr/>
          </w:pPr>
          <w:hyperlink w:anchor="__RefHeading___Toc4066807_3224264995">
            <w:r>
              <w:rPr>
                <w:webHidden/>
                <w:rStyle w:val="IndexLink"/>
              </w:rPr>
              <w:t>2</w:t>
            </w:r>
            <w:r>
              <w:rPr>
                <w:rStyle w:val="IndexLink"/>
                <w:rtl w:val="true"/>
              </w:rPr>
              <w:t>-</w:t>
            </w:r>
            <w:r>
              <w:rPr>
                <w:rStyle w:val="IndexLink"/>
                <w:rtl w:val="true"/>
              </w:rPr>
              <w:t>آثار و تألیفات</w:t>
            </w:r>
            <w:r>
              <w:rPr>
                <w:rStyle w:val="IndexLink"/>
                <w:rtl w:val="true"/>
              </w:rPr>
              <w:tab/>
            </w:r>
            <w:r>
              <w:rPr>
                <w:rStyle w:val="IndexLink"/>
              </w:rPr>
              <w:t>35</w:t>
            </w:r>
          </w:hyperlink>
        </w:p>
        <w:p>
          <w:pPr>
            <w:pStyle w:val="Contents5"/>
            <w:tabs>
              <w:tab w:val="clear" w:pos="7892"/>
              <w:tab w:val="right" w:pos="9026" w:leader="dot"/>
            </w:tabs>
            <w:rPr/>
          </w:pPr>
          <w:hyperlink w:anchor="__RefHeading___Toc4066809_3224264995">
            <w:r>
              <w:rPr>
                <w:webHidden/>
                <w:rStyle w:val="IndexLink"/>
              </w:rPr>
              <w:t>3</w:t>
            </w:r>
            <w:r>
              <w:rPr>
                <w:rStyle w:val="IndexLink"/>
                <w:rtl w:val="true"/>
              </w:rPr>
              <w:t>-</w:t>
            </w:r>
            <w:r>
              <w:rPr>
                <w:rStyle w:val="IndexLink"/>
                <w:rtl w:val="true"/>
              </w:rPr>
              <w:t>مقام علمی فاضل سراب</w:t>
            </w:r>
            <w:r>
              <w:rPr>
                <w:rStyle w:val="IndexLink"/>
                <w:rtl w:val="true"/>
              </w:rPr>
              <w:tab/>
            </w:r>
            <w:r>
              <w:rPr>
                <w:rStyle w:val="IndexLink"/>
              </w:rPr>
              <w:t>36</w:t>
            </w:r>
          </w:hyperlink>
        </w:p>
        <w:p>
          <w:pPr>
            <w:pStyle w:val="Contents4"/>
            <w:tabs>
              <w:tab w:val="clear" w:pos="8176"/>
              <w:tab w:val="right" w:pos="9026" w:leader="dot"/>
            </w:tabs>
            <w:rPr/>
          </w:pPr>
          <w:hyperlink w:anchor="__RefHeading___Toc4066811_3224264995">
            <w:r>
              <w:rPr>
                <w:webHidden/>
                <w:rStyle w:val="IndexLink"/>
                <w:rtl w:val="true"/>
              </w:rPr>
              <w:t>ب</w:t>
            </w:r>
            <w:r>
              <w:rPr>
                <w:rStyle w:val="IndexLink"/>
                <w:rtl w:val="true"/>
              </w:rPr>
              <w:t>:</w:t>
            </w:r>
            <w:r>
              <w:rPr>
                <w:rStyle w:val="IndexLink"/>
                <w:rtl w:val="true"/>
              </w:rPr>
              <w:t>نکاتی درباره این اثر</w:t>
            </w:r>
            <w:r>
              <w:rPr>
                <w:rStyle w:val="IndexLink"/>
                <w:rtl w:val="true"/>
              </w:rPr>
              <w:tab/>
            </w:r>
            <w:r>
              <w:rPr>
                <w:rStyle w:val="IndexLink"/>
              </w:rPr>
              <w:t>37</w:t>
            </w:r>
          </w:hyperlink>
        </w:p>
        <w:p>
          <w:pPr>
            <w:pStyle w:val="Contents5"/>
            <w:tabs>
              <w:tab w:val="clear" w:pos="7892"/>
              <w:tab w:val="right" w:pos="9026" w:leader="dot"/>
            </w:tabs>
            <w:rPr/>
          </w:pPr>
          <w:hyperlink w:anchor="__RefHeading___Toc4066813_3224264995">
            <w:r>
              <w:rPr>
                <w:webHidden/>
                <w:rStyle w:val="IndexLink"/>
              </w:rPr>
              <w:t>1</w:t>
            </w:r>
            <w:r>
              <w:rPr>
                <w:rStyle w:val="IndexLink"/>
                <w:rtl w:val="true"/>
              </w:rPr>
              <w:t>-</w:t>
            </w:r>
            <w:r>
              <w:rPr>
                <w:rStyle w:val="IndexLink"/>
                <w:rtl w:val="true"/>
              </w:rPr>
              <w:t>بستر آفرینش این اثر</w:t>
            </w:r>
            <w:r>
              <w:rPr>
                <w:rStyle w:val="IndexLink"/>
                <w:rtl w:val="true"/>
              </w:rPr>
              <w:tab/>
            </w:r>
            <w:r>
              <w:rPr>
                <w:rStyle w:val="IndexLink"/>
              </w:rPr>
              <w:t>37</w:t>
            </w:r>
          </w:hyperlink>
        </w:p>
        <w:p>
          <w:pPr>
            <w:pStyle w:val="Contents5"/>
            <w:tabs>
              <w:tab w:val="clear" w:pos="7892"/>
              <w:tab w:val="right" w:pos="9026" w:leader="dot"/>
            </w:tabs>
            <w:rPr/>
          </w:pPr>
          <w:hyperlink w:anchor="__RefHeading___Toc4066815_3224264995">
            <w:r>
              <w:rPr>
                <w:webHidden/>
                <w:rStyle w:val="IndexLink"/>
              </w:rPr>
              <w:t>2</w:t>
            </w:r>
            <w:r>
              <w:rPr>
                <w:rStyle w:val="IndexLink"/>
                <w:rtl w:val="true"/>
              </w:rPr>
              <w:t>-</w:t>
            </w:r>
            <w:r>
              <w:rPr>
                <w:rStyle w:val="IndexLink"/>
                <w:rtl w:val="true"/>
              </w:rPr>
              <w:t>برخی از ویژگی‌های این اثر</w:t>
            </w:r>
            <w:r>
              <w:rPr>
                <w:rStyle w:val="IndexLink"/>
                <w:rtl w:val="true"/>
              </w:rPr>
              <w:tab/>
            </w:r>
            <w:r>
              <w:rPr>
                <w:rStyle w:val="IndexLink"/>
              </w:rPr>
              <w:t>38</w:t>
            </w:r>
          </w:hyperlink>
        </w:p>
        <w:p>
          <w:pPr>
            <w:pStyle w:val="Contents4"/>
            <w:tabs>
              <w:tab w:val="clear" w:pos="8176"/>
              <w:tab w:val="right" w:pos="9026" w:leader="dot"/>
            </w:tabs>
            <w:rPr/>
          </w:pPr>
          <w:hyperlink w:anchor="__RefHeading___Toc4066817_3224264995">
            <w:r>
              <w:rPr>
                <w:webHidden/>
                <w:rStyle w:val="IndexLink"/>
                <w:rtl w:val="true"/>
              </w:rPr>
              <w:t>ج</w:t>
            </w:r>
            <w:r>
              <w:rPr>
                <w:rStyle w:val="IndexLink"/>
                <w:rtl w:val="true"/>
              </w:rPr>
              <w:t>:</w:t>
            </w:r>
            <w:r>
              <w:rPr>
                <w:rStyle w:val="IndexLink"/>
                <w:rtl w:val="true"/>
              </w:rPr>
              <w:t>دو نکته درباره نسخه‌های این اثر</w:t>
            </w:r>
            <w:r>
              <w:rPr>
                <w:rStyle w:val="IndexLink"/>
                <w:rtl w:val="true"/>
              </w:rPr>
              <w:t>:</w:t>
              <w:tab/>
            </w:r>
            <w:r>
              <w:rPr>
                <w:rStyle w:val="IndexLink"/>
              </w:rPr>
              <w:t>38</w:t>
            </w:r>
          </w:hyperlink>
        </w:p>
        <w:p>
          <w:pPr>
            <w:pStyle w:val="Contents5"/>
            <w:tabs>
              <w:tab w:val="clear" w:pos="7892"/>
              <w:tab w:val="right" w:pos="9026" w:leader="dot"/>
            </w:tabs>
            <w:rPr/>
          </w:pPr>
          <w:hyperlink w:anchor="__RefHeading___Toc4066819_3224264995">
            <w:r>
              <w:rPr>
                <w:webHidden/>
                <w:rStyle w:val="IndexLink"/>
              </w:rPr>
              <w:t>1</w:t>
            </w:r>
            <w:r>
              <w:rPr>
                <w:rStyle w:val="IndexLink"/>
                <w:rtl w:val="true"/>
              </w:rPr>
              <w:t>-</w:t>
            </w:r>
            <w:r>
              <w:rPr>
                <w:rStyle w:val="IndexLink"/>
                <w:rtl w:val="true"/>
              </w:rPr>
              <w:t>نسخه‌های شناخته شده</w:t>
            </w:r>
            <w:r>
              <w:rPr>
                <w:rStyle w:val="IndexLink"/>
                <w:rtl w:val="true"/>
              </w:rPr>
              <w:t>:</w:t>
              <w:tab/>
            </w:r>
            <w:r>
              <w:rPr>
                <w:rStyle w:val="IndexLink"/>
              </w:rPr>
              <w:t>38</w:t>
            </w:r>
          </w:hyperlink>
        </w:p>
        <w:p>
          <w:pPr>
            <w:pStyle w:val="Contents5"/>
            <w:tabs>
              <w:tab w:val="clear" w:pos="7892"/>
              <w:tab w:val="right" w:pos="9026" w:leader="dot"/>
            </w:tabs>
            <w:rPr/>
          </w:pPr>
          <w:hyperlink w:anchor="__RefHeading___Toc4066821_3224264995">
            <w:r>
              <w:rPr>
                <w:webHidden/>
                <w:rStyle w:val="IndexLink"/>
              </w:rPr>
              <w:t>2</w:t>
            </w:r>
            <w:r>
              <w:rPr>
                <w:rStyle w:val="IndexLink"/>
                <w:rtl w:val="true"/>
              </w:rPr>
              <w:t>-</w:t>
            </w:r>
            <w:r>
              <w:rPr>
                <w:rStyle w:val="IndexLink"/>
                <w:rtl w:val="true"/>
              </w:rPr>
              <w:t>مشخصات نسخه‌های مورد استفاده محقّق</w:t>
            </w:r>
            <w:r>
              <w:rPr>
                <w:rStyle w:val="IndexLink"/>
                <w:rtl w:val="true"/>
              </w:rPr>
              <w:tab/>
            </w:r>
            <w:r>
              <w:rPr>
                <w:rStyle w:val="IndexLink"/>
              </w:rPr>
              <w:t>39</w:t>
            </w:r>
          </w:hyperlink>
        </w:p>
        <w:p>
          <w:pPr>
            <w:pStyle w:val="Contents4"/>
            <w:tabs>
              <w:tab w:val="clear" w:pos="8176"/>
              <w:tab w:val="right" w:pos="9026" w:leader="dot"/>
            </w:tabs>
            <w:rPr/>
          </w:pPr>
          <w:hyperlink w:anchor="__RefHeading___Toc4066823_3224264995">
            <w:r>
              <w:rPr>
                <w:webHidden/>
                <w:rStyle w:val="IndexLink"/>
                <w:rtl w:val="true"/>
              </w:rPr>
              <w:t>د</w:t>
            </w:r>
            <w:r>
              <w:rPr>
                <w:rStyle w:val="IndexLink"/>
                <w:rtl w:val="true"/>
              </w:rPr>
              <w:t>:</w:t>
            </w:r>
            <w:r>
              <w:rPr>
                <w:rStyle w:val="IndexLink"/>
                <w:rtl w:val="true"/>
              </w:rPr>
              <w:t>شیوه تحقیق</w:t>
            </w:r>
            <w:r>
              <w:rPr>
                <w:rStyle w:val="IndexLink"/>
                <w:rtl w:val="true"/>
              </w:rPr>
              <w:t>:</w:t>
              <w:tab/>
            </w:r>
            <w:r>
              <w:rPr>
                <w:rStyle w:val="IndexLink"/>
              </w:rPr>
              <w:t>40</w:t>
            </w:r>
          </w:hyperlink>
        </w:p>
        <w:p>
          <w:pPr>
            <w:pStyle w:val="Contents5"/>
            <w:tabs>
              <w:tab w:val="clear" w:pos="7892"/>
              <w:tab w:val="right" w:pos="9026" w:leader="dot"/>
            </w:tabs>
            <w:rPr/>
          </w:pPr>
          <w:hyperlink w:anchor="__RefHeading___Toc4066825_3224264995">
            <w:r>
              <w:rPr>
                <w:webHidden/>
                <w:rStyle w:val="IndexLink"/>
                <w:rtl w:val="true"/>
              </w:rPr>
              <w:t>مراحل تحقیق</w:t>
            </w:r>
            <w:r>
              <w:rPr>
                <w:rStyle w:val="IndexLink"/>
                <w:rtl w:val="true"/>
              </w:rPr>
              <w:t>:</w:t>
              <w:tab/>
            </w:r>
            <w:r>
              <w:rPr>
                <w:rStyle w:val="IndexLink"/>
              </w:rPr>
              <w:t>40</w:t>
            </w:r>
          </w:hyperlink>
        </w:p>
        <w:p>
          <w:pPr>
            <w:pStyle w:val="Contents5"/>
            <w:tabs>
              <w:tab w:val="clear" w:pos="7892"/>
              <w:tab w:val="right" w:pos="9026" w:leader="dot"/>
            </w:tabs>
            <w:rPr/>
          </w:pPr>
          <w:hyperlink w:anchor="__RefHeading___Toc4066827_3224264995">
            <w:r>
              <w:rPr>
                <w:webHidden/>
                <w:rStyle w:val="IndexLink"/>
                <w:rtl w:val="true"/>
              </w:rPr>
              <w:t>-</w:t>
            </w:r>
            <w:r>
              <w:rPr>
                <w:rStyle w:val="IndexLink"/>
                <w:rtl w:val="true"/>
              </w:rPr>
              <w:t>تذکّر چند نکته</w:t>
            </w:r>
            <w:r>
              <w:rPr>
                <w:rStyle w:val="IndexLink"/>
                <w:rtl w:val="true"/>
              </w:rPr>
              <w:t>:</w:t>
              <w:tab/>
            </w:r>
            <w:r>
              <w:rPr>
                <w:rStyle w:val="IndexLink"/>
              </w:rPr>
              <w:t>41</w:t>
            </w:r>
          </w:hyperlink>
        </w:p>
        <w:p>
          <w:pPr>
            <w:pStyle w:val="Contents4"/>
            <w:tabs>
              <w:tab w:val="clear" w:pos="8176"/>
              <w:tab w:val="right" w:pos="9026" w:leader="dot"/>
            </w:tabs>
            <w:rPr/>
          </w:pPr>
          <w:hyperlink w:anchor="__RefHeading___Toc4066829_3224264995">
            <w:r>
              <w:rPr>
                <w:webHidden/>
                <w:rStyle w:val="IndexLink"/>
                <w:rtl w:val="true"/>
              </w:rPr>
              <w:t>ه</w:t>
            </w:r>
            <w:r>
              <w:rPr>
                <w:rStyle w:val="IndexLink"/>
                <w:rtl w:val="true"/>
              </w:rPr>
              <w:t>:...</w:t>
            </w:r>
            <w:r>
              <w:rPr>
                <w:rStyle w:val="IndexLink"/>
                <w:rtl w:val="true"/>
              </w:rPr>
              <w:t>و امّا سخن پایانی</w:t>
            </w:r>
            <w:r>
              <w:rPr>
                <w:rStyle w:val="IndexLink"/>
                <w:rtl w:val="true"/>
              </w:rPr>
              <w:t>:</w:t>
              <w:tab/>
            </w:r>
            <w:r>
              <w:rPr>
                <w:rStyle w:val="IndexLink"/>
              </w:rPr>
              <w:t>42</w:t>
            </w:r>
          </w:hyperlink>
        </w:p>
        <w:p>
          <w:pPr>
            <w:pStyle w:val="Contents3"/>
            <w:tabs>
              <w:tab w:val="clear" w:pos="8459"/>
              <w:tab w:val="right" w:pos="9026" w:leader="dot"/>
            </w:tabs>
            <w:rPr/>
          </w:pPr>
          <w:hyperlink w:anchor="__RefHeading___Toc4066831_3224264995">
            <w:r>
              <w:rPr>
                <w:webHidden/>
                <w:rStyle w:val="IndexLink"/>
                <w:rtl w:val="true"/>
              </w:rPr>
              <w:t>[</w:t>
            </w:r>
            <w:r>
              <w:rPr>
                <w:rStyle w:val="IndexLink"/>
                <w:rtl w:val="true"/>
              </w:rPr>
              <w:t>خطبه کتاب</w:t>
            </w:r>
            <w:r>
              <w:rPr>
                <w:rStyle w:val="IndexLink"/>
                <w:rtl w:val="true"/>
              </w:rPr>
              <w:t>]</w:t>
              <w:tab/>
            </w:r>
            <w:r>
              <w:rPr>
                <w:rStyle w:val="IndexLink"/>
              </w:rPr>
              <w:t>50</w:t>
            </w:r>
          </w:hyperlink>
        </w:p>
        <w:p>
          <w:pPr>
            <w:pStyle w:val="Contents3"/>
            <w:tabs>
              <w:tab w:val="clear" w:pos="8459"/>
              <w:tab w:val="right" w:pos="9026" w:leader="dot"/>
            </w:tabs>
            <w:rPr/>
          </w:pPr>
          <w:hyperlink w:anchor="__RefHeading___Toc4066833_3224264995">
            <w:r>
              <w:rPr>
                <w:webHidden/>
                <w:rStyle w:val="IndexLink"/>
                <w:rtl w:val="true"/>
              </w:rPr>
              <w:t>کتاب الطهارة</w:t>
            </w:r>
            <w:r>
              <w:rPr>
                <w:rStyle w:val="IndexLink"/>
                <w:rtl w:val="true"/>
              </w:rPr>
              <w:tab/>
            </w:r>
            <w:r>
              <w:rPr>
                <w:rStyle w:val="IndexLink"/>
              </w:rPr>
              <w:t>51</w:t>
            </w:r>
          </w:hyperlink>
        </w:p>
        <w:p>
          <w:pPr>
            <w:pStyle w:val="Contents4"/>
            <w:tabs>
              <w:tab w:val="clear" w:pos="8176"/>
              <w:tab w:val="right" w:pos="9026" w:leader="dot"/>
            </w:tabs>
            <w:rPr/>
          </w:pPr>
          <w:hyperlink w:anchor="__RefHeading___Toc4066835_3224264995">
            <w:r>
              <w:rPr>
                <w:webHidden/>
                <w:rStyle w:val="IndexLink"/>
                <w:rtl w:val="true"/>
              </w:rPr>
              <w:t>[</w:t>
            </w:r>
            <w:r>
              <w:rPr>
                <w:rStyle w:val="IndexLink"/>
                <w:rtl w:val="true"/>
              </w:rPr>
              <w:t>نبدأ بالفاتحة تیمّنا و تبرّکا ثمّ نذکر آیاتها</w:t>
            </w:r>
            <w:r>
              <w:rPr>
                <w:rStyle w:val="IndexLink"/>
                <w:rtl w:val="true"/>
              </w:rPr>
              <w:t>]</w:t>
              <w:tab/>
            </w:r>
            <w:r>
              <w:rPr>
                <w:rStyle w:val="IndexLink"/>
              </w:rPr>
              <w:t>51</w:t>
            </w:r>
          </w:hyperlink>
        </w:p>
        <w:p>
          <w:pPr>
            <w:pStyle w:val="Contents3"/>
            <w:tabs>
              <w:tab w:val="clear" w:pos="8459"/>
              <w:tab w:val="right" w:pos="9026" w:leader="dot"/>
            </w:tabs>
            <w:rPr/>
          </w:pPr>
          <w:hyperlink w:anchor="__RefHeading___Toc4066837_3224264995">
            <w:r>
              <w:rPr>
                <w:webHidden/>
                <w:rStyle w:val="IndexLink"/>
                <w:rtl w:val="true"/>
              </w:rPr>
              <w:t>کتاب الصلاة</w:t>
            </w:r>
            <w:r>
              <w:rPr>
                <w:rStyle w:val="IndexLink"/>
                <w:rtl w:val="true"/>
              </w:rPr>
              <w:tab/>
            </w:r>
            <w:r>
              <w:rPr>
                <w:rStyle w:val="IndexLink"/>
              </w:rPr>
              <w:t>74</w:t>
            </w:r>
          </w:hyperlink>
        </w:p>
        <w:p>
          <w:pPr>
            <w:pStyle w:val="Contents4"/>
            <w:tabs>
              <w:tab w:val="clear" w:pos="8176"/>
              <w:tab w:val="right" w:pos="9026" w:leader="dot"/>
            </w:tabs>
            <w:rPr/>
          </w:pPr>
          <w:hyperlink w:anchor="__RefHeading___Toc4066839_3224264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066841_3224264995">
            <w:r>
              <w:rPr>
                <w:webHidden/>
                <w:rStyle w:val="IndexLink"/>
                <w:rtl w:val="true"/>
              </w:rPr>
              <w:t>[</w:t>
            </w:r>
            <w:r>
              <w:rPr>
                <w:rStyle w:val="IndexLink"/>
                <w:rtl w:val="true"/>
              </w:rPr>
              <w:t>النوع</w:t>
            </w:r>
            <w:r>
              <w:rPr>
                <w:rStyle w:val="IndexLink"/>
                <w:rtl w:val="true"/>
              </w:rPr>
              <w:t xml:space="preserve">] </w:t>
            </w:r>
            <w:r>
              <w:rPr>
                <w:rStyle w:val="IndexLink"/>
                <w:rtl w:val="true"/>
              </w:rPr>
              <w:t>الأوّل فی البحث عنها بقول مطلق</w:t>
            </w:r>
            <w:r>
              <w:rPr>
                <w:rStyle w:val="IndexLink"/>
                <w:rtl w:val="true"/>
              </w:rPr>
              <w:tab/>
            </w:r>
            <w:r>
              <w:rPr>
                <w:rStyle w:val="IndexLink"/>
              </w:rPr>
              <w:t>74</w:t>
            </w:r>
          </w:hyperlink>
        </w:p>
        <w:p>
          <w:pPr>
            <w:pStyle w:val="Contents4"/>
            <w:tabs>
              <w:tab w:val="clear" w:pos="8176"/>
              <w:tab w:val="right" w:pos="9026" w:leader="dot"/>
            </w:tabs>
            <w:rPr/>
          </w:pPr>
          <w:hyperlink w:anchor="__RefHeading___Toc4066843_3224264995">
            <w:r>
              <w:rPr>
                <w:webHidden/>
                <w:rStyle w:val="IndexLink"/>
                <w:rtl w:val="true"/>
              </w:rPr>
              <w:t>النوع الثانی</w:t>
            </w:r>
            <w:r>
              <w:rPr>
                <w:rStyle w:val="IndexLink"/>
                <w:rtl w:val="true"/>
              </w:rPr>
              <w:t>:</w:t>
            </w:r>
            <w:r>
              <w:rPr>
                <w:rStyle w:val="IndexLink"/>
                <w:rtl w:val="true"/>
              </w:rPr>
              <w:t>فی دلائل الصلوات الخمس و أوقاتها</w:t>
            </w:r>
            <w:r>
              <w:rPr>
                <w:rStyle w:val="IndexLink"/>
                <w:rtl w:val="true"/>
              </w:rPr>
              <w:tab/>
            </w:r>
            <w:r>
              <w:rPr>
                <w:rStyle w:val="IndexLink"/>
              </w:rPr>
              <w:t>79</w:t>
            </w:r>
          </w:hyperlink>
        </w:p>
        <w:p>
          <w:pPr>
            <w:pStyle w:val="Contents4"/>
            <w:tabs>
              <w:tab w:val="clear" w:pos="8176"/>
              <w:tab w:val="right" w:pos="9026" w:leader="dot"/>
            </w:tabs>
            <w:rPr/>
          </w:pPr>
          <w:hyperlink w:anchor="__RefHeading___Toc4066845_3224264995">
            <w:r>
              <w:rPr>
                <w:webHidden/>
                <w:rStyle w:val="IndexLink"/>
                <w:rtl w:val="true"/>
              </w:rPr>
              <w:t>النوع الثالث</w:t>
            </w:r>
            <w:r>
              <w:rPr>
                <w:rStyle w:val="IndexLink"/>
                <w:rtl w:val="true"/>
              </w:rPr>
              <w:t>:</w:t>
            </w:r>
            <w:r>
              <w:rPr>
                <w:rStyle w:val="IndexLink"/>
                <w:rtl w:val="true"/>
              </w:rPr>
              <w:t>فی القبلة</w:t>
            </w:r>
            <w:r>
              <w:rPr>
                <w:rStyle w:val="IndexLink"/>
                <w:rtl w:val="true"/>
              </w:rPr>
              <w:tab/>
            </w:r>
            <w:r>
              <w:rPr>
                <w:rStyle w:val="IndexLink"/>
              </w:rPr>
              <w:t>82</w:t>
            </w:r>
          </w:hyperlink>
        </w:p>
        <w:p>
          <w:pPr>
            <w:pStyle w:val="Contents4"/>
            <w:tabs>
              <w:tab w:val="clear" w:pos="8176"/>
              <w:tab w:val="right" w:pos="9026" w:leader="dot"/>
            </w:tabs>
            <w:rPr/>
          </w:pPr>
          <w:hyperlink w:anchor="__RefHeading___Toc4066847_3224264995">
            <w:r>
              <w:rPr>
                <w:webHidden/>
                <w:rStyle w:val="IndexLink"/>
                <w:rtl w:val="true"/>
              </w:rPr>
              <w:t>النوع الرابع</w:t>
            </w:r>
            <w:r>
              <w:rPr>
                <w:rStyle w:val="IndexLink"/>
                <w:rtl w:val="true"/>
              </w:rPr>
              <w:t>:</w:t>
            </w:r>
            <w:r>
              <w:rPr>
                <w:rStyle w:val="IndexLink"/>
                <w:rtl w:val="true"/>
              </w:rPr>
              <w:t>فی مقدمات اخر للصلاة</w:t>
            </w:r>
            <w:r>
              <w:rPr>
                <w:rStyle w:val="IndexLink"/>
                <w:rtl w:val="true"/>
              </w:rPr>
              <w:tab/>
            </w:r>
            <w:r>
              <w:rPr>
                <w:rStyle w:val="IndexLink"/>
              </w:rPr>
              <w:t>84</w:t>
            </w:r>
          </w:hyperlink>
        </w:p>
        <w:p>
          <w:pPr>
            <w:pStyle w:val="Contents4"/>
            <w:tabs>
              <w:tab w:val="clear" w:pos="8176"/>
              <w:tab w:val="right" w:pos="9026" w:leader="dot"/>
            </w:tabs>
            <w:rPr/>
          </w:pPr>
          <w:hyperlink w:anchor="__RefHeading___Toc4066849_3224264995">
            <w:r>
              <w:rPr>
                <w:webHidden/>
                <w:rStyle w:val="IndexLink"/>
                <w:rtl w:val="true"/>
              </w:rPr>
              <w:t>النوع الخامس</w:t>
            </w:r>
            <w:r>
              <w:rPr>
                <w:rStyle w:val="IndexLink"/>
                <w:rtl w:val="true"/>
              </w:rPr>
              <w:t>:</w:t>
            </w:r>
            <w:r>
              <w:rPr>
                <w:rStyle w:val="IndexLink"/>
                <w:rtl w:val="true"/>
              </w:rPr>
              <w:t>فی مقارنات الصلاة و فیه آیات</w:t>
            </w:r>
            <w:r>
              <w:rPr>
                <w:rStyle w:val="IndexLink"/>
                <w:rtl w:val="true"/>
              </w:rPr>
              <w:t>:</w:t>
              <w:tab/>
            </w:r>
            <w:r>
              <w:rPr>
                <w:rStyle w:val="IndexLink"/>
              </w:rPr>
              <w:t>90</w:t>
            </w:r>
          </w:hyperlink>
        </w:p>
        <w:p>
          <w:pPr>
            <w:pStyle w:val="Contents4"/>
            <w:tabs>
              <w:tab w:val="clear" w:pos="8176"/>
              <w:tab w:val="right" w:pos="9026" w:leader="dot"/>
            </w:tabs>
            <w:rPr/>
          </w:pPr>
          <w:hyperlink w:anchor="__RefHeading___Toc4066851_3224264995">
            <w:r>
              <w:rPr>
                <w:webHidden/>
                <w:rStyle w:val="IndexLink"/>
                <w:rtl w:val="true"/>
              </w:rPr>
              <w:t>النوع السادس</w:t>
            </w:r>
            <w:r>
              <w:rPr>
                <w:rStyle w:val="IndexLink"/>
                <w:rtl w:val="true"/>
              </w:rPr>
              <w:t>:</w:t>
            </w:r>
            <w:r>
              <w:rPr>
                <w:rStyle w:val="IndexLink"/>
                <w:rtl w:val="true"/>
              </w:rPr>
              <w:t>فی المندوبات</w:t>
            </w:r>
            <w:r>
              <w:rPr>
                <w:rStyle w:val="IndexLink"/>
                <w:rtl w:val="true"/>
              </w:rPr>
              <w:tab/>
            </w:r>
            <w:r>
              <w:rPr>
                <w:rStyle w:val="IndexLink"/>
              </w:rPr>
              <w:t>93</w:t>
            </w:r>
          </w:hyperlink>
        </w:p>
        <w:p>
          <w:pPr>
            <w:pStyle w:val="Contents4"/>
            <w:tabs>
              <w:tab w:val="clear" w:pos="8176"/>
              <w:tab w:val="right" w:pos="9026" w:leader="dot"/>
            </w:tabs>
            <w:rPr/>
          </w:pPr>
          <w:hyperlink w:anchor="__RefHeading___Toc4066853_3224264995">
            <w:r>
              <w:rPr>
                <w:webHidden/>
                <w:rStyle w:val="IndexLink"/>
                <w:rtl w:val="true"/>
              </w:rPr>
              <w:t>النوع السابع</w:t>
            </w:r>
            <w:r>
              <w:rPr>
                <w:rStyle w:val="IndexLink"/>
                <w:rtl w:val="true"/>
              </w:rPr>
              <w:t>:</w:t>
            </w:r>
            <w:r>
              <w:rPr>
                <w:rStyle w:val="IndexLink"/>
                <w:rtl w:val="true"/>
              </w:rPr>
              <w:t>فی أحکام متعدّدة تتعلّق بالصلاة</w:t>
            </w:r>
            <w:r>
              <w:rPr>
                <w:rStyle w:val="IndexLink"/>
                <w:rtl w:val="true"/>
              </w:rPr>
              <w:tab/>
            </w:r>
            <w:r>
              <w:rPr>
                <w:rStyle w:val="IndexLink"/>
              </w:rPr>
              <w:t>101</w:t>
            </w:r>
          </w:hyperlink>
        </w:p>
        <w:p>
          <w:pPr>
            <w:pStyle w:val="Contents4"/>
            <w:tabs>
              <w:tab w:val="clear" w:pos="8176"/>
              <w:tab w:val="right" w:pos="9026" w:leader="dot"/>
            </w:tabs>
            <w:rPr/>
          </w:pPr>
          <w:hyperlink w:anchor="__RefHeading___Toc4066855_3224264995">
            <w:r>
              <w:rPr>
                <w:webHidden/>
                <w:rStyle w:val="IndexLink"/>
                <w:rtl w:val="true"/>
              </w:rPr>
              <w:t>النوع الثامن</w:t>
            </w:r>
            <w:r>
              <w:rPr>
                <w:rStyle w:val="IndexLink"/>
                <w:rtl w:val="true"/>
              </w:rPr>
              <w:t>:</w:t>
            </w:r>
            <w:r>
              <w:rPr>
                <w:rStyle w:val="IndexLink"/>
                <w:rtl w:val="true"/>
              </w:rPr>
              <w:t>فیما عدا الیومیّة من الصلوات و أحکام تلحق الیومیّة أیضا</w:t>
            </w:r>
            <w:r>
              <w:rPr>
                <w:rStyle w:val="IndexLink"/>
                <w:rtl w:val="true"/>
              </w:rPr>
              <w:tab/>
            </w:r>
            <w:r>
              <w:rPr>
                <w:rStyle w:val="IndexLink"/>
              </w:rPr>
              <w:t>108</w:t>
            </w:r>
          </w:hyperlink>
        </w:p>
        <w:p>
          <w:pPr>
            <w:pStyle w:val="Contents4"/>
            <w:tabs>
              <w:tab w:val="clear" w:pos="8176"/>
              <w:tab w:val="right" w:pos="9026" w:leader="dot"/>
            </w:tabs>
            <w:rPr/>
          </w:pPr>
          <w:hyperlink w:anchor="__RefHeading___Toc4066857_3224264995">
            <w:r>
              <w:rPr>
                <w:webHidden/>
                <w:rStyle w:val="IndexLink"/>
                <w:rtl w:val="true"/>
              </w:rPr>
              <w:t>و لنتبع الکتاب بذکر آیات</w:t>
            </w:r>
            <w:r>
              <w:rPr>
                <w:rStyle w:val="IndexLink"/>
                <w:rtl w:val="true"/>
              </w:rPr>
              <w:t>:</w:t>
              <w:tab/>
            </w:r>
            <w:r>
              <w:rPr>
                <w:rStyle w:val="IndexLink"/>
              </w:rPr>
              <w:t>115</w:t>
            </w:r>
          </w:hyperlink>
        </w:p>
        <w:p>
          <w:pPr>
            <w:pStyle w:val="Contents3"/>
            <w:tabs>
              <w:tab w:val="clear" w:pos="8459"/>
              <w:tab w:val="right" w:pos="9026" w:leader="dot"/>
            </w:tabs>
            <w:rPr/>
          </w:pPr>
          <w:hyperlink w:anchor="__RefHeading___Toc4066859_3224264995">
            <w:r>
              <w:rPr>
                <w:webHidden/>
                <w:rStyle w:val="IndexLink"/>
                <w:rtl w:val="true"/>
              </w:rPr>
              <w:t>کتاب الصوم</w:t>
            </w:r>
            <w:r>
              <w:rPr>
                <w:rStyle w:val="IndexLink"/>
                <w:rtl w:val="true"/>
              </w:rPr>
              <w:tab/>
            </w:r>
            <w:r>
              <w:rPr>
                <w:rStyle w:val="IndexLink"/>
              </w:rPr>
              <w:t>122</w:t>
            </w:r>
          </w:hyperlink>
        </w:p>
        <w:p>
          <w:pPr>
            <w:pStyle w:val="Contents4"/>
            <w:tabs>
              <w:tab w:val="clear" w:pos="8176"/>
              <w:tab w:val="right" w:pos="9026" w:leader="dot"/>
            </w:tabs>
            <w:rPr/>
          </w:pPr>
          <w:hyperlink w:anchor="__RefHeading___Toc4066861_3224264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066863_3224264995">
            <w:r>
              <w:rPr>
                <w:webHidden/>
                <w:rStyle w:val="IndexLink"/>
                <w:rtl w:val="true"/>
              </w:rPr>
              <w:t>[</w:t>
            </w:r>
            <w:r>
              <w:rPr>
                <w:rStyle w:val="IndexLink"/>
                <w:rtl w:val="true"/>
              </w:rPr>
              <w:t>الدعاء و آدابه</w:t>
            </w:r>
            <w:r>
              <w:rPr>
                <w:rStyle w:val="IndexLink"/>
                <w:rtl w:val="true"/>
              </w:rPr>
              <w:t>]</w:t>
              <w:tab/>
            </w:r>
            <w:r>
              <w:rPr>
                <w:rStyle w:val="IndexLink"/>
              </w:rPr>
              <w:t>131</w:t>
            </w:r>
          </w:hyperlink>
        </w:p>
        <w:p>
          <w:pPr>
            <w:pStyle w:val="Contents3"/>
            <w:tabs>
              <w:tab w:val="clear" w:pos="8459"/>
              <w:tab w:val="right" w:pos="9026" w:leader="dot"/>
            </w:tabs>
            <w:rPr/>
          </w:pPr>
          <w:hyperlink w:anchor="__RefHeading___Toc4066865_3224264995">
            <w:r>
              <w:rPr>
                <w:webHidden/>
                <w:rStyle w:val="IndexLink"/>
                <w:rtl w:val="true"/>
              </w:rPr>
              <w:t>کتاب الزکاة</w:t>
            </w:r>
            <w:r>
              <w:rPr>
                <w:rStyle w:val="IndexLink"/>
                <w:rtl w:val="true"/>
              </w:rPr>
              <w:tab/>
            </w:r>
            <w:r>
              <w:rPr>
                <w:rStyle w:val="IndexLink"/>
              </w:rPr>
              <w:t>135</w:t>
            </w:r>
          </w:hyperlink>
        </w:p>
        <w:p>
          <w:pPr>
            <w:pStyle w:val="Contents4"/>
            <w:tabs>
              <w:tab w:val="clear" w:pos="8176"/>
              <w:tab w:val="right" w:pos="9026" w:leader="dot"/>
            </w:tabs>
            <w:rPr/>
          </w:pPr>
          <w:hyperlink w:anchor="__RefHeading___Toc4066867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066869_3224264995">
            <w:r>
              <w:rPr>
                <w:webHidden/>
                <w:rStyle w:val="IndexLink"/>
                <w:rtl w:val="true"/>
              </w:rPr>
              <w:t>[</w:t>
            </w:r>
            <w:r>
              <w:rPr>
                <w:rStyle w:val="IndexLink"/>
                <w:rtl w:val="true"/>
              </w:rPr>
              <w:t>البحث</w:t>
            </w:r>
            <w:r>
              <w:rPr>
                <w:rStyle w:val="IndexLink"/>
                <w:rtl w:val="true"/>
              </w:rPr>
              <w:t xml:space="preserve">] </w:t>
            </w:r>
            <w:r>
              <w:rPr>
                <w:rStyle w:val="IndexLink"/>
                <w:rtl w:val="true"/>
              </w:rPr>
              <w:t>الأوّل فی وجوبها و محلّها</w:t>
            </w:r>
            <w:r>
              <w:rPr>
                <w:rStyle w:val="IndexLink"/>
                <w:rtl w:val="true"/>
              </w:rPr>
              <w:tab/>
            </w:r>
            <w:r>
              <w:rPr>
                <w:rStyle w:val="IndexLink"/>
              </w:rPr>
              <w:t>135</w:t>
            </w:r>
          </w:hyperlink>
        </w:p>
        <w:p>
          <w:pPr>
            <w:pStyle w:val="Contents4"/>
            <w:tabs>
              <w:tab w:val="clear" w:pos="8176"/>
              <w:tab w:val="right" w:pos="9026" w:leader="dot"/>
            </w:tabs>
            <w:rPr/>
          </w:pPr>
          <w:hyperlink w:anchor="__RefHeading___Toc4066871_3224264995">
            <w:r>
              <w:rPr>
                <w:webHidden/>
                <w:rStyle w:val="IndexLink"/>
                <w:rtl w:val="true"/>
              </w:rPr>
              <w:t>[</w:t>
            </w:r>
            <w:r>
              <w:rPr>
                <w:rStyle w:val="IndexLink"/>
                <w:rtl w:val="true"/>
              </w:rPr>
              <w:t>البحث</w:t>
            </w:r>
            <w:r>
              <w:rPr>
                <w:rStyle w:val="IndexLink"/>
                <w:rtl w:val="true"/>
              </w:rPr>
              <w:t xml:space="preserve">] </w:t>
            </w:r>
            <w:r>
              <w:rPr>
                <w:rStyle w:val="IndexLink"/>
                <w:rtl w:val="true"/>
              </w:rPr>
              <w:t>الثانی</w:t>
            </w:r>
            <w:r>
              <w:rPr>
                <w:rStyle w:val="IndexLink"/>
                <w:rtl w:val="true"/>
              </w:rPr>
              <w:t xml:space="preserve">: </w:t>
            </w:r>
            <w:r>
              <w:rPr>
                <w:rStyle w:val="IndexLink"/>
                <w:rtl w:val="true"/>
              </w:rPr>
              <w:t>فی قبض الزکاة و إعطائها المستحق و فیه آیات</w:t>
            </w:r>
            <w:r>
              <w:rPr>
                <w:rStyle w:val="IndexLink"/>
                <w:rtl w:val="true"/>
              </w:rPr>
              <w:t>:</w:t>
              <w:tab/>
            </w:r>
            <w:r>
              <w:rPr>
                <w:rStyle w:val="IndexLink"/>
              </w:rPr>
              <w:t>135</w:t>
            </w:r>
          </w:hyperlink>
        </w:p>
        <w:p>
          <w:pPr>
            <w:pStyle w:val="Contents4"/>
            <w:tabs>
              <w:tab w:val="clear" w:pos="8176"/>
              <w:tab w:val="right" w:pos="9026" w:leader="dot"/>
            </w:tabs>
            <w:rPr/>
          </w:pPr>
          <w:hyperlink w:anchor="__RefHeading___Toc4066873_3224264995">
            <w:r>
              <w:rPr>
                <w:webHidden/>
                <w:rStyle w:val="IndexLink"/>
                <w:rtl w:val="true"/>
              </w:rPr>
              <w:t>البحث الثالث</w:t>
            </w:r>
            <w:r>
              <w:rPr>
                <w:rStyle w:val="IndexLink"/>
                <w:rtl w:val="true"/>
              </w:rPr>
              <w:t>:</w:t>
            </w:r>
            <w:r>
              <w:rPr>
                <w:rStyle w:val="IndexLink"/>
                <w:rtl w:val="true"/>
              </w:rPr>
              <w:t>فی امور تتبع الإخراج و فیه آیات</w:t>
            </w:r>
            <w:r>
              <w:rPr>
                <w:rStyle w:val="IndexLink"/>
                <w:rtl w:val="true"/>
              </w:rPr>
              <w:t>:</w:t>
              <w:tab/>
            </w:r>
            <w:r>
              <w:rPr>
                <w:rStyle w:val="IndexLink"/>
              </w:rPr>
              <w:t>137</w:t>
            </w:r>
          </w:hyperlink>
        </w:p>
        <w:p>
          <w:pPr>
            <w:pStyle w:val="Contents3"/>
            <w:tabs>
              <w:tab w:val="clear" w:pos="8459"/>
              <w:tab w:val="right" w:pos="9026" w:leader="dot"/>
            </w:tabs>
            <w:rPr/>
          </w:pPr>
          <w:hyperlink w:anchor="__RefHeading___Toc4066875_3224264995">
            <w:r>
              <w:rPr>
                <w:webHidden/>
                <w:rStyle w:val="IndexLink"/>
                <w:rtl w:val="true"/>
              </w:rPr>
              <w:t>کتاب الخمس</w:t>
            </w:r>
            <w:r>
              <w:rPr>
                <w:rStyle w:val="IndexLink"/>
                <w:rtl w:val="true"/>
              </w:rPr>
              <w:tab/>
            </w:r>
            <w:r>
              <w:rPr>
                <w:rStyle w:val="IndexLink"/>
              </w:rPr>
              <w:t>138</w:t>
            </w:r>
          </w:hyperlink>
        </w:p>
        <w:p>
          <w:pPr>
            <w:pStyle w:val="Contents3"/>
            <w:tabs>
              <w:tab w:val="clear" w:pos="8459"/>
              <w:tab w:val="right" w:pos="9026" w:leader="dot"/>
            </w:tabs>
            <w:rPr/>
          </w:pPr>
          <w:hyperlink w:anchor="__RefHeading___Toc4066877_3224264995">
            <w:r>
              <w:rPr>
                <w:webHidden/>
                <w:rStyle w:val="IndexLink"/>
                <w:rtl w:val="true"/>
              </w:rPr>
              <w:t>کتاب الحج</w:t>
            </w:r>
            <w:r>
              <w:rPr>
                <w:rStyle w:val="IndexLink"/>
                <w:rtl w:val="true"/>
              </w:rPr>
              <w:tab/>
            </w:r>
            <w:r>
              <w:rPr>
                <w:rStyle w:val="IndexLink"/>
              </w:rPr>
              <w:t>139</w:t>
            </w:r>
          </w:hyperlink>
        </w:p>
        <w:p>
          <w:pPr>
            <w:pStyle w:val="Contents4"/>
            <w:tabs>
              <w:tab w:val="clear" w:pos="8176"/>
              <w:tab w:val="right" w:pos="9026" w:leader="dot"/>
            </w:tabs>
            <w:rPr/>
          </w:pPr>
          <w:hyperlink w:anchor="__RefHeading___Toc4066879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066881_3224264995">
            <w:r>
              <w:rPr>
                <w:webHidden/>
                <w:rStyle w:val="IndexLink"/>
                <w:rtl w:val="true"/>
              </w:rPr>
              <w:t>[</w:t>
            </w:r>
            <w:r>
              <w:rPr>
                <w:rStyle w:val="IndexLink"/>
                <w:rtl w:val="true"/>
              </w:rPr>
              <w:t>النوع</w:t>
            </w:r>
            <w:r>
              <w:rPr>
                <w:rStyle w:val="IndexLink"/>
                <w:rtl w:val="true"/>
              </w:rPr>
              <w:t xml:space="preserve">] </w:t>
            </w:r>
            <w:r>
              <w:rPr>
                <w:rStyle w:val="IndexLink"/>
                <w:rtl w:val="true"/>
              </w:rPr>
              <w:t>الأوّل</w:t>
            </w:r>
            <w:r>
              <w:rPr>
                <w:rStyle w:val="IndexLink"/>
                <w:rtl w:val="true"/>
              </w:rPr>
              <w:t>:</w:t>
            </w:r>
            <w:r>
              <w:rPr>
                <w:rStyle w:val="IndexLink"/>
                <w:rtl w:val="true"/>
              </w:rPr>
              <w:t>فی وجوبه</w:t>
            </w:r>
            <w:r>
              <w:rPr>
                <w:rStyle w:val="IndexLink"/>
                <w:rtl w:val="true"/>
              </w:rPr>
              <w:tab/>
            </w:r>
            <w:r>
              <w:rPr>
                <w:rStyle w:val="IndexLink"/>
              </w:rPr>
              <w:t>139</w:t>
            </w:r>
          </w:hyperlink>
        </w:p>
        <w:p>
          <w:pPr>
            <w:pStyle w:val="Contents4"/>
            <w:tabs>
              <w:tab w:val="clear" w:pos="8176"/>
              <w:tab w:val="right" w:pos="9026" w:leader="dot"/>
            </w:tabs>
            <w:rPr/>
          </w:pPr>
          <w:hyperlink w:anchor="__RefHeading___Toc4066883_3224264995">
            <w:r>
              <w:rPr>
                <w:webHidden/>
                <w:rStyle w:val="IndexLink"/>
                <w:rtl w:val="true"/>
              </w:rPr>
              <w:t>[</w:t>
            </w:r>
            <w:r>
              <w:rPr>
                <w:rStyle w:val="IndexLink"/>
                <w:rtl w:val="true"/>
              </w:rPr>
              <w:t>النوع</w:t>
            </w:r>
            <w:r>
              <w:rPr>
                <w:rStyle w:val="IndexLink"/>
                <w:rtl w:val="true"/>
              </w:rPr>
              <w:t xml:space="preserve">] </w:t>
            </w:r>
            <w:r>
              <w:rPr>
                <w:rStyle w:val="IndexLink"/>
                <w:rtl w:val="true"/>
              </w:rPr>
              <w:t>الثانی</w:t>
            </w:r>
            <w:r>
              <w:rPr>
                <w:rStyle w:val="IndexLink"/>
                <w:rtl w:val="true"/>
              </w:rPr>
              <w:t>:</w:t>
            </w:r>
            <w:r>
              <w:rPr>
                <w:rStyle w:val="IndexLink"/>
                <w:rtl w:val="true"/>
              </w:rPr>
              <w:t>فی أنواعه و أفعاله و شیء من أحکامه</w:t>
            </w:r>
            <w:r>
              <w:rPr>
                <w:rStyle w:val="IndexLink"/>
                <w:rtl w:val="true"/>
              </w:rPr>
              <w:tab/>
            </w:r>
            <w:r>
              <w:rPr>
                <w:rStyle w:val="IndexLink"/>
              </w:rPr>
              <w:t>141</w:t>
            </w:r>
          </w:hyperlink>
        </w:p>
        <w:p>
          <w:pPr>
            <w:pStyle w:val="Contents4"/>
            <w:tabs>
              <w:tab w:val="clear" w:pos="8176"/>
              <w:tab w:val="right" w:pos="9026" w:leader="dot"/>
            </w:tabs>
            <w:rPr/>
          </w:pPr>
          <w:hyperlink w:anchor="__RefHeading___Toc4066885_3224264995">
            <w:r>
              <w:rPr>
                <w:webHidden/>
                <w:rStyle w:val="IndexLink"/>
                <w:rtl w:val="true"/>
              </w:rPr>
              <w:t>النوع الثالث</w:t>
            </w:r>
            <w:r>
              <w:rPr>
                <w:rStyle w:val="IndexLink"/>
                <w:rtl w:val="true"/>
              </w:rPr>
              <w:t>:</w:t>
            </w:r>
            <w:r>
              <w:rPr>
                <w:rStyle w:val="IndexLink"/>
                <w:rtl w:val="true"/>
              </w:rPr>
              <w:t>فی أشیاء من أحکام الحجّ و توابعه</w:t>
            </w:r>
            <w:r>
              <w:rPr>
                <w:rStyle w:val="IndexLink"/>
                <w:rtl w:val="true"/>
              </w:rPr>
              <w:tab/>
            </w:r>
            <w:r>
              <w:rPr>
                <w:rStyle w:val="IndexLink"/>
              </w:rPr>
              <w:t>165</w:t>
            </w:r>
          </w:hyperlink>
        </w:p>
        <w:p>
          <w:pPr>
            <w:pStyle w:val="Contents3"/>
            <w:tabs>
              <w:tab w:val="clear" w:pos="8459"/>
              <w:tab w:val="right" w:pos="9026" w:leader="dot"/>
            </w:tabs>
            <w:rPr/>
          </w:pPr>
          <w:hyperlink w:anchor="__RefHeading___Toc4066887_3224264995">
            <w:r>
              <w:rPr>
                <w:webHidden/>
                <w:rStyle w:val="IndexLink"/>
                <w:rtl w:val="true"/>
              </w:rPr>
              <w:t>کتاب الجهاد</w:t>
            </w:r>
            <w:r>
              <w:rPr>
                <w:rStyle w:val="IndexLink"/>
                <w:rtl w:val="true"/>
              </w:rPr>
              <w:tab/>
            </w:r>
            <w:r>
              <w:rPr>
                <w:rStyle w:val="IndexLink"/>
              </w:rPr>
              <w:t>168</w:t>
            </w:r>
          </w:hyperlink>
        </w:p>
        <w:p>
          <w:pPr>
            <w:pStyle w:val="Contents4"/>
            <w:tabs>
              <w:tab w:val="clear" w:pos="8176"/>
              <w:tab w:val="right" w:pos="9026" w:leader="dot"/>
            </w:tabs>
            <w:rPr/>
          </w:pPr>
          <w:hyperlink w:anchor="__RefHeading___Toc4066889_3224264995">
            <w:r>
              <w:rPr>
                <w:webHidden/>
                <w:rStyle w:val="IndexLink"/>
                <w:rtl w:val="true"/>
              </w:rPr>
              <w:t>و الآیات</w:t>
            </w:r>
            <w:r>
              <w:rPr>
                <w:rStyle w:val="IndexLink"/>
                <w:rtl w:val="true"/>
              </w:rPr>
              <w:t>:</w:t>
            </w:r>
            <w:r>
              <w:rPr>
                <w:rStyle w:val="IndexLink"/>
                <w:rtl w:val="true"/>
              </w:rPr>
              <w:t>المتعلّقة بها علی أنواع</w:t>
            </w:r>
            <w:r>
              <w:rPr>
                <w:rStyle w:val="IndexLink"/>
                <w:rtl w:val="true"/>
              </w:rPr>
              <w:t>:</w:t>
              <w:tab/>
            </w:r>
            <w:r>
              <w:rPr>
                <w:rStyle w:val="IndexLink"/>
              </w:rPr>
              <w:t>168</w:t>
            </w:r>
          </w:hyperlink>
        </w:p>
        <w:p>
          <w:pPr>
            <w:pStyle w:val="Contents5"/>
            <w:tabs>
              <w:tab w:val="clear" w:pos="7892"/>
              <w:tab w:val="right" w:pos="9026" w:leader="dot"/>
            </w:tabs>
            <w:rPr/>
          </w:pPr>
          <w:hyperlink w:anchor="__RefHeading___Toc4066891_3224264995">
            <w:r>
              <w:rPr>
                <w:webHidden/>
                <w:rStyle w:val="IndexLink"/>
                <w:rtl w:val="true"/>
              </w:rPr>
              <w:t>الأوّل</w:t>
            </w:r>
            <w:r>
              <w:rPr>
                <w:rStyle w:val="IndexLink"/>
                <w:rtl w:val="true"/>
              </w:rPr>
              <w:t>:</w:t>
            </w:r>
            <w:r>
              <w:rPr>
                <w:rStyle w:val="IndexLink"/>
                <w:rtl w:val="true"/>
              </w:rPr>
              <w:t>فی وجوبه</w:t>
            </w:r>
            <w:r>
              <w:rPr>
                <w:rStyle w:val="IndexLink"/>
                <w:rtl w:val="true"/>
              </w:rPr>
              <w:tab/>
            </w:r>
            <w:r>
              <w:rPr>
                <w:rStyle w:val="IndexLink"/>
              </w:rPr>
              <w:t>168</w:t>
            </w:r>
          </w:hyperlink>
        </w:p>
        <w:p>
          <w:pPr>
            <w:pStyle w:val="Contents3"/>
            <w:tabs>
              <w:tab w:val="clear" w:pos="8459"/>
              <w:tab w:val="right" w:pos="9026" w:leader="dot"/>
            </w:tabs>
            <w:rPr/>
          </w:pPr>
          <w:hyperlink w:anchor="__RefHeading___Toc4066893_3224264995">
            <w:r>
              <w:rPr>
                <w:webHidden/>
                <w:rStyle w:val="IndexLink"/>
                <w:rtl w:val="true"/>
              </w:rPr>
              <w:t>کتاب الأمر بالمعروف و النهی عن المنکر</w:t>
            </w:r>
            <w:r>
              <w:rPr>
                <w:rStyle w:val="IndexLink"/>
                <w:rtl w:val="true"/>
              </w:rPr>
              <w:tab/>
            </w:r>
            <w:r>
              <w:rPr>
                <w:rStyle w:val="IndexLink"/>
              </w:rPr>
              <w:t>173</w:t>
            </w:r>
          </w:hyperlink>
        </w:p>
        <w:p>
          <w:pPr>
            <w:pStyle w:val="Contents3"/>
            <w:tabs>
              <w:tab w:val="clear" w:pos="8459"/>
              <w:tab w:val="right" w:pos="9026" w:leader="dot"/>
            </w:tabs>
            <w:rPr/>
          </w:pPr>
          <w:hyperlink w:anchor="__RefHeading___Toc4066895_3224264995">
            <w:r>
              <w:rPr>
                <w:webHidden/>
                <w:rStyle w:val="IndexLink"/>
                <w:rtl w:val="true"/>
              </w:rPr>
              <w:t>کتاب المکاسب</w:t>
            </w:r>
            <w:r>
              <w:rPr>
                <w:rStyle w:val="IndexLink"/>
                <w:rtl w:val="true"/>
              </w:rPr>
              <w:tab/>
            </w:r>
            <w:r>
              <w:rPr>
                <w:rStyle w:val="IndexLink"/>
              </w:rPr>
              <w:t>192</w:t>
            </w:r>
          </w:hyperlink>
        </w:p>
        <w:p>
          <w:pPr>
            <w:pStyle w:val="Contents4"/>
            <w:tabs>
              <w:tab w:val="clear" w:pos="8176"/>
              <w:tab w:val="right" w:pos="9026" w:leader="dot"/>
            </w:tabs>
            <w:rPr/>
          </w:pPr>
          <w:hyperlink w:anchor="__RefHeading___Toc4066897_3224264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066899_3224264995">
            <w:r>
              <w:rPr>
                <w:webHidden/>
                <w:rStyle w:val="IndexLink"/>
                <w:rtl w:val="true"/>
              </w:rPr>
              <w:t>الأوّل</w:t>
            </w:r>
            <w:r>
              <w:rPr>
                <w:rStyle w:val="IndexLink"/>
                <w:rtl w:val="true"/>
              </w:rPr>
              <w:t>:</w:t>
            </w:r>
            <w:r>
              <w:rPr>
                <w:rStyle w:val="IndexLink"/>
                <w:rtl w:val="true"/>
              </w:rPr>
              <w:t>فی البحث عن الإکتساب بقول مطلق</w:t>
            </w:r>
            <w:r>
              <w:rPr>
                <w:rStyle w:val="IndexLink"/>
                <w:rtl w:val="true"/>
              </w:rPr>
              <w:tab/>
            </w:r>
            <w:r>
              <w:rPr>
                <w:rStyle w:val="IndexLink"/>
              </w:rPr>
              <w:t>192</w:t>
            </w:r>
          </w:hyperlink>
        </w:p>
        <w:p>
          <w:pPr>
            <w:pStyle w:val="Contents4"/>
            <w:tabs>
              <w:tab w:val="clear" w:pos="8176"/>
              <w:tab w:val="right" w:pos="9026" w:leader="dot"/>
            </w:tabs>
            <w:rPr/>
          </w:pPr>
          <w:hyperlink w:anchor="__RefHeading___Toc4066901_3224264995">
            <w:r>
              <w:rPr>
                <w:webHidden/>
                <w:rStyle w:val="IndexLink"/>
                <w:rtl w:val="true"/>
              </w:rPr>
              <w:t>الثانی</w:t>
            </w:r>
            <w:r>
              <w:rPr>
                <w:rStyle w:val="IndexLink"/>
                <w:rtl w:val="true"/>
              </w:rPr>
              <w:t>:</w:t>
            </w:r>
            <w:r>
              <w:rPr>
                <w:rStyle w:val="IndexLink"/>
                <w:rtl w:val="true"/>
              </w:rPr>
              <w:t>البحث عن أشیاء یحرم التکسّب بها</w:t>
            </w:r>
            <w:r>
              <w:rPr>
                <w:rStyle w:val="IndexLink"/>
                <w:rtl w:val="true"/>
              </w:rPr>
              <w:tab/>
            </w:r>
            <w:r>
              <w:rPr>
                <w:rStyle w:val="IndexLink"/>
              </w:rPr>
              <w:t>194</w:t>
            </w:r>
          </w:hyperlink>
        </w:p>
        <w:p>
          <w:pPr>
            <w:pStyle w:val="Contents3"/>
            <w:tabs>
              <w:tab w:val="clear" w:pos="8459"/>
              <w:tab w:val="right" w:pos="9026" w:leader="dot"/>
            </w:tabs>
            <w:rPr/>
          </w:pPr>
          <w:hyperlink w:anchor="__RefHeading___Toc4066903_3224264995">
            <w:r>
              <w:rPr>
                <w:webHidden/>
                <w:rStyle w:val="IndexLink"/>
                <w:rtl w:val="true"/>
              </w:rPr>
              <w:t>کتاب البیع</w:t>
            </w:r>
            <w:r>
              <w:rPr>
                <w:rStyle w:val="IndexLink"/>
                <w:rtl w:val="true"/>
              </w:rPr>
              <w:tab/>
            </w:r>
            <w:r>
              <w:rPr>
                <w:rStyle w:val="IndexLink"/>
              </w:rPr>
              <w:t>208</w:t>
            </w:r>
          </w:hyperlink>
        </w:p>
        <w:p>
          <w:pPr>
            <w:pStyle w:val="Contents3"/>
            <w:tabs>
              <w:tab w:val="clear" w:pos="8459"/>
              <w:tab w:val="right" w:pos="9026" w:leader="dot"/>
            </w:tabs>
            <w:rPr/>
          </w:pPr>
          <w:hyperlink w:anchor="__RefHeading___Toc4066905_3224264995">
            <w:r>
              <w:rPr>
                <w:webHidden/>
                <w:rStyle w:val="IndexLink"/>
                <w:rtl w:val="true"/>
              </w:rPr>
              <w:t>کتاب الدین و توابعه</w:t>
            </w:r>
            <w:r>
              <w:rPr>
                <w:rStyle w:val="IndexLink"/>
                <w:rtl w:val="true"/>
              </w:rPr>
              <w:tab/>
            </w:r>
            <w:r>
              <w:rPr>
                <w:rStyle w:val="IndexLink"/>
              </w:rPr>
              <w:t>210</w:t>
            </w:r>
          </w:hyperlink>
        </w:p>
        <w:p>
          <w:pPr>
            <w:pStyle w:val="Contents4"/>
            <w:tabs>
              <w:tab w:val="clear" w:pos="8176"/>
              <w:tab w:val="right" w:pos="9026" w:leader="dot"/>
            </w:tabs>
            <w:rPr/>
          </w:pPr>
          <w:hyperlink w:anchor="__RefHeading___Toc4066907_3224264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066909_3224264995">
            <w:r>
              <w:rPr>
                <w:webHidden/>
                <w:rStyle w:val="IndexLink"/>
                <w:rtl w:val="true"/>
              </w:rPr>
              <w:t>توابع الدین فهی أنواع</w:t>
            </w:r>
            <w:r>
              <w:rPr>
                <w:rStyle w:val="IndexLink"/>
                <w:rtl w:val="true"/>
              </w:rPr>
              <w:t>:</w:t>
              <w:tab/>
            </w:r>
            <w:r>
              <w:rPr>
                <w:rStyle w:val="IndexLink"/>
              </w:rPr>
              <w:t>213</w:t>
            </w:r>
          </w:hyperlink>
        </w:p>
        <w:p>
          <w:pPr>
            <w:pStyle w:val="Contents5"/>
            <w:tabs>
              <w:tab w:val="clear" w:pos="7892"/>
              <w:tab w:val="right" w:pos="9026" w:leader="dot"/>
            </w:tabs>
            <w:rPr/>
          </w:pPr>
          <w:hyperlink w:anchor="__RefHeading___Toc4066911_3224264995">
            <w:r>
              <w:rPr>
                <w:webHidden/>
                <w:rStyle w:val="IndexLink"/>
                <w:rtl w:val="true"/>
              </w:rPr>
              <w:t>الأوّل</w:t>
            </w:r>
            <w:r>
              <w:rPr>
                <w:rStyle w:val="IndexLink"/>
                <w:rtl w:val="true"/>
              </w:rPr>
              <w:t>:</w:t>
            </w:r>
            <w:r>
              <w:rPr>
                <w:rStyle w:val="IndexLink"/>
                <w:rtl w:val="true"/>
              </w:rPr>
              <w:t>الرهن</w:t>
            </w:r>
            <w:r>
              <w:rPr>
                <w:rStyle w:val="IndexLink"/>
                <w:rtl w:val="true"/>
              </w:rPr>
              <w:tab/>
            </w:r>
            <w:r>
              <w:rPr>
                <w:rStyle w:val="IndexLink"/>
              </w:rPr>
              <w:t>213</w:t>
            </w:r>
          </w:hyperlink>
        </w:p>
        <w:p>
          <w:pPr>
            <w:pStyle w:val="Contents5"/>
            <w:tabs>
              <w:tab w:val="clear" w:pos="7892"/>
              <w:tab w:val="right" w:pos="9026" w:leader="dot"/>
            </w:tabs>
            <w:rPr/>
          </w:pPr>
          <w:hyperlink w:anchor="__RefHeading___Toc4066913_3224264995">
            <w:r>
              <w:rPr>
                <w:webHidden/>
                <w:rStyle w:val="IndexLink"/>
                <w:rtl w:val="true"/>
              </w:rPr>
              <w:t>الثالث</w:t>
            </w:r>
            <w:r>
              <w:rPr>
                <w:rStyle w:val="IndexLink"/>
                <w:rtl w:val="true"/>
              </w:rPr>
              <w:t>:</w:t>
            </w:r>
            <w:r>
              <w:rPr>
                <w:rStyle w:val="IndexLink"/>
                <w:rtl w:val="true"/>
              </w:rPr>
              <w:t>الصلح</w:t>
            </w:r>
            <w:r>
              <w:rPr>
                <w:rStyle w:val="IndexLink"/>
                <w:rtl w:val="true"/>
              </w:rPr>
              <w:tab/>
            </w:r>
            <w:r>
              <w:rPr>
                <w:rStyle w:val="IndexLink"/>
              </w:rPr>
              <w:t>215</w:t>
            </w:r>
          </w:hyperlink>
        </w:p>
        <w:p>
          <w:pPr>
            <w:pStyle w:val="Contents3"/>
            <w:tabs>
              <w:tab w:val="clear" w:pos="8459"/>
              <w:tab w:val="right" w:pos="9026" w:leader="dot"/>
            </w:tabs>
            <w:rPr/>
          </w:pPr>
          <w:hyperlink w:anchor="__RefHeading___Toc4066915_3224264995">
            <w:r>
              <w:rPr>
                <w:webHidden/>
                <w:rStyle w:val="IndexLink"/>
                <w:rtl w:val="true"/>
              </w:rPr>
              <w:t>کتاب فیه جملة من العقود</w:t>
            </w:r>
            <w:r>
              <w:rPr>
                <w:rStyle w:val="IndexLink"/>
                <w:rtl w:val="true"/>
              </w:rPr>
              <w:tab/>
            </w:r>
            <w:r>
              <w:rPr>
                <w:rStyle w:val="IndexLink"/>
              </w:rPr>
              <w:t>215</w:t>
            </w:r>
          </w:hyperlink>
        </w:p>
        <w:p>
          <w:pPr>
            <w:pStyle w:val="Contents4"/>
            <w:tabs>
              <w:tab w:val="clear" w:pos="8176"/>
              <w:tab w:val="right" w:pos="9026" w:leader="dot"/>
            </w:tabs>
            <w:rPr/>
          </w:pPr>
          <w:hyperlink w:anchor="__RefHeading___Toc4066917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066919_3224264995">
            <w:r>
              <w:rPr>
                <w:webHidden/>
                <w:rStyle w:val="IndexLink"/>
                <w:rtl w:val="true"/>
              </w:rPr>
              <w:t>أمّا المقدمة ففیها آیة واحدة مشتملة علی أحکام کلیّة</w:t>
            </w:r>
            <w:r>
              <w:rPr>
                <w:rStyle w:val="IndexLink"/>
                <w:rtl w:val="true"/>
              </w:rPr>
              <w:t>:</w:t>
              <w:tab/>
            </w:r>
            <w:r>
              <w:rPr>
                <w:rStyle w:val="IndexLink"/>
              </w:rPr>
              <w:t>215</w:t>
            </w:r>
          </w:hyperlink>
        </w:p>
        <w:p>
          <w:pPr>
            <w:pStyle w:val="Contents4"/>
            <w:tabs>
              <w:tab w:val="clear" w:pos="8176"/>
              <w:tab w:val="right" w:pos="9026" w:leader="dot"/>
            </w:tabs>
            <w:rPr/>
          </w:pPr>
          <w:hyperlink w:anchor="__RefHeading___Toc4066921_3224264995">
            <w:r>
              <w:rPr>
                <w:webHidden/>
                <w:rStyle w:val="IndexLink"/>
                <w:rtl w:val="true"/>
              </w:rPr>
              <w:t>الأوّل</w:t>
            </w:r>
            <w:r>
              <w:rPr>
                <w:rStyle w:val="IndexLink"/>
                <w:rtl w:val="true"/>
              </w:rPr>
              <w:t>:</w:t>
            </w:r>
            <w:r>
              <w:rPr>
                <w:rStyle w:val="IndexLink"/>
                <w:rtl w:val="true"/>
              </w:rPr>
              <w:t>الإجارة</w:t>
            </w:r>
            <w:r>
              <w:rPr>
                <w:rStyle w:val="IndexLink"/>
                <w:rtl w:val="true"/>
              </w:rPr>
              <w:tab/>
            </w:r>
            <w:r>
              <w:rPr>
                <w:rStyle w:val="IndexLink"/>
              </w:rPr>
              <w:t>217</w:t>
            </w:r>
          </w:hyperlink>
        </w:p>
        <w:p>
          <w:pPr>
            <w:pStyle w:val="Contents4"/>
            <w:tabs>
              <w:tab w:val="clear" w:pos="8176"/>
              <w:tab w:val="right" w:pos="9026" w:leader="dot"/>
            </w:tabs>
            <w:rPr/>
          </w:pPr>
          <w:hyperlink w:anchor="__RefHeading___Toc4066923_3224264995">
            <w:r>
              <w:rPr>
                <w:webHidden/>
                <w:rStyle w:val="IndexLink"/>
                <w:rtl w:val="true"/>
              </w:rPr>
              <w:t>الثانی عشر</w:t>
            </w:r>
            <w:r>
              <w:rPr>
                <w:rStyle w:val="IndexLink"/>
                <w:rtl w:val="true"/>
              </w:rPr>
              <w:t>:</w:t>
            </w:r>
            <w:r>
              <w:rPr>
                <w:rStyle w:val="IndexLink"/>
                <w:rtl w:val="true"/>
              </w:rPr>
              <w:t>الوصیّة</w:t>
            </w:r>
            <w:r>
              <w:rPr>
                <w:rStyle w:val="IndexLink"/>
                <w:rtl w:val="true"/>
              </w:rPr>
              <w:tab/>
            </w:r>
            <w:r>
              <w:rPr>
                <w:rStyle w:val="IndexLink"/>
              </w:rPr>
              <w:t>218</w:t>
            </w:r>
          </w:hyperlink>
        </w:p>
        <w:p>
          <w:pPr>
            <w:pStyle w:val="Contents5"/>
            <w:tabs>
              <w:tab w:val="clear" w:pos="7892"/>
              <w:tab w:val="right" w:pos="9026" w:leader="dot"/>
            </w:tabs>
            <w:rPr/>
          </w:pPr>
          <w:hyperlink w:anchor="__RefHeading___Toc4066925_3224264995">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4066927_3224264995">
            <w:r>
              <w:rPr>
                <w:webHidden/>
                <w:rStyle w:val="IndexLink"/>
                <w:rtl w:val="true"/>
              </w:rPr>
              <w:t>البحث عن الیتامی</w:t>
            </w:r>
            <w:r>
              <w:rPr>
                <w:rStyle w:val="IndexLink"/>
                <w:rtl w:val="true"/>
              </w:rPr>
              <w:tab/>
            </w:r>
            <w:r>
              <w:rPr>
                <w:rStyle w:val="IndexLink"/>
              </w:rPr>
              <w:t>219</w:t>
            </w:r>
          </w:hyperlink>
        </w:p>
        <w:p>
          <w:pPr>
            <w:pStyle w:val="Contents5"/>
            <w:tabs>
              <w:tab w:val="clear" w:pos="7892"/>
              <w:tab w:val="right" w:pos="9026" w:leader="dot"/>
            </w:tabs>
            <w:rPr/>
          </w:pPr>
          <w:hyperlink w:anchor="__RefHeading___Toc4066929_3224264995">
            <w:r>
              <w:rPr>
                <w:webHidden/>
                <w:rStyle w:val="IndexLink"/>
                <w:rtl w:val="true"/>
              </w:rPr>
              <w:t>و لنتبع هذا البحث بآیتین</w:t>
            </w:r>
            <w:r>
              <w:rPr>
                <w:rStyle w:val="IndexLink"/>
                <w:rtl w:val="true"/>
              </w:rPr>
              <w:t>:</w:t>
              <w:tab/>
            </w:r>
            <w:r>
              <w:rPr>
                <w:rStyle w:val="IndexLink"/>
              </w:rPr>
              <w:t>221</w:t>
            </w:r>
          </w:hyperlink>
        </w:p>
        <w:p>
          <w:pPr>
            <w:pStyle w:val="Contents4"/>
            <w:tabs>
              <w:tab w:val="clear" w:pos="8176"/>
              <w:tab w:val="right" w:pos="9026" w:leader="dot"/>
            </w:tabs>
            <w:rPr/>
          </w:pPr>
          <w:hyperlink w:anchor="__RefHeading___Toc4066931_3224264995">
            <w:r>
              <w:rPr>
                <w:webHidden/>
                <w:rStyle w:val="IndexLink"/>
                <w:rtl w:val="true"/>
              </w:rPr>
              <w:t>الرابع عشر</w:t>
            </w:r>
            <w:r>
              <w:rPr>
                <w:rStyle w:val="IndexLink"/>
                <w:rtl w:val="true"/>
              </w:rPr>
              <w:t>:</w:t>
            </w:r>
            <w:r>
              <w:rPr>
                <w:rStyle w:val="IndexLink"/>
                <w:rtl w:val="true"/>
              </w:rPr>
              <w:t>النذر و العهد و الیمین</w:t>
            </w:r>
            <w:r>
              <w:rPr>
                <w:rStyle w:val="IndexLink"/>
                <w:rtl w:val="true"/>
              </w:rPr>
              <w:tab/>
            </w:r>
            <w:r>
              <w:rPr>
                <w:rStyle w:val="IndexLink"/>
              </w:rPr>
              <w:t>221</w:t>
            </w:r>
          </w:hyperlink>
        </w:p>
        <w:p>
          <w:pPr>
            <w:pStyle w:val="Contents5"/>
            <w:tabs>
              <w:tab w:val="clear" w:pos="7892"/>
              <w:tab w:val="right" w:pos="9026" w:leader="dot"/>
            </w:tabs>
            <w:rPr/>
          </w:pPr>
          <w:hyperlink w:anchor="__RefHeading___Toc4066933_3224264995">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4066935_3224264995">
            <w:r>
              <w:rPr>
                <w:webHidden/>
                <w:rStyle w:val="IndexLink"/>
                <w:rtl w:val="true"/>
              </w:rPr>
              <w:t>الأوّل</w:t>
            </w:r>
            <w:r>
              <w:rPr>
                <w:rStyle w:val="IndexLink"/>
                <w:rtl w:val="true"/>
              </w:rPr>
              <w:t>:</w:t>
            </w:r>
            <w:r>
              <w:rPr>
                <w:rStyle w:val="IndexLink"/>
                <w:rtl w:val="true"/>
              </w:rPr>
              <w:t>النذر</w:t>
            </w:r>
            <w:r>
              <w:rPr>
                <w:rStyle w:val="IndexLink"/>
                <w:rtl w:val="true"/>
              </w:rPr>
              <w:tab/>
            </w:r>
            <w:r>
              <w:rPr>
                <w:rStyle w:val="IndexLink"/>
              </w:rPr>
              <w:t>221</w:t>
            </w:r>
          </w:hyperlink>
        </w:p>
        <w:p>
          <w:pPr>
            <w:pStyle w:val="Contents5"/>
            <w:tabs>
              <w:tab w:val="clear" w:pos="7892"/>
              <w:tab w:val="right" w:pos="9026" w:leader="dot"/>
            </w:tabs>
            <w:rPr/>
          </w:pPr>
          <w:hyperlink w:anchor="__RefHeading___Toc4066937_3224264995">
            <w:r>
              <w:rPr>
                <w:webHidden/>
                <w:rStyle w:val="IndexLink"/>
                <w:rtl w:val="true"/>
              </w:rPr>
              <w:t>[</w:t>
            </w:r>
            <w:r>
              <w:rPr>
                <w:rStyle w:val="IndexLink"/>
                <w:rtl w:val="true"/>
              </w:rPr>
              <w:t>البحث</w:t>
            </w:r>
            <w:r>
              <w:rPr>
                <w:rStyle w:val="IndexLink"/>
                <w:rtl w:val="true"/>
              </w:rPr>
              <w:t>]</w:t>
            </w:r>
            <w:r>
              <w:rPr>
                <w:rStyle w:val="IndexLink"/>
                <w:rtl w:val="true"/>
              </w:rPr>
              <w:t>الثانی</w:t>
            </w:r>
            <w:r>
              <w:rPr>
                <w:rStyle w:val="IndexLink"/>
                <w:rtl w:val="true"/>
              </w:rPr>
              <w:t>:</w:t>
            </w:r>
            <w:r>
              <w:rPr>
                <w:rStyle w:val="IndexLink"/>
                <w:rtl w:val="true"/>
              </w:rPr>
              <w:t>العهد</w:t>
            </w:r>
            <w:r>
              <w:rPr>
                <w:rStyle w:val="IndexLink"/>
                <w:rtl w:val="true"/>
              </w:rPr>
              <w:tab/>
            </w:r>
            <w:r>
              <w:rPr>
                <w:rStyle w:val="IndexLink"/>
              </w:rPr>
              <w:t>222</w:t>
            </w:r>
          </w:hyperlink>
        </w:p>
        <w:p>
          <w:pPr>
            <w:pStyle w:val="Contents5"/>
            <w:tabs>
              <w:tab w:val="clear" w:pos="7892"/>
              <w:tab w:val="right" w:pos="9026" w:leader="dot"/>
            </w:tabs>
            <w:rPr/>
          </w:pPr>
          <w:hyperlink w:anchor="__RefHeading___Toc4066939_3224264995">
            <w:r>
              <w:rPr>
                <w:webHidden/>
                <w:rStyle w:val="IndexLink"/>
                <w:rtl w:val="true"/>
              </w:rPr>
              <w:t>الثالث</w:t>
            </w:r>
            <w:r>
              <w:rPr>
                <w:rStyle w:val="IndexLink"/>
                <w:rtl w:val="true"/>
              </w:rPr>
              <w:t>:</w:t>
            </w:r>
            <w:r>
              <w:rPr>
                <w:rStyle w:val="IndexLink"/>
                <w:rtl w:val="true"/>
              </w:rPr>
              <w:t>الیمین</w:t>
            </w:r>
            <w:r>
              <w:rPr>
                <w:rStyle w:val="IndexLink"/>
                <w:rtl w:val="true"/>
              </w:rPr>
              <w:tab/>
            </w:r>
            <w:r>
              <w:rPr>
                <w:rStyle w:val="IndexLink"/>
              </w:rPr>
              <w:t>223</w:t>
            </w:r>
          </w:hyperlink>
        </w:p>
        <w:p>
          <w:pPr>
            <w:pStyle w:val="Contents3"/>
            <w:tabs>
              <w:tab w:val="clear" w:pos="8459"/>
              <w:tab w:val="right" w:pos="9026" w:leader="dot"/>
            </w:tabs>
            <w:rPr/>
          </w:pPr>
          <w:hyperlink w:anchor="__RefHeading___Toc4066941_3224264995">
            <w:r>
              <w:rPr>
                <w:webHidden/>
                <w:rStyle w:val="IndexLink"/>
                <w:rtl w:val="true"/>
              </w:rPr>
              <w:t>کتاب النکاح</w:t>
            </w:r>
            <w:r>
              <w:rPr>
                <w:rStyle w:val="IndexLink"/>
                <w:rtl w:val="true"/>
              </w:rPr>
              <w:tab/>
            </w:r>
            <w:r>
              <w:rPr>
                <w:rStyle w:val="IndexLink"/>
              </w:rPr>
              <w:t>224</w:t>
            </w:r>
          </w:hyperlink>
        </w:p>
        <w:p>
          <w:pPr>
            <w:pStyle w:val="Contents4"/>
            <w:tabs>
              <w:tab w:val="clear" w:pos="8176"/>
              <w:tab w:val="right" w:pos="9026" w:leader="dot"/>
            </w:tabs>
            <w:rPr/>
          </w:pPr>
          <w:hyperlink w:anchor="__RefHeading___Toc4066943_322426499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066945_3224264995">
            <w:r>
              <w:rPr>
                <w:webHidden/>
                <w:rStyle w:val="IndexLink"/>
                <w:rtl w:val="true"/>
              </w:rPr>
              <w:t>الأوّل</w:t>
            </w:r>
            <w:r>
              <w:rPr>
                <w:rStyle w:val="IndexLink"/>
                <w:rtl w:val="true"/>
              </w:rPr>
              <w:t>:</w:t>
            </w:r>
            <w:r>
              <w:rPr>
                <w:rStyle w:val="IndexLink"/>
                <w:rtl w:val="true"/>
              </w:rPr>
              <w:t>فی شرعیّته و أقسامه و غیر ذلک</w:t>
            </w:r>
            <w:r>
              <w:rPr>
                <w:rStyle w:val="IndexLink"/>
                <w:rtl w:val="true"/>
              </w:rPr>
              <w:t>:</w:t>
              <w:tab/>
            </w:r>
            <w:r>
              <w:rPr>
                <w:rStyle w:val="IndexLink"/>
              </w:rPr>
              <w:t>224</w:t>
            </w:r>
          </w:hyperlink>
        </w:p>
        <w:p>
          <w:pPr>
            <w:pStyle w:val="Contents4"/>
            <w:tabs>
              <w:tab w:val="clear" w:pos="8176"/>
              <w:tab w:val="right" w:pos="9026" w:leader="dot"/>
            </w:tabs>
            <w:rPr/>
          </w:pPr>
          <w:hyperlink w:anchor="__RefHeading___Toc4066947_3224264995">
            <w:r>
              <w:rPr>
                <w:webHidden/>
                <w:rStyle w:val="IndexLink"/>
                <w:rtl w:val="true"/>
              </w:rPr>
              <w:t>«</w:t>
            </w:r>
            <w:r>
              <w:rPr>
                <w:rStyle w:val="IndexLink"/>
                <w:rtl w:val="true"/>
              </w:rPr>
              <w:t>النوع الثانی</w:t>
            </w:r>
            <w:r>
              <w:rPr>
                <w:rStyle w:val="IndexLink"/>
                <w:rtl w:val="true"/>
              </w:rPr>
              <w:t>:</w:t>
            </w:r>
            <w:r>
              <w:rPr>
                <w:rStyle w:val="IndexLink"/>
                <w:rtl w:val="true"/>
              </w:rPr>
              <w:t>فی المحرّمات</w:t>
            </w:r>
            <w:r>
              <w:rPr>
                <w:rStyle w:val="IndexLink"/>
                <w:rtl w:val="true"/>
              </w:rPr>
              <w:tab/>
            </w:r>
            <w:r>
              <w:rPr>
                <w:rStyle w:val="IndexLink"/>
              </w:rPr>
              <w:t>235</w:t>
            </w:r>
          </w:hyperlink>
        </w:p>
        <w:p>
          <w:pPr>
            <w:pStyle w:val="Contents4"/>
            <w:tabs>
              <w:tab w:val="clear" w:pos="8176"/>
              <w:tab w:val="right" w:pos="9026" w:leader="dot"/>
            </w:tabs>
            <w:rPr/>
          </w:pPr>
          <w:hyperlink w:anchor="__RefHeading___Toc4066949_3224264995">
            <w:r>
              <w:rPr>
                <w:webHidden/>
                <w:rStyle w:val="IndexLink"/>
                <w:rtl w:val="true"/>
              </w:rPr>
              <w:t>النوع الثالث</w:t>
            </w:r>
            <w:r>
              <w:rPr>
                <w:rStyle w:val="IndexLink"/>
                <w:rtl w:val="true"/>
              </w:rPr>
              <w:t>:</w:t>
            </w:r>
            <w:r>
              <w:rPr>
                <w:rStyle w:val="IndexLink"/>
                <w:rtl w:val="true"/>
              </w:rPr>
              <w:t>فی لوازم النکاح</w:t>
            </w:r>
            <w:r>
              <w:rPr>
                <w:rStyle w:val="IndexLink"/>
                <w:rtl w:val="true"/>
              </w:rPr>
              <w:tab/>
            </w:r>
            <w:r>
              <w:rPr>
                <w:rStyle w:val="IndexLink"/>
              </w:rPr>
              <w:t>238</w:t>
            </w:r>
          </w:hyperlink>
        </w:p>
        <w:p>
          <w:pPr>
            <w:pStyle w:val="Contents4"/>
            <w:tabs>
              <w:tab w:val="clear" w:pos="8176"/>
              <w:tab w:val="right" w:pos="9026" w:leader="dot"/>
            </w:tabs>
            <w:rPr/>
          </w:pPr>
          <w:hyperlink w:anchor="__RefHeading___Toc4066951_3224264995">
            <w:r>
              <w:rPr>
                <w:webHidden/>
                <w:rStyle w:val="IndexLink"/>
                <w:rtl w:val="true"/>
              </w:rPr>
              <w:t>النوع الرابع</w:t>
            </w:r>
            <w:r>
              <w:rPr>
                <w:rStyle w:val="IndexLink"/>
                <w:rtl w:val="true"/>
              </w:rPr>
              <w:t>:</w:t>
            </w:r>
            <w:r>
              <w:rPr>
                <w:rStyle w:val="IndexLink"/>
                <w:rtl w:val="true"/>
              </w:rPr>
              <w:t>فی أشیاء من توابع النکاح</w:t>
            </w:r>
            <w:r>
              <w:rPr>
                <w:rStyle w:val="IndexLink"/>
                <w:rtl w:val="true"/>
              </w:rPr>
              <w:tab/>
            </w:r>
            <w:r>
              <w:rPr>
                <w:rStyle w:val="IndexLink"/>
              </w:rPr>
              <w:t>241</w:t>
            </w:r>
          </w:hyperlink>
        </w:p>
        <w:p>
          <w:pPr>
            <w:pStyle w:val="Contents4"/>
            <w:tabs>
              <w:tab w:val="clear" w:pos="8176"/>
              <w:tab w:val="right" w:pos="9026" w:leader="dot"/>
            </w:tabs>
            <w:rPr/>
          </w:pPr>
          <w:hyperlink w:anchor="__RefHeading___Toc4066953_3224264995">
            <w:r>
              <w:rPr>
                <w:webHidden/>
                <w:rStyle w:val="IndexLink"/>
                <w:rtl w:val="true"/>
              </w:rPr>
              <w:t>النّوع الخامس</w:t>
            </w:r>
            <w:r>
              <w:rPr>
                <w:rStyle w:val="IndexLink"/>
                <w:rtl w:val="true"/>
              </w:rPr>
              <w:t>:</w:t>
            </w:r>
            <w:r>
              <w:rPr>
                <w:rStyle w:val="IndexLink"/>
                <w:rtl w:val="true"/>
              </w:rPr>
              <w:t>فی روافع النکاح</w:t>
            </w:r>
            <w:r>
              <w:rPr>
                <w:rStyle w:val="IndexLink"/>
                <w:rtl w:val="true"/>
              </w:rPr>
              <w:tab/>
            </w:r>
            <w:r>
              <w:rPr>
                <w:rStyle w:val="IndexLink"/>
              </w:rPr>
              <w:t>251</w:t>
            </w:r>
          </w:hyperlink>
        </w:p>
        <w:p>
          <w:pPr>
            <w:pStyle w:val="Contents5"/>
            <w:tabs>
              <w:tab w:val="clear" w:pos="7892"/>
              <w:tab w:val="right" w:pos="9026" w:leader="dot"/>
            </w:tabs>
            <w:rPr/>
          </w:pPr>
          <w:hyperlink w:anchor="__RefHeading___Toc4066955_3224264995">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4066957_3224264995">
            <w:r>
              <w:rPr>
                <w:webHidden/>
                <w:rStyle w:val="IndexLink"/>
                <w:rtl w:val="true"/>
              </w:rPr>
              <w:t>الأوّل</w:t>
            </w:r>
            <w:r>
              <w:rPr>
                <w:rStyle w:val="IndexLink"/>
                <w:rtl w:val="true"/>
              </w:rPr>
              <w:t>:</w:t>
            </w:r>
            <w:r>
              <w:rPr>
                <w:rStyle w:val="IndexLink"/>
                <w:rtl w:val="true"/>
              </w:rPr>
              <w:t>الطلاق</w:t>
            </w:r>
            <w:r>
              <w:rPr>
                <w:rStyle w:val="IndexLink"/>
                <w:rtl w:val="true"/>
              </w:rPr>
              <w:tab/>
            </w:r>
            <w:r>
              <w:rPr>
                <w:rStyle w:val="IndexLink"/>
              </w:rPr>
              <w:t>251</w:t>
            </w:r>
          </w:hyperlink>
        </w:p>
        <w:p>
          <w:pPr>
            <w:pStyle w:val="Contents5"/>
            <w:tabs>
              <w:tab w:val="clear" w:pos="7892"/>
              <w:tab w:val="right" w:pos="9026" w:leader="dot"/>
            </w:tabs>
            <w:rPr/>
          </w:pPr>
          <w:hyperlink w:anchor="__RefHeading___Toc4066959_3224264995">
            <w:r>
              <w:rPr>
                <w:webHidden/>
                <w:rStyle w:val="IndexLink"/>
                <w:rtl w:val="true"/>
              </w:rPr>
              <w:t xml:space="preserve">الثانی </w:t>
            </w:r>
            <w:r>
              <w:rPr>
                <w:rStyle w:val="IndexLink"/>
                <w:rtl w:val="true"/>
              </w:rPr>
              <w:t>[</w:t>
            </w:r>
            <w:r>
              <w:rPr>
                <w:rStyle w:val="IndexLink"/>
                <w:rtl w:val="true"/>
              </w:rPr>
              <w:t>و الثالث</w:t>
            </w:r>
            <w:r>
              <w:rPr>
                <w:rStyle w:val="IndexLink"/>
                <w:rtl w:val="true"/>
              </w:rPr>
              <w:t>] :</w:t>
            </w:r>
            <w:r>
              <w:rPr>
                <w:rStyle w:val="IndexLink"/>
                <w:rtl w:val="true"/>
              </w:rPr>
              <w:t>الخلع و المباراة</w:t>
            </w:r>
            <w:r>
              <w:rPr>
                <w:rStyle w:val="IndexLink"/>
                <w:rtl w:val="true"/>
              </w:rPr>
              <w:tab/>
            </w:r>
            <w:r>
              <w:rPr>
                <w:rStyle w:val="IndexLink"/>
              </w:rPr>
              <w:t>255</w:t>
            </w:r>
          </w:hyperlink>
        </w:p>
        <w:p>
          <w:pPr>
            <w:pStyle w:val="Contents5"/>
            <w:tabs>
              <w:tab w:val="clear" w:pos="7892"/>
              <w:tab w:val="right" w:pos="9026" w:leader="dot"/>
            </w:tabs>
            <w:rPr/>
          </w:pPr>
          <w:hyperlink w:anchor="__RefHeading___Toc4066961_3224264995">
            <w:r>
              <w:rPr>
                <w:webHidden/>
                <w:rStyle w:val="IndexLink"/>
                <w:rtl w:val="true"/>
              </w:rPr>
              <w:t>الرابع</w:t>
            </w:r>
            <w:r>
              <w:rPr>
                <w:rStyle w:val="IndexLink"/>
                <w:rtl w:val="true"/>
              </w:rPr>
              <w:t>:</w:t>
            </w:r>
            <w:r>
              <w:rPr>
                <w:rStyle w:val="IndexLink"/>
                <w:rtl w:val="true"/>
              </w:rPr>
              <w:t>الإیلاء</w:t>
            </w:r>
            <w:r>
              <w:rPr>
                <w:rStyle w:val="IndexLink"/>
                <w:rtl w:val="true"/>
              </w:rPr>
              <w:tab/>
            </w:r>
            <w:r>
              <w:rPr>
                <w:rStyle w:val="IndexLink"/>
              </w:rPr>
              <w:t>255</w:t>
            </w:r>
          </w:hyperlink>
        </w:p>
        <w:p>
          <w:pPr>
            <w:pStyle w:val="Contents3"/>
            <w:tabs>
              <w:tab w:val="clear" w:pos="8459"/>
              <w:tab w:val="right" w:pos="9026" w:leader="dot"/>
            </w:tabs>
            <w:rPr/>
          </w:pPr>
          <w:hyperlink w:anchor="__RefHeading___Toc4066963_3224264995">
            <w:r>
              <w:rPr>
                <w:webHidden/>
                <w:rStyle w:val="IndexLink"/>
                <w:rtl w:val="true"/>
              </w:rPr>
              <w:t>کتاب المواریث</w:t>
            </w:r>
            <w:r>
              <w:rPr>
                <w:rStyle w:val="IndexLink"/>
                <w:rtl w:val="true"/>
              </w:rPr>
              <w:tab/>
            </w:r>
            <w:r>
              <w:rPr>
                <w:rStyle w:val="IndexLink"/>
              </w:rPr>
              <w:t>262</w:t>
            </w:r>
          </w:hyperlink>
        </w:p>
        <w:p>
          <w:pPr>
            <w:pStyle w:val="Contents3"/>
            <w:tabs>
              <w:tab w:val="clear" w:pos="8459"/>
              <w:tab w:val="right" w:pos="9026" w:leader="dot"/>
            </w:tabs>
            <w:rPr/>
          </w:pPr>
          <w:hyperlink w:anchor="__RefHeading___Toc4066965_3224264995">
            <w:r>
              <w:rPr>
                <w:webHidden/>
                <w:rStyle w:val="IndexLink"/>
                <w:rtl w:val="true"/>
              </w:rPr>
              <w:t>کتاب الحدود</w:t>
            </w:r>
            <w:r>
              <w:rPr>
                <w:rStyle w:val="IndexLink"/>
                <w:rtl w:val="true"/>
              </w:rPr>
              <w:tab/>
            </w:r>
            <w:r>
              <w:rPr>
                <w:rStyle w:val="IndexLink"/>
              </w:rPr>
              <w:t>265</w:t>
            </w:r>
          </w:hyperlink>
        </w:p>
        <w:p>
          <w:pPr>
            <w:pStyle w:val="Contents4"/>
            <w:tabs>
              <w:tab w:val="clear" w:pos="8176"/>
              <w:tab w:val="right" w:pos="9026" w:leader="dot"/>
            </w:tabs>
            <w:rPr/>
          </w:pPr>
          <w:hyperlink w:anchor="__RefHeading___Toc4066967_3224264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4066969_3224264995">
            <w:r>
              <w:rPr>
                <w:webHidden/>
                <w:rStyle w:val="IndexLink"/>
                <w:rtl w:val="true"/>
              </w:rPr>
              <w:t>الثانی</w:t>
            </w:r>
            <w:r>
              <w:rPr>
                <w:rStyle w:val="IndexLink"/>
                <w:rtl w:val="true"/>
              </w:rPr>
              <w:t>:</w:t>
            </w:r>
            <w:r>
              <w:rPr>
                <w:rStyle w:val="IndexLink"/>
                <w:rtl w:val="true"/>
              </w:rPr>
              <w:t>حدّ القذف</w:t>
            </w:r>
            <w:r>
              <w:rPr>
                <w:rStyle w:val="IndexLink"/>
                <w:rtl w:val="true"/>
              </w:rPr>
              <w:tab/>
            </w:r>
            <w:r>
              <w:rPr>
                <w:rStyle w:val="IndexLink"/>
              </w:rPr>
              <w:t>265</w:t>
            </w:r>
          </w:hyperlink>
        </w:p>
        <w:p>
          <w:pPr>
            <w:pStyle w:val="Contents4"/>
            <w:tabs>
              <w:tab w:val="clear" w:pos="8176"/>
              <w:tab w:val="right" w:pos="9026" w:leader="dot"/>
            </w:tabs>
            <w:rPr/>
          </w:pPr>
          <w:hyperlink w:anchor="__RefHeading___Toc4066971_3224264995">
            <w:r>
              <w:rPr>
                <w:webHidden/>
                <w:rStyle w:val="IndexLink"/>
                <w:rtl w:val="true"/>
              </w:rPr>
              <w:t>الثالث</w:t>
            </w:r>
            <w:r>
              <w:rPr>
                <w:rStyle w:val="IndexLink"/>
                <w:rtl w:val="true"/>
              </w:rPr>
              <w:t>:</w:t>
            </w:r>
            <w:r>
              <w:rPr>
                <w:rStyle w:val="IndexLink"/>
                <w:rtl w:val="true"/>
              </w:rPr>
              <w:t>حدّ السارق</w:t>
            </w:r>
            <w:r>
              <w:rPr>
                <w:rStyle w:val="IndexLink"/>
                <w:rtl w:val="true"/>
              </w:rPr>
              <w:tab/>
            </w:r>
            <w:r>
              <w:rPr>
                <w:rStyle w:val="IndexLink"/>
              </w:rPr>
              <w:t>266</w:t>
            </w:r>
          </w:hyperlink>
        </w:p>
        <w:p>
          <w:pPr>
            <w:pStyle w:val="Contents3"/>
            <w:tabs>
              <w:tab w:val="clear" w:pos="8459"/>
              <w:tab w:val="right" w:pos="9026" w:leader="dot"/>
            </w:tabs>
            <w:rPr/>
          </w:pPr>
          <w:hyperlink w:anchor="__RefHeading___Toc4066973_3224264995">
            <w:r>
              <w:rPr>
                <w:webHidden/>
                <w:rStyle w:val="IndexLink"/>
                <w:rtl w:val="true"/>
              </w:rPr>
              <w:t>کتاب القضاء و الشهادات</w:t>
            </w:r>
            <w:r>
              <w:rPr>
                <w:rStyle w:val="IndexLink"/>
                <w:rtl w:val="true"/>
              </w:rPr>
              <w:tab/>
            </w:r>
            <w:r>
              <w:rPr>
                <w:rStyle w:val="IndexLink"/>
              </w:rPr>
              <w:t>266</w:t>
            </w:r>
          </w:hyperlink>
        </w:p>
        <w:p>
          <w:pPr>
            <w:pStyle w:val="Contents3"/>
            <w:tabs>
              <w:tab w:val="clear" w:pos="8459"/>
              <w:tab w:val="right" w:pos="9026" w:leader="dot"/>
            </w:tabs>
            <w:rPr/>
          </w:pPr>
          <w:hyperlink w:anchor="__RefHeading___Toc4066975_3224264995">
            <w:r>
              <w:rPr>
                <w:webHidden/>
                <w:rStyle w:val="IndexLink"/>
                <w:rtl w:val="true"/>
              </w:rPr>
              <w:t>فهرس مصادر التحقیق</w:t>
            </w:r>
            <w:r>
              <w:rPr>
                <w:rStyle w:val="IndexLink"/>
                <w:rtl w:val="true"/>
              </w:rPr>
              <w:tab/>
            </w:r>
            <w:r>
              <w:rPr>
                <w:rStyle w:val="IndexLink"/>
              </w:rPr>
              <w:t>270</w:t>
            </w:r>
          </w:hyperlink>
        </w:p>
        <w:p>
          <w:pPr>
            <w:pStyle w:val="Contents4"/>
            <w:tabs>
              <w:tab w:val="clear" w:pos="8176"/>
              <w:tab w:val="right" w:pos="9026" w:leader="dot"/>
            </w:tabs>
            <w:rPr/>
          </w:pPr>
          <w:hyperlink w:anchor="__RefHeading___Toc4066977_3224264995">
            <w:r>
              <w:rPr>
                <w:webHidden/>
                <w:rStyle w:val="IndexLink"/>
                <w:rtl w:val="true"/>
              </w:rPr>
              <w:t>المصادر العربیّة</w:t>
            </w:r>
            <w:r>
              <w:rPr>
                <w:rStyle w:val="IndexLink"/>
                <w:rtl w:val="true"/>
              </w:rPr>
              <w:tab/>
            </w:r>
            <w:r>
              <w:rPr>
                <w:rStyle w:val="IndexLink"/>
              </w:rPr>
              <w:t>270</w:t>
            </w:r>
          </w:hyperlink>
        </w:p>
        <w:p>
          <w:pPr>
            <w:pStyle w:val="Contents4"/>
            <w:tabs>
              <w:tab w:val="clear" w:pos="8176"/>
              <w:tab w:val="right" w:pos="9026" w:leader="dot"/>
            </w:tabs>
            <w:rPr/>
          </w:pPr>
          <w:hyperlink w:anchor="__RefHeading___Toc4066979_3224264995">
            <w:r>
              <w:rPr>
                <w:webHidden/>
                <w:rStyle w:val="IndexLink"/>
                <w:rtl w:val="true"/>
              </w:rPr>
              <w:t>المصادر الفارسیّة</w:t>
            </w:r>
            <w:r>
              <w:rPr>
                <w:rStyle w:val="IndexLink"/>
                <w:rtl w:val="true"/>
              </w:rPr>
              <w:tab/>
            </w:r>
            <w:r>
              <w:rPr>
                <w:rStyle w:val="IndexLink"/>
              </w:rPr>
              <w:t>274</w:t>
            </w:r>
          </w:hyperlink>
        </w:p>
        <w:p>
          <w:pPr>
            <w:pStyle w:val="Contents2"/>
            <w:tabs>
              <w:tab w:val="clear" w:pos="8743"/>
              <w:tab w:val="right" w:pos="9026" w:leader="dot"/>
            </w:tabs>
            <w:rPr/>
          </w:pPr>
          <w:hyperlink w:anchor="__RefHeading___Toc4066981_3224264995">
            <w:r>
              <w:rPr>
                <w:webHidden/>
                <w:rStyle w:val="IndexLink"/>
                <w:rtl w:val="true"/>
              </w:rPr>
              <w:t>هدایة الضّبط فی علم الخطّ</w:t>
            </w:r>
            <w:r>
              <w:rPr>
                <w:rStyle w:val="IndexLink"/>
                <w:rtl w:val="true"/>
              </w:rPr>
              <w:tab/>
            </w:r>
            <w:r>
              <w:rPr>
                <w:rStyle w:val="IndexLink"/>
              </w:rPr>
              <w:t>276</w:t>
            </w:r>
          </w:hyperlink>
        </w:p>
        <w:p>
          <w:pPr>
            <w:pStyle w:val="Contents3"/>
            <w:tabs>
              <w:tab w:val="clear" w:pos="8459"/>
              <w:tab w:val="right" w:pos="9026" w:leader="dot"/>
            </w:tabs>
            <w:rPr/>
          </w:pPr>
          <w:hyperlink w:anchor="__RefHeading___Toc4066983_3224264995">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4066985_3224264995">
            <w:r>
              <w:rPr>
                <w:webHidden/>
                <w:rStyle w:val="IndexLink"/>
                <w:rtl w:val="true"/>
              </w:rPr>
              <w:t>المقدّمة</w:t>
            </w:r>
            <w:r>
              <w:rPr>
                <w:rStyle w:val="IndexLink"/>
                <w:rtl w:val="true"/>
              </w:rPr>
              <w:tab/>
            </w:r>
            <w:r>
              <w:rPr>
                <w:rStyle w:val="IndexLink"/>
              </w:rPr>
              <w:t>276</w:t>
            </w:r>
          </w:hyperlink>
        </w:p>
        <w:p>
          <w:pPr>
            <w:pStyle w:val="Contents4"/>
            <w:tabs>
              <w:tab w:val="clear" w:pos="8176"/>
              <w:tab w:val="right" w:pos="9026" w:leader="dot"/>
            </w:tabs>
            <w:rPr/>
          </w:pPr>
          <w:hyperlink w:anchor="__RefHeading___Toc4066987_3224264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4066989_3224264995">
            <w:r>
              <w:rPr>
                <w:webHidden/>
                <w:rStyle w:val="IndexLink"/>
                <w:rtl w:val="true"/>
              </w:rPr>
              <w:t>الفقرة الأولی</w:t>
            </w:r>
            <w:r>
              <w:rPr>
                <w:rStyle w:val="IndexLink"/>
                <w:rtl w:val="true"/>
              </w:rPr>
              <w:t>:</w:t>
              <w:tab/>
            </w:r>
            <w:r>
              <w:rPr>
                <w:rStyle w:val="IndexLink"/>
              </w:rPr>
              <w:t>277</w:t>
            </w:r>
          </w:hyperlink>
        </w:p>
        <w:p>
          <w:pPr>
            <w:pStyle w:val="Contents5"/>
            <w:tabs>
              <w:tab w:val="clear" w:pos="7892"/>
              <w:tab w:val="right" w:pos="9026" w:leader="dot"/>
            </w:tabs>
            <w:rPr/>
          </w:pPr>
          <w:hyperlink w:anchor="__RefHeading___Toc4066991_3224264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4066993_3224264995">
            <w:r>
              <w:rPr>
                <w:webHidden/>
                <w:rStyle w:val="IndexLink"/>
                <w:rtl w:val="true"/>
              </w:rPr>
              <w:t xml:space="preserve">اسمه و لقبه الشریف </w:t>
            </w:r>
            <w:r>
              <w:rPr>
                <w:rStyle w:val="IndexLink"/>
                <w:rtl w:val="true"/>
              </w:rPr>
              <w:t>:</w:t>
              <w:tab/>
            </w:r>
            <w:r>
              <w:rPr>
                <w:rStyle w:val="IndexLink"/>
              </w:rPr>
              <w:t>277</w:t>
            </w:r>
          </w:hyperlink>
        </w:p>
        <w:p>
          <w:pPr>
            <w:pStyle w:val="Contents5"/>
            <w:tabs>
              <w:tab w:val="clear" w:pos="7892"/>
              <w:tab w:val="right" w:pos="9026" w:leader="dot"/>
            </w:tabs>
            <w:rPr/>
          </w:pPr>
          <w:hyperlink w:anchor="__RefHeading___Toc4066995_3224264995">
            <w:r>
              <w:rPr>
                <w:webHidden/>
                <w:rStyle w:val="IndexLink"/>
                <w:rtl w:val="true"/>
              </w:rPr>
              <w:t>مولده و نشأته</w:t>
            </w:r>
            <w:r>
              <w:rPr>
                <w:rStyle w:val="IndexLink"/>
                <w:rtl w:val="true"/>
              </w:rPr>
              <w:t>:</w:t>
              <w:tab/>
            </w:r>
            <w:r>
              <w:rPr>
                <w:rStyle w:val="IndexLink"/>
              </w:rPr>
              <w:t>278</w:t>
            </w:r>
          </w:hyperlink>
        </w:p>
        <w:p>
          <w:pPr>
            <w:pStyle w:val="Contents5"/>
            <w:tabs>
              <w:tab w:val="clear" w:pos="7892"/>
              <w:tab w:val="right" w:pos="9026" w:leader="dot"/>
            </w:tabs>
            <w:rPr/>
          </w:pPr>
          <w:hyperlink w:anchor="__RefHeading___Toc4066997_3224264995">
            <w:r>
              <w:rPr>
                <w:webHidden/>
                <w:rStyle w:val="IndexLink"/>
                <w:rtl w:val="true"/>
              </w:rPr>
              <w:t>حیاته العلمیة</w:t>
            </w:r>
            <w:r>
              <w:rPr>
                <w:rStyle w:val="IndexLink"/>
                <w:rtl w:val="true"/>
              </w:rPr>
              <w:t>:</w:t>
              <w:tab/>
            </w:r>
            <w:r>
              <w:rPr>
                <w:rStyle w:val="IndexLink"/>
              </w:rPr>
              <w:t>279</w:t>
            </w:r>
          </w:hyperlink>
        </w:p>
        <w:p>
          <w:pPr>
            <w:pStyle w:val="Contents5"/>
            <w:tabs>
              <w:tab w:val="clear" w:pos="7892"/>
              <w:tab w:val="right" w:pos="9026" w:leader="dot"/>
            </w:tabs>
            <w:rPr/>
          </w:pPr>
          <w:hyperlink w:anchor="__RefHeading___Toc4066999_3224264995">
            <w:r>
              <w:rPr>
                <w:webHidden/>
                <w:rStyle w:val="IndexLink"/>
                <w:rtl w:val="true"/>
              </w:rPr>
              <w:t>أخلاقه و أوصافه</w:t>
            </w:r>
            <w:r>
              <w:rPr>
                <w:rStyle w:val="IndexLink"/>
                <w:rtl w:val="true"/>
              </w:rPr>
              <w:t>:</w:t>
              <w:tab/>
            </w:r>
            <w:r>
              <w:rPr>
                <w:rStyle w:val="IndexLink"/>
              </w:rPr>
              <w:t>279</w:t>
            </w:r>
          </w:hyperlink>
        </w:p>
        <w:p>
          <w:pPr>
            <w:pStyle w:val="Contents5"/>
            <w:tabs>
              <w:tab w:val="clear" w:pos="7892"/>
              <w:tab w:val="right" w:pos="9026" w:leader="dot"/>
            </w:tabs>
            <w:rPr/>
          </w:pPr>
          <w:hyperlink w:anchor="__RefHeading___Toc4067001_3224264995">
            <w:r>
              <w:rPr>
                <w:webHidden/>
                <w:rStyle w:val="IndexLink"/>
                <w:rtl w:val="true"/>
              </w:rPr>
              <w:t>شیوخه</w:t>
            </w:r>
            <w:r>
              <w:rPr>
                <w:rStyle w:val="IndexLink"/>
                <w:rtl w:val="true"/>
              </w:rPr>
              <w:t>:</w:t>
              <w:tab/>
            </w:r>
            <w:r>
              <w:rPr>
                <w:rStyle w:val="IndexLink"/>
              </w:rPr>
              <w:t>279</w:t>
            </w:r>
          </w:hyperlink>
        </w:p>
        <w:p>
          <w:pPr>
            <w:pStyle w:val="Contents5"/>
            <w:tabs>
              <w:tab w:val="clear" w:pos="7892"/>
              <w:tab w:val="right" w:pos="9026" w:leader="dot"/>
            </w:tabs>
            <w:rPr/>
          </w:pPr>
          <w:hyperlink w:anchor="__RefHeading___Toc4067003_3224264995">
            <w:r>
              <w:rPr>
                <w:webHidden/>
                <w:rStyle w:val="IndexLink"/>
                <w:rtl w:val="true"/>
              </w:rPr>
              <w:t>أقوال العلماء فیه</w:t>
            </w:r>
            <w:r>
              <w:rPr>
                <w:rStyle w:val="IndexLink"/>
                <w:rtl w:val="true"/>
              </w:rPr>
              <w:t>:</w:t>
              <w:tab/>
            </w:r>
            <w:r>
              <w:rPr>
                <w:rStyle w:val="IndexLink"/>
              </w:rPr>
              <w:t>281</w:t>
            </w:r>
          </w:hyperlink>
        </w:p>
        <w:p>
          <w:pPr>
            <w:pStyle w:val="Contents5"/>
            <w:tabs>
              <w:tab w:val="clear" w:pos="7892"/>
              <w:tab w:val="right" w:pos="9026" w:leader="dot"/>
            </w:tabs>
            <w:rPr/>
          </w:pPr>
          <w:hyperlink w:anchor="__RefHeading___Toc4067005_3224264995">
            <w:r>
              <w:rPr>
                <w:webHidden/>
                <w:rStyle w:val="IndexLink"/>
                <w:rtl w:val="true"/>
              </w:rPr>
              <w:t>آثاره</w:t>
            </w:r>
            <w:r>
              <w:rPr>
                <w:rStyle w:val="IndexLink"/>
                <w:rtl w:val="true"/>
              </w:rPr>
              <w:t>:</w:t>
              <w:tab/>
            </w:r>
            <w:r>
              <w:rPr>
                <w:rStyle w:val="IndexLink"/>
              </w:rPr>
              <w:t>281</w:t>
            </w:r>
          </w:hyperlink>
        </w:p>
        <w:p>
          <w:pPr>
            <w:pStyle w:val="Contents4"/>
            <w:tabs>
              <w:tab w:val="clear" w:pos="8176"/>
              <w:tab w:val="right" w:pos="9026" w:leader="dot"/>
            </w:tabs>
            <w:rPr/>
          </w:pPr>
          <w:hyperlink w:anchor="__RefHeading___Toc4067007_3224264995">
            <w:r>
              <w:rPr>
                <w:webHidden/>
                <w:rStyle w:val="IndexLink"/>
                <w:rtl w:val="true"/>
              </w:rPr>
              <w:t>الفقرة الثانیة</w:t>
            </w:r>
            <w:r>
              <w:rPr>
                <w:rStyle w:val="IndexLink"/>
                <w:rtl w:val="true"/>
              </w:rPr>
              <w:t>:</w:t>
              <w:tab/>
            </w:r>
            <w:r>
              <w:rPr>
                <w:rStyle w:val="IndexLink"/>
              </w:rPr>
              <w:t>284</w:t>
            </w:r>
          </w:hyperlink>
        </w:p>
        <w:p>
          <w:pPr>
            <w:pStyle w:val="Contents5"/>
            <w:tabs>
              <w:tab w:val="clear" w:pos="7892"/>
              <w:tab w:val="right" w:pos="9026" w:leader="dot"/>
            </w:tabs>
            <w:rPr/>
          </w:pPr>
          <w:hyperlink w:anchor="__RefHeading___Toc4067009_3224264995">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4067011_3224264995">
            <w:r>
              <w:rPr>
                <w:webHidden/>
                <w:rStyle w:val="IndexLink"/>
                <w:rtl w:val="true"/>
              </w:rPr>
              <w:t>موضوعها</w:t>
            </w:r>
            <w:r>
              <w:rPr>
                <w:rStyle w:val="IndexLink"/>
                <w:rtl w:val="true"/>
              </w:rPr>
              <w:t>-</w:t>
            </w:r>
            <w:r>
              <w:rPr>
                <w:rStyle w:val="IndexLink"/>
                <w:rtl w:val="true"/>
              </w:rPr>
              <w:t>بناؤها و منهجها</w:t>
            </w:r>
            <w:r>
              <w:rPr>
                <w:rStyle w:val="IndexLink"/>
                <w:rtl w:val="true"/>
              </w:rPr>
              <w:t>:</w:t>
              <w:tab/>
            </w:r>
            <w:r>
              <w:rPr>
                <w:rStyle w:val="IndexLink"/>
              </w:rPr>
              <w:t>284</w:t>
            </w:r>
          </w:hyperlink>
        </w:p>
        <w:p>
          <w:pPr>
            <w:pStyle w:val="Contents5"/>
            <w:tabs>
              <w:tab w:val="clear" w:pos="7892"/>
              <w:tab w:val="right" w:pos="9026" w:leader="dot"/>
            </w:tabs>
            <w:rPr/>
          </w:pPr>
          <w:hyperlink w:anchor="__RefHeading___Toc4067013_3224264995">
            <w:r>
              <w:rPr>
                <w:webHidden/>
                <w:rStyle w:val="IndexLink"/>
                <w:rtl w:val="true"/>
              </w:rPr>
              <w:t>المقدّمة</w:t>
            </w:r>
            <w:r>
              <w:rPr>
                <w:rStyle w:val="IndexLink"/>
                <w:rtl w:val="true"/>
              </w:rPr>
              <w:t>:</w:t>
              <w:tab/>
            </w:r>
            <w:r>
              <w:rPr>
                <w:rStyle w:val="IndexLink"/>
              </w:rPr>
              <w:t>285</w:t>
            </w:r>
          </w:hyperlink>
        </w:p>
        <w:p>
          <w:pPr>
            <w:pStyle w:val="Contents5"/>
            <w:tabs>
              <w:tab w:val="clear" w:pos="7892"/>
              <w:tab w:val="right" w:pos="9026" w:leader="dot"/>
            </w:tabs>
            <w:rPr/>
          </w:pPr>
          <w:hyperlink w:anchor="__RefHeading___Toc4067015_3224264995">
            <w:r>
              <w:rPr>
                <w:webHidden/>
                <w:rStyle w:val="IndexLink"/>
                <w:rtl w:val="true"/>
              </w:rPr>
              <w:t>الفائدة الأولی</w:t>
            </w:r>
            <w:r>
              <w:rPr>
                <w:rStyle w:val="IndexLink"/>
                <w:rtl w:val="true"/>
              </w:rPr>
              <w:t>:</w:t>
              <w:tab/>
            </w:r>
            <w:r>
              <w:rPr>
                <w:rStyle w:val="IndexLink"/>
              </w:rPr>
              <w:t>286</w:t>
            </w:r>
          </w:hyperlink>
        </w:p>
        <w:p>
          <w:pPr>
            <w:pStyle w:val="Contents5"/>
            <w:tabs>
              <w:tab w:val="clear" w:pos="7892"/>
              <w:tab w:val="right" w:pos="9026" w:leader="dot"/>
            </w:tabs>
            <w:rPr/>
          </w:pPr>
          <w:hyperlink w:anchor="__RefHeading___Toc4067017_3224264995">
            <w:r>
              <w:rPr>
                <w:webHidden/>
                <w:rStyle w:val="IndexLink"/>
                <w:rtl w:val="true"/>
              </w:rPr>
              <w:t>الفائدة الثانیة</w:t>
            </w:r>
            <w:r>
              <w:rPr>
                <w:rStyle w:val="IndexLink"/>
                <w:rtl w:val="true"/>
              </w:rPr>
              <w:t>:</w:t>
              <w:tab/>
            </w:r>
            <w:r>
              <w:rPr>
                <w:rStyle w:val="IndexLink"/>
              </w:rPr>
              <w:t>286</w:t>
            </w:r>
          </w:hyperlink>
        </w:p>
        <w:p>
          <w:pPr>
            <w:pStyle w:val="Contents5"/>
            <w:tabs>
              <w:tab w:val="clear" w:pos="7892"/>
              <w:tab w:val="right" w:pos="9026" w:leader="dot"/>
            </w:tabs>
            <w:rPr/>
          </w:pPr>
          <w:hyperlink w:anchor="__RefHeading___Toc4067019_3224264995">
            <w:r>
              <w:rPr>
                <w:webHidden/>
                <w:rStyle w:val="IndexLink"/>
                <w:rtl w:val="true"/>
              </w:rPr>
              <w:t>الفائدة الثالثة</w:t>
            </w:r>
            <w:r>
              <w:rPr>
                <w:rStyle w:val="IndexLink"/>
                <w:rtl w:val="true"/>
              </w:rPr>
              <w:t>:</w:t>
              <w:tab/>
            </w:r>
            <w:r>
              <w:rPr>
                <w:rStyle w:val="IndexLink"/>
              </w:rPr>
              <w:t>286</w:t>
            </w:r>
          </w:hyperlink>
        </w:p>
        <w:p>
          <w:pPr>
            <w:pStyle w:val="Contents5"/>
            <w:tabs>
              <w:tab w:val="clear" w:pos="7892"/>
              <w:tab w:val="right" w:pos="9026" w:leader="dot"/>
            </w:tabs>
            <w:rPr/>
          </w:pPr>
          <w:hyperlink w:anchor="__RefHeading___Toc4067021_3224264995">
            <w:r>
              <w:rPr>
                <w:webHidden/>
                <w:rStyle w:val="IndexLink"/>
                <w:rtl w:val="true"/>
              </w:rPr>
              <w:t>الفائدة الرابعة</w:t>
            </w:r>
            <w:r>
              <w:rPr>
                <w:rStyle w:val="IndexLink"/>
                <w:rtl w:val="true"/>
              </w:rPr>
              <w:t>:</w:t>
              <w:tab/>
            </w:r>
            <w:r>
              <w:rPr>
                <w:rStyle w:val="IndexLink"/>
              </w:rPr>
              <w:t>286</w:t>
            </w:r>
          </w:hyperlink>
        </w:p>
        <w:p>
          <w:pPr>
            <w:pStyle w:val="Contents5"/>
            <w:tabs>
              <w:tab w:val="clear" w:pos="7892"/>
              <w:tab w:val="right" w:pos="9026" w:leader="dot"/>
            </w:tabs>
            <w:rPr/>
          </w:pPr>
          <w:hyperlink w:anchor="__RefHeading___Toc4067023_3224264995">
            <w:r>
              <w:rPr>
                <w:webHidden/>
                <w:rStyle w:val="IndexLink"/>
                <w:rtl w:val="true"/>
              </w:rPr>
              <w:t>الفائدة الخامسة</w:t>
            </w:r>
            <w:r>
              <w:rPr>
                <w:rStyle w:val="IndexLink"/>
                <w:rtl w:val="true"/>
              </w:rPr>
              <w:t>:</w:t>
              <w:tab/>
            </w:r>
            <w:r>
              <w:rPr>
                <w:rStyle w:val="IndexLink"/>
              </w:rPr>
              <w:t>287</w:t>
            </w:r>
          </w:hyperlink>
        </w:p>
        <w:p>
          <w:pPr>
            <w:pStyle w:val="Contents5"/>
            <w:tabs>
              <w:tab w:val="clear" w:pos="7892"/>
              <w:tab w:val="right" w:pos="9026" w:leader="dot"/>
            </w:tabs>
            <w:rPr/>
          </w:pPr>
          <w:hyperlink w:anchor="__RefHeading___Toc4067025_3224264995">
            <w:r>
              <w:rPr>
                <w:webHidden/>
                <w:rStyle w:val="IndexLink"/>
                <w:rtl w:val="true"/>
              </w:rPr>
              <w:t>الفائدة السادسة</w:t>
            </w:r>
            <w:r>
              <w:rPr>
                <w:rStyle w:val="IndexLink"/>
                <w:rtl w:val="true"/>
              </w:rPr>
              <w:t>:</w:t>
              <w:tab/>
            </w:r>
            <w:r>
              <w:rPr>
                <w:rStyle w:val="IndexLink"/>
              </w:rPr>
              <w:t>287</w:t>
            </w:r>
          </w:hyperlink>
        </w:p>
        <w:p>
          <w:pPr>
            <w:pStyle w:val="Contents5"/>
            <w:tabs>
              <w:tab w:val="clear" w:pos="7892"/>
              <w:tab w:val="right" w:pos="9026" w:leader="dot"/>
            </w:tabs>
            <w:rPr/>
          </w:pPr>
          <w:hyperlink w:anchor="__RefHeading___Toc4067027_3224264995">
            <w:r>
              <w:rPr>
                <w:webHidden/>
                <w:rStyle w:val="IndexLink"/>
                <w:rtl w:val="true"/>
              </w:rPr>
              <w:t>الفائدة السابعة</w:t>
            </w:r>
            <w:r>
              <w:rPr>
                <w:rStyle w:val="IndexLink"/>
                <w:rtl w:val="true"/>
              </w:rPr>
              <w:t>:</w:t>
              <w:tab/>
            </w:r>
            <w:r>
              <w:rPr>
                <w:rStyle w:val="IndexLink"/>
              </w:rPr>
              <w:t>287</w:t>
            </w:r>
          </w:hyperlink>
        </w:p>
        <w:p>
          <w:pPr>
            <w:pStyle w:val="Contents4"/>
            <w:tabs>
              <w:tab w:val="clear" w:pos="8176"/>
              <w:tab w:val="right" w:pos="9026" w:leader="dot"/>
            </w:tabs>
            <w:rPr/>
          </w:pPr>
          <w:hyperlink w:anchor="__RefHeading___Toc4067029_3224264995">
            <w:r>
              <w:rPr>
                <w:webHidden/>
                <w:rStyle w:val="IndexLink"/>
                <w:rtl w:val="true"/>
              </w:rPr>
              <w:t>أمّا الخاتمة</w:t>
            </w:r>
            <w:r>
              <w:rPr>
                <w:rStyle w:val="IndexLink"/>
                <w:rtl w:val="true"/>
              </w:rPr>
              <w:t>:</w:t>
              <w:tab/>
            </w:r>
            <w:r>
              <w:rPr>
                <w:rStyle w:val="IndexLink"/>
              </w:rPr>
              <w:t>288</w:t>
            </w:r>
          </w:hyperlink>
        </w:p>
        <w:p>
          <w:pPr>
            <w:pStyle w:val="Contents5"/>
            <w:tabs>
              <w:tab w:val="clear" w:pos="7892"/>
              <w:tab w:val="right" w:pos="9026" w:leader="dot"/>
            </w:tabs>
            <w:rPr/>
          </w:pPr>
          <w:hyperlink w:anchor="__RefHeading___Toc4067031_3224264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4067033_3224264995">
            <w:r>
              <w:rPr>
                <w:webHidden/>
                <w:rStyle w:val="IndexLink"/>
                <w:rtl w:val="true"/>
              </w:rPr>
              <w:t>مسک الختام التواضع،و التماس العذر</w:t>
            </w:r>
            <w:r>
              <w:rPr>
                <w:rStyle w:val="IndexLink"/>
                <w:rtl w:val="true"/>
              </w:rPr>
              <w:t>:</w:t>
              <w:tab/>
            </w:r>
            <w:r>
              <w:rPr>
                <w:rStyle w:val="IndexLink"/>
              </w:rPr>
              <w:t>288</w:t>
            </w:r>
          </w:hyperlink>
        </w:p>
        <w:p>
          <w:pPr>
            <w:pStyle w:val="Contents5"/>
            <w:tabs>
              <w:tab w:val="clear" w:pos="7892"/>
              <w:tab w:val="right" w:pos="9026" w:leader="dot"/>
            </w:tabs>
            <w:rPr/>
          </w:pPr>
          <w:hyperlink w:anchor="__RefHeading___Toc4067035_3224264995">
            <w:r>
              <w:rPr>
                <w:webHidden/>
                <w:rStyle w:val="IndexLink"/>
                <w:rtl w:val="true"/>
              </w:rPr>
              <w:t>منهجیة الکتاب بالتفصیل</w:t>
            </w:r>
            <w:r>
              <w:rPr>
                <w:rStyle w:val="IndexLink"/>
                <w:rtl w:val="true"/>
              </w:rPr>
              <w:t>:</w:t>
              <w:tab/>
            </w:r>
            <w:r>
              <w:rPr>
                <w:rStyle w:val="IndexLink"/>
              </w:rPr>
              <w:t>289</w:t>
            </w:r>
          </w:hyperlink>
        </w:p>
        <w:p>
          <w:pPr>
            <w:pStyle w:val="Contents5"/>
            <w:tabs>
              <w:tab w:val="clear" w:pos="7892"/>
              <w:tab w:val="right" w:pos="9026" w:leader="dot"/>
            </w:tabs>
            <w:rPr/>
          </w:pPr>
          <w:hyperlink w:anchor="__RefHeading___Toc4067037_3224264995">
            <w:r>
              <w:rPr>
                <w:webHidden/>
                <w:rStyle w:val="IndexLink"/>
                <w:rtl w:val="true"/>
              </w:rPr>
              <w:t>أصول الرسالة و مرجعیاتها</w:t>
            </w:r>
            <w:r>
              <w:rPr>
                <w:rStyle w:val="IndexLink"/>
                <w:rtl w:val="true"/>
              </w:rPr>
              <w:t>:</w:t>
              <w:tab/>
            </w:r>
            <w:r>
              <w:rPr>
                <w:rStyle w:val="IndexLink"/>
              </w:rPr>
              <w:t>289</w:t>
            </w:r>
          </w:hyperlink>
        </w:p>
        <w:p>
          <w:pPr>
            <w:pStyle w:val="Contents5"/>
            <w:tabs>
              <w:tab w:val="clear" w:pos="7892"/>
              <w:tab w:val="right" w:pos="9026" w:leader="dot"/>
            </w:tabs>
            <w:rPr/>
          </w:pPr>
          <w:hyperlink w:anchor="__RefHeading___Toc4067039_3224264995">
            <w:r>
              <w:rPr>
                <w:webHidden/>
                <w:rStyle w:val="IndexLink"/>
                <w:rtl w:val="true"/>
              </w:rPr>
              <w:t>طریقته فی عرض الموضوع</w:t>
            </w:r>
            <w:r>
              <w:rPr>
                <w:rStyle w:val="IndexLink"/>
                <w:rtl w:val="true"/>
              </w:rPr>
              <w:t>:</w:t>
              <w:tab/>
            </w:r>
            <w:r>
              <w:rPr>
                <w:rStyle w:val="IndexLink"/>
              </w:rPr>
              <w:t>290</w:t>
            </w:r>
          </w:hyperlink>
        </w:p>
        <w:p>
          <w:pPr>
            <w:pStyle w:val="Contents5"/>
            <w:tabs>
              <w:tab w:val="clear" w:pos="7892"/>
              <w:tab w:val="right" w:pos="9026" w:leader="dot"/>
            </w:tabs>
            <w:rPr/>
          </w:pPr>
          <w:hyperlink w:anchor="__RefHeading___Toc4067041_3224264995">
            <w:r>
              <w:rPr>
                <w:webHidden/>
                <w:rStyle w:val="IndexLink"/>
                <w:rtl w:val="true"/>
              </w:rPr>
              <w:t>نقل الأقوال من العلماء</w:t>
            </w:r>
            <w:r>
              <w:rPr>
                <w:rStyle w:val="IndexLink"/>
                <w:rtl w:val="true"/>
              </w:rPr>
              <w:t>:</w:t>
              <w:tab/>
            </w:r>
            <w:r>
              <w:rPr>
                <w:rStyle w:val="IndexLink"/>
              </w:rPr>
              <w:t>291</w:t>
            </w:r>
          </w:hyperlink>
        </w:p>
        <w:p>
          <w:pPr>
            <w:pStyle w:val="Contents5"/>
            <w:tabs>
              <w:tab w:val="clear" w:pos="7892"/>
              <w:tab w:val="right" w:pos="9026" w:leader="dot"/>
            </w:tabs>
            <w:rPr/>
          </w:pPr>
          <w:hyperlink w:anchor="__RefHeading___Toc4067043_3224264995">
            <w:r>
              <w:rPr>
                <w:webHidden/>
                <w:rStyle w:val="IndexLink"/>
                <w:rtl w:val="true"/>
              </w:rPr>
              <w:t>طریقته فی عرض الخلاف</w:t>
            </w:r>
            <w:r>
              <w:rPr>
                <w:rStyle w:val="IndexLink"/>
                <w:rtl w:val="true"/>
              </w:rPr>
              <w:t>:</w:t>
              <w:tab/>
            </w:r>
            <w:r>
              <w:rPr>
                <w:rStyle w:val="IndexLink"/>
              </w:rPr>
              <w:t>292</w:t>
            </w:r>
          </w:hyperlink>
        </w:p>
        <w:p>
          <w:pPr>
            <w:pStyle w:val="Contents5"/>
            <w:tabs>
              <w:tab w:val="clear" w:pos="7892"/>
              <w:tab w:val="right" w:pos="9026" w:leader="dot"/>
            </w:tabs>
            <w:rPr/>
          </w:pPr>
          <w:hyperlink w:anchor="__RefHeading___Toc4067045_3224264995">
            <w:r>
              <w:rPr>
                <w:webHidden/>
                <w:rStyle w:val="IndexLink"/>
                <w:rtl w:val="true"/>
              </w:rPr>
              <w:t>طریقته فی ضبط المادة</w:t>
            </w:r>
            <w:r>
              <w:rPr>
                <w:rStyle w:val="IndexLink"/>
                <w:rtl w:val="true"/>
              </w:rPr>
              <w:t>:</w:t>
              <w:tab/>
            </w:r>
            <w:r>
              <w:rPr>
                <w:rStyle w:val="IndexLink"/>
              </w:rPr>
              <w:t>293</w:t>
            </w:r>
          </w:hyperlink>
        </w:p>
        <w:p>
          <w:pPr>
            <w:pStyle w:val="Contents5"/>
            <w:tabs>
              <w:tab w:val="clear" w:pos="7892"/>
              <w:tab w:val="right" w:pos="9026" w:leader="dot"/>
            </w:tabs>
            <w:rPr/>
          </w:pPr>
          <w:hyperlink w:anchor="__RefHeading___Toc4067047_3224264995">
            <w:r>
              <w:rPr>
                <w:webHidden/>
                <w:rStyle w:val="IndexLink"/>
                <w:rtl w:val="true"/>
              </w:rPr>
              <w:t>طریقته فی الاستشهاد</w:t>
            </w:r>
            <w:r>
              <w:rPr>
                <w:rStyle w:val="IndexLink"/>
                <w:rtl w:val="true"/>
              </w:rPr>
              <w:t>:</w:t>
              <w:tab/>
            </w:r>
            <w:r>
              <w:rPr>
                <w:rStyle w:val="IndexLink"/>
              </w:rPr>
              <w:t>293</w:t>
            </w:r>
          </w:hyperlink>
        </w:p>
        <w:p>
          <w:pPr>
            <w:pStyle w:val="Contents5"/>
            <w:tabs>
              <w:tab w:val="clear" w:pos="7892"/>
              <w:tab w:val="right" w:pos="9026" w:leader="dot"/>
            </w:tabs>
            <w:rPr/>
          </w:pPr>
          <w:hyperlink w:anchor="__RefHeading___Toc4067049_3224264995">
            <w:r>
              <w:rPr>
                <w:webHidden/>
                <w:rStyle w:val="IndexLink"/>
                <w:rtl w:val="true"/>
              </w:rPr>
              <w:t>القراءات القرآنیة</w:t>
            </w:r>
            <w:r>
              <w:rPr>
                <w:rStyle w:val="IndexLink"/>
                <w:rtl w:val="true"/>
              </w:rPr>
              <w:t>:</w:t>
              <w:tab/>
            </w:r>
            <w:r>
              <w:rPr>
                <w:rStyle w:val="IndexLink"/>
              </w:rPr>
              <w:t>295</w:t>
            </w:r>
          </w:hyperlink>
        </w:p>
        <w:p>
          <w:pPr>
            <w:pStyle w:val="Contents5"/>
            <w:tabs>
              <w:tab w:val="clear" w:pos="7892"/>
              <w:tab w:val="right" w:pos="9026" w:leader="dot"/>
            </w:tabs>
            <w:rPr/>
          </w:pPr>
          <w:hyperlink w:anchor="__RefHeading___Toc4067051_3224264995">
            <w:r>
              <w:rPr>
                <w:webHidden/>
                <w:rStyle w:val="IndexLink"/>
                <w:rtl w:val="true"/>
              </w:rPr>
              <w:t>الشاهد الشعری</w:t>
            </w:r>
            <w:r>
              <w:rPr>
                <w:rStyle w:val="IndexLink"/>
                <w:rtl w:val="true"/>
              </w:rPr>
              <w:t>:</w:t>
              <w:tab/>
            </w:r>
            <w:r>
              <w:rPr>
                <w:rStyle w:val="IndexLink"/>
              </w:rPr>
              <w:t>295</w:t>
            </w:r>
          </w:hyperlink>
        </w:p>
        <w:p>
          <w:pPr>
            <w:pStyle w:val="Contents5"/>
            <w:tabs>
              <w:tab w:val="clear" w:pos="7892"/>
              <w:tab w:val="right" w:pos="9026" w:leader="dot"/>
            </w:tabs>
            <w:rPr/>
          </w:pPr>
          <w:hyperlink w:anchor="__RefHeading___Toc4067053_3224264995">
            <w:r>
              <w:rPr>
                <w:webHidden/>
                <w:rStyle w:val="IndexLink"/>
                <w:rtl w:val="true"/>
              </w:rPr>
              <w:t>مخطوطات الکتاب،و نسبته</w:t>
            </w:r>
            <w:r>
              <w:rPr>
                <w:rStyle w:val="IndexLink"/>
                <w:rtl w:val="true"/>
              </w:rPr>
              <w:t>:</w:t>
              <w:tab/>
            </w:r>
            <w:r>
              <w:rPr>
                <w:rStyle w:val="IndexLink"/>
              </w:rPr>
              <w:t>296</w:t>
            </w:r>
          </w:hyperlink>
        </w:p>
        <w:p>
          <w:pPr>
            <w:pStyle w:val="Contents5"/>
            <w:tabs>
              <w:tab w:val="clear" w:pos="7892"/>
              <w:tab w:val="right" w:pos="9026" w:leader="dot"/>
            </w:tabs>
            <w:rPr/>
          </w:pPr>
          <w:hyperlink w:anchor="__RefHeading___Toc4067055_3224264995">
            <w:r>
              <w:rPr>
                <w:webHidden/>
                <w:rStyle w:val="IndexLink"/>
                <w:rtl w:val="true"/>
              </w:rPr>
              <w:t>وصف المخطوط</w:t>
            </w:r>
            <w:r>
              <w:rPr>
                <w:rStyle w:val="IndexLink"/>
                <w:rtl w:val="true"/>
              </w:rPr>
              <w:t>:</w:t>
              <w:tab/>
            </w:r>
            <w:r>
              <w:rPr>
                <w:rStyle w:val="IndexLink"/>
              </w:rPr>
              <w:t>297</w:t>
            </w:r>
          </w:hyperlink>
        </w:p>
        <w:p>
          <w:pPr>
            <w:pStyle w:val="Contents6"/>
            <w:tabs>
              <w:tab w:val="clear" w:pos="7609"/>
              <w:tab w:val="right" w:pos="9026" w:leader="dot"/>
            </w:tabs>
            <w:rPr/>
          </w:pPr>
          <w:hyperlink w:anchor="__RefHeading___Toc4067057_3224264995">
            <w:r>
              <w:rPr>
                <w:webHidden/>
                <w:rStyle w:val="IndexLink"/>
                <w:rtl w:val="true"/>
              </w:rPr>
              <w:t>النسخة الأولی</w:t>
            </w:r>
            <w:r>
              <w:rPr>
                <w:rStyle w:val="IndexLink"/>
                <w:rtl w:val="true"/>
              </w:rPr>
              <w:t>:</w:t>
              <w:tab/>
            </w:r>
            <w:r>
              <w:rPr>
                <w:rStyle w:val="IndexLink"/>
              </w:rPr>
              <w:t>297</w:t>
            </w:r>
          </w:hyperlink>
        </w:p>
        <w:p>
          <w:pPr>
            <w:pStyle w:val="Contents6"/>
            <w:tabs>
              <w:tab w:val="clear" w:pos="7609"/>
              <w:tab w:val="right" w:pos="9026" w:leader="dot"/>
            </w:tabs>
            <w:rPr/>
          </w:pPr>
          <w:hyperlink w:anchor="__RefHeading___Toc4067059_3224264995">
            <w:r>
              <w:rPr>
                <w:webHidden/>
                <w:rStyle w:val="IndexLink"/>
                <w:rtl w:val="true"/>
              </w:rPr>
              <w:t>النسخة الثانیة</w:t>
            </w:r>
            <w:r>
              <w:rPr>
                <w:rStyle w:val="IndexLink"/>
                <w:rtl w:val="true"/>
              </w:rPr>
              <w:t>:</w:t>
              <w:tab/>
            </w:r>
            <w:r>
              <w:rPr>
                <w:rStyle w:val="IndexLink"/>
              </w:rPr>
              <w:t>298</w:t>
            </w:r>
          </w:hyperlink>
        </w:p>
        <w:p>
          <w:pPr>
            <w:pStyle w:val="Contents6"/>
            <w:tabs>
              <w:tab w:val="clear" w:pos="7609"/>
              <w:tab w:val="right" w:pos="9026" w:leader="dot"/>
            </w:tabs>
            <w:rPr/>
          </w:pPr>
          <w:hyperlink w:anchor="__RefHeading___Toc4067061_3224264995">
            <w:r>
              <w:rPr>
                <w:webHidden/>
                <w:rStyle w:val="IndexLink"/>
                <w:rtl w:val="true"/>
              </w:rPr>
              <w:t>النسخة المعتمدة</w:t>
            </w:r>
            <w:r>
              <w:rPr>
                <w:rStyle w:val="IndexLink"/>
                <w:rtl w:val="true"/>
              </w:rPr>
              <w:t>:</w:t>
              <w:tab/>
            </w:r>
            <w:r>
              <w:rPr>
                <w:rStyle w:val="IndexLink"/>
              </w:rPr>
              <w:t>299</w:t>
            </w:r>
          </w:hyperlink>
        </w:p>
        <w:p>
          <w:pPr>
            <w:pStyle w:val="Contents5"/>
            <w:tabs>
              <w:tab w:val="clear" w:pos="7892"/>
              <w:tab w:val="right" w:pos="9026" w:leader="dot"/>
            </w:tabs>
            <w:rPr/>
          </w:pPr>
          <w:hyperlink w:anchor="__RefHeading___Toc4067063_3224264995">
            <w:r>
              <w:rPr>
                <w:webHidden/>
                <w:rStyle w:val="IndexLink"/>
                <w:rtl w:val="true"/>
              </w:rPr>
              <w:t>منهجنا فی التحقیق</w:t>
            </w:r>
            <w:r>
              <w:rPr>
                <w:rStyle w:val="IndexLink"/>
                <w:rtl w:val="true"/>
              </w:rPr>
              <w:t>:</w:t>
              <w:tab/>
            </w:r>
            <w:r>
              <w:rPr>
                <w:rStyle w:val="IndexLink"/>
              </w:rPr>
              <w:t>299</w:t>
            </w:r>
          </w:hyperlink>
        </w:p>
        <w:p>
          <w:pPr>
            <w:pStyle w:val="Contents3"/>
            <w:tabs>
              <w:tab w:val="clear" w:pos="8459"/>
              <w:tab w:val="right" w:pos="9026" w:leader="dot"/>
            </w:tabs>
            <w:rPr/>
          </w:pPr>
          <w:hyperlink w:anchor="__RefHeading___Toc4067065_3224264995">
            <w:r>
              <w:rPr>
                <w:webHidden/>
                <w:rStyle w:val="IndexLink"/>
                <w:rtl w:val="true"/>
              </w:rPr>
              <w:t>[</w:t>
            </w:r>
            <w:r>
              <w:rPr>
                <w:rStyle w:val="IndexLink"/>
                <w:rtl w:val="true"/>
              </w:rPr>
              <w:t>خطبة الکتاب</w:t>
            </w:r>
            <w:r>
              <w:rPr>
                <w:rStyle w:val="IndexLink"/>
                <w:rtl w:val="true"/>
              </w:rPr>
              <w:t>]</w:t>
              <w:tab/>
            </w:r>
            <w:r>
              <w:rPr>
                <w:rStyle w:val="IndexLink"/>
              </w:rPr>
              <w:t>306</w:t>
            </w:r>
          </w:hyperlink>
        </w:p>
        <w:p>
          <w:pPr>
            <w:pStyle w:val="Contents3"/>
            <w:tabs>
              <w:tab w:val="clear" w:pos="8459"/>
              <w:tab w:val="right" w:pos="9026" w:leader="dot"/>
            </w:tabs>
            <w:rPr/>
          </w:pPr>
          <w:hyperlink w:anchor="__RefHeading___Toc4067067_3224264995">
            <w:r>
              <w:rPr>
                <w:webHidden/>
                <w:rStyle w:val="IndexLink"/>
                <w:rtl w:val="true"/>
              </w:rPr>
              <w:t>أمّا المقدّمة</w:t>
            </w:r>
            <w:r>
              <w:rPr>
                <w:rStyle w:val="IndexLink"/>
                <w:rtl w:val="true"/>
              </w:rPr>
              <w:t>:</w:t>
              <w:tab/>
            </w:r>
            <w:r>
              <w:rPr>
                <w:rStyle w:val="IndexLink"/>
              </w:rPr>
              <w:t>308</w:t>
            </w:r>
          </w:hyperlink>
        </w:p>
        <w:p>
          <w:pPr>
            <w:pStyle w:val="Contents3"/>
            <w:tabs>
              <w:tab w:val="clear" w:pos="8459"/>
              <w:tab w:val="right" w:pos="9026" w:leader="dot"/>
            </w:tabs>
            <w:rPr/>
          </w:pPr>
          <w:hyperlink w:anchor="__RefHeading___Toc4067069_3224264995">
            <w:r>
              <w:rPr>
                <w:webHidden/>
                <w:rStyle w:val="IndexLink"/>
                <w:rtl w:val="true"/>
              </w:rPr>
              <w:t>و أمّا الفوائد،فسبع</w:t>
            </w:r>
            <w:r>
              <w:rPr>
                <w:rStyle w:val="IndexLink"/>
                <w:rtl w:val="true"/>
              </w:rPr>
              <w:t>:</w:t>
              <w:tab/>
            </w:r>
            <w:r>
              <w:rPr>
                <w:rStyle w:val="IndexLink"/>
              </w:rPr>
              <w:t>311</w:t>
            </w:r>
          </w:hyperlink>
        </w:p>
        <w:p>
          <w:pPr>
            <w:pStyle w:val="Contents4"/>
            <w:tabs>
              <w:tab w:val="clear" w:pos="8176"/>
              <w:tab w:val="right" w:pos="9026" w:leader="dot"/>
            </w:tabs>
            <w:rPr/>
          </w:pPr>
          <w:hyperlink w:anchor="__RefHeading___Toc4067071_3224264995">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4067073_3224264995">
            <w:r>
              <w:rPr>
                <w:webHidden/>
                <w:rStyle w:val="IndexLink"/>
                <w:rtl w:val="true"/>
              </w:rPr>
              <w:t>الأولی</w:t>
            </w:r>
            <w:r>
              <w:rPr>
                <w:rStyle w:val="IndexLink"/>
                <w:rtl w:val="true"/>
              </w:rPr>
              <w:t>:</w:t>
              <w:tab/>
            </w:r>
            <w:r>
              <w:rPr>
                <w:rStyle w:val="IndexLink"/>
              </w:rPr>
              <w:t>311</w:t>
            </w:r>
          </w:hyperlink>
        </w:p>
        <w:p>
          <w:pPr>
            <w:pStyle w:val="Contents4"/>
            <w:tabs>
              <w:tab w:val="clear" w:pos="8176"/>
              <w:tab w:val="right" w:pos="9026" w:leader="dot"/>
            </w:tabs>
            <w:rPr/>
          </w:pPr>
          <w:hyperlink w:anchor="__RefHeading___Toc4067075_3224264995">
            <w:r>
              <w:rPr>
                <w:webHidden/>
                <w:rStyle w:val="IndexLink"/>
                <w:rtl w:val="true"/>
              </w:rPr>
              <w:t>الفائدة الثانیة</w:t>
            </w:r>
            <w:r>
              <w:rPr>
                <w:rStyle w:val="IndexLink"/>
                <w:rtl w:val="true"/>
              </w:rPr>
              <w:t>:</w:t>
              <w:tab/>
            </w:r>
            <w:r>
              <w:rPr>
                <w:rStyle w:val="IndexLink"/>
              </w:rPr>
              <w:t>314</w:t>
            </w:r>
          </w:hyperlink>
        </w:p>
        <w:p>
          <w:pPr>
            <w:pStyle w:val="Contents5"/>
            <w:tabs>
              <w:tab w:val="clear" w:pos="7892"/>
              <w:tab w:val="right" w:pos="9026" w:leader="dot"/>
            </w:tabs>
            <w:rPr/>
          </w:pPr>
          <w:hyperlink w:anchor="__RefHeading___Toc4067077_3224264995">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4067079_3224264995">
            <w:r>
              <w:rPr>
                <w:webHidden/>
                <w:rStyle w:val="IndexLink"/>
                <w:rtl w:val="true"/>
              </w:rPr>
              <w:t>[</w:t>
            </w:r>
            <w:r>
              <w:rPr>
                <w:rStyle w:val="IndexLink"/>
                <w:rtl w:val="true"/>
              </w:rPr>
              <w:t>نون التّوکید الخفیفة</w:t>
            </w:r>
            <w:r>
              <w:rPr>
                <w:rStyle w:val="IndexLink"/>
                <w:rtl w:val="true"/>
              </w:rPr>
              <w:t>]</w:t>
              <w:tab/>
            </w:r>
            <w:r>
              <w:rPr>
                <w:rStyle w:val="IndexLink"/>
              </w:rPr>
              <w:t>321</w:t>
            </w:r>
          </w:hyperlink>
        </w:p>
        <w:p>
          <w:pPr>
            <w:pStyle w:val="Contents4"/>
            <w:tabs>
              <w:tab w:val="clear" w:pos="8176"/>
              <w:tab w:val="right" w:pos="9026" w:leader="dot"/>
            </w:tabs>
            <w:rPr/>
          </w:pPr>
          <w:hyperlink w:anchor="__RefHeading___Toc4067081_3224264995">
            <w:r>
              <w:rPr>
                <w:webHidden/>
                <w:rStyle w:val="IndexLink"/>
                <w:rtl w:val="true"/>
              </w:rPr>
              <w:t>الفآئدة الثالثة</w:t>
            </w:r>
            <w:r>
              <w:rPr>
                <w:rStyle w:val="IndexLink"/>
                <w:rtl w:val="true"/>
              </w:rPr>
              <w:t>:</w:t>
              <w:tab/>
            </w:r>
            <w:r>
              <w:rPr>
                <w:rStyle w:val="IndexLink"/>
              </w:rPr>
              <w:t>323</w:t>
            </w:r>
          </w:hyperlink>
        </w:p>
        <w:p>
          <w:pPr>
            <w:pStyle w:val="Contents5"/>
            <w:tabs>
              <w:tab w:val="clear" w:pos="7892"/>
              <w:tab w:val="right" w:pos="9026" w:leader="dot"/>
            </w:tabs>
            <w:rPr/>
          </w:pPr>
          <w:hyperlink w:anchor="__RefHeading___Toc4067083_3224264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4067085_3224264995">
            <w:r>
              <w:rPr>
                <w:webHidden/>
                <w:rStyle w:val="IndexLink"/>
                <w:rtl w:val="true"/>
              </w:rPr>
              <w:t>[</w:t>
            </w:r>
            <w:r>
              <w:rPr>
                <w:rStyle w:val="IndexLink"/>
                <w:rtl w:val="true"/>
              </w:rPr>
              <w:t>الهمزة الأولی</w:t>
            </w:r>
            <w:r>
              <w:rPr>
                <w:rStyle w:val="IndexLink"/>
                <w:rtl w:val="true"/>
              </w:rPr>
              <w:t>]</w:t>
              <w:tab/>
            </w:r>
            <w:r>
              <w:rPr>
                <w:rStyle w:val="IndexLink"/>
              </w:rPr>
              <w:t>323</w:t>
            </w:r>
          </w:hyperlink>
        </w:p>
        <w:p>
          <w:pPr>
            <w:pStyle w:val="Contents5"/>
            <w:tabs>
              <w:tab w:val="clear" w:pos="7892"/>
              <w:tab w:val="right" w:pos="9026" w:leader="dot"/>
            </w:tabs>
            <w:rPr/>
          </w:pPr>
          <w:hyperlink w:anchor="__RefHeading___Toc4067087_3224264995">
            <w:r>
              <w:rPr>
                <w:webHidden/>
                <w:rStyle w:val="IndexLink"/>
                <w:rtl w:val="true"/>
              </w:rPr>
              <w:t>[</w:t>
            </w:r>
            <w:r>
              <w:rPr>
                <w:rStyle w:val="IndexLink"/>
                <w:rtl w:val="true"/>
              </w:rPr>
              <w:t>الهمزة المتوسطة</w:t>
            </w:r>
            <w:r>
              <w:rPr>
                <w:rStyle w:val="IndexLink"/>
                <w:rtl w:val="true"/>
              </w:rPr>
              <w:t>]</w:t>
              <w:tab/>
            </w:r>
            <w:r>
              <w:rPr>
                <w:rStyle w:val="IndexLink"/>
              </w:rPr>
              <w:t>324</w:t>
            </w:r>
          </w:hyperlink>
        </w:p>
        <w:p>
          <w:pPr>
            <w:pStyle w:val="Contents5"/>
            <w:tabs>
              <w:tab w:val="clear" w:pos="7892"/>
              <w:tab w:val="right" w:pos="9026" w:leader="dot"/>
            </w:tabs>
            <w:rPr/>
          </w:pPr>
          <w:hyperlink w:anchor="__RefHeading___Toc4067089_3224264995">
            <w:r>
              <w:rPr>
                <w:webHidden/>
                <w:rStyle w:val="IndexLink"/>
                <w:rtl w:val="true"/>
              </w:rPr>
              <w:t>[</w:t>
            </w:r>
            <w:r>
              <w:rPr>
                <w:rStyle w:val="IndexLink"/>
                <w:rtl w:val="true"/>
              </w:rPr>
              <w:t>الهمزة المتطرفة</w:t>
            </w:r>
            <w:r>
              <w:rPr>
                <w:rStyle w:val="IndexLink"/>
                <w:rtl w:val="true"/>
              </w:rPr>
              <w:t>"</w:t>
            </w:r>
            <w:r>
              <w:rPr>
                <w:rStyle w:val="IndexLink"/>
                <w:rtl w:val="true"/>
              </w:rPr>
              <w:t>الختامیة</w:t>
            </w:r>
            <w:r>
              <w:rPr>
                <w:rStyle w:val="IndexLink"/>
                <w:rtl w:val="true"/>
              </w:rPr>
              <w:t>"]</w:t>
              <w:tab/>
            </w:r>
            <w:r>
              <w:rPr>
                <w:rStyle w:val="IndexLink"/>
              </w:rPr>
              <w:t>327</w:t>
            </w:r>
          </w:hyperlink>
        </w:p>
        <w:p>
          <w:pPr>
            <w:pStyle w:val="Contents5"/>
            <w:tabs>
              <w:tab w:val="clear" w:pos="7892"/>
              <w:tab w:val="right" w:pos="9026" w:leader="dot"/>
            </w:tabs>
            <w:rPr/>
          </w:pPr>
          <w:hyperlink w:anchor="__RefHeading___Toc4067091_3224264995">
            <w:r>
              <w:rPr>
                <w:webHidden/>
                <w:rStyle w:val="IndexLink"/>
                <w:rtl w:val="true"/>
              </w:rPr>
              <w:t>فصل</w:t>
            </w:r>
            <w:r>
              <w:rPr>
                <w:rStyle w:val="IndexLink"/>
                <w:rtl w:val="true"/>
              </w:rPr>
              <w:tab/>
            </w:r>
            <w:r>
              <w:rPr>
                <w:rStyle w:val="IndexLink"/>
              </w:rPr>
              <w:t>328</w:t>
            </w:r>
          </w:hyperlink>
        </w:p>
        <w:p>
          <w:pPr>
            <w:pStyle w:val="Contents4"/>
            <w:tabs>
              <w:tab w:val="clear" w:pos="8176"/>
              <w:tab w:val="right" w:pos="9026" w:leader="dot"/>
            </w:tabs>
            <w:rPr/>
          </w:pPr>
          <w:hyperlink w:anchor="__RefHeading___Toc4067093_3224264995">
            <w:r>
              <w:rPr>
                <w:webHidden/>
                <w:rStyle w:val="IndexLink"/>
                <w:rtl w:val="true"/>
              </w:rPr>
              <w:t>الفائدة الرّابعة</w:t>
            </w:r>
            <w:r>
              <w:rPr>
                <w:rStyle w:val="IndexLink"/>
                <w:rtl w:val="true"/>
              </w:rPr>
              <w:t>:</w:t>
              <w:tab/>
            </w:r>
            <w:r>
              <w:rPr>
                <w:rStyle w:val="IndexLink"/>
              </w:rPr>
              <w:t>329</w:t>
            </w:r>
          </w:hyperlink>
        </w:p>
        <w:p>
          <w:pPr>
            <w:pStyle w:val="Contents5"/>
            <w:tabs>
              <w:tab w:val="clear" w:pos="7892"/>
              <w:tab w:val="right" w:pos="9026" w:leader="dot"/>
            </w:tabs>
            <w:rPr/>
          </w:pPr>
          <w:hyperlink w:anchor="__RefHeading___Toc4067095_3224264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4067097_3224264995">
            <w:r>
              <w:rPr>
                <w:webHidden/>
                <w:rStyle w:val="IndexLink"/>
                <w:rtl w:val="true"/>
              </w:rPr>
              <w:t>فصل</w:t>
            </w:r>
            <w:r>
              <w:rPr>
                <w:rStyle w:val="IndexLink"/>
                <w:rtl w:val="true"/>
              </w:rPr>
              <w:tab/>
            </w:r>
            <w:r>
              <w:rPr>
                <w:rStyle w:val="IndexLink"/>
              </w:rPr>
              <w:t>331</w:t>
            </w:r>
          </w:hyperlink>
        </w:p>
        <w:p>
          <w:pPr>
            <w:pStyle w:val="Contents5"/>
            <w:tabs>
              <w:tab w:val="clear" w:pos="7892"/>
              <w:tab w:val="right" w:pos="9026" w:leader="dot"/>
            </w:tabs>
            <w:rPr/>
          </w:pPr>
          <w:hyperlink w:anchor="__RefHeading___Toc4067099_3224264995">
            <w:r>
              <w:rPr>
                <w:webHidden/>
                <w:rStyle w:val="IndexLink"/>
                <w:rtl w:val="true"/>
              </w:rPr>
              <w:t>فصل</w:t>
            </w:r>
            <w:r>
              <w:rPr>
                <w:rStyle w:val="IndexLink"/>
                <w:rtl w:val="true"/>
              </w:rPr>
              <w:tab/>
            </w:r>
            <w:r>
              <w:rPr>
                <w:rStyle w:val="IndexLink"/>
              </w:rPr>
              <w:t>332</w:t>
            </w:r>
          </w:hyperlink>
        </w:p>
        <w:p>
          <w:pPr>
            <w:pStyle w:val="Contents5"/>
            <w:tabs>
              <w:tab w:val="clear" w:pos="7892"/>
              <w:tab w:val="right" w:pos="9026" w:leader="dot"/>
            </w:tabs>
            <w:rPr/>
          </w:pPr>
          <w:hyperlink w:anchor="__RefHeading___Toc4067101_3224264995">
            <w:r>
              <w:rPr>
                <w:webHidden/>
                <w:rStyle w:val="IndexLink"/>
                <w:rtl w:val="true"/>
              </w:rPr>
              <w:t>فصل</w:t>
            </w:r>
            <w:r>
              <w:rPr>
                <w:rStyle w:val="IndexLink"/>
                <w:rtl w:val="true"/>
              </w:rPr>
              <w:tab/>
            </w:r>
            <w:r>
              <w:rPr>
                <w:rStyle w:val="IndexLink"/>
              </w:rPr>
              <w:t>333</w:t>
            </w:r>
          </w:hyperlink>
        </w:p>
        <w:p>
          <w:pPr>
            <w:pStyle w:val="Contents4"/>
            <w:tabs>
              <w:tab w:val="clear" w:pos="8176"/>
              <w:tab w:val="right" w:pos="9026" w:leader="dot"/>
            </w:tabs>
            <w:rPr/>
          </w:pPr>
          <w:hyperlink w:anchor="__RefHeading___Toc4067103_3224264995">
            <w:r>
              <w:rPr>
                <w:webHidden/>
                <w:rStyle w:val="IndexLink"/>
                <w:rtl w:val="true"/>
              </w:rPr>
              <w:t>الفائدة الخامسة</w:t>
            </w:r>
            <w:r>
              <w:rPr>
                <w:rStyle w:val="IndexLink"/>
                <w:rtl w:val="true"/>
              </w:rPr>
              <w:t>:</w:t>
              <w:tab/>
            </w:r>
            <w:r>
              <w:rPr>
                <w:rStyle w:val="IndexLink"/>
              </w:rPr>
              <w:t>335</w:t>
            </w:r>
          </w:hyperlink>
        </w:p>
        <w:p>
          <w:pPr>
            <w:pStyle w:val="Contents5"/>
            <w:tabs>
              <w:tab w:val="clear" w:pos="7892"/>
              <w:tab w:val="right" w:pos="9026" w:leader="dot"/>
            </w:tabs>
            <w:rPr/>
          </w:pPr>
          <w:hyperlink w:anchor="__RefHeading___Toc4067105_3224264995">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4067107_3224264995">
            <w:r>
              <w:rPr>
                <w:webHidden/>
                <w:rStyle w:val="IndexLink"/>
                <w:rtl w:val="true"/>
              </w:rPr>
              <w:t>فصل</w:t>
            </w:r>
            <w:r>
              <w:rPr>
                <w:rStyle w:val="IndexLink"/>
                <w:rtl w:val="true"/>
              </w:rPr>
              <w:tab/>
            </w:r>
            <w:r>
              <w:rPr>
                <w:rStyle w:val="IndexLink"/>
              </w:rPr>
              <w:t>336</w:t>
            </w:r>
          </w:hyperlink>
        </w:p>
        <w:p>
          <w:pPr>
            <w:pStyle w:val="Contents5"/>
            <w:tabs>
              <w:tab w:val="clear" w:pos="7892"/>
              <w:tab w:val="right" w:pos="9026" w:leader="dot"/>
            </w:tabs>
            <w:rPr/>
          </w:pPr>
          <w:hyperlink w:anchor="__RefHeading___Toc4067109_3224264995">
            <w:r>
              <w:rPr>
                <w:webHidden/>
                <w:rStyle w:val="IndexLink"/>
                <w:rtl w:val="true"/>
              </w:rPr>
              <w:t>فصل</w:t>
            </w:r>
            <w:r>
              <w:rPr>
                <w:rStyle w:val="IndexLink"/>
                <w:rtl w:val="true"/>
              </w:rPr>
              <w:tab/>
            </w:r>
            <w:r>
              <w:rPr>
                <w:rStyle w:val="IndexLink"/>
              </w:rPr>
              <w:t>336</w:t>
            </w:r>
          </w:hyperlink>
        </w:p>
        <w:p>
          <w:pPr>
            <w:pStyle w:val="Contents5"/>
            <w:tabs>
              <w:tab w:val="clear" w:pos="7892"/>
              <w:tab w:val="right" w:pos="9026" w:leader="dot"/>
            </w:tabs>
            <w:rPr/>
          </w:pPr>
          <w:hyperlink w:anchor="__RefHeading___Toc4067111_3224264995">
            <w:r>
              <w:rPr>
                <w:webHidden/>
                <w:rStyle w:val="IndexLink"/>
                <w:rtl w:val="true"/>
              </w:rPr>
              <w:t>فصل</w:t>
            </w:r>
            <w:r>
              <w:rPr>
                <w:rStyle w:val="IndexLink"/>
                <w:rtl w:val="true"/>
              </w:rPr>
              <w:tab/>
            </w:r>
            <w:r>
              <w:rPr>
                <w:rStyle w:val="IndexLink"/>
              </w:rPr>
              <w:t>338</w:t>
            </w:r>
          </w:hyperlink>
        </w:p>
        <w:p>
          <w:pPr>
            <w:pStyle w:val="Contents4"/>
            <w:tabs>
              <w:tab w:val="clear" w:pos="8176"/>
              <w:tab w:val="right" w:pos="9026" w:leader="dot"/>
            </w:tabs>
            <w:rPr/>
          </w:pPr>
          <w:hyperlink w:anchor="__RefHeading___Toc4067113_3224264995">
            <w:r>
              <w:rPr>
                <w:webHidden/>
                <w:rStyle w:val="IndexLink"/>
                <w:rtl w:val="true"/>
              </w:rPr>
              <w:t>الفائدة السادسة</w:t>
            </w:r>
            <w:r>
              <w:rPr>
                <w:rStyle w:val="IndexLink"/>
                <w:rtl w:val="true"/>
              </w:rPr>
              <w:t>:</w:t>
              <w:tab/>
            </w:r>
            <w:r>
              <w:rPr>
                <w:rStyle w:val="IndexLink"/>
              </w:rPr>
              <w:t>339</w:t>
            </w:r>
          </w:hyperlink>
        </w:p>
        <w:p>
          <w:pPr>
            <w:pStyle w:val="Contents5"/>
            <w:tabs>
              <w:tab w:val="clear" w:pos="7892"/>
              <w:tab w:val="right" w:pos="9026" w:leader="dot"/>
            </w:tabs>
            <w:rPr/>
          </w:pPr>
          <w:hyperlink w:anchor="__RefHeading___Toc4067115_3224264995">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4067117_3224264995">
            <w:r>
              <w:rPr>
                <w:webHidden/>
                <w:rStyle w:val="IndexLink"/>
                <w:rtl w:val="true"/>
              </w:rPr>
              <w:t>[</w:t>
            </w:r>
            <w:r>
              <w:rPr>
                <w:rStyle w:val="IndexLink"/>
                <w:rtl w:val="true"/>
              </w:rPr>
              <w:t>فی المضعّف</w:t>
            </w:r>
            <w:r>
              <w:rPr>
                <w:rStyle w:val="IndexLink"/>
                <w:rtl w:val="true"/>
              </w:rPr>
              <w:t>]</w:t>
              <w:tab/>
            </w:r>
            <w:r>
              <w:rPr>
                <w:rStyle w:val="IndexLink"/>
              </w:rPr>
              <w:t>339</w:t>
            </w:r>
          </w:hyperlink>
        </w:p>
        <w:p>
          <w:pPr>
            <w:pStyle w:val="Contents5"/>
            <w:tabs>
              <w:tab w:val="clear" w:pos="7892"/>
              <w:tab w:val="right" w:pos="9026" w:leader="dot"/>
            </w:tabs>
            <w:rPr/>
          </w:pPr>
          <w:hyperlink w:anchor="__RefHeading___Toc4067119_3224264995">
            <w:r>
              <w:rPr>
                <w:webHidden/>
                <w:rStyle w:val="IndexLink"/>
                <w:rtl w:val="true"/>
              </w:rPr>
              <w:t>[</w:t>
            </w:r>
            <w:r>
              <w:rPr>
                <w:rStyle w:val="IndexLink"/>
                <w:rtl w:val="true"/>
              </w:rPr>
              <w:t>الألف و اللام</w:t>
            </w:r>
            <w:r>
              <w:rPr>
                <w:rStyle w:val="IndexLink"/>
                <w:rtl w:val="true"/>
              </w:rPr>
              <w:t>]</w:t>
              <w:tab/>
            </w:r>
            <w:r>
              <w:rPr>
                <w:rStyle w:val="IndexLink"/>
              </w:rPr>
              <w:t>340</w:t>
            </w:r>
          </w:hyperlink>
        </w:p>
        <w:p>
          <w:pPr>
            <w:pStyle w:val="Contents4"/>
            <w:tabs>
              <w:tab w:val="clear" w:pos="8176"/>
              <w:tab w:val="right" w:pos="9026" w:leader="dot"/>
            </w:tabs>
            <w:rPr/>
          </w:pPr>
          <w:hyperlink w:anchor="__RefHeading___Toc4067121_3224264995">
            <w:r>
              <w:rPr>
                <w:webHidden/>
                <w:rStyle w:val="IndexLink"/>
                <w:rtl w:val="true"/>
              </w:rPr>
              <w:t>الفائدة السّابعة</w:t>
            </w:r>
            <w:r>
              <w:rPr>
                <w:rStyle w:val="IndexLink"/>
                <w:rtl w:val="true"/>
              </w:rPr>
              <w:t>:</w:t>
              <w:tab/>
            </w:r>
            <w:r>
              <w:rPr>
                <w:rStyle w:val="IndexLink"/>
              </w:rPr>
              <w:t>343</w:t>
            </w:r>
          </w:hyperlink>
        </w:p>
        <w:p>
          <w:pPr>
            <w:pStyle w:val="Contents5"/>
            <w:tabs>
              <w:tab w:val="clear" w:pos="7892"/>
              <w:tab w:val="right" w:pos="9026" w:leader="dot"/>
            </w:tabs>
            <w:rPr/>
          </w:pPr>
          <w:hyperlink w:anchor="__RefHeading___Toc4067123_3224264995">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4067125_3224264995">
            <w:r>
              <w:rPr>
                <w:webHidden/>
                <w:rStyle w:val="IndexLink"/>
                <w:rtl w:val="true"/>
              </w:rPr>
              <w:t>فصل</w:t>
            </w:r>
            <w:r>
              <w:rPr>
                <w:rStyle w:val="IndexLink"/>
                <w:rtl w:val="true"/>
              </w:rPr>
              <w:tab/>
            </w:r>
            <w:r>
              <w:rPr>
                <w:rStyle w:val="IndexLink"/>
              </w:rPr>
              <w:t>346</w:t>
            </w:r>
          </w:hyperlink>
        </w:p>
        <w:p>
          <w:pPr>
            <w:pStyle w:val="Contents5"/>
            <w:tabs>
              <w:tab w:val="clear" w:pos="7892"/>
              <w:tab w:val="right" w:pos="9026" w:leader="dot"/>
            </w:tabs>
            <w:rPr/>
          </w:pPr>
          <w:hyperlink w:anchor="__RefHeading___Toc4067127_3224264995">
            <w:r>
              <w:rPr>
                <w:webHidden/>
                <w:rStyle w:val="IndexLink"/>
                <w:rtl w:val="true"/>
              </w:rPr>
              <w:t>ففی بیان بعض ما ینبغی التّنبیه علیه</w:t>
            </w:r>
            <w:r>
              <w:rPr>
                <w:rStyle w:val="IndexLink"/>
                <w:rtl w:val="true"/>
              </w:rPr>
              <w:tab/>
            </w:r>
            <w:r>
              <w:rPr>
                <w:rStyle w:val="IndexLink"/>
              </w:rPr>
              <w:t>349</w:t>
            </w:r>
          </w:hyperlink>
        </w:p>
        <w:p>
          <w:pPr>
            <w:pStyle w:val="Contents3"/>
            <w:tabs>
              <w:tab w:val="clear" w:pos="8459"/>
              <w:tab w:val="right" w:pos="9026" w:leader="dot"/>
            </w:tabs>
            <w:rPr/>
          </w:pPr>
          <w:hyperlink w:anchor="__RefHeading___Toc4067129_3224264995">
            <w:r>
              <w:rPr>
                <w:webHidden/>
                <w:rStyle w:val="IndexLink"/>
                <w:rtl w:val="true"/>
              </w:rPr>
              <w:t>مصادر التحقیق و مراجعه</w:t>
            </w:r>
            <w:r>
              <w:rPr>
                <w:rStyle w:val="IndexLink"/>
                <w:rtl w:val="true"/>
              </w:rPr>
              <w:t>:</w:t>
              <w:tab/>
            </w:r>
            <w:r>
              <w:rPr>
                <w:rStyle w:val="IndexLink"/>
              </w:rPr>
              <w:t>362</w:t>
            </w:r>
          </w:hyperlink>
        </w:p>
        <w:p>
          <w:pPr>
            <w:pStyle w:val="Contents4"/>
            <w:tabs>
              <w:tab w:val="clear" w:pos="8176"/>
              <w:tab w:val="right" w:pos="9026" w:leader="dot"/>
            </w:tabs>
            <w:rPr/>
          </w:pPr>
          <w:hyperlink w:anchor="__RefHeading___Toc4067131_3224264995">
            <w:r>
              <w:rPr>
                <w:webHidden/>
                <w:rStyle w:val="IndexLink"/>
                <w:rtl w:val="true"/>
              </w:rPr>
              <w:t>*</w:t>
            </w:r>
            <w:r>
              <w:rPr>
                <w:rStyle w:val="IndexLink"/>
                <w:rtl w:val="true"/>
              </w:rPr>
              <w:t>القرآن الکریم</w:t>
            </w:r>
            <w:r>
              <w:rPr>
                <w:rStyle w:val="IndexLink"/>
                <w:rtl w:val="true"/>
              </w:rPr>
              <w:t>.</w:t>
              <w:tab/>
            </w:r>
            <w:r>
              <w:rPr>
                <w:rStyle w:val="IndexLink"/>
              </w:rPr>
              <w:t>362</w:t>
            </w:r>
          </w:hyperlink>
        </w:p>
        <w:p>
          <w:pPr>
            <w:pStyle w:val="Contents2"/>
            <w:tabs>
              <w:tab w:val="clear" w:pos="8743"/>
              <w:tab w:val="right" w:pos="9026" w:leader="dot"/>
            </w:tabs>
            <w:rPr/>
          </w:pPr>
          <w:hyperlink w:anchor="__RefHeading___Toc4067133_3224264995">
            <w:r>
              <w:rPr>
                <w:webHidden/>
                <w:rStyle w:val="IndexLink"/>
                <w:rtl w:val="true"/>
              </w:rPr>
              <w:t>رساله طاهریّه</w:t>
            </w:r>
            <w:r>
              <w:rPr>
                <w:rStyle w:val="IndexLink"/>
                <w:rtl w:val="true"/>
              </w:rPr>
              <w:tab/>
            </w:r>
            <w:r>
              <w:rPr>
                <w:rStyle w:val="IndexLink"/>
              </w:rPr>
              <w:t>376</w:t>
            </w:r>
          </w:hyperlink>
        </w:p>
        <w:p>
          <w:pPr>
            <w:pStyle w:val="Contents3"/>
            <w:tabs>
              <w:tab w:val="clear" w:pos="8459"/>
              <w:tab w:val="right" w:pos="9026" w:leader="dot"/>
            </w:tabs>
            <w:rPr/>
          </w:pPr>
          <w:hyperlink w:anchor="__RefHeading___Toc4067135_3224264995">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4067137_3224264995">
            <w:r>
              <w:rPr>
                <w:webHidden/>
                <w:rStyle w:val="IndexLink"/>
                <w:rtl w:val="true"/>
              </w:rPr>
              <w:t>پیشگفتار پژوهنده</w:t>
            </w:r>
            <w:r>
              <w:rPr>
                <w:rStyle w:val="IndexLink"/>
                <w:rtl w:val="true"/>
              </w:rPr>
              <w:tab/>
            </w:r>
            <w:r>
              <w:rPr>
                <w:rStyle w:val="IndexLink"/>
              </w:rPr>
              <w:t>376</w:t>
            </w:r>
          </w:hyperlink>
        </w:p>
        <w:p>
          <w:pPr>
            <w:pStyle w:val="Contents3"/>
            <w:tabs>
              <w:tab w:val="clear" w:pos="8459"/>
              <w:tab w:val="right" w:pos="9026" w:leader="dot"/>
            </w:tabs>
            <w:rPr/>
          </w:pPr>
          <w:hyperlink w:anchor="__RefHeading___Toc4067139_3224264995">
            <w:r>
              <w:rPr>
                <w:webHidden/>
                <w:rStyle w:val="IndexLink"/>
                <w:rtl w:val="true"/>
              </w:rPr>
              <w:t>پینوشتهای پیشگفتار پژوهنده</w:t>
            </w:r>
            <w:r>
              <w:rPr>
                <w:rStyle w:val="IndexLink"/>
                <w:rtl w:val="true"/>
              </w:rPr>
              <w:tab/>
            </w:r>
            <w:r>
              <w:rPr>
                <w:rStyle w:val="IndexLink"/>
              </w:rPr>
              <w:t>384</w:t>
            </w:r>
          </w:hyperlink>
        </w:p>
        <w:p>
          <w:pPr>
            <w:pStyle w:val="Contents3"/>
            <w:tabs>
              <w:tab w:val="clear" w:pos="8459"/>
              <w:tab w:val="right" w:pos="9026" w:leader="dot"/>
            </w:tabs>
            <w:rPr/>
          </w:pPr>
          <w:hyperlink w:anchor="__RefHeading___Toc4067141_3224264995">
            <w:r>
              <w:rPr>
                <w:webHidden/>
                <w:rStyle w:val="IndexLink"/>
                <w:rtl w:val="true"/>
              </w:rPr>
              <w:t>[</w:t>
            </w:r>
            <w:r>
              <w:rPr>
                <w:rStyle w:val="IndexLink"/>
                <w:rtl w:val="true"/>
              </w:rPr>
              <w:t>خطبه کتاب</w:t>
            </w:r>
            <w:r>
              <w:rPr>
                <w:rStyle w:val="IndexLink"/>
                <w:rtl w:val="true"/>
              </w:rPr>
              <w:t>]</w:t>
              <w:tab/>
            </w:r>
            <w:r>
              <w:rPr>
                <w:rStyle w:val="IndexLink"/>
              </w:rPr>
              <w:t>390</w:t>
            </w:r>
          </w:hyperlink>
        </w:p>
        <w:p>
          <w:pPr>
            <w:pStyle w:val="Contents3"/>
            <w:tabs>
              <w:tab w:val="clear" w:pos="8459"/>
              <w:tab w:val="right" w:pos="9026" w:leader="dot"/>
            </w:tabs>
            <w:rPr/>
          </w:pPr>
          <w:hyperlink w:anchor="__RefHeading___Toc4067143_3224264995">
            <w:r>
              <w:rPr>
                <w:webHidden/>
                <w:rStyle w:val="IndexLink"/>
                <w:rtl w:val="true"/>
              </w:rPr>
              <w:t>أمّا مقدّمه</w:t>
            </w:r>
            <w:r>
              <w:rPr>
                <w:rStyle w:val="IndexLink"/>
                <w:rtl w:val="true"/>
              </w:rPr>
              <w:t>:</w:t>
            </w:r>
            <w:r>
              <w:rPr>
                <w:rStyle w:val="IndexLink"/>
                <w:rtl w:val="true"/>
              </w:rPr>
              <w:t>در بیان این �که اختلاف در فروع موجب قدح و ضرر نیست</w:t>
            </w:r>
            <w:r>
              <w:rPr>
                <w:rStyle w:val="IndexLink"/>
                <w:rtl w:val="true"/>
              </w:rPr>
              <w:tab/>
            </w:r>
            <w:r>
              <w:rPr>
                <w:rStyle w:val="IndexLink"/>
              </w:rPr>
              <w:t>391</w:t>
            </w:r>
          </w:hyperlink>
        </w:p>
        <w:p>
          <w:pPr>
            <w:pStyle w:val="Contents3"/>
            <w:tabs>
              <w:tab w:val="clear" w:pos="8459"/>
              <w:tab w:val="right" w:pos="9026" w:leader="dot"/>
            </w:tabs>
            <w:rPr/>
          </w:pPr>
          <w:hyperlink w:anchor="__RefHeading___Toc4067145_3224264995">
            <w:r>
              <w:rPr>
                <w:webHidden/>
                <w:rStyle w:val="IndexLink"/>
                <w:rtl w:val="true"/>
              </w:rPr>
              <w:t>[</w:t>
            </w:r>
            <w:r>
              <w:rPr>
                <w:rStyle w:val="IndexLink"/>
                <w:rtl w:val="true"/>
              </w:rPr>
              <w:t>طهارت خون أنوار مقدّسه إلهیّه</w:t>
            </w:r>
            <w:r>
              <w:rPr>
                <w:rStyle w:val="IndexLink"/>
                <w:rtl w:val="true"/>
              </w:rPr>
              <w:t>]</w:t>
              <w:tab/>
            </w:r>
            <w:r>
              <w:rPr>
                <w:rStyle w:val="IndexLink"/>
              </w:rPr>
              <w:t>406</w:t>
            </w:r>
          </w:hyperlink>
        </w:p>
        <w:p>
          <w:pPr>
            <w:pStyle w:val="Contents4"/>
            <w:tabs>
              <w:tab w:val="clear" w:pos="8176"/>
              <w:tab w:val="right" w:pos="9026" w:leader="dot"/>
            </w:tabs>
            <w:rPr/>
          </w:pPr>
          <w:hyperlink w:anchor="__RefHeading___Toc4067147_3224264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4067149_3224264995">
            <w:r>
              <w:rPr>
                <w:webHidden/>
                <w:rStyle w:val="IndexLink"/>
                <w:rtl w:val="true"/>
              </w:rPr>
              <w:t>[</w:t>
            </w:r>
            <w:r>
              <w:rPr>
                <w:rStyle w:val="IndexLink"/>
                <w:rtl w:val="true"/>
              </w:rPr>
              <w:t>ادله طهارت</w:t>
            </w:r>
            <w:r>
              <w:rPr>
                <w:rStyle w:val="IndexLink"/>
                <w:rtl w:val="true"/>
              </w:rPr>
              <w:t>]</w:t>
              <w:tab/>
            </w:r>
            <w:r>
              <w:rPr>
                <w:rStyle w:val="IndexLink"/>
              </w:rPr>
              <w:t>418</w:t>
            </w:r>
          </w:hyperlink>
        </w:p>
        <w:p>
          <w:pPr>
            <w:pStyle w:val="Contents3"/>
            <w:tabs>
              <w:tab w:val="clear" w:pos="8459"/>
              <w:tab w:val="right" w:pos="9026" w:leader="dot"/>
            </w:tabs>
            <w:rPr/>
          </w:pPr>
          <w:hyperlink w:anchor="__RefHeading___Toc4067151_3224264995">
            <w:r>
              <w:rPr>
                <w:webHidden/>
                <w:rStyle w:val="IndexLink"/>
                <w:rtl w:val="true"/>
              </w:rPr>
              <w:t>کتابنامه پژوهش</w:t>
            </w:r>
            <w:r>
              <w:rPr>
                <w:rStyle w:val="IndexLink"/>
                <w:rtl w:val="true"/>
              </w:rPr>
              <w:tab/>
            </w:r>
            <w:r>
              <w:rPr>
                <w:rStyle w:val="IndexLink"/>
              </w:rPr>
              <w:t>454</w:t>
            </w:r>
          </w:hyperlink>
        </w:p>
        <w:p>
          <w:pPr>
            <w:pStyle w:val="Contents2"/>
            <w:tabs>
              <w:tab w:val="clear" w:pos="8743"/>
              <w:tab w:val="right" w:pos="9026" w:leader="dot"/>
            </w:tabs>
            <w:rPr/>
          </w:pPr>
          <w:hyperlink w:anchor="__RefHeading___Toc4067153_3224264995">
            <w:r>
              <w:rPr>
                <w:webHidden/>
                <w:rStyle w:val="IndexLink"/>
                <w:rtl w:val="true"/>
              </w:rPr>
              <w:t>رساله ألانوار اللاّمعة لزوار الجامعة</w:t>
            </w:r>
            <w:r>
              <w:rPr>
                <w:rStyle w:val="IndexLink"/>
                <w:rtl w:val="true"/>
              </w:rPr>
              <w:tab/>
            </w:r>
            <w:r>
              <w:rPr>
                <w:rStyle w:val="IndexLink"/>
              </w:rPr>
              <w:t>476</w:t>
            </w:r>
          </w:hyperlink>
        </w:p>
        <w:p>
          <w:pPr>
            <w:pStyle w:val="Contents3"/>
            <w:tabs>
              <w:tab w:val="clear" w:pos="8459"/>
              <w:tab w:val="right" w:pos="9026" w:leader="dot"/>
            </w:tabs>
            <w:rPr/>
          </w:pPr>
          <w:hyperlink w:anchor="__RefHeading___Toc4067155_3224264995">
            <w:r>
              <w:rPr>
                <w:webHidden/>
                <w:rStyle w:val="IndexLink"/>
                <w:rtl w:val="true"/>
              </w:rPr>
              <w:t>اشاره</w:t>
            </w:r>
            <w:r>
              <w:rPr>
                <w:rStyle w:val="IndexLink"/>
                <w:rtl w:val="true"/>
              </w:rPr>
              <w:tab/>
            </w:r>
            <w:r>
              <w:rPr>
                <w:rStyle w:val="IndexLink"/>
              </w:rPr>
              <w:t>476</w:t>
            </w:r>
          </w:hyperlink>
        </w:p>
        <w:p>
          <w:pPr>
            <w:pStyle w:val="Contents3"/>
            <w:tabs>
              <w:tab w:val="clear" w:pos="8459"/>
              <w:tab w:val="right" w:pos="9026" w:leader="dot"/>
            </w:tabs>
            <w:rPr/>
          </w:pPr>
          <w:hyperlink w:anchor="__RefHeading___Toc4067157_3224264995">
            <w:r>
              <w:rPr>
                <w:webHidden/>
                <w:rStyle w:val="IndexLink"/>
                <w:rtl w:val="true"/>
              </w:rPr>
              <w:t>مقدمه</w:t>
            </w:r>
            <w:r>
              <w:rPr>
                <w:rStyle w:val="IndexLink"/>
                <w:rtl w:val="true"/>
              </w:rPr>
              <w:tab/>
            </w:r>
            <w:r>
              <w:rPr>
                <w:rStyle w:val="IndexLink"/>
              </w:rPr>
              <w:t>476</w:t>
            </w:r>
          </w:hyperlink>
        </w:p>
        <w:p>
          <w:pPr>
            <w:pStyle w:val="Contents4"/>
            <w:tabs>
              <w:tab w:val="clear" w:pos="8176"/>
              <w:tab w:val="right" w:pos="9026" w:leader="dot"/>
            </w:tabs>
            <w:rPr/>
          </w:pPr>
          <w:hyperlink w:anchor="__RefHeading___Toc4067159_3224264995">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4067161_3224264995">
            <w:r>
              <w:rPr>
                <w:webHidden/>
                <w:rStyle w:val="IndexLink"/>
                <w:rtl w:val="true"/>
              </w:rPr>
              <w:t>زیارت جامعه و پژوهش‌های پیرامون آن</w:t>
            </w:r>
            <w:r>
              <w:rPr>
                <w:rStyle w:val="IndexLink"/>
                <w:rtl w:val="true"/>
              </w:rPr>
              <w:tab/>
            </w:r>
            <w:r>
              <w:rPr>
                <w:rStyle w:val="IndexLink"/>
              </w:rPr>
              <w:t>477</w:t>
            </w:r>
          </w:hyperlink>
        </w:p>
        <w:p>
          <w:pPr>
            <w:pStyle w:val="Contents4"/>
            <w:tabs>
              <w:tab w:val="clear" w:pos="8176"/>
              <w:tab w:val="right" w:pos="9026" w:leader="dot"/>
            </w:tabs>
            <w:rPr/>
          </w:pPr>
          <w:hyperlink w:anchor="__RefHeading___Toc4067163_3224264995">
            <w:r>
              <w:rPr>
                <w:webHidden/>
                <w:rStyle w:val="IndexLink"/>
                <w:rtl w:val="true"/>
              </w:rPr>
              <w:t>بررسی سندی زیارت جامعه کبیره</w:t>
            </w:r>
            <w:r>
              <w:rPr>
                <w:rStyle w:val="IndexLink"/>
                <w:rtl w:val="true"/>
              </w:rPr>
              <w:tab/>
            </w:r>
            <w:r>
              <w:rPr>
                <w:rStyle w:val="IndexLink"/>
              </w:rPr>
              <w:t>478</w:t>
            </w:r>
          </w:hyperlink>
        </w:p>
        <w:p>
          <w:pPr>
            <w:pStyle w:val="Contents4"/>
            <w:tabs>
              <w:tab w:val="clear" w:pos="8176"/>
              <w:tab w:val="right" w:pos="9026" w:leader="dot"/>
            </w:tabs>
            <w:rPr/>
          </w:pPr>
          <w:hyperlink w:anchor="__RefHeading___Toc4067165_3224264995">
            <w:r>
              <w:rPr>
                <w:webHidden/>
                <w:rStyle w:val="IndexLink"/>
                <w:rtl w:val="true"/>
              </w:rPr>
              <w:t>شرح زیارت جامعه مختاری نائینی</w:t>
            </w:r>
            <w:r>
              <w:rPr>
                <w:rStyle w:val="IndexLink"/>
                <w:rtl w:val="true"/>
              </w:rPr>
              <w:tab/>
            </w:r>
            <w:r>
              <w:rPr>
                <w:rStyle w:val="IndexLink"/>
              </w:rPr>
              <w:t>488</w:t>
            </w:r>
          </w:hyperlink>
        </w:p>
        <w:p>
          <w:pPr>
            <w:pStyle w:val="Contents4"/>
            <w:tabs>
              <w:tab w:val="clear" w:pos="8176"/>
              <w:tab w:val="right" w:pos="9026" w:leader="dot"/>
            </w:tabs>
            <w:rPr/>
          </w:pPr>
          <w:hyperlink w:anchor="__RefHeading___Toc4067167_3224264995">
            <w:r>
              <w:rPr>
                <w:webHidden/>
                <w:rStyle w:val="IndexLink"/>
                <w:rtl w:val="true"/>
              </w:rPr>
              <w:t>شیوه تصحیح و تحقیق</w:t>
            </w:r>
            <w:r>
              <w:rPr>
                <w:rStyle w:val="IndexLink"/>
                <w:rtl w:val="true"/>
              </w:rPr>
              <w:tab/>
            </w:r>
            <w:r>
              <w:rPr>
                <w:rStyle w:val="IndexLink"/>
              </w:rPr>
              <w:t>489</w:t>
            </w:r>
          </w:hyperlink>
        </w:p>
        <w:p>
          <w:pPr>
            <w:pStyle w:val="Contents4"/>
            <w:tabs>
              <w:tab w:val="clear" w:pos="8176"/>
              <w:tab w:val="right" w:pos="9026" w:leader="dot"/>
            </w:tabs>
            <w:rPr/>
          </w:pPr>
          <w:hyperlink w:anchor="__RefHeading___Toc4067169_3224264995">
            <w:r>
              <w:rPr>
                <w:webHidden/>
                <w:rStyle w:val="IndexLink"/>
                <w:rtl w:val="true"/>
              </w:rPr>
              <w:t>زندگی‌نامه و حیات علمی و آثار مختاری نائینی</w:t>
            </w:r>
            <w:r>
              <w:rPr>
                <w:rStyle w:val="IndexLink"/>
                <w:rtl w:val="true"/>
              </w:rPr>
              <w:tab/>
            </w:r>
            <w:r>
              <w:rPr>
                <w:rStyle w:val="IndexLink"/>
              </w:rPr>
              <w:t>490</w:t>
            </w:r>
          </w:hyperlink>
        </w:p>
        <w:p>
          <w:pPr>
            <w:pStyle w:val="Contents5"/>
            <w:tabs>
              <w:tab w:val="clear" w:pos="7892"/>
              <w:tab w:val="right" w:pos="9026" w:leader="dot"/>
            </w:tabs>
            <w:rPr/>
          </w:pPr>
          <w:hyperlink w:anchor="__RefHeading___Toc4067171_3224264995">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4067173_3224264995">
            <w:r>
              <w:rPr>
                <w:webHidden/>
                <w:rStyle w:val="IndexLink"/>
                <w:rtl w:val="true"/>
              </w:rPr>
              <w:t>آثار و تألیفات</w:t>
            </w:r>
            <w:r>
              <w:rPr>
                <w:rStyle w:val="IndexLink"/>
                <w:rtl w:val="true"/>
              </w:rPr>
              <w:tab/>
            </w:r>
            <w:r>
              <w:rPr>
                <w:rStyle w:val="IndexLink"/>
              </w:rPr>
              <w:t>490</w:t>
            </w:r>
          </w:hyperlink>
        </w:p>
        <w:p>
          <w:pPr>
            <w:pStyle w:val="Contents5"/>
            <w:tabs>
              <w:tab w:val="clear" w:pos="7892"/>
              <w:tab w:val="right" w:pos="9026" w:leader="dot"/>
            </w:tabs>
            <w:rPr/>
          </w:pPr>
          <w:hyperlink w:anchor="__RefHeading___Toc4067175_3224264995">
            <w:r>
              <w:rPr>
                <w:webHidden/>
                <w:rStyle w:val="IndexLink"/>
                <w:rtl w:val="true"/>
              </w:rPr>
              <w:t>وفات</w:t>
            </w:r>
            <w:r>
              <w:rPr>
                <w:rStyle w:val="IndexLink"/>
                <w:rtl w:val="true"/>
              </w:rPr>
              <w:tab/>
            </w:r>
            <w:r>
              <w:rPr>
                <w:rStyle w:val="IndexLink"/>
              </w:rPr>
              <w:t>492</w:t>
            </w:r>
          </w:hyperlink>
        </w:p>
        <w:p>
          <w:pPr>
            <w:pStyle w:val="Contents3"/>
            <w:tabs>
              <w:tab w:val="clear" w:pos="8459"/>
              <w:tab w:val="right" w:pos="9026" w:leader="dot"/>
            </w:tabs>
            <w:rPr/>
          </w:pPr>
          <w:hyperlink w:anchor="__RefHeading___Toc4067177_3224264995">
            <w:r>
              <w:rPr>
                <w:webHidden/>
                <w:rStyle w:val="IndexLink"/>
                <w:rtl w:val="true"/>
              </w:rPr>
              <w:t>[</w:t>
            </w:r>
            <w:r>
              <w:rPr>
                <w:rStyle w:val="IndexLink"/>
                <w:rtl w:val="true"/>
              </w:rPr>
              <w:t>خطبه الکتاب</w:t>
            </w:r>
            <w:r>
              <w:rPr>
                <w:rStyle w:val="IndexLink"/>
                <w:rtl w:val="true"/>
              </w:rPr>
              <w:t>]</w:t>
              <w:tab/>
            </w:r>
            <w:r>
              <w:rPr>
                <w:rStyle w:val="IndexLink"/>
              </w:rPr>
              <w:t>498</w:t>
            </w:r>
          </w:hyperlink>
        </w:p>
        <w:p>
          <w:pPr>
            <w:pStyle w:val="Contents3"/>
            <w:tabs>
              <w:tab w:val="clear" w:pos="8459"/>
              <w:tab w:val="right" w:pos="9026" w:leader="dot"/>
            </w:tabs>
            <w:rPr/>
          </w:pPr>
          <w:hyperlink w:anchor="__RefHeading___Toc4067179_3224264995">
            <w:r>
              <w:rPr>
                <w:webHidden/>
                <w:rStyle w:val="IndexLink"/>
                <w:rtl w:val="true"/>
              </w:rPr>
              <w:t>[</w:t>
            </w:r>
            <w:r>
              <w:rPr>
                <w:rStyle w:val="IndexLink"/>
                <w:rtl w:val="true"/>
              </w:rPr>
              <w:t>نبذة من أحوال مولانا علی بن محمد الهادی علیهما السّلام</w:t>
            </w:r>
            <w:r>
              <w:rPr>
                <w:rStyle w:val="IndexLink"/>
                <w:rtl w:val="true"/>
              </w:rPr>
              <w:t>]</w:t>
              <w:tab/>
            </w:r>
            <w:r>
              <w:rPr>
                <w:rStyle w:val="IndexLink"/>
              </w:rPr>
              <w:t>500</w:t>
            </w:r>
          </w:hyperlink>
        </w:p>
        <w:p>
          <w:pPr>
            <w:pStyle w:val="Contents4"/>
            <w:tabs>
              <w:tab w:val="clear" w:pos="8176"/>
              <w:tab w:val="right" w:pos="9026" w:leader="dot"/>
            </w:tabs>
            <w:rPr/>
          </w:pPr>
          <w:hyperlink w:anchor="__RefHeading___Toc4067181_3224264995">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4067183_3224264995">
            <w:r>
              <w:rPr>
                <w:webHidden/>
                <w:rStyle w:val="IndexLink"/>
                <w:rtl w:val="true"/>
              </w:rPr>
              <w:t>و امّا مناقبه علیه السّلام</w:t>
            </w:r>
            <w:r>
              <w:rPr>
                <w:rStyle w:val="IndexLink"/>
                <w:rtl w:val="true"/>
              </w:rPr>
              <w:t>:</w:t>
              <w:tab/>
            </w:r>
            <w:r>
              <w:rPr>
                <w:rStyle w:val="IndexLink"/>
              </w:rPr>
              <w:t>501</w:t>
            </w:r>
          </w:hyperlink>
        </w:p>
        <w:p>
          <w:pPr>
            <w:pStyle w:val="Contents4"/>
            <w:tabs>
              <w:tab w:val="clear" w:pos="8176"/>
              <w:tab w:val="right" w:pos="9026" w:leader="dot"/>
            </w:tabs>
            <w:rPr/>
          </w:pPr>
          <w:hyperlink w:anchor="__RefHeading___Toc4067185_3224264995">
            <w:r>
              <w:rPr>
                <w:webHidden/>
                <w:rStyle w:val="IndexLink"/>
                <w:rtl w:val="true"/>
              </w:rPr>
              <w:t>و أما کراماته و معجزاته</w:t>
            </w:r>
            <w:r>
              <w:rPr>
                <w:rStyle w:val="IndexLink"/>
                <w:rtl w:val="true"/>
              </w:rPr>
              <w:tab/>
            </w:r>
            <w:r>
              <w:rPr>
                <w:rStyle w:val="IndexLink"/>
              </w:rPr>
              <w:t>502</w:t>
            </w:r>
          </w:hyperlink>
        </w:p>
        <w:p>
          <w:pPr>
            <w:pStyle w:val="Contents3"/>
            <w:tabs>
              <w:tab w:val="clear" w:pos="8459"/>
              <w:tab w:val="right" w:pos="9026" w:leader="dot"/>
            </w:tabs>
            <w:rPr/>
          </w:pPr>
          <w:hyperlink w:anchor="__RefHeading___Toc4067187_3224264995">
            <w:r>
              <w:rPr>
                <w:webHidden/>
                <w:rStyle w:val="IndexLink"/>
                <w:rtl w:val="true"/>
              </w:rPr>
              <w:t>[</w:t>
            </w:r>
            <w:r>
              <w:rPr>
                <w:rStyle w:val="IndexLink"/>
                <w:rtl w:val="true"/>
              </w:rPr>
              <w:t>الزیارة الجامعة الکبیرة</w:t>
            </w:r>
            <w:r>
              <w:rPr>
                <w:rStyle w:val="IndexLink"/>
                <w:rtl w:val="true"/>
              </w:rPr>
              <w:t>]</w:t>
              <w:tab/>
            </w:r>
            <w:r>
              <w:rPr>
                <w:rStyle w:val="IndexLink"/>
              </w:rPr>
              <w:t>508</w:t>
            </w:r>
          </w:hyperlink>
        </w:p>
        <w:p>
          <w:pPr>
            <w:pStyle w:val="Contents4"/>
            <w:tabs>
              <w:tab w:val="clear" w:pos="8176"/>
              <w:tab w:val="right" w:pos="9026" w:leader="dot"/>
            </w:tabs>
            <w:rPr/>
          </w:pPr>
          <w:hyperlink w:anchor="__RefHeading___Toc4067189_3224264995">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4067191_3224264995">
            <w:r>
              <w:rPr>
                <w:webHidden/>
                <w:rStyle w:val="IndexLink"/>
                <w:rtl w:val="true"/>
              </w:rPr>
              <w:t>[</w:t>
            </w:r>
            <w:r>
              <w:rPr>
                <w:rStyle w:val="IndexLink"/>
                <w:rtl w:val="true"/>
              </w:rPr>
              <w:t>السلام علیکم یا اهل بیت النبوة</w:t>
            </w:r>
            <w:r>
              <w:rPr>
                <w:rStyle w:val="IndexLink"/>
                <w:rtl w:val="true"/>
              </w:rPr>
              <w:t>]</w:t>
              <w:tab/>
            </w:r>
            <w:r>
              <w:rPr>
                <w:rStyle w:val="IndexLink"/>
              </w:rPr>
              <w:t>510</w:t>
            </w:r>
          </w:hyperlink>
        </w:p>
        <w:p>
          <w:pPr>
            <w:pStyle w:val="Contents4"/>
            <w:tabs>
              <w:tab w:val="clear" w:pos="8176"/>
              <w:tab w:val="right" w:pos="9026" w:leader="dot"/>
            </w:tabs>
            <w:rPr/>
          </w:pPr>
          <w:hyperlink w:anchor="__RefHeading___Toc4067193_3224264995">
            <w:r>
              <w:rPr>
                <w:webHidden/>
                <w:rStyle w:val="IndexLink"/>
                <w:rtl w:val="true"/>
              </w:rPr>
              <w:t>«</w:t>
            </w:r>
            <w:r>
              <w:rPr>
                <w:rStyle w:val="IndexLink"/>
                <w:rtl w:val="true"/>
              </w:rPr>
              <w:t>و معدن</w:t>
            </w:r>
            <w:r>
              <w:rPr>
                <w:rStyle w:val="IndexLink"/>
                <w:rtl w:val="true"/>
              </w:rPr>
              <w:t>» [</w:t>
            </w:r>
            <w:r>
              <w:rPr>
                <w:rStyle w:val="IndexLink"/>
                <w:rtl w:val="true"/>
              </w:rPr>
              <w:t>الرسالة</w:t>
            </w:r>
            <w:r>
              <w:rPr>
                <w:rStyle w:val="IndexLink"/>
                <w:rtl w:val="true"/>
              </w:rPr>
              <w:t>]</w:t>
              <w:tab/>
            </w:r>
            <w:r>
              <w:rPr>
                <w:rStyle w:val="IndexLink"/>
              </w:rPr>
              <w:t>513</w:t>
            </w:r>
          </w:hyperlink>
        </w:p>
        <w:p>
          <w:pPr>
            <w:pStyle w:val="Contents4"/>
            <w:tabs>
              <w:tab w:val="clear" w:pos="8176"/>
              <w:tab w:val="right" w:pos="9026" w:leader="dot"/>
            </w:tabs>
            <w:rPr/>
          </w:pPr>
          <w:hyperlink w:anchor="__RefHeading___Toc4067195_3224264995">
            <w:r>
              <w:rPr>
                <w:webHidden/>
                <w:rStyle w:val="IndexLink"/>
                <w:rtl w:val="true"/>
              </w:rPr>
              <w:t>«</w:t>
            </w:r>
            <w:r>
              <w:rPr>
                <w:rStyle w:val="IndexLink"/>
                <w:rtl w:val="true"/>
              </w:rPr>
              <w:t>و مختلف الملائکة</w:t>
            </w:r>
            <w:r>
              <w:rPr>
                <w:rStyle w:val="IndexLink"/>
                <w:rtl w:val="true"/>
              </w:rPr>
              <w:t>»</w:t>
              <w:tab/>
            </w:r>
            <w:r>
              <w:rPr>
                <w:rStyle w:val="IndexLink"/>
              </w:rPr>
              <w:t>513</w:t>
            </w:r>
          </w:hyperlink>
        </w:p>
        <w:p>
          <w:pPr>
            <w:pStyle w:val="Contents4"/>
            <w:tabs>
              <w:tab w:val="clear" w:pos="8176"/>
              <w:tab w:val="right" w:pos="9026" w:leader="dot"/>
            </w:tabs>
            <w:rPr/>
          </w:pPr>
          <w:hyperlink w:anchor="__RefHeading___Toc4067197_3224264995">
            <w:r>
              <w:rPr>
                <w:webHidden/>
                <w:rStyle w:val="IndexLink"/>
                <w:rtl w:val="true"/>
              </w:rPr>
              <w:t>«</w:t>
            </w:r>
            <w:r>
              <w:rPr>
                <w:rStyle w:val="IndexLink"/>
                <w:rtl w:val="true"/>
              </w:rPr>
              <w:t>و مهبط الوحی</w:t>
            </w:r>
            <w:r>
              <w:rPr>
                <w:rStyle w:val="IndexLink"/>
                <w:rtl w:val="true"/>
              </w:rPr>
              <w:t>»</w:t>
              <w:tab/>
            </w:r>
            <w:r>
              <w:rPr>
                <w:rStyle w:val="IndexLink"/>
              </w:rPr>
              <w:t>513</w:t>
            </w:r>
          </w:hyperlink>
        </w:p>
        <w:p>
          <w:pPr>
            <w:pStyle w:val="Contents4"/>
            <w:tabs>
              <w:tab w:val="clear" w:pos="8176"/>
              <w:tab w:val="right" w:pos="9026" w:leader="dot"/>
            </w:tabs>
            <w:rPr/>
          </w:pPr>
          <w:hyperlink w:anchor="__RefHeading___Toc4067199_3224264995">
            <w:r>
              <w:rPr>
                <w:webHidden/>
                <w:rStyle w:val="IndexLink"/>
                <w:rtl w:val="true"/>
              </w:rPr>
              <w:t>«</w:t>
            </w:r>
            <w:r>
              <w:rPr>
                <w:rStyle w:val="IndexLink"/>
                <w:rtl w:val="true"/>
              </w:rPr>
              <w:t>و معدن الرحمة</w:t>
            </w:r>
            <w:r>
              <w:rPr>
                <w:rStyle w:val="IndexLink"/>
                <w:rtl w:val="true"/>
              </w:rPr>
              <w:t>»</w:t>
              <w:tab/>
            </w:r>
            <w:r>
              <w:rPr>
                <w:rStyle w:val="IndexLink"/>
              </w:rPr>
              <w:t>518</w:t>
            </w:r>
          </w:hyperlink>
        </w:p>
        <w:p>
          <w:pPr>
            <w:pStyle w:val="Contents4"/>
            <w:tabs>
              <w:tab w:val="clear" w:pos="8176"/>
              <w:tab w:val="right" w:pos="9026" w:leader="dot"/>
            </w:tabs>
            <w:rPr/>
          </w:pPr>
          <w:hyperlink w:anchor="__RefHeading___Toc4067201_3224264995">
            <w:r>
              <w:rPr>
                <w:webHidden/>
                <w:rStyle w:val="IndexLink"/>
                <w:rtl w:val="true"/>
              </w:rPr>
              <w:t>«</w:t>
            </w:r>
            <w:r>
              <w:rPr>
                <w:rStyle w:val="IndexLink"/>
                <w:rtl w:val="true"/>
              </w:rPr>
              <w:t>و خزّان</w:t>
            </w:r>
            <w:r>
              <w:rPr>
                <w:rStyle w:val="IndexLink"/>
                <w:rtl w:val="true"/>
              </w:rPr>
              <w:t>» [</w:t>
            </w:r>
            <w:r>
              <w:rPr>
                <w:rStyle w:val="IndexLink"/>
                <w:rtl w:val="true"/>
              </w:rPr>
              <w:t>العلم</w:t>
            </w:r>
            <w:r>
              <w:rPr>
                <w:rStyle w:val="IndexLink"/>
                <w:rtl w:val="true"/>
              </w:rPr>
              <w:t>]</w:t>
              <w:tab/>
            </w:r>
            <w:r>
              <w:rPr>
                <w:rStyle w:val="IndexLink"/>
              </w:rPr>
              <w:t>518</w:t>
            </w:r>
          </w:hyperlink>
        </w:p>
        <w:p>
          <w:pPr>
            <w:pStyle w:val="Contents4"/>
            <w:tabs>
              <w:tab w:val="clear" w:pos="8176"/>
              <w:tab w:val="right" w:pos="9026" w:leader="dot"/>
            </w:tabs>
            <w:rPr/>
          </w:pPr>
          <w:hyperlink w:anchor="__RefHeading___Toc4067203_3224264995">
            <w:r>
              <w:rPr>
                <w:webHidden/>
                <w:rStyle w:val="IndexLink"/>
                <w:rtl w:val="true"/>
              </w:rPr>
              <w:t>«</w:t>
            </w:r>
            <w:r>
              <w:rPr>
                <w:rStyle w:val="IndexLink"/>
                <w:rtl w:val="true"/>
              </w:rPr>
              <w:t>و منتهی الحلم</w:t>
            </w:r>
            <w:r>
              <w:rPr>
                <w:rStyle w:val="IndexLink"/>
                <w:rtl w:val="true"/>
              </w:rPr>
              <w:t>»</w:t>
              <w:tab/>
            </w:r>
            <w:r>
              <w:rPr>
                <w:rStyle w:val="IndexLink"/>
              </w:rPr>
              <w:t>518</w:t>
            </w:r>
          </w:hyperlink>
        </w:p>
        <w:p>
          <w:pPr>
            <w:pStyle w:val="Contents4"/>
            <w:tabs>
              <w:tab w:val="clear" w:pos="8176"/>
              <w:tab w:val="right" w:pos="9026" w:leader="dot"/>
            </w:tabs>
            <w:rPr/>
          </w:pPr>
          <w:hyperlink w:anchor="__RefHeading___Toc4067205_3224264995">
            <w:r>
              <w:rPr>
                <w:webHidden/>
                <w:rStyle w:val="IndexLink"/>
                <w:rtl w:val="true"/>
              </w:rPr>
              <w:t>«</w:t>
            </w:r>
            <w:r>
              <w:rPr>
                <w:rStyle w:val="IndexLink"/>
                <w:rtl w:val="true"/>
              </w:rPr>
              <w:t>و اصول الکرم</w:t>
            </w:r>
            <w:r>
              <w:rPr>
                <w:rStyle w:val="IndexLink"/>
                <w:rtl w:val="true"/>
              </w:rPr>
              <w:t>»</w:t>
              <w:tab/>
            </w:r>
            <w:r>
              <w:rPr>
                <w:rStyle w:val="IndexLink"/>
              </w:rPr>
              <w:t>519</w:t>
            </w:r>
          </w:hyperlink>
        </w:p>
        <w:p>
          <w:pPr>
            <w:pStyle w:val="Contents4"/>
            <w:tabs>
              <w:tab w:val="clear" w:pos="8176"/>
              <w:tab w:val="right" w:pos="9026" w:leader="dot"/>
            </w:tabs>
            <w:rPr/>
          </w:pPr>
          <w:hyperlink w:anchor="__RefHeading___Toc4067207_3224264995">
            <w:r>
              <w:rPr>
                <w:webHidden/>
                <w:rStyle w:val="IndexLink"/>
                <w:rtl w:val="true"/>
              </w:rPr>
              <w:t>«</w:t>
            </w:r>
            <w:r>
              <w:rPr>
                <w:rStyle w:val="IndexLink"/>
                <w:rtl w:val="true"/>
              </w:rPr>
              <w:t>و قادة</w:t>
            </w:r>
            <w:r>
              <w:rPr>
                <w:rStyle w:val="IndexLink"/>
                <w:rtl w:val="true"/>
              </w:rPr>
              <w:t>» [</w:t>
            </w:r>
            <w:r>
              <w:rPr>
                <w:rStyle w:val="IndexLink"/>
                <w:rtl w:val="true"/>
              </w:rPr>
              <w:t>الأمم</w:t>
            </w:r>
            <w:r>
              <w:rPr>
                <w:rStyle w:val="IndexLink"/>
                <w:rtl w:val="true"/>
              </w:rPr>
              <w:t>]</w:t>
              <w:tab/>
            </w:r>
            <w:r>
              <w:rPr>
                <w:rStyle w:val="IndexLink"/>
              </w:rPr>
              <w:t>519</w:t>
            </w:r>
          </w:hyperlink>
        </w:p>
        <w:p>
          <w:pPr>
            <w:pStyle w:val="Contents4"/>
            <w:tabs>
              <w:tab w:val="clear" w:pos="8176"/>
              <w:tab w:val="right" w:pos="9026" w:leader="dot"/>
            </w:tabs>
            <w:rPr/>
          </w:pPr>
          <w:hyperlink w:anchor="__RefHeading___Toc4067209_3224264995">
            <w:r>
              <w:rPr>
                <w:webHidden/>
                <w:rStyle w:val="IndexLink"/>
                <w:rtl w:val="true"/>
              </w:rPr>
              <w:t>«</w:t>
            </w:r>
            <w:r>
              <w:rPr>
                <w:rStyle w:val="IndexLink"/>
                <w:rtl w:val="true"/>
              </w:rPr>
              <w:t>و أولیاء النعم</w:t>
            </w:r>
            <w:r>
              <w:rPr>
                <w:rStyle w:val="IndexLink"/>
                <w:rtl w:val="true"/>
              </w:rPr>
              <w:t>»</w:t>
              <w:tab/>
            </w:r>
            <w:r>
              <w:rPr>
                <w:rStyle w:val="IndexLink"/>
              </w:rPr>
              <w:t>519</w:t>
            </w:r>
          </w:hyperlink>
        </w:p>
        <w:p>
          <w:pPr>
            <w:pStyle w:val="Contents4"/>
            <w:tabs>
              <w:tab w:val="clear" w:pos="8176"/>
              <w:tab w:val="right" w:pos="9026" w:leader="dot"/>
            </w:tabs>
            <w:rPr/>
          </w:pPr>
          <w:hyperlink w:anchor="__RefHeading___Toc4067211_3224264995">
            <w:r>
              <w:rPr>
                <w:webHidden/>
                <w:rStyle w:val="IndexLink"/>
                <w:rtl w:val="true"/>
              </w:rPr>
              <w:t>«</w:t>
            </w:r>
            <w:r>
              <w:rPr>
                <w:rStyle w:val="IndexLink"/>
                <w:rtl w:val="true"/>
              </w:rPr>
              <w:t>و عناصر</w:t>
            </w:r>
            <w:r>
              <w:rPr>
                <w:rStyle w:val="IndexLink"/>
                <w:rtl w:val="true"/>
              </w:rPr>
              <w:t>» [</w:t>
            </w:r>
            <w:r>
              <w:rPr>
                <w:rStyle w:val="IndexLink"/>
                <w:rtl w:val="true"/>
              </w:rPr>
              <w:t>الأبرار</w:t>
            </w:r>
            <w:r>
              <w:rPr>
                <w:rStyle w:val="IndexLink"/>
                <w:rtl w:val="true"/>
              </w:rPr>
              <w:t>]</w:t>
              <w:tab/>
            </w:r>
            <w:r>
              <w:rPr>
                <w:rStyle w:val="IndexLink"/>
              </w:rPr>
              <w:t>520</w:t>
            </w:r>
          </w:hyperlink>
        </w:p>
        <w:p>
          <w:pPr>
            <w:pStyle w:val="Contents4"/>
            <w:tabs>
              <w:tab w:val="clear" w:pos="8176"/>
              <w:tab w:val="right" w:pos="9026" w:leader="dot"/>
            </w:tabs>
            <w:rPr/>
          </w:pPr>
          <w:hyperlink w:anchor="__RefHeading___Toc4067213_3224264995">
            <w:r>
              <w:rPr>
                <w:webHidden/>
                <w:rStyle w:val="IndexLink"/>
                <w:rtl w:val="true"/>
              </w:rPr>
              <w:t>«</w:t>
            </w:r>
            <w:r>
              <w:rPr>
                <w:rStyle w:val="IndexLink"/>
                <w:rtl w:val="true"/>
              </w:rPr>
              <w:t>و دعایم الأخیار</w:t>
            </w:r>
            <w:r>
              <w:rPr>
                <w:rStyle w:val="IndexLink"/>
                <w:rtl w:val="true"/>
              </w:rPr>
              <w:t>»</w:t>
              <w:tab/>
            </w:r>
            <w:r>
              <w:rPr>
                <w:rStyle w:val="IndexLink"/>
              </w:rPr>
              <w:t>520</w:t>
            </w:r>
          </w:hyperlink>
        </w:p>
        <w:p>
          <w:pPr>
            <w:pStyle w:val="Contents4"/>
            <w:tabs>
              <w:tab w:val="clear" w:pos="8176"/>
              <w:tab w:val="right" w:pos="9026" w:leader="dot"/>
            </w:tabs>
            <w:rPr/>
          </w:pPr>
          <w:hyperlink w:anchor="__RefHeading___Toc4067215_3224264995">
            <w:r>
              <w:rPr>
                <w:webHidden/>
                <w:rStyle w:val="IndexLink"/>
                <w:rtl w:val="true"/>
              </w:rPr>
              <w:t>«</w:t>
            </w:r>
            <w:r>
              <w:rPr>
                <w:rStyle w:val="IndexLink"/>
                <w:rtl w:val="true"/>
              </w:rPr>
              <w:t>و ساسة</w:t>
            </w:r>
            <w:r>
              <w:rPr>
                <w:rStyle w:val="IndexLink"/>
                <w:rtl w:val="true"/>
              </w:rPr>
              <w:t>» [</w:t>
            </w:r>
            <w:r>
              <w:rPr>
                <w:rStyle w:val="IndexLink"/>
                <w:rtl w:val="true"/>
              </w:rPr>
              <w:t>العباد</w:t>
            </w:r>
            <w:r>
              <w:rPr>
                <w:rStyle w:val="IndexLink"/>
                <w:rtl w:val="true"/>
              </w:rPr>
              <w:t>]</w:t>
              <w:tab/>
            </w:r>
            <w:r>
              <w:rPr>
                <w:rStyle w:val="IndexLink"/>
              </w:rPr>
              <w:t>521</w:t>
            </w:r>
          </w:hyperlink>
        </w:p>
        <w:p>
          <w:pPr>
            <w:pStyle w:val="Contents4"/>
            <w:tabs>
              <w:tab w:val="clear" w:pos="8176"/>
              <w:tab w:val="right" w:pos="9026" w:leader="dot"/>
            </w:tabs>
            <w:rPr/>
          </w:pPr>
          <w:hyperlink w:anchor="__RefHeading___Toc4067217_3224264995">
            <w:r>
              <w:rPr>
                <w:webHidden/>
                <w:rStyle w:val="IndexLink"/>
                <w:rtl w:val="true"/>
              </w:rPr>
              <w:t>«</w:t>
            </w:r>
            <w:r>
              <w:rPr>
                <w:rStyle w:val="IndexLink"/>
                <w:rtl w:val="true"/>
              </w:rPr>
              <w:t>و أرکان البلاد</w:t>
            </w:r>
            <w:r>
              <w:rPr>
                <w:rStyle w:val="IndexLink"/>
                <w:rtl w:val="true"/>
              </w:rPr>
              <w:t>»</w:t>
              <w:tab/>
            </w:r>
            <w:r>
              <w:rPr>
                <w:rStyle w:val="IndexLink"/>
              </w:rPr>
              <w:t>521</w:t>
            </w:r>
          </w:hyperlink>
        </w:p>
        <w:p>
          <w:pPr>
            <w:pStyle w:val="Contents4"/>
            <w:tabs>
              <w:tab w:val="clear" w:pos="8176"/>
              <w:tab w:val="right" w:pos="9026" w:leader="dot"/>
            </w:tabs>
            <w:rPr/>
          </w:pPr>
          <w:hyperlink w:anchor="__RefHeading___Toc4067219_3224264995">
            <w:r>
              <w:rPr>
                <w:webHidden/>
                <w:rStyle w:val="IndexLink"/>
                <w:rtl w:val="true"/>
              </w:rPr>
              <w:t>«</w:t>
            </w:r>
            <w:r>
              <w:rPr>
                <w:rStyle w:val="IndexLink"/>
                <w:rtl w:val="true"/>
              </w:rPr>
              <w:t>و أبواب الإیمان</w:t>
            </w:r>
            <w:r>
              <w:rPr>
                <w:rStyle w:val="IndexLink"/>
                <w:rtl w:val="true"/>
              </w:rPr>
              <w:t>»</w:t>
              <w:tab/>
            </w:r>
            <w:r>
              <w:rPr>
                <w:rStyle w:val="IndexLink"/>
              </w:rPr>
              <w:t>521</w:t>
            </w:r>
          </w:hyperlink>
        </w:p>
        <w:p>
          <w:pPr>
            <w:pStyle w:val="Contents4"/>
            <w:tabs>
              <w:tab w:val="clear" w:pos="8176"/>
              <w:tab w:val="right" w:pos="9026" w:leader="dot"/>
            </w:tabs>
            <w:rPr/>
          </w:pPr>
          <w:hyperlink w:anchor="__RefHeading___Toc4067221_3224264995">
            <w:r>
              <w:rPr>
                <w:webHidden/>
                <w:rStyle w:val="IndexLink"/>
                <w:rtl w:val="true"/>
              </w:rPr>
              <w:t>«</w:t>
            </w:r>
            <w:r>
              <w:rPr>
                <w:rStyle w:val="IndexLink"/>
                <w:rtl w:val="true"/>
              </w:rPr>
              <w:t>أمناء الرّحمان</w:t>
            </w:r>
            <w:r>
              <w:rPr>
                <w:rStyle w:val="IndexLink"/>
                <w:rtl w:val="true"/>
              </w:rPr>
              <w:t>»</w:t>
              <w:tab/>
            </w:r>
            <w:r>
              <w:rPr>
                <w:rStyle w:val="IndexLink"/>
              </w:rPr>
              <w:t>521</w:t>
            </w:r>
          </w:hyperlink>
        </w:p>
        <w:p>
          <w:pPr>
            <w:pStyle w:val="Contents4"/>
            <w:tabs>
              <w:tab w:val="clear" w:pos="8176"/>
              <w:tab w:val="right" w:pos="9026" w:leader="dot"/>
            </w:tabs>
            <w:rPr/>
          </w:pPr>
          <w:hyperlink w:anchor="__RefHeading___Toc4067223_3224264995">
            <w:r>
              <w:rPr>
                <w:webHidden/>
                <w:rStyle w:val="IndexLink"/>
                <w:rtl w:val="true"/>
              </w:rPr>
              <w:t>«</w:t>
            </w:r>
            <w:r>
              <w:rPr>
                <w:rStyle w:val="IndexLink"/>
                <w:rtl w:val="true"/>
              </w:rPr>
              <w:t>و سلالة النّبیّین</w:t>
            </w:r>
            <w:r>
              <w:rPr>
                <w:rStyle w:val="IndexLink"/>
                <w:rtl w:val="true"/>
              </w:rPr>
              <w:t>»</w:t>
              <w:tab/>
            </w:r>
            <w:r>
              <w:rPr>
                <w:rStyle w:val="IndexLink"/>
              </w:rPr>
              <w:t>521</w:t>
            </w:r>
          </w:hyperlink>
        </w:p>
        <w:p>
          <w:pPr>
            <w:pStyle w:val="Contents4"/>
            <w:tabs>
              <w:tab w:val="clear" w:pos="8176"/>
              <w:tab w:val="right" w:pos="9026" w:leader="dot"/>
            </w:tabs>
            <w:rPr/>
          </w:pPr>
          <w:hyperlink w:anchor="__RefHeading___Toc4067225_3224264995">
            <w:r>
              <w:rPr>
                <w:webHidden/>
                <w:rStyle w:val="IndexLink"/>
                <w:rtl w:val="true"/>
              </w:rPr>
              <w:t>«</w:t>
            </w:r>
            <w:r>
              <w:rPr>
                <w:rStyle w:val="IndexLink"/>
                <w:rtl w:val="true"/>
              </w:rPr>
              <w:t>و صفوة المرسلین</w:t>
            </w:r>
            <w:r>
              <w:rPr>
                <w:rStyle w:val="IndexLink"/>
                <w:rtl w:val="true"/>
              </w:rPr>
              <w:t>»</w:t>
              <w:tab/>
            </w:r>
            <w:r>
              <w:rPr>
                <w:rStyle w:val="IndexLink"/>
              </w:rPr>
              <w:t>522</w:t>
            </w:r>
          </w:hyperlink>
        </w:p>
        <w:p>
          <w:pPr>
            <w:pStyle w:val="Contents4"/>
            <w:tabs>
              <w:tab w:val="clear" w:pos="8176"/>
              <w:tab w:val="right" w:pos="9026" w:leader="dot"/>
            </w:tabs>
            <w:rPr/>
          </w:pPr>
          <w:hyperlink w:anchor="__RefHeading___Toc4067227_3224264995">
            <w:r>
              <w:rPr>
                <w:webHidden/>
                <w:rStyle w:val="IndexLink"/>
                <w:rtl w:val="true"/>
              </w:rPr>
              <w:t>«</w:t>
            </w:r>
            <w:r>
              <w:rPr>
                <w:rStyle w:val="IndexLink"/>
                <w:rtl w:val="true"/>
              </w:rPr>
              <w:t>و عترة خیرة رب العالمین</w:t>
            </w:r>
            <w:r>
              <w:rPr>
                <w:rStyle w:val="IndexLink"/>
                <w:rtl w:val="true"/>
              </w:rPr>
              <w:t>»</w:t>
              <w:tab/>
            </w:r>
            <w:r>
              <w:rPr>
                <w:rStyle w:val="IndexLink"/>
              </w:rPr>
              <w:t>522</w:t>
            </w:r>
          </w:hyperlink>
        </w:p>
        <w:p>
          <w:pPr>
            <w:pStyle w:val="Contents4"/>
            <w:tabs>
              <w:tab w:val="clear" w:pos="8176"/>
              <w:tab w:val="right" w:pos="9026" w:leader="dot"/>
            </w:tabs>
            <w:rPr/>
          </w:pPr>
          <w:hyperlink w:anchor="__RefHeading___Toc4067229_3224264995">
            <w:r>
              <w:rPr>
                <w:webHidden/>
                <w:rStyle w:val="IndexLink"/>
                <w:rtl w:val="true"/>
              </w:rPr>
              <w:t>«</w:t>
            </w:r>
            <w:r>
              <w:rPr>
                <w:rStyle w:val="IndexLink"/>
                <w:rtl w:val="true"/>
              </w:rPr>
              <w:t>و رحمة اللّه و برکاته</w:t>
            </w:r>
            <w:r>
              <w:rPr>
                <w:rStyle w:val="IndexLink"/>
                <w:rtl w:val="true"/>
              </w:rPr>
              <w:t>»</w:t>
              <w:tab/>
            </w:r>
            <w:r>
              <w:rPr>
                <w:rStyle w:val="IndexLink"/>
              </w:rPr>
              <w:t>526</w:t>
            </w:r>
          </w:hyperlink>
        </w:p>
        <w:p>
          <w:pPr>
            <w:pStyle w:val="Contents4"/>
            <w:tabs>
              <w:tab w:val="clear" w:pos="8176"/>
              <w:tab w:val="right" w:pos="9026" w:leader="dot"/>
            </w:tabs>
            <w:rPr/>
          </w:pPr>
          <w:hyperlink w:anchor="__RefHeading___Toc4067231_3224264995">
            <w:r>
              <w:rPr>
                <w:webHidden/>
                <w:rStyle w:val="IndexLink"/>
                <w:rtl w:val="true"/>
              </w:rPr>
              <w:t>«</w:t>
            </w:r>
            <w:r>
              <w:rPr>
                <w:rStyle w:val="IndexLink"/>
                <w:rtl w:val="true"/>
              </w:rPr>
              <w:t>السلام علی أئمة الهدی</w:t>
            </w:r>
            <w:r>
              <w:rPr>
                <w:rStyle w:val="IndexLink"/>
                <w:rtl w:val="true"/>
              </w:rPr>
              <w:t>»</w:t>
              <w:tab/>
            </w:r>
            <w:r>
              <w:rPr>
                <w:rStyle w:val="IndexLink"/>
              </w:rPr>
              <w:t>526</w:t>
            </w:r>
          </w:hyperlink>
        </w:p>
        <w:p>
          <w:pPr>
            <w:pStyle w:val="Contents4"/>
            <w:tabs>
              <w:tab w:val="clear" w:pos="8176"/>
              <w:tab w:val="right" w:pos="9026" w:leader="dot"/>
            </w:tabs>
            <w:rPr/>
          </w:pPr>
          <w:hyperlink w:anchor="__RefHeading___Toc4067233_3224264995">
            <w:r>
              <w:rPr>
                <w:webHidden/>
                <w:rStyle w:val="IndexLink"/>
                <w:rtl w:val="true"/>
              </w:rPr>
              <w:t>«</w:t>
            </w:r>
            <w:r>
              <w:rPr>
                <w:rStyle w:val="IndexLink"/>
                <w:rtl w:val="true"/>
              </w:rPr>
              <w:t>و مصابیح الدجی</w:t>
            </w:r>
            <w:r>
              <w:rPr>
                <w:rStyle w:val="IndexLink"/>
                <w:rtl w:val="true"/>
              </w:rPr>
              <w:t>»</w:t>
              <w:tab/>
            </w:r>
            <w:r>
              <w:rPr>
                <w:rStyle w:val="IndexLink"/>
              </w:rPr>
              <w:t>527</w:t>
            </w:r>
          </w:hyperlink>
        </w:p>
        <w:p>
          <w:pPr>
            <w:pStyle w:val="Contents4"/>
            <w:tabs>
              <w:tab w:val="clear" w:pos="8176"/>
              <w:tab w:val="right" w:pos="9026" w:leader="dot"/>
            </w:tabs>
            <w:rPr/>
          </w:pPr>
          <w:hyperlink w:anchor="__RefHeading___Toc4067235_3224264995">
            <w:r>
              <w:rPr>
                <w:webHidden/>
                <w:rStyle w:val="IndexLink"/>
                <w:rtl w:val="true"/>
              </w:rPr>
              <w:t>«</w:t>
            </w:r>
            <w:r>
              <w:rPr>
                <w:rStyle w:val="IndexLink"/>
                <w:rtl w:val="true"/>
              </w:rPr>
              <w:t>و أعلام التقی</w:t>
            </w:r>
            <w:r>
              <w:rPr>
                <w:rStyle w:val="IndexLink"/>
                <w:rtl w:val="true"/>
              </w:rPr>
              <w:t>»</w:t>
              <w:tab/>
            </w:r>
            <w:r>
              <w:rPr>
                <w:rStyle w:val="IndexLink"/>
              </w:rPr>
              <w:t>528</w:t>
            </w:r>
          </w:hyperlink>
        </w:p>
        <w:p>
          <w:pPr>
            <w:pStyle w:val="Contents4"/>
            <w:tabs>
              <w:tab w:val="clear" w:pos="8176"/>
              <w:tab w:val="right" w:pos="9026" w:leader="dot"/>
            </w:tabs>
            <w:rPr/>
          </w:pPr>
          <w:hyperlink w:anchor="__RefHeading___Toc4067237_3224264995">
            <w:r>
              <w:rPr>
                <w:webHidden/>
                <w:rStyle w:val="IndexLink"/>
                <w:rtl w:val="true"/>
              </w:rPr>
              <w:t>«</w:t>
            </w:r>
            <w:r>
              <w:rPr>
                <w:rStyle w:val="IndexLink"/>
                <w:rtl w:val="true"/>
              </w:rPr>
              <w:t>و ذوی النهی</w:t>
            </w:r>
            <w:r>
              <w:rPr>
                <w:rStyle w:val="IndexLink"/>
                <w:rtl w:val="true"/>
              </w:rPr>
              <w:t>»</w:t>
              <w:tab/>
            </w:r>
            <w:r>
              <w:rPr>
                <w:rStyle w:val="IndexLink"/>
              </w:rPr>
              <w:t>529</w:t>
            </w:r>
          </w:hyperlink>
        </w:p>
        <w:p>
          <w:pPr>
            <w:pStyle w:val="Contents4"/>
            <w:tabs>
              <w:tab w:val="clear" w:pos="8176"/>
              <w:tab w:val="right" w:pos="9026" w:leader="dot"/>
            </w:tabs>
            <w:rPr/>
          </w:pPr>
          <w:hyperlink w:anchor="__RefHeading___Toc4067239_3224264995">
            <w:r>
              <w:rPr>
                <w:webHidden/>
                <w:rStyle w:val="IndexLink"/>
                <w:rtl w:val="true"/>
              </w:rPr>
              <w:t>«</w:t>
            </w:r>
            <w:r>
              <w:rPr>
                <w:rStyle w:val="IndexLink"/>
                <w:rtl w:val="true"/>
              </w:rPr>
              <w:t>و أولی الحجی</w:t>
            </w:r>
            <w:r>
              <w:rPr>
                <w:rStyle w:val="IndexLink"/>
                <w:rtl w:val="true"/>
              </w:rPr>
              <w:t>»</w:t>
              <w:tab/>
            </w:r>
            <w:r>
              <w:rPr>
                <w:rStyle w:val="IndexLink"/>
              </w:rPr>
              <w:t>531</w:t>
            </w:r>
          </w:hyperlink>
        </w:p>
        <w:p>
          <w:pPr>
            <w:pStyle w:val="Contents4"/>
            <w:tabs>
              <w:tab w:val="clear" w:pos="8176"/>
              <w:tab w:val="right" w:pos="9026" w:leader="dot"/>
            </w:tabs>
            <w:rPr/>
          </w:pPr>
          <w:hyperlink w:anchor="__RefHeading___Toc4067241_3224264995">
            <w:r>
              <w:rPr>
                <w:webHidden/>
                <w:rStyle w:val="IndexLink"/>
                <w:rtl w:val="true"/>
              </w:rPr>
              <w:t>«</w:t>
            </w:r>
            <w:r>
              <w:rPr>
                <w:rStyle w:val="IndexLink"/>
                <w:rtl w:val="true"/>
              </w:rPr>
              <w:t>و کهف الوری</w:t>
            </w:r>
            <w:r>
              <w:rPr>
                <w:rStyle w:val="IndexLink"/>
                <w:rtl w:val="true"/>
              </w:rPr>
              <w:t>»</w:t>
              <w:tab/>
            </w:r>
            <w:r>
              <w:rPr>
                <w:rStyle w:val="IndexLink"/>
              </w:rPr>
              <w:t>531</w:t>
            </w:r>
          </w:hyperlink>
        </w:p>
        <w:p>
          <w:pPr>
            <w:pStyle w:val="Contents4"/>
            <w:tabs>
              <w:tab w:val="clear" w:pos="8176"/>
              <w:tab w:val="right" w:pos="9026" w:leader="dot"/>
            </w:tabs>
            <w:rPr/>
          </w:pPr>
          <w:hyperlink w:anchor="__RefHeading___Toc4067243_3224264995">
            <w:r>
              <w:rPr>
                <w:webHidden/>
                <w:rStyle w:val="IndexLink"/>
                <w:rtl w:val="true"/>
              </w:rPr>
              <w:t>«</w:t>
            </w:r>
            <w:r>
              <w:rPr>
                <w:rStyle w:val="IndexLink"/>
                <w:rtl w:val="true"/>
              </w:rPr>
              <w:t>و ورثة الأنبیاء</w:t>
            </w:r>
            <w:r>
              <w:rPr>
                <w:rStyle w:val="IndexLink"/>
                <w:rtl w:val="true"/>
              </w:rPr>
              <w:t>»</w:t>
              <w:tab/>
            </w:r>
            <w:r>
              <w:rPr>
                <w:rStyle w:val="IndexLink"/>
              </w:rPr>
              <w:t>531</w:t>
            </w:r>
          </w:hyperlink>
        </w:p>
        <w:p>
          <w:pPr>
            <w:pStyle w:val="Contents4"/>
            <w:tabs>
              <w:tab w:val="clear" w:pos="8176"/>
              <w:tab w:val="right" w:pos="9026" w:leader="dot"/>
            </w:tabs>
            <w:rPr/>
          </w:pPr>
          <w:hyperlink w:anchor="__RefHeading___Toc4067245_3224264995">
            <w:r>
              <w:rPr>
                <w:webHidden/>
                <w:rStyle w:val="IndexLink"/>
                <w:rtl w:val="true"/>
              </w:rPr>
              <w:t>«</w:t>
            </w:r>
            <w:r>
              <w:rPr>
                <w:rStyle w:val="IndexLink"/>
                <w:rtl w:val="true"/>
              </w:rPr>
              <w:t>و المثل الأعلی</w:t>
            </w:r>
            <w:r>
              <w:rPr>
                <w:rStyle w:val="IndexLink"/>
                <w:rtl w:val="true"/>
              </w:rPr>
              <w:t>»</w:t>
              <w:tab/>
            </w:r>
            <w:r>
              <w:rPr>
                <w:rStyle w:val="IndexLink"/>
              </w:rPr>
              <w:t>531</w:t>
            </w:r>
          </w:hyperlink>
        </w:p>
        <w:p>
          <w:pPr>
            <w:pStyle w:val="Contents4"/>
            <w:tabs>
              <w:tab w:val="clear" w:pos="8176"/>
              <w:tab w:val="right" w:pos="9026" w:leader="dot"/>
            </w:tabs>
            <w:rPr/>
          </w:pPr>
          <w:hyperlink w:anchor="__RefHeading___Toc4067247_3224264995">
            <w:r>
              <w:rPr>
                <w:webHidden/>
                <w:rStyle w:val="IndexLink"/>
                <w:rtl w:val="true"/>
              </w:rPr>
              <w:t>«</w:t>
            </w:r>
            <w:r>
              <w:rPr>
                <w:rStyle w:val="IndexLink"/>
                <w:rtl w:val="true"/>
              </w:rPr>
              <w:t>و الدعوة الحسنی</w:t>
            </w:r>
            <w:r>
              <w:rPr>
                <w:rStyle w:val="IndexLink"/>
                <w:rtl w:val="true"/>
              </w:rPr>
              <w:t>»</w:t>
              <w:tab/>
            </w:r>
            <w:r>
              <w:rPr>
                <w:rStyle w:val="IndexLink"/>
              </w:rPr>
              <w:t>540</w:t>
            </w:r>
          </w:hyperlink>
        </w:p>
        <w:p>
          <w:pPr>
            <w:pStyle w:val="Contents5"/>
            <w:tabs>
              <w:tab w:val="clear" w:pos="7892"/>
              <w:tab w:val="right" w:pos="9026" w:leader="dot"/>
            </w:tabs>
            <w:rPr/>
          </w:pPr>
          <w:hyperlink w:anchor="__RefHeading___Toc4067249_3224264995">
            <w:r>
              <w:rPr>
                <w:webHidden/>
                <w:rStyle w:val="IndexLink"/>
                <w:rtl w:val="true"/>
              </w:rPr>
              <w:t>[</w:t>
            </w:r>
            <w:r>
              <w:rPr>
                <w:rStyle w:val="IndexLink"/>
                <w:rtl w:val="true"/>
              </w:rPr>
              <w:t>سبعة أوجه فی احتمال معنی</w:t>
            </w:r>
            <w:r>
              <w:rPr>
                <w:rStyle w:val="IndexLink"/>
                <w:rtl w:val="true"/>
              </w:rPr>
              <w:t>«</w:t>
            </w:r>
            <w:r>
              <w:rPr>
                <w:rStyle w:val="IndexLink"/>
                <w:rtl w:val="true"/>
              </w:rPr>
              <w:t>الدعوة الحسنی</w:t>
            </w:r>
            <w:r>
              <w:rPr>
                <w:rStyle w:val="IndexLink"/>
                <w:rtl w:val="true"/>
              </w:rPr>
              <w:t>»]</w:t>
              <w:tab/>
            </w:r>
            <w:r>
              <w:rPr>
                <w:rStyle w:val="IndexLink"/>
              </w:rPr>
              <w:t>540</w:t>
            </w:r>
          </w:hyperlink>
        </w:p>
        <w:p>
          <w:pPr>
            <w:pStyle w:val="Contents4"/>
            <w:tabs>
              <w:tab w:val="clear" w:pos="8176"/>
              <w:tab w:val="right" w:pos="9026" w:leader="dot"/>
            </w:tabs>
            <w:rPr/>
          </w:pPr>
          <w:hyperlink w:anchor="__RefHeading___Toc4067251_3224264995">
            <w:r>
              <w:rPr>
                <w:webHidden/>
                <w:rStyle w:val="IndexLink"/>
                <w:rtl w:val="true"/>
              </w:rPr>
              <w:t>«</w:t>
            </w:r>
            <w:r>
              <w:rPr>
                <w:rStyle w:val="IndexLink"/>
                <w:rtl w:val="true"/>
              </w:rPr>
              <w:t>و حجج اللّه علی أهل الدنیا و الآخرة و الأولی</w:t>
            </w:r>
            <w:r>
              <w:rPr>
                <w:rStyle w:val="IndexLink"/>
                <w:rtl w:val="true"/>
              </w:rPr>
              <w:t>»</w:t>
              <w:tab/>
            </w:r>
            <w:r>
              <w:rPr>
                <w:rStyle w:val="IndexLink"/>
              </w:rPr>
              <w:t>542</w:t>
            </w:r>
          </w:hyperlink>
        </w:p>
        <w:p>
          <w:pPr>
            <w:pStyle w:val="Contents4"/>
            <w:tabs>
              <w:tab w:val="clear" w:pos="8176"/>
              <w:tab w:val="right" w:pos="9026" w:leader="dot"/>
            </w:tabs>
            <w:rPr/>
          </w:pPr>
          <w:hyperlink w:anchor="__RefHeading___Toc4067253_3224264995">
            <w:r>
              <w:rPr>
                <w:webHidden/>
                <w:rStyle w:val="IndexLink"/>
                <w:rtl w:val="true"/>
              </w:rPr>
              <w:t>«</w:t>
            </w:r>
            <w:r>
              <w:rPr>
                <w:rStyle w:val="IndexLink"/>
                <w:rtl w:val="true"/>
              </w:rPr>
              <w:t>و رحمة اللّه و برکاته</w:t>
            </w:r>
            <w:r>
              <w:rPr>
                <w:rStyle w:val="IndexLink"/>
                <w:rtl w:val="true"/>
              </w:rPr>
              <w:t>»</w:t>
              <w:tab/>
            </w:r>
            <w:r>
              <w:rPr>
                <w:rStyle w:val="IndexLink"/>
              </w:rPr>
              <w:t>544</w:t>
            </w:r>
          </w:hyperlink>
        </w:p>
        <w:p>
          <w:pPr>
            <w:pStyle w:val="Contents4"/>
            <w:tabs>
              <w:tab w:val="clear" w:pos="8176"/>
              <w:tab w:val="right" w:pos="9026" w:leader="dot"/>
            </w:tabs>
            <w:rPr/>
          </w:pPr>
          <w:hyperlink w:anchor="__RefHeading___Toc4067255_3224264995">
            <w:r>
              <w:rPr>
                <w:webHidden/>
                <w:rStyle w:val="IndexLink"/>
                <w:rtl w:val="true"/>
              </w:rPr>
              <w:t>«</w:t>
            </w:r>
            <w:r>
              <w:rPr>
                <w:rStyle w:val="IndexLink"/>
                <w:rtl w:val="true"/>
              </w:rPr>
              <w:t>السلام علی محالّ معرفة اللّه</w:t>
            </w:r>
            <w:r>
              <w:rPr>
                <w:rStyle w:val="IndexLink"/>
                <w:rtl w:val="true"/>
              </w:rPr>
              <w:t>»</w:t>
              <w:tab/>
            </w:r>
            <w:r>
              <w:rPr>
                <w:rStyle w:val="IndexLink"/>
              </w:rPr>
              <w:t>544</w:t>
            </w:r>
          </w:hyperlink>
        </w:p>
        <w:p>
          <w:pPr>
            <w:pStyle w:val="Contents5"/>
            <w:tabs>
              <w:tab w:val="clear" w:pos="7892"/>
              <w:tab w:val="right" w:pos="9026" w:leader="dot"/>
            </w:tabs>
            <w:rPr/>
          </w:pPr>
          <w:hyperlink w:anchor="__RefHeading___Toc4067257_3224264995">
            <w:r>
              <w:rPr>
                <w:webHidden/>
                <w:rStyle w:val="IndexLink"/>
                <w:rtl w:val="true"/>
              </w:rPr>
              <w:t>اشاره</w:t>
            </w:r>
            <w:r>
              <w:rPr>
                <w:rStyle w:val="IndexLink"/>
                <w:rtl w:val="true"/>
              </w:rPr>
              <w:tab/>
            </w:r>
            <w:r>
              <w:rPr>
                <w:rStyle w:val="IndexLink"/>
              </w:rPr>
              <w:t>544</w:t>
            </w:r>
          </w:hyperlink>
        </w:p>
        <w:p>
          <w:pPr>
            <w:pStyle w:val="Contents5"/>
            <w:tabs>
              <w:tab w:val="clear" w:pos="7892"/>
              <w:tab w:val="right" w:pos="9026" w:leader="dot"/>
            </w:tabs>
            <w:rPr/>
          </w:pPr>
          <w:hyperlink w:anchor="__RefHeading___Toc4067259_3224264995">
            <w:r>
              <w:rPr>
                <w:webHidden/>
                <w:rStyle w:val="IndexLink"/>
                <w:rtl w:val="true"/>
              </w:rPr>
              <w:t>[</w:t>
            </w:r>
            <w:r>
              <w:rPr>
                <w:rStyle w:val="IndexLink"/>
                <w:rtl w:val="true"/>
              </w:rPr>
              <w:t>نقل کلام القاضی فی المواقف</w:t>
            </w:r>
            <w:r>
              <w:rPr>
                <w:rStyle w:val="IndexLink"/>
                <w:rtl w:val="true"/>
              </w:rPr>
              <w:t>]</w:t>
              <w:tab/>
            </w:r>
            <w:r>
              <w:rPr>
                <w:rStyle w:val="IndexLink"/>
              </w:rPr>
              <w:t>545</w:t>
            </w:r>
          </w:hyperlink>
        </w:p>
        <w:p>
          <w:pPr>
            <w:pStyle w:val="Contents5"/>
            <w:tabs>
              <w:tab w:val="clear" w:pos="7892"/>
              <w:tab w:val="right" w:pos="9026" w:leader="dot"/>
            </w:tabs>
            <w:rPr/>
          </w:pPr>
          <w:hyperlink w:anchor="__RefHeading___Toc4067261_3224264995">
            <w:r>
              <w:rPr>
                <w:webHidden/>
                <w:rStyle w:val="IndexLink"/>
                <w:rtl w:val="true"/>
              </w:rPr>
              <w:t>[</w:t>
            </w:r>
            <w:r>
              <w:rPr>
                <w:rStyle w:val="IndexLink"/>
                <w:rtl w:val="true"/>
              </w:rPr>
              <w:t>وجوه سبعة فی کیفیة معرفتهم علیهم السّلام</w:t>
            </w:r>
            <w:r>
              <w:rPr>
                <w:rStyle w:val="IndexLink"/>
                <w:rtl w:val="true"/>
              </w:rPr>
              <w:t>]</w:t>
              <w:tab/>
            </w:r>
            <w:r>
              <w:rPr>
                <w:rStyle w:val="IndexLink"/>
              </w:rPr>
              <w:t>546</w:t>
            </w:r>
          </w:hyperlink>
        </w:p>
        <w:p>
          <w:pPr>
            <w:pStyle w:val="Contents4"/>
            <w:tabs>
              <w:tab w:val="clear" w:pos="8176"/>
              <w:tab w:val="right" w:pos="9026" w:leader="dot"/>
            </w:tabs>
            <w:rPr/>
          </w:pPr>
          <w:hyperlink w:anchor="__RefHeading___Toc4067263_3224264995">
            <w:r>
              <w:rPr>
                <w:webHidden/>
                <w:rStyle w:val="IndexLink"/>
                <w:rtl w:val="true"/>
              </w:rPr>
              <w:t>«</w:t>
            </w:r>
            <w:r>
              <w:rPr>
                <w:rStyle w:val="IndexLink"/>
                <w:rtl w:val="true"/>
              </w:rPr>
              <w:t>و مساکن برکة اللّه</w:t>
            </w:r>
            <w:r>
              <w:rPr>
                <w:rStyle w:val="IndexLink"/>
                <w:rtl w:val="true"/>
              </w:rPr>
              <w:t>»</w:t>
              <w:tab/>
            </w:r>
            <w:r>
              <w:rPr>
                <w:rStyle w:val="IndexLink"/>
              </w:rPr>
              <w:t>548</w:t>
            </w:r>
          </w:hyperlink>
        </w:p>
        <w:p>
          <w:pPr>
            <w:pStyle w:val="Contents4"/>
            <w:tabs>
              <w:tab w:val="clear" w:pos="8176"/>
              <w:tab w:val="right" w:pos="9026" w:leader="dot"/>
            </w:tabs>
            <w:rPr/>
          </w:pPr>
          <w:hyperlink w:anchor="__RefHeading___Toc4067265_3224264995">
            <w:r>
              <w:rPr>
                <w:webHidden/>
                <w:rStyle w:val="IndexLink"/>
                <w:rtl w:val="true"/>
              </w:rPr>
              <w:t>«</w:t>
            </w:r>
            <w:r>
              <w:rPr>
                <w:rStyle w:val="IndexLink"/>
                <w:rtl w:val="true"/>
              </w:rPr>
              <w:t>و معادن حکمة اللّه</w:t>
            </w:r>
            <w:r>
              <w:rPr>
                <w:rStyle w:val="IndexLink"/>
                <w:rtl w:val="true"/>
              </w:rPr>
              <w:t>»</w:t>
              <w:tab/>
            </w:r>
            <w:r>
              <w:rPr>
                <w:rStyle w:val="IndexLink"/>
              </w:rPr>
              <w:t>548</w:t>
            </w:r>
          </w:hyperlink>
        </w:p>
        <w:p>
          <w:pPr>
            <w:pStyle w:val="Contents4"/>
            <w:tabs>
              <w:tab w:val="clear" w:pos="8176"/>
              <w:tab w:val="right" w:pos="9026" w:leader="dot"/>
            </w:tabs>
            <w:rPr/>
          </w:pPr>
          <w:hyperlink w:anchor="__RefHeading___Toc4067267_3224264995">
            <w:r>
              <w:rPr>
                <w:webHidden/>
                <w:rStyle w:val="IndexLink"/>
                <w:rtl w:val="true"/>
              </w:rPr>
              <w:t>«</w:t>
            </w:r>
            <w:r>
              <w:rPr>
                <w:rStyle w:val="IndexLink"/>
                <w:rtl w:val="true"/>
              </w:rPr>
              <w:t>و حفظة سرّ اللّه</w:t>
            </w:r>
            <w:r>
              <w:rPr>
                <w:rStyle w:val="IndexLink"/>
                <w:rtl w:val="true"/>
              </w:rPr>
              <w:t>»</w:t>
              <w:tab/>
            </w:r>
            <w:r>
              <w:rPr>
                <w:rStyle w:val="IndexLink"/>
              </w:rPr>
              <w:t>549</w:t>
            </w:r>
          </w:hyperlink>
        </w:p>
        <w:p>
          <w:pPr>
            <w:pStyle w:val="Contents4"/>
            <w:tabs>
              <w:tab w:val="clear" w:pos="8176"/>
              <w:tab w:val="right" w:pos="9026" w:leader="dot"/>
            </w:tabs>
            <w:rPr/>
          </w:pPr>
          <w:hyperlink w:anchor="__RefHeading___Toc4067269_3224264995">
            <w:r>
              <w:rPr>
                <w:webHidden/>
                <w:rStyle w:val="IndexLink"/>
                <w:rtl w:val="true"/>
              </w:rPr>
              <w:t>«</w:t>
            </w:r>
            <w:r>
              <w:rPr>
                <w:rStyle w:val="IndexLink"/>
                <w:rtl w:val="true"/>
              </w:rPr>
              <w:t>و حملة کتاب اللّه</w:t>
            </w:r>
            <w:r>
              <w:rPr>
                <w:rStyle w:val="IndexLink"/>
                <w:rtl w:val="true"/>
              </w:rPr>
              <w:t>»</w:t>
              <w:tab/>
            </w:r>
            <w:r>
              <w:rPr>
                <w:rStyle w:val="IndexLink"/>
              </w:rPr>
              <w:t>549</w:t>
            </w:r>
          </w:hyperlink>
        </w:p>
        <w:p>
          <w:pPr>
            <w:pStyle w:val="Contents4"/>
            <w:tabs>
              <w:tab w:val="clear" w:pos="8176"/>
              <w:tab w:val="right" w:pos="9026" w:leader="dot"/>
            </w:tabs>
            <w:rPr/>
          </w:pPr>
          <w:hyperlink w:anchor="__RefHeading___Toc4067271_3224264995">
            <w:r>
              <w:rPr>
                <w:webHidden/>
                <w:rStyle w:val="IndexLink"/>
                <w:rtl w:val="true"/>
              </w:rPr>
              <w:t>«</w:t>
            </w:r>
            <w:r>
              <w:rPr>
                <w:rStyle w:val="IndexLink"/>
                <w:rtl w:val="true"/>
              </w:rPr>
              <w:t>و أوصیاء نبی اللّه</w:t>
            </w:r>
            <w:r>
              <w:rPr>
                <w:rStyle w:val="IndexLink"/>
                <w:rtl w:val="true"/>
              </w:rPr>
              <w:t>»</w:t>
              <w:tab/>
            </w:r>
            <w:r>
              <w:rPr>
                <w:rStyle w:val="IndexLink"/>
              </w:rPr>
              <w:t>550</w:t>
            </w:r>
          </w:hyperlink>
        </w:p>
        <w:p>
          <w:pPr>
            <w:pStyle w:val="Contents4"/>
            <w:tabs>
              <w:tab w:val="clear" w:pos="8176"/>
              <w:tab w:val="right" w:pos="9026" w:leader="dot"/>
            </w:tabs>
            <w:rPr/>
          </w:pPr>
          <w:hyperlink w:anchor="__RefHeading___Toc4067273_3224264995">
            <w:r>
              <w:rPr>
                <w:webHidden/>
                <w:rStyle w:val="IndexLink"/>
                <w:rtl w:val="true"/>
              </w:rPr>
              <w:t>«</w:t>
            </w:r>
            <w:r>
              <w:rPr>
                <w:rStyle w:val="IndexLink"/>
                <w:rtl w:val="true"/>
              </w:rPr>
              <w:t>و ذرّیة رسول اللّه</w:t>
            </w:r>
            <w:r>
              <w:rPr>
                <w:rStyle w:val="IndexLink"/>
                <w:rtl w:val="true"/>
              </w:rPr>
              <w:t>»</w:t>
              <w:tab/>
            </w:r>
            <w:r>
              <w:rPr>
                <w:rStyle w:val="IndexLink"/>
              </w:rPr>
              <w:t>550</w:t>
            </w:r>
          </w:hyperlink>
        </w:p>
        <w:p>
          <w:pPr>
            <w:pStyle w:val="Contents4"/>
            <w:tabs>
              <w:tab w:val="clear" w:pos="8176"/>
              <w:tab w:val="right" w:pos="9026" w:leader="dot"/>
            </w:tabs>
            <w:rPr/>
          </w:pPr>
          <w:hyperlink w:anchor="__RefHeading___Toc4067275_3224264995">
            <w:r>
              <w:rPr>
                <w:webHidden/>
                <w:rStyle w:val="IndexLink"/>
                <w:rtl w:val="true"/>
              </w:rPr>
              <w:t>«</w:t>
            </w:r>
            <w:r>
              <w:rPr>
                <w:rStyle w:val="IndexLink"/>
                <w:rtl w:val="true"/>
              </w:rPr>
              <w:t>صلی اللّه علیه و آله</w:t>
            </w:r>
            <w:r>
              <w:rPr>
                <w:rStyle w:val="IndexLink"/>
                <w:rtl w:val="true"/>
              </w:rPr>
              <w:t>»</w:t>
              <w:tab/>
            </w:r>
            <w:r>
              <w:rPr>
                <w:rStyle w:val="IndexLink"/>
              </w:rPr>
              <w:t>555</w:t>
            </w:r>
          </w:hyperlink>
        </w:p>
        <w:p>
          <w:pPr>
            <w:pStyle w:val="Contents4"/>
            <w:tabs>
              <w:tab w:val="clear" w:pos="8176"/>
              <w:tab w:val="right" w:pos="9026" w:leader="dot"/>
            </w:tabs>
            <w:rPr/>
          </w:pPr>
          <w:hyperlink w:anchor="__RefHeading___Toc4067277_3224264995">
            <w:r>
              <w:rPr>
                <w:webHidden/>
                <w:rStyle w:val="IndexLink"/>
                <w:rtl w:val="true"/>
              </w:rPr>
              <w:t>«</w:t>
            </w:r>
            <w:r>
              <w:rPr>
                <w:rStyle w:val="IndexLink"/>
                <w:rtl w:val="true"/>
              </w:rPr>
              <w:t>و رحمة اللّه و برکاته</w:t>
            </w:r>
            <w:r>
              <w:rPr>
                <w:rStyle w:val="IndexLink"/>
                <w:rtl w:val="true"/>
              </w:rPr>
              <w:t>»</w:t>
              <w:tab/>
            </w:r>
            <w:r>
              <w:rPr>
                <w:rStyle w:val="IndexLink"/>
              </w:rPr>
              <w:t>557</w:t>
            </w:r>
          </w:hyperlink>
        </w:p>
        <w:p>
          <w:pPr>
            <w:pStyle w:val="Contents4"/>
            <w:tabs>
              <w:tab w:val="clear" w:pos="8176"/>
              <w:tab w:val="right" w:pos="9026" w:leader="dot"/>
            </w:tabs>
            <w:rPr/>
          </w:pPr>
          <w:hyperlink w:anchor="__RefHeading___Toc4067279_3224264995">
            <w:r>
              <w:rPr>
                <w:webHidden/>
                <w:rStyle w:val="IndexLink"/>
                <w:rtl w:val="true"/>
              </w:rPr>
              <w:t>«</w:t>
            </w:r>
            <w:r>
              <w:rPr>
                <w:rStyle w:val="IndexLink"/>
                <w:rtl w:val="true"/>
              </w:rPr>
              <w:t>السلام علی الدعاة إلی اللّه</w:t>
            </w:r>
            <w:r>
              <w:rPr>
                <w:rStyle w:val="IndexLink"/>
                <w:rtl w:val="true"/>
              </w:rPr>
              <w:t>»</w:t>
              <w:tab/>
            </w:r>
            <w:r>
              <w:rPr>
                <w:rStyle w:val="IndexLink"/>
              </w:rPr>
              <w:t>557</w:t>
            </w:r>
          </w:hyperlink>
        </w:p>
        <w:p>
          <w:pPr>
            <w:pStyle w:val="Contents4"/>
            <w:tabs>
              <w:tab w:val="clear" w:pos="8176"/>
              <w:tab w:val="right" w:pos="9026" w:leader="dot"/>
            </w:tabs>
            <w:rPr/>
          </w:pPr>
          <w:hyperlink w:anchor="__RefHeading___Toc4067281_3224264995">
            <w:r>
              <w:rPr>
                <w:webHidden/>
                <w:rStyle w:val="IndexLink"/>
                <w:rtl w:val="true"/>
              </w:rPr>
              <w:t>«</w:t>
            </w:r>
            <w:r>
              <w:rPr>
                <w:rStyle w:val="IndexLink"/>
                <w:rtl w:val="true"/>
              </w:rPr>
              <w:t>و الأدلاّء</w:t>
            </w:r>
            <w:r>
              <w:rPr>
                <w:rStyle w:val="IndexLink"/>
                <w:rtl w:val="true"/>
              </w:rPr>
              <w:t>» [</w:t>
            </w:r>
            <w:r>
              <w:rPr>
                <w:rStyle w:val="IndexLink"/>
                <w:rtl w:val="true"/>
              </w:rPr>
              <w:t>علی مرضاة اللّه</w:t>
            </w:r>
            <w:r>
              <w:rPr>
                <w:rStyle w:val="IndexLink"/>
                <w:rtl w:val="true"/>
              </w:rPr>
              <w:t>]</w:t>
              <w:tab/>
            </w:r>
            <w:r>
              <w:rPr>
                <w:rStyle w:val="IndexLink"/>
              </w:rPr>
              <w:t>557</w:t>
            </w:r>
          </w:hyperlink>
        </w:p>
        <w:p>
          <w:pPr>
            <w:pStyle w:val="Contents4"/>
            <w:tabs>
              <w:tab w:val="clear" w:pos="8176"/>
              <w:tab w:val="right" w:pos="9026" w:leader="dot"/>
            </w:tabs>
            <w:rPr/>
          </w:pPr>
          <w:hyperlink w:anchor="__RefHeading___Toc4067283_3224264995">
            <w:r>
              <w:rPr>
                <w:webHidden/>
                <w:rStyle w:val="IndexLink"/>
                <w:rtl w:val="true"/>
              </w:rPr>
              <w:t>«</w:t>
            </w:r>
            <w:r>
              <w:rPr>
                <w:rStyle w:val="IndexLink"/>
                <w:rtl w:val="true"/>
              </w:rPr>
              <w:t>و المستقرین</w:t>
            </w:r>
            <w:r>
              <w:rPr>
                <w:rStyle w:val="IndexLink"/>
                <w:rtl w:val="true"/>
              </w:rPr>
              <w:t>» [</w:t>
            </w:r>
            <w:r>
              <w:rPr>
                <w:rStyle w:val="IndexLink"/>
                <w:rtl w:val="true"/>
              </w:rPr>
              <w:t>فی أمر اللّه</w:t>
            </w:r>
            <w:r>
              <w:rPr>
                <w:rStyle w:val="IndexLink"/>
                <w:rtl w:val="true"/>
              </w:rPr>
              <w:t>]</w:t>
              <w:tab/>
            </w:r>
            <w:r>
              <w:rPr>
                <w:rStyle w:val="IndexLink"/>
              </w:rPr>
              <w:t>557</w:t>
            </w:r>
          </w:hyperlink>
        </w:p>
        <w:p>
          <w:pPr>
            <w:pStyle w:val="Contents4"/>
            <w:tabs>
              <w:tab w:val="clear" w:pos="8176"/>
              <w:tab w:val="right" w:pos="9026" w:leader="dot"/>
            </w:tabs>
            <w:rPr/>
          </w:pPr>
          <w:hyperlink w:anchor="__RefHeading___Toc4067285_3224264995">
            <w:r>
              <w:rPr>
                <w:webHidden/>
                <w:rStyle w:val="IndexLink"/>
                <w:rtl w:val="true"/>
              </w:rPr>
              <w:t>«</w:t>
            </w:r>
            <w:r>
              <w:rPr>
                <w:rStyle w:val="IndexLink"/>
                <w:rtl w:val="true"/>
              </w:rPr>
              <w:t>و التامین فی محبة اللّه</w:t>
            </w:r>
            <w:r>
              <w:rPr>
                <w:rStyle w:val="IndexLink"/>
                <w:rtl w:val="true"/>
              </w:rPr>
              <w:t>»</w:t>
              <w:tab/>
            </w:r>
            <w:r>
              <w:rPr>
                <w:rStyle w:val="IndexLink"/>
              </w:rPr>
              <w:t>559</w:t>
            </w:r>
          </w:hyperlink>
        </w:p>
        <w:p>
          <w:pPr>
            <w:pStyle w:val="Contents4"/>
            <w:tabs>
              <w:tab w:val="clear" w:pos="8176"/>
              <w:tab w:val="right" w:pos="9026" w:leader="dot"/>
            </w:tabs>
            <w:rPr/>
          </w:pPr>
          <w:hyperlink w:anchor="__RefHeading___Toc4067287_3224264995">
            <w:r>
              <w:rPr>
                <w:webHidden/>
                <w:rStyle w:val="IndexLink"/>
                <w:rtl w:val="true"/>
              </w:rPr>
              <w:t>«</w:t>
            </w:r>
            <w:r>
              <w:rPr>
                <w:rStyle w:val="IndexLink"/>
                <w:rtl w:val="true"/>
              </w:rPr>
              <w:t>و المخلصین فی توحید اللّه</w:t>
            </w:r>
            <w:r>
              <w:rPr>
                <w:rStyle w:val="IndexLink"/>
                <w:rtl w:val="true"/>
              </w:rPr>
              <w:t>»</w:t>
              <w:tab/>
            </w:r>
            <w:r>
              <w:rPr>
                <w:rStyle w:val="IndexLink"/>
              </w:rPr>
              <w:t>559</w:t>
            </w:r>
          </w:hyperlink>
        </w:p>
        <w:p>
          <w:pPr>
            <w:pStyle w:val="Contents4"/>
            <w:tabs>
              <w:tab w:val="clear" w:pos="8176"/>
              <w:tab w:val="right" w:pos="9026" w:leader="dot"/>
            </w:tabs>
            <w:rPr/>
          </w:pPr>
          <w:hyperlink w:anchor="__RefHeading___Toc4067289_3224264995">
            <w:r>
              <w:rPr>
                <w:webHidden/>
                <w:rStyle w:val="IndexLink"/>
                <w:rtl w:val="true"/>
              </w:rPr>
              <w:t>«</w:t>
            </w:r>
            <w:r>
              <w:rPr>
                <w:rStyle w:val="IndexLink"/>
                <w:rtl w:val="true"/>
              </w:rPr>
              <w:t>و المظهرین لأمر اللّه و نهیه</w:t>
            </w:r>
            <w:r>
              <w:rPr>
                <w:rStyle w:val="IndexLink"/>
                <w:rtl w:val="true"/>
              </w:rPr>
              <w:t>»</w:t>
              <w:tab/>
            </w:r>
            <w:r>
              <w:rPr>
                <w:rStyle w:val="IndexLink"/>
              </w:rPr>
              <w:t>561</w:t>
            </w:r>
          </w:hyperlink>
        </w:p>
        <w:p>
          <w:pPr>
            <w:pStyle w:val="Contents4"/>
            <w:tabs>
              <w:tab w:val="clear" w:pos="8176"/>
              <w:tab w:val="right" w:pos="9026" w:leader="dot"/>
            </w:tabs>
            <w:rPr/>
          </w:pPr>
          <w:hyperlink w:anchor="__RefHeading___Toc4067291_3224264995">
            <w:r>
              <w:rPr>
                <w:webHidden/>
                <w:rStyle w:val="IndexLink"/>
                <w:rtl w:val="true"/>
              </w:rPr>
              <w:t>«</w:t>
            </w:r>
            <w:r>
              <w:rPr>
                <w:rStyle w:val="IndexLink"/>
                <w:rtl w:val="true"/>
              </w:rPr>
              <w:t>و عباده المکرمین</w:t>
            </w:r>
            <w:r>
              <w:rPr>
                <w:rStyle w:val="IndexLink"/>
                <w:rtl w:val="true"/>
              </w:rPr>
              <w:t>[/</w:t>
            </w:r>
            <w:r>
              <w:rPr>
                <w:rStyle w:val="IndexLink"/>
              </w:rPr>
              <w:t>21</w:t>
            </w:r>
            <w:r>
              <w:rPr>
                <w:rStyle w:val="IndexLink"/>
                <w:rtl w:val="true"/>
              </w:rPr>
              <w:t xml:space="preserve"> </w:t>
            </w:r>
            <w:r>
              <w:rPr>
                <w:rStyle w:val="IndexLink"/>
              </w:rPr>
              <w:t>A</w:t>
            </w:r>
            <w:r>
              <w:rPr>
                <w:rStyle w:val="IndexLink"/>
                <w:rtl w:val="true"/>
              </w:rPr>
              <w:t xml:space="preserve"> ]</w:t>
            </w:r>
            <w:r>
              <w:rPr>
                <w:rStyle w:val="IndexLink"/>
                <w:rtl w:val="true"/>
              </w:rPr>
              <w:t>الذین لا یسبقونه بالقول و هم بأمره یعملون</w:t>
            </w:r>
            <w:r>
              <w:rPr>
                <w:rStyle w:val="IndexLink"/>
                <w:rtl w:val="true"/>
              </w:rPr>
              <w:t>»</w:t>
              <w:tab/>
            </w:r>
            <w:r>
              <w:rPr>
                <w:rStyle w:val="IndexLink"/>
              </w:rPr>
              <w:t>561</w:t>
            </w:r>
          </w:hyperlink>
        </w:p>
        <w:p>
          <w:pPr>
            <w:pStyle w:val="Contents4"/>
            <w:tabs>
              <w:tab w:val="clear" w:pos="8176"/>
              <w:tab w:val="right" w:pos="9026" w:leader="dot"/>
            </w:tabs>
            <w:rPr/>
          </w:pPr>
          <w:hyperlink w:anchor="__RefHeading___Toc4067293_3224264995">
            <w:r>
              <w:rPr>
                <w:webHidden/>
                <w:rStyle w:val="IndexLink"/>
                <w:rtl w:val="true"/>
              </w:rPr>
              <w:t>«</w:t>
            </w:r>
            <w:r>
              <w:rPr>
                <w:rStyle w:val="IndexLink"/>
                <w:rtl w:val="true"/>
              </w:rPr>
              <w:t>و رحمة اللّه و برکاته</w:t>
            </w:r>
            <w:r>
              <w:rPr>
                <w:rStyle w:val="IndexLink"/>
                <w:rtl w:val="true"/>
              </w:rPr>
              <w:t>»</w:t>
              <w:tab/>
            </w:r>
            <w:r>
              <w:rPr>
                <w:rStyle w:val="IndexLink"/>
              </w:rPr>
              <w:t>563</w:t>
            </w:r>
          </w:hyperlink>
        </w:p>
        <w:p>
          <w:pPr>
            <w:pStyle w:val="Contents4"/>
            <w:tabs>
              <w:tab w:val="clear" w:pos="8176"/>
              <w:tab w:val="right" w:pos="9026" w:leader="dot"/>
            </w:tabs>
            <w:rPr/>
          </w:pPr>
          <w:hyperlink w:anchor="__RefHeading___Toc4067295_3224264995">
            <w:r>
              <w:rPr>
                <w:webHidden/>
                <w:rStyle w:val="IndexLink"/>
                <w:rtl w:val="true"/>
              </w:rPr>
              <w:t>«</w:t>
            </w:r>
            <w:r>
              <w:rPr>
                <w:rStyle w:val="IndexLink"/>
                <w:rtl w:val="true"/>
              </w:rPr>
              <w:t>السلام علی الأئمّة الدعاة</w:t>
            </w:r>
            <w:r>
              <w:rPr>
                <w:rStyle w:val="IndexLink"/>
                <w:rtl w:val="true"/>
              </w:rPr>
              <w:t>»</w:t>
              <w:tab/>
            </w:r>
            <w:r>
              <w:rPr>
                <w:rStyle w:val="IndexLink"/>
              </w:rPr>
              <w:t>563</w:t>
            </w:r>
          </w:hyperlink>
        </w:p>
        <w:p>
          <w:pPr>
            <w:pStyle w:val="Contents4"/>
            <w:tabs>
              <w:tab w:val="clear" w:pos="8176"/>
              <w:tab w:val="right" w:pos="9026" w:leader="dot"/>
            </w:tabs>
            <w:rPr/>
          </w:pPr>
          <w:hyperlink w:anchor="__RefHeading___Toc4067297_3224264995">
            <w:r>
              <w:rPr>
                <w:webHidden/>
                <w:rStyle w:val="IndexLink"/>
                <w:rtl w:val="true"/>
              </w:rPr>
              <w:t>«</w:t>
            </w:r>
            <w:r>
              <w:rPr>
                <w:rStyle w:val="IndexLink"/>
                <w:rtl w:val="true"/>
              </w:rPr>
              <w:t>و القادة الهداة</w:t>
            </w:r>
            <w:r>
              <w:rPr>
                <w:rStyle w:val="IndexLink"/>
                <w:rtl w:val="true"/>
              </w:rPr>
              <w:t>»</w:t>
              <w:tab/>
            </w:r>
            <w:r>
              <w:rPr>
                <w:rStyle w:val="IndexLink"/>
              </w:rPr>
              <w:t>564</w:t>
            </w:r>
          </w:hyperlink>
        </w:p>
        <w:p>
          <w:pPr>
            <w:pStyle w:val="Contents4"/>
            <w:tabs>
              <w:tab w:val="clear" w:pos="8176"/>
              <w:tab w:val="right" w:pos="9026" w:leader="dot"/>
            </w:tabs>
            <w:rPr/>
          </w:pPr>
          <w:hyperlink w:anchor="__RefHeading___Toc4067299_3224264995">
            <w:r>
              <w:rPr>
                <w:webHidden/>
                <w:rStyle w:val="IndexLink"/>
                <w:rtl w:val="true"/>
              </w:rPr>
              <w:t>«</w:t>
            </w:r>
            <w:r>
              <w:rPr>
                <w:rStyle w:val="IndexLink"/>
                <w:rtl w:val="true"/>
              </w:rPr>
              <w:t>و السادة</w:t>
            </w:r>
            <w:r>
              <w:rPr>
                <w:rStyle w:val="IndexLink"/>
                <w:rtl w:val="true"/>
              </w:rPr>
              <w:t>» [</w:t>
            </w:r>
            <w:r>
              <w:rPr>
                <w:rStyle w:val="IndexLink"/>
                <w:rtl w:val="true"/>
              </w:rPr>
              <w:t>الولاة</w:t>
            </w:r>
            <w:r>
              <w:rPr>
                <w:rStyle w:val="IndexLink"/>
                <w:rtl w:val="true"/>
              </w:rPr>
              <w:t>]</w:t>
              <w:tab/>
            </w:r>
            <w:r>
              <w:rPr>
                <w:rStyle w:val="IndexLink"/>
              </w:rPr>
              <w:t>565</w:t>
            </w:r>
          </w:hyperlink>
        </w:p>
        <w:p>
          <w:pPr>
            <w:pStyle w:val="Contents4"/>
            <w:tabs>
              <w:tab w:val="clear" w:pos="8176"/>
              <w:tab w:val="right" w:pos="9026" w:leader="dot"/>
            </w:tabs>
            <w:rPr/>
          </w:pPr>
          <w:hyperlink w:anchor="__RefHeading___Toc4067301_3224264995">
            <w:r>
              <w:rPr>
                <w:webHidden/>
                <w:rStyle w:val="IndexLink"/>
                <w:rtl w:val="true"/>
              </w:rPr>
              <w:t>«</w:t>
            </w:r>
            <w:r>
              <w:rPr>
                <w:rStyle w:val="IndexLink"/>
                <w:rtl w:val="true"/>
              </w:rPr>
              <w:t>و الذادة</w:t>
            </w:r>
            <w:r>
              <w:rPr>
                <w:rStyle w:val="IndexLink"/>
                <w:rtl w:val="true"/>
              </w:rPr>
              <w:t>» [</w:t>
            </w:r>
            <w:r>
              <w:rPr>
                <w:rStyle w:val="IndexLink"/>
                <w:rtl w:val="true"/>
              </w:rPr>
              <w:t>الحماة</w:t>
            </w:r>
            <w:r>
              <w:rPr>
                <w:rStyle w:val="IndexLink"/>
                <w:rtl w:val="true"/>
              </w:rPr>
              <w:t>]</w:t>
              <w:tab/>
            </w:r>
            <w:r>
              <w:rPr>
                <w:rStyle w:val="IndexLink"/>
              </w:rPr>
              <w:t>565</w:t>
            </w:r>
          </w:hyperlink>
        </w:p>
        <w:p>
          <w:pPr>
            <w:pStyle w:val="Contents4"/>
            <w:tabs>
              <w:tab w:val="clear" w:pos="8176"/>
              <w:tab w:val="right" w:pos="9026" w:leader="dot"/>
            </w:tabs>
            <w:rPr/>
          </w:pPr>
          <w:hyperlink w:anchor="__RefHeading___Toc4067303_3224264995">
            <w:r>
              <w:rPr>
                <w:webHidden/>
                <w:rStyle w:val="IndexLink"/>
                <w:rtl w:val="true"/>
              </w:rPr>
              <w:t>«</w:t>
            </w:r>
            <w:r>
              <w:rPr>
                <w:rStyle w:val="IndexLink"/>
                <w:rtl w:val="true"/>
              </w:rPr>
              <w:t>و أهل الذکر</w:t>
            </w:r>
            <w:r>
              <w:rPr>
                <w:rStyle w:val="IndexLink"/>
                <w:rtl w:val="true"/>
              </w:rPr>
              <w:t>»</w:t>
              <w:tab/>
            </w:r>
            <w:r>
              <w:rPr>
                <w:rStyle w:val="IndexLink"/>
              </w:rPr>
              <w:t>566</w:t>
            </w:r>
          </w:hyperlink>
        </w:p>
        <w:p>
          <w:pPr>
            <w:pStyle w:val="Contents5"/>
            <w:tabs>
              <w:tab w:val="clear" w:pos="7892"/>
              <w:tab w:val="right" w:pos="9026" w:leader="dot"/>
            </w:tabs>
            <w:rPr/>
          </w:pPr>
          <w:hyperlink w:anchor="__RefHeading___Toc4067305_3224264995">
            <w:r>
              <w:rPr>
                <w:webHidden/>
                <w:rStyle w:val="IndexLink"/>
                <w:rtl w:val="true"/>
              </w:rPr>
              <w:t>[</w:t>
            </w:r>
            <w:r>
              <w:rPr>
                <w:rStyle w:val="IndexLink"/>
                <w:rtl w:val="true"/>
              </w:rPr>
              <w:t>وجوه عشرة فی معنی أهل الذکر</w:t>
            </w:r>
            <w:r>
              <w:rPr>
                <w:rStyle w:val="IndexLink"/>
                <w:rtl w:val="true"/>
              </w:rPr>
              <w:t>]</w:t>
              <w:tab/>
            </w:r>
            <w:r>
              <w:rPr>
                <w:rStyle w:val="IndexLink"/>
              </w:rPr>
              <w:t>566</w:t>
            </w:r>
          </w:hyperlink>
        </w:p>
        <w:p>
          <w:pPr>
            <w:pStyle w:val="Contents4"/>
            <w:tabs>
              <w:tab w:val="clear" w:pos="8176"/>
              <w:tab w:val="right" w:pos="9026" w:leader="dot"/>
            </w:tabs>
            <w:rPr/>
          </w:pPr>
          <w:hyperlink w:anchor="__RefHeading___Toc4067307_3224264995">
            <w:r>
              <w:rPr>
                <w:webHidden/>
                <w:rStyle w:val="IndexLink"/>
                <w:rtl w:val="true"/>
              </w:rPr>
              <w:t>«</w:t>
            </w:r>
            <w:r>
              <w:rPr>
                <w:rStyle w:val="IndexLink"/>
                <w:rtl w:val="true"/>
              </w:rPr>
              <w:t>و أولی الأمر</w:t>
            </w:r>
            <w:r>
              <w:rPr>
                <w:rStyle w:val="IndexLink"/>
                <w:rtl w:val="true"/>
              </w:rPr>
              <w:t>»</w:t>
              <w:tab/>
            </w:r>
            <w:r>
              <w:rPr>
                <w:rStyle w:val="IndexLink"/>
              </w:rPr>
              <w:t>568</w:t>
            </w:r>
          </w:hyperlink>
        </w:p>
        <w:p>
          <w:pPr>
            <w:pStyle w:val="Contents4"/>
            <w:tabs>
              <w:tab w:val="clear" w:pos="8176"/>
              <w:tab w:val="right" w:pos="9026" w:leader="dot"/>
            </w:tabs>
            <w:rPr/>
          </w:pPr>
          <w:hyperlink w:anchor="__RefHeading___Toc4067309_3224264995">
            <w:r>
              <w:rPr>
                <w:webHidden/>
                <w:rStyle w:val="IndexLink"/>
                <w:rtl w:val="true"/>
              </w:rPr>
              <w:t>«</w:t>
            </w:r>
            <w:r>
              <w:rPr>
                <w:rStyle w:val="IndexLink"/>
                <w:rtl w:val="true"/>
              </w:rPr>
              <w:t>و بقیة اللّه</w:t>
            </w:r>
            <w:r>
              <w:rPr>
                <w:rStyle w:val="IndexLink"/>
                <w:rtl w:val="true"/>
              </w:rPr>
              <w:t>»</w:t>
              <w:tab/>
            </w:r>
            <w:r>
              <w:rPr>
                <w:rStyle w:val="IndexLink"/>
              </w:rPr>
              <w:t>568</w:t>
            </w:r>
          </w:hyperlink>
        </w:p>
        <w:p>
          <w:pPr>
            <w:pStyle w:val="Contents4"/>
            <w:tabs>
              <w:tab w:val="clear" w:pos="8176"/>
              <w:tab w:val="right" w:pos="9026" w:leader="dot"/>
            </w:tabs>
            <w:rPr/>
          </w:pPr>
          <w:hyperlink w:anchor="__RefHeading___Toc4067311_3224264995">
            <w:r>
              <w:rPr>
                <w:webHidden/>
                <w:rStyle w:val="IndexLink"/>
                <w:rtl w:val="true"/>
              </w:rPr>
              <w:t>«</w:t>
            </w:r>
            <w:r>
              <w:rPr>
                <w:rStyle w:val="IndexLink"/>
                <w:rtl w:val="true"/>
              </w:rPr>
              <w:t>و خیرته</w:t>
            </w:r>
            <w:r>
              <w:rPr>
                <w:rStyle w:val="IndexLink"/>
                <w:rtl w:val="true"/>
              </w:rPr>
              <w:t>»</w:t>
              <w:tab/>
            </w:r>
            <w:r>
              <w:rPr>
                <w:rStyle w:val="IndexLink"/>
              </w:rPr>
              <w:t>569</w:t>
            </w:r>
          </w:hyperlink>
        </w:p>
        <w:p>
          <w:pPr>
            <w:pStyle w:val="Contents4"/>
            <w:tabs>
              <w:tab w:val="clear" w:pos="8176"/>
              <w:tab w:val="right" w:pos="9026" w:leader="dot"/>
            </w:tabs>
            <w:rPr/>
          </w:pPr>
          <w:hyperlink w:anchor="__RefHeading___Toc4067313_3224264995">
            <w:r>
              <w:rPr>
                <w:webHidden/>
                <w:rStyle w:val="IndexLink"/>
                <w:rtl w:val="true"/>
              </w:rPr>
              <w:t>«</w:t>
            </w:r>
            <w:r>
              <w:rPr>
                <w:rStyle w:val="IndexLink"/>
                <w:rtl w:val="true"/>
              </w:rPr>
              <w:t>و عیبة</w:t>
            </w:r>
            <w:r>
              <w:rPr>
                <w:rStyle w:val="IndexLink"/>
                <w:rtl w:val="true"/>
              </w:rPr>
              <w:t>» [</w:t>
            </w:r>
            <w:r>
              <w:rPr>
                <w:rStyle w:val="IndexLink"/>
                <w:rtl w:val="true"/>
              </w:rPr>
              <w:t>علمه</w:t>
            </w:r>
            <w:r>
              <w:rPr>
                <w:rStyle w:val="IndexLink"/>
                <w:rtl w:val="true"/>
              </w:rPr>
              <w:t>]</w:t>
              <w:tab/>
            </w:r>
            <w:r>
              <w:rPr>
                <w:rStyle w:val="IndexLink"/>
              </w:rPr>
              <w:t>570</w:t>
            </w:r>
          </w:hyperlink>
        </w:p>
        <w:p>
          <w:pPr>
            <w:pStyle w:val="Contents4"/>
            <w:tabs>
              <w:tab w:val="clear" w:pos="8176"/>
              <w:tab w:val="right" w:pos="9026" w:leader="dot"/>
            </w:tabs>
            <w:rPr/>
          </w:pPr>
          <w:hyperlink w:anchor="__RefHeading___Toc4067315_3224264995">
            <w:r>
              <w:rPr>
                <w:webHidden/>
                <w:rStyle w:val="IndexLink"/>
                <w:rtl w:val="true"/>
              </w:rPr>
              <w:t>«</w:t>
            </w:r>
            <w:r>
              <w:rPr>
                <w:rStyle w:val="IndexLink"/>
                <w:rtl w:val="true"/>
              </w:rPr>
              <w:t>و حجته</w:t>
            </w:r>
            <w:r>
              <w:rPr>
                <w:rStyle w:val="IndexLink"/>
                <w:rtl w:val="true"/>
              </w:rPr>
              <w:t>»</w:t>
              <w:tab/>
            </w:r>
            <w:r>
              <w:rPr>
                <w:rStyle w:val="IndexLink"/>
              </w:rPr>
              <w:t>570</w:t>
            </w:r>
          </w:hyperlink>
        </w:p>
        <w:p>
          <w:pPr>
            <w:pStyle w:val="Contents4"/>
            <w:tabs>
              <w:tab w:val="clear" w:pos="8176"/>
              <w:tab w:val="right" w:pos="9026" w:leader="dot"/>
            </w:tabs>
            <w:rPr/>
          </w:pPr>
          <w:hyperlink w:anchor="__RefHeading___Toc4067317_3224264995">
            <w:r>
              <w:rPr>
                <w:webHidden/>
                <w:rStyle w:val="IndexLink"/>
                <w:rtl w:val="true"/>
              </w:rPr>
              <w:t>«</w:t>
            </w:r>
            <w:r>
              <w:rPr>
                <w:rStyle w:val="IndexLink"/>
                <w:rtl w:val="true"/>
              </w:rPr>
              <w:t>و صراطه</w:t>
            </w:r>
            <w:r>
              <w:rPr>
                <w:rStyle w:val="IndexLink"/>
                <w:rtl w:val="true"/>
              </w:rPr>
              <w:t>»</w:t>
              <w:tab/>
            </w:r>
            <w:r>
              <w:rPr>
                <w:rStyle w:val="IndexLink"/>
              </w:rPr>
              <w:t>570</w:t>
            </w:r>
          </w:hyperlink>
        </w:p>
        <w:p>
          <w:pPr>
            <w:pStyle w:val="Contents4"/>
            <w:tabs>
              <w:tab w:val="clear" w:pos="8176"/>
              <w:tab w:val="right" w:pos="9026" w:leader="dot"/>
            </w:tabs>
            <w:rPr/>
          </w:pPr>
          <w:hyperlink w:anchor="__RefHeading___Toc4067319_3224264995">
            <w:r>
              <w:rPr>
                <w:webHidden/>
                <w:rStyle w:val="IndexLink"/>
                <w:rtl w:val="true"/>
              </w:rPr>
              <w:t>«</w:t>
            </w:r>
            <w:r>
              <w:rPr>
                <w:rStyle w:val="IndexLink"/>
                <w:rtl w:val="true"/>
              </w:rPr>
              <w:t>و نوره</w:t>
            </w:r>
            <w:r>
              <w:rPr>
                <w:rStyle w:val="IndexLink"/>
                <w:rtl w:val="true"/>
              </w:rPr>
              <w:t>»</w:t>
              <w:tab/>
            </w:r>
            <w:r>
              <w:rPr>
                <w:rStyle w:val="IndexLink"/>
              </w:rPr>
              <w:t>571</w:t>
            </w:r>
          </w:hyperlink>
        </w:p>
        <w:p>
          <w:pPr>
            <w:pStyle w:val="Contents4"/>
            <w:tabs>
              <w:tab w:val="clear" w:pos="8176"/>
              <w:tab w:val="right" w:pos="9026" w:leader="dot"/>
            </w:tabs>
            <w:rPr/>
          </w:pPr>
          <w:hyperlink w:anchor="__RefHeading___Toc4067321_3224264995">
            <w:r>
              <w:rPr>
                <w:webHidden/>
                <w:rStyle w:val="IndexLink"/>
                <w:rtl w:val="true"/>
              </w:rPr>
              <w:t>«</w:t>
            </w:r>
            <w:r>
              <w:rPr>
                <w:rStyle w:val="IndexLink"/>
                <w:rtl w:val="true"/>
              </w:rPr>
              <w:t>و برهانه</w:t>
            </w:r>
            <w:r>
              <w:rPr>
                <w:rStyle w:val="IndexLink"/>
                <w:rtl w:val="true"/>
              </w:rPr>
              <w:t>»</w:t>
              <w:tab/>
            </w:r>
            <w:r>
              <w:rPr>
                <w:rStyle w:val="IndexLink"/>
              </w:rPr>
              <w:t>571</w:t>
            </w:r>
          </w:hyperlink>
        </w:p>
        <w:p>
          <w:pPr>
            <w:pStyle w:val="Contents4"/>
            <w:tabs>
              <w:tab w:val="clear" w:pos="8176"/>
              <w:tab w:val="right" w:pos="9026" w:leader="dot"/>
            </w:tabs>
            <w:rPr/>
          </w:pPr>
          <w:hyperlink w:anchor="__RefHeading___Toc4067323_3224264995">
            <w:r>
              <w:rPr>
                <w:webHidden/>
                <w:rStyle w:val="IndexLink"/>
                <w:rtl w:val="true"/>
              </w:rPr>
              <w:t>«</w:t>
            </w:r>
            <w:r>
              <w:rPr>
                <w:rStyle w:val="IndexLink"/>
                <w:rtl w:val="true"/>
              </w:rPr>
              <w:t>و رحمة اللّه و برکاته</w:t>
            </w:r>
            <w:r>
              <w:rPr>
                <w:rStyle w:val="IndexLink"/>
                <w:rtl w:val="true"/>
              </w:rPr>
              <w:t>»</w:t>
              <w:tab/>
            </w:r>
            <w:r>
              <w:rPr>
                <w:rStyle w:val="IndexLink"/>
              </w:rPr>
              <w:t>571</w:t>
            </w:r>
          </w:hyperlink>
        </w:p>
        <w:p>
          <w:pPr>
            <w:pStyle w:val="Contents4"/>
            <w:tabs>
              <w:tab w:val="clear" w:pos="8176"/>
              <w:tab w:val="right" w:pos="9026" w:leader="dot"/>
            </w:tabs>
            <w:rPr/>
          </w:pPr>
          <w:hyperlink w:anchor="__RefHeading___Toc4067325_3224264995">
            <w:r>
              <w:rPr>
                <w:webHidden/>
                <w:rStyle w:val="IndexLink"/>
                <w:rtl w:val="true"/>
              </w:rPr>
              <w:t>«</w:t>
            </w:r>
            <w:r>
              <w:rPr>
                <w:rStyle w:val="IndexLink"/>
                <w:rtl w:val="true"/>
              </w:rPr>
              <w:t>أشهد</w:t>
            </w:r>
            <w:r>
              <w:rPr>
                <w:rStyle w:val="IndexLink"/>
                <w:rtl w:val="true"/>
              </w:rPr>
              <w:t>» [</w:t>
            </w:r>
            <w:r>
              <w:rPr>
                <w:rStyle w:val="IndexLink"/>
                <w:rtl w:val="true"/>
              </w:rPr>
              <w:t>أن لا إله إلا اللّه</w:t>
            </w:r>
            <w:r>
              <w:rPr>
                <w:rStyle w:val="IndexLink"/>
                <w:rtl w:val="true"/>
              </w:rPr>
              <w:t>]</w:t>
              <w:tab/>
            </w:r>
            <w:r>
              <w:rPr>
                <w:rStyle w:val="IndexLink"/>
              </w:rPr>
              <w:t>571</w:t>
            </w:r>
          </w:hyperlink>
        </w:p>
        <w:p>
          <w:pPr>
            <w:pStyle w:val="Contents4"/>
            <w:tabs>
              <w:tab w:val="clear" w:pos="8176"/>
              <w:tab w:val="right" w:pos="9026" w:leader="dot"/>
            </w:tabs>
            <w:rPr/>
          </w:pPr>
          <w:hyperlink w:anchor="__RefHeading___Toc4067327_3224264995">
            <w:r>
              <w:rPr>
                <w:webHidden/>
                <w:rStyle w:val="IndexLink"/>
                <w:rtl w:val="true"/>
              </w:rPr>
              <w:t>«</w:t>
            </w:r>
            <w:r>
              <w:rPr>
                <w:rStyle w:val="IndexLink"/>
                <w:rtl w:val="true"/>
              </w:rPr>
              <w:t>وحده</w:t>
            </w:r>
            <w:r>
              <w:rPr>
                <w:rStyle w:val="IndexLink"/>
                <w:rtl w:val="true"/>
              </w:rPr>
              <w:t>» [</w:t>
            </w:r>
            <w:r>
              <w:rPr>
                <w:rStyle w:val="IndexLink"/>
                <w:rtl w:val="true"/>
              </w:rPr>
              <w:t>لا شریک له</w:t>
            </w:r>
            <w:r>
              <w:rPr>
                <w:rStyle w:val="IndexLink"/>
                <w:rtl w:val="true"/>
              </w:rPr>
              <w:t>]</w:t>
              <w:tab/>
            </w:r>
            <w:r>
              <w:rPr>
                <w:rStyle w:val="IndexLink"/>
              </w:rPr>
              <w:t>577</w:t>
            </w:r>
          </w:hyperlink>
        </w:p>
        <w:p>
          <w:pPr>
            <w:pStyle w:val="Contents4"/>
            <w:tabs>
              <w:tab w:val="clear" w:pos="8176"/>
              <w:tab w:val="right" w:pos="9026" w:leader="dot"/>
            </w:tabs>
            <w:rPr/>
          </w:pPr>
          <w:hyperlink w:anchor="__RefHeading___Toc4067329_3224264995">
            <w:r>
              <w:rPr>
                <w:webHidden/>
                <w:rStyle w:val="IndexLink"/>
                <w:rtl w:val="true"/>
              </w:rPr>
              <w:t>«</w:t>
            </w:r>
            <w:r>
              <w:rPr>
                <w:rStyle w:val="IndexLink"/>
                <w:rtl w:val="true"/>
              </w:rPr>
              <w:t>کما شهد اللّه لنفسه</w:t>
            </w:r>
            <w:r>
              <w:rPr>
                <w:rStyle w:val="IndexLink"/>
                <w:rtl w:val="true"/>
              </w:rPr>
              <w:t>»</w:t>
              <w:tab/>
            </w:r>
            <w:r>
              <w:rPr>
                <w:rStyle w:val="IndexLink"/>
              </w:rPr>
              <w:t>579</w:t>
            </w:r>
          </w:hyperlink>
        </w:p>
        <w:p>
          <w:pPr>
            <w:pStyle w:val="Contents4"/>
            <w:tabs>
              <w:tab w:val="clear" w:pos="8176"/>
              <w:tab w:val="right" w:pos="9026" w:leader="dot"/>
            </w:tabs>
            <w:rPr/>
          </w:pPr>
          <w:hyperlink w:anchor="__RefHeading___Toc4067331_3224264995">
            <w:r>
              <w:rPr>
                <w:webHidden/>
                <w:rStyle w:val="IndexLink"/>
                <w:rtl w:val="true"/>
              </w:rPr>
              <w:t>«</w:t>
            </w:r>
            <w:r>
              <w:rPr>
                <w:rStyle w:val="IndexLink"/>
                <w:rtl w:val="true"/>
              </w:rPr>
              <w:t>و کما شهدت له الملایکة و أولوا العلم من خلقه</w:t>
            </w:r>
            <w:r>
              <w:rPr>
                <w:rStyle w:val="IndexLink"/>
                <w:rtl w:val="true"/>
              </w:rPr>
              <w:t>»</w:t>
              <w:tab/>
            </w:r>
            <w:r>
              <w:rPr>
                <w:rStyle w:val="IndexLink"/>
              </w:rPr>
              <w:t>580</w:t>
            </w:r>
          </w:hyperlink>
        </w:p>
        <w:p>
          <w:pPr>
            <w:pStyle w:val="Contents4"/>
            <w:tabs>
              <w:tab w:val="clear" w:pos="8176"/>
              <w:tab w:val="right" w:pos="9026" w:leader="dot"/>
            </w:tabs>
            <w:rPr/>
          </w:pPr>
          <w:hyperlink w:anchor="__RefHeading___Toc4067333_3224264995">
            <w:r>
              <w:rPr>
                <w:webHidden/>
                <w:rStyle w:val="IndexLink"/>
                <w:rtl w:val="true"/>
              </w:rPr>
              <w:t>«</w:t>
            </w:r>
            <w:r>
              <w:rPr>
                <w:rStyle w:val="IndexLink"/>
                <w:rtl w:val="true"/>
              </w:rPr>
              <w:t>لا إله إلا هو</w:t>
            </w:r>
            <w:r>
              <w:rPr>
                <w:rStyle w:val="IndexLink"/>
                <w:rtl w:val="true"/>
              </w:rPr>
              <w:t>»</w:t>
              <w:tab/>
            </w:r>
            <w:r>
              <w:rPr>
                <w:rStyle w:val="IndexLink"/>
              </w:rPr>
              <w:t>581</w:t>
            </w:r>
          </w:hyperlink>
        </w:p>
        <w:p>
          <w:pPr>
            <w:pStyle w:val="Contents4"/>
            <w:tabs>
              <w:tab w:val="clear" w:pos="8176"/>
              <w:tab w:val="right" w:pos="9026" w:leader="dot"/>
            </w:tabs>
            <w:rPr/>
          </w:pPr>
          <w:hyperlink w:anchor="__RefHeading___Toc4067335_3224264995">
            <w:r>
              <w:rPr>
                <w:webHidden/>
                <w:rStyle w:val="IndexLink"/>
                <w:rtl w:val="true"/>
              </w:rPr>
              <w:t>«</w:t>
            </w:r>
            <w:r>
              <w:rPr>
                <w:rStyle w:val="IndexLink"/>
                <w:rtl w:val="true"/>
              </w:rPr>
              <w:t>العزیز</w:t>
            </w:r>
            <w:r>
              <w:rPr>
                <w:rStyle w:val="IndexLink"/>
                <w:rtl w:val="true"/>
              </w:rPr>
              <w:t>»</w:t>
              <w:tab/>
            </w:r>
            <w:r>
              <w:rPr>
                <w:rStyle w:val="IndexLink"/>
              </w:rPr>
              <w:t>582</w:t>
            </w:r>
          </w:hyperlink>
        </w:p>
        <w:p>
          <w:pPr>
            <w:pStyle w:val="Contents4"/>
            <w:tabs>
              <w:tab w:val="clear" w:pos="8176"/>
              <w:tab w:val="right" w:pos="9026" w:leader="dot"/>
            </w:tabs>
            <w:rPr/>
          </w:pPr>
          <w:hyperlink w:anchor="__RefHeading___Toc4067337_3224264995">
            <w:r>
              <w:rPr>
                <w:webHidden/>
                <w:rStyle w:val="IndexLink"/>
                <w:rtl w:val="true"/>
              </w:rPr>
              <w:t>«</w:t>
            </w:r>
            <w:r>
              <w:rPr>
                <w:rStyle w:val="IndexLink"/>
                <w:rtl w:val="true"/>
              </w:rPr>
              <w:t>الحکیم</w:t>
            </w:r>
            <w:r>
              <w:rPr>
                <w:rStyle w:val="IndexLink"/>
                <w:rtl w:val="true"/>
              </w:rPr>
              <w:t>»</w:t>
              <w:tab/>
            </w:r>
            <w:r>
              <w:rPr>
                <w:rStyle w:val="IndexLink"/>
              </w:rPr>
              <w:t>582</w:t>
            </w:r>
          </w:hyperlink>
        </w:p>
        <w:p>
          <w:pPr>
            <w:pStyle w:val="Contents4"/>
            <w:tabs>
              <w:tab w:val="clear" w:pos="8176"/>
              <w:tab w:val="right" w:pos="9026" w:leader="dot"/>
            </w:tabs>
            <w:rPr/>
          </w:pPr>
          <w:hyperlink w:anchor="__RefHeading___Toc4067339_3224264995">
            <w:r>
              <w:rPr>
                <w:webHidden/>
                <w:rStyle w:val="IndexLink"/>
                <w:rtl w:val="true"/>
              </w:rPr>
              <w:t>«</w:t>
            </w:r>
            <w:r>
              <w:rPr>
                <w:rStyle w:val="IndexLink"/>
                <w:rtl w:val="true"/>
              </w:rPr>
              <w:t>و أشهد أن محمدا عبده المنتجب</w:t>
            </w:r>
            <w:r>
              <w:rPr>
                <w:rStyle w:val="IndexLink"/>
                <w:rtl w:val="true"/>
              </w:rPr>
              <w:t>»</w:t>
              <w:tab/>
            </w:r>
            <w:r>
              <w:rPr>
                <w:rStyle w:val="IndexLink"/>
              </w:rPr>
              <w:t>583</w:t>
            </w:r>
          </w:hyperlink>
        </w:p>
        <w:p>
          <w:pPr>
            <w:pStyle w:val="Contents4"/>
            <w:tabs>
              <w:tab w:val="clear" w:pos="8176"/>
              <w:tab w:val="right" w:pos="9026" w:leader="dot"/>
            </w:tabs>
            <w:rPr/>
          </w:pPr>
          <w:hyperlink w:anchor="__RefHeading___Toc4067341_3224264995">
            <w:r>
              <w:rPr>
                <w:webHidden/>
                <w:rStyle w:val="IndexLink"/>
                <w:rtl w:val="true"/>
              </w:rPr>
              <w:t>«</w:t>
            </w:r>
            <w:r>
              <w:rPr>
                <w:rStyle w:val="IndexLink"/>
                <w:rtl w:val="true"/>
              </w:rPr>
              <w:t>و رسوله المرتضی</w:t>
            </w:r>
            <w:r>
              <w:rPr>
                <w:rStyle w:val="IndexLink"/>
                <w:rtl w:val="true"/>
              </w:rPr>
              <w:t>»</w:t>
              <w:tab/>
            </w:r>
            <w:r>
              <w:rPr>
                <w:rStyle w:val="IndexLink"/>
              </w:rPr>
              <w:t>583</w:t>
            </w:r>
          </w:hyperlink>
        </w:p>
        <w:p>
          <w:pPr>
            <w:pStyle w:val="Contents4"/>
            <w:tabs>
              <w:tab w:val="clear" w:pos="8176"/>
              <w:tab w:val="right" w:pos="9026" w:leader="dot"/>
            </w:tabs>
            <w:rPr/>
          </w:pPr>
          <w:hyperlink w:anchor="__RefHeading___Toc4067343_3224264995">
            <w:r>
              <w:rPr>
                <w:webHidden/>
                <w:rStyle w:val="IndexLink"/>
                <w:rtl w:val="true"/>
              </w:rPr>
              <w:t>«</w:t>
            </w:r>
            <w:r>
              <w:rPr>
                <w:rStyle w:val="IndexLink"/>
                <w:rtl w:val="true"/>
              </w:rPr>
              <w:t>أرسله</w:t>
            </w:r>
            <w:r>
              <w:rPr>
                <w:rStyle w:val="IndexLink"/>
                <w:rtl w:val="true"/>
              </w:rPr>
              <w:t>»</w:t>
              <w:tab/>
            </w:r>
            <w:r>
              <w:rPr>
                <w:rStyle w:val="IndexLink"/>
              </w:rPr>
              <w:t>584</w:t>
            </w:r>
          </w:hyperlink>
        </w:p>
        <w:p>
          <w:pPr>
            <w:pStyle w:val="Contents4"/>
            <w:tabs>
              <w:tab w:val="clear" w:pos="8176"/>
              <w:tab w:val="right" w:pos="9026" w:leader="dot"/>
            </w:tabs>
            <w:rPr/>
          </w:pPr>
          <w:hyperlink w:anchor="__RefHeading___Toc4067345_3224264995">
            <w:r>
              <w:rPr>
                <w:webHidden/>
                <w:rStyle w:val="IndexLink"/>
                <w:rtl w:val="true"/>
              </w:rPr>
              <w:t>«</w:t>
            </w:r>
            <w:r>
              <w:rPr>
                <w:rStyle w:val="IndexLink"/>
                <w:rtl w:val="true"/>
              </w:rPr>
              <w:t>و دین الحق</w:t>
            </w:r>
            <w:r>
              <w:rPr>
                <w:rStyle w:val="IndexLink"/>
                <w:rtl w:val="true"/>
              </w:rPr>
              <w:t>»</w:t>
              <w:tab/>
            </w:r>
            <w:r>
              <w:rPr>
                <w:rStyle w:val="IndexLink"/>
              </w:rPr>
              <w:t>584</w:t>
            </w:r>
          </w:hyperlink>
        </w:p>
        <w:p>
          <w:pPr>
            <w:pStyle w:val="Contents4"/>
            <w:tabs>
              <w:tab w:val="clear" w:pos="8176"/>
              <w:tab w:val="right" w:pos="9026" w:leader="dot"/>
            </w:tabs>
            <w:rPr/>
          </w:pPr>
          <w:hyperlink w:anchor="__RefHeading___Toc4067347_3224264995">
            <w:r>
              <w:rPr>
                <w:webHidden/>
                <w:rStyle w:val="IndexLink"/>
                <w:rtl w:val="true"/>
              </w:rPr>
              <w:t>«</w:t>
            </w:r>
            <w:r>
              <w:rPr>
                <w:rStyle w:val="IndexLink"/>
                <w:rtl w:val="true"/>
              </w:rPr>
              <w:t>لیظهره</w:t>
            </w:r>
            <w:r>
              <w:rPr>
                <w:rStyle w:val="IndexLink"/>
                <w:rtl w:val="true"/>
              </w:rPr>
              <w:t>»</w:t>
              <w:tab/>
            </w:r>
            <w:r>
              <w:rPr>
                <w:rStyle w:val="IndexLink"/>
              </w:rPr>
              <w:t>584</w:t>
            </w:r>
          </w:hyperlink>
        </w:p>
        <w:p>
          <w:pPr>
            <w:pStyle w:val="Contents4"/>
            <w:tabs>
              <w:tab w:val="clear" w:pos="8176"/>
              <w:tab w:val="right" w:pos="9026" w:leader="dot"/>
            </w:tabs>
            <w:rPr/>
          </w:pPr>
          <w:hyperlink w:anchor="__RefHeading___Toc4067349_3224264995">
            <w:r>
              <w:rPr>
                <w:webHidden/>
                <w:rStyle w:val="IndexLink"/>
                <w:rtl w:val="true"/>
              </w:rPr>
              <w:t>«</w:t>
            </w:r>
            <w:r>
              <w:rPr>
                <w:rStyle w:val="IndexLink"/>
                <w:rtl w:val="true"/>
              </w:rPr>
              <w:t>علی الدین کله</w:t>
            </w:r>
            <w:r>
              <w:rPr>
                <w:rStyle w:val="IndexLink"/>
                <w:rtl w:val="true"/>
              </w:rPr>
              <w:t>»</w:t>
              <w:tab/>
            </w:r>
            <w:r>
              <w:rPr>
                <w:rStyle w:val="IndexLink"/>
              </w:rPr>
              <w:t>584</w:t>
            </w:r>
          </w:hyperlink>
        </w:p>
        <w:p>
          <w:pPr>
            <w:pStyle w:val="Contents4"/>
            <w:tabs>
              <w:tab w:val="clear" w:pos="8176"/>
              <w:tab w:val="right" w:pos="9026" w:leader="dot"/>
            </w:tabs>
            <w:rPr/>
          </w:pPr>
          <w:hyperlink w:anchor="__RefHeading___Toc4067351_3224264995">
            <w:r>
              <w:rPr>
                <w:webHidden/>
                <w:rStyle w:val="IndexLink"/>
                <w:rtl w:val="true"/>
              </w:rPr>
              <w:t>«</w:t>
            </w:r>
            <w:r>
              <w:rPr>
                <w:rStyle w:val="IndexLink"/>
                <w:rtl w:val="true"/>
              </w:rPr>
              <w:t>و لو کره المشرکون</w:t>
            </w:r>
            <w:r>
              <w:rPr>
                <w:rStyle w:val="IndexLink"/>
                <w:rtl w:val="true"/>
              </w:rPr>
              <w:t>»</w:t>
              <w:tab/>
            </w:r>
            <w:r>
              <w:rPr>
                <w:rStyle w:val="IndexLink"/>
              </w:rPr>
              <w:t>585</w:t>
            </w:r>
          </w:hyperlink>
        </w:p>
        <w:p>
          <w:pPr>
            <w:pStyle w:val="Contents4"/>
            <w:tabs>
              <w:tab w:val="clear" w:pos="8176"/>
              <w:tab w:val="right" w:pos="9026" w:leader="dot"/>
            </w:tabs>
            <w:rPr/>
          </w:pPr>
          <w:hyperlink w:anchor="__RefHeading___Toc4067353_3224264995">
            <w:r>
              <w:rPr>
                <w:webHidden/>
                <w:rStyle w:val="IndexLink"/>
                <w:rtl w:val="true"/>
              </w:rPr>
              <w:t>«</w:t>
            </w:r>
            <w:r>
              <w:rPr>
                <w:rStyle w:val="IndexLink"/>
                <w:rtl w:val="true"/>
              </w:rPr>
              <w:t>و أشهد أنکم الأئمة الهداة الراشدون المهدیون</w:t>
            </w:r>
            <w:r>
              <w:rPr>
                <w:rStyle w:val="IndexLink"/>
                <w:rtl w:val="true"/>
              </w:rPr>
              <w:t>»</w:t>
              <w:tab/>
            </w:r>
            <w:r>
              <w:rPr>
                <w:rStyle w:val="IndexLink"/>
              </w:rPr>
              <w:t>585</w:t>
            </w:r>
          </w:hyperlink>
        </w:p>
        <w:p>
          <w:pPr>
            <w:pStyle w:val="Contents4"/>
            <w:tabs>
              <w:tab w:val="clear" w:pos="8176"/>
              <w:tab w:val="right" w:pos="9026" w:leader="dot"/>
            </w:tabs>
            <w:rPr/>
          </w:pPr>
          <w:hyperlink w:anchor="__RefHeading___Toc4067355_3224264995">
            <w:r>
              <w:rPr>
                <w:webHidden/>
                <w:rStyle w:val="IndexLink"/>
                <w:rtl w:val="true"/>
              </w:rPr>
              <w:t>«</w:t>
            </w:r>
            <w:r>
              <w:rPr>
                <w:rStyle w:val="IndexLink"/>
                <w:rtl w:val="true"/>
              </w:rPr>
              <w:t>المعصومون</w:t>
            </w:r>
            <w:r>
              <w:rPr>
                <w:rStyle w:val="IndexLink"/>
                <w:rtl w:val="true"/>
              </w:rPr>
              <w:t>»</w:t>
              <w:tab/>
            </w:r>
            <w:r>
              <w:rPr>
                <w:rStyle w:val="IndexLink"/>
              </w:rPr>
              <w:t>585</w:t>
            </w:r>
          </w:hyperlink>
        </w:p>
        <w:p>
          <w:pPr>
            <w:pStyle w:val="Contents4"/>
            <w:tabs>
              <w:tab w:val="clear" w:pos="8176"/>
              <w:tab w:val="right" w:pos="9026" w:leader="dot"/>
            </w:tabs>
            <w:rPr/>
          </w:pPr>
          <w:hyperlink w:anchor="__RefHeading___Toc4067357_3224264995">
            <w:r>
              <w:rPr>
                <w:webHidden/>
                <w:rStyle w:val="IndexLink"/>
                <w:rtl w:val="true"/>
              </w:rPr>
              <w:t>«</w:t>
            </w:r>
            <w:r>
              <w:rPr>
                <w:rStyle w:val="IndexLink"/>
                <w:rtl w:val="true"/>
              </w:rPr>
              <w:t>المکرّمون</w:t>
            </w:r>
            <w:r>
              <w:rPr>
                <w:rStyle w:val="IndexLink"/>
                <w:rtl w:val="true"/>
              </w:rPr>
              <w:t>»</w:t>
              <w:tab/>
            </w:r>
            <w:r>
              <w:rPr>
                <w:rStyle w:val="IndexLink"/>
              </w:rPr>
              <w:t>587</w:t>
            </w:r>
          </w:hyperlink>
        </w:p>
        <w:p>
          <w:pPr>
            <w:pStyle w:val="Contents2"/>
            <w:tabs>
              <w:tab w:val="clear" w:pos="8743"/>
              <w:tab w:val="right" w:pos="9026" w:leader="dot"/>
            </w:tabs>
            <w:rPr/>
          </w:pPr>
          <w:hyperlink w:anchor="__RefHeading___Toc4067359_3224264995">
            <w:r>
              <w:rPr>
                <w:webHidden/>
                <w:rStyle w:val="IndexLink"/>
                <w:rtl w:val="true"/>
              </w:rPr>
              <w:t>فهرست منابع تحقیق</w:t>
            </w:r>
            <w:r>
              <w:rPr>
                <w:rStyle w:val="IndexLink"/>
                <w:rtl w:val="true"/>
              </w:rPr>
              <w:tab/>
            </w:r>
            <w:r>
              <w:rPr>
                <w:rStyle w:val="IndexLink"/>
              </w:rPr>
              <w:t>588</w:t>
            </w:r>
          </w:hyperlink>
        </w:p>
        <w:p>
          <w:pPr>
            <w:pStyle w:val="Contents2"/>
            <w:tabs>
              <w:tab w:val="clear" w:pos="8743"/>
              <w:tab w:val="right" w:pos="9026" w:leader="dot"/>
            </w:tabs>
            <w:rPr/>
          </w:pPr>
          <w:hyperlink w:anchor="__RefHeading___Toc4067361_3224264995">
            <w:r>
              <w:rPr>
                <w:webHidden/>
                <w:rStyle w:val="IndexLink"/>
                <w:rtl w:val="true"/>
              </w:rPr>
              <w:t>فهارس فنی</w:t>
            </w:r>
            <w:r>
              <w:rPr>
                <w:rStyle w:val="IndexLink"/>
                <w:rtl w:val="true"/>
              </w:rPr>
              <w:t>:</w:t>
              <w:tab/>
            </w:r>
            <w:r>
              <w:rPr>
                <w:rStyle w:val="IndexLink"/>
              </w:rPr>
              <w:t>592</w:t>
            </w:r>
          </w:hyperlink>
        </w:p>
        <w:p>
          <w:pPr>
            <w:pStyle w:val="Contents3"/>
            <w:tabs>
              <w:tab w:val="clear" w:pos="8459"/>
              <w:tab w:val="right" w:pos="9026" w:leader="dot"/>
            </w:tabs>
            <w:rPr/>
          </w:pPr>
          <w:hyperlink w:anchor="__RefHeading___Toc4067363_3224264995">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4067365_3224264995">
            <w:r>
              <w:rPr>
                <w:webHidden/>
                <w:rStyle w:val="IndexLink"/>
                <w:rtl w:val="true"/>
              </w:rPr>
              <w:t>آیات</w:t>
            </w:r>
            <w:r>
              <w:rPr>
                <w:rStyle w:val="IndexLink"/>
                <w:rtl w:val="true"/>
              </w:rPr>
              <w:tab/>
            </w:r>
            <w:r>
              <w:rPr>
                <w:rStyle w:val="IndexLink"/>
              </w:rPr>
              <w:t>594</w:t>
            </w:r>
          </w:hyperlink>
        </w:p>
        <w:p>
          <w:pPr>
            <w:pStyle w:val="Contents3"/>
            <w:tabs>
              <w:tab w:val="clear" w:pos="8459"/>
              <w:tab w:val="right" w:pos="9026" w:leader="dot"/>
            </w:tabs>
            <w:rPr/>
          </w:pPr>
          <w:hyperlink w:anchor="__RefHeading___Toc4067367_3224264995">
            <w:r>
              <w:rPr>
                <w:webHidden/>
                <w:rStyle w:val="IndexLink"/>
                <w:rtl w:val="true"/>
              </w:rPr>
              <w:t>روایات</w:t>
            </w:r>
            <w:r>
              <w:rPr>
                <w:rStyle w:val="IndexLink"/>
                <w:rtl w:val="true"/>
              </w:rPr>
              <w:tab/>
            </w:r>
            <w:r>
              <w:rPr>
                <w:rStyle w:val="IndexLink"/>
              </w:rPr>
              <w:t>602</w:t>
            </w:r>
          </w:hyperlink>
        </w:p>
        <w:p>
          <w:pPr>
            <w:pStyle w:val="Contents4"/>
            <w:tabs>
              <w:tab w:val="clear" w:pos="8176"/>
              <w:tab w:val="right" w:pos="9026" w:leader="dot"/>
            </w:tabs>
            <w:rPr/>
          </w:pPr>
          <w:hyperlink w:anchor="__RefHeading___Toc4067369_3224264995">
            <w:r>
              <w:rPr>
                <w:webHidden/>
                <w:rStyle w:val="IndexLink"/>
                <w:rtl w:val="true"/>
              </w:rPr>
              <w:t>روایات عربی</w:t>
            </w:r>
            <w:r>
              <w:rPr>
                <w:rStyle w:val="IndexLink"/>
                <w:rtl w:val="true"/>
              </w:rPr>
              <w:tab/>
            </w:r>
            <w:r>
              <w:rPr>
                <w:rStyle w:val="IndexLink"/>
              </w:rPr>
              <w:t>602</w:t>
            </w:r>
          </w:hyperlink>
        </w:p>
        <w:p>
          <w:pPr>
            <w:pStyle w:val="Contents3"/>
            <w:tabs>
              <w:tab w:val="clear" w:pos="8459"/>
              <w:tab w:val="right" w:pos="9026" w:leader="dot"/>
            </w:tabs>
            <w:rPr/>
          </w:pPr>
          <w:hyperlink w:anchor="__RefHeading___Toc4067371_3224264995">
            <w:r>
              <w:rPr>
                <w:webHidden/>
                <w:rStyle w:val="IndexLink"/>
                <w:rtl w:val="true"/>
              </w:rPr>
              <w:t>معصومین و پیامبران</w:t>
            </w:r>
            <w:r>
              <w:rPr>
                <w:rStyle w:val="IndexLink"/>
                <w:rtl w:val="true"/>
              </w:rPr>
              <w:tab/>
            </w:r>
            <w:r>
              <w:rPr>
                <w:rStyle w:val="IndexLink"/>
              </w:rPr>
              <w:t>606</w:t>
            </w:r>
          </w:hyperlink>
        </w:p>
        <w:p>
          <w:pPr>
            <w:pStyle w:val="Contents3"/>
            <w:tabs>
              <w:tab w:val="clear" w:pos="8459"/>
              <w:tab w:val="right" w:pos="9026" w:leader="dot"/>
            </w:tabs>
            <w:rPr/>
          </w:pPr>
          <w:hyperlink w:anchor="__RefHeading___Toc4067373_3224264995">
            <w:r>
              <w:rPr>
                <w:webHidden/>
                <w:rStyle w:val="IndexLink"/>
                <w:rtl w:val="true"/>
              </w:rPr>
              <w:t>اشخاص</w:t>
            </w:r>
            <w:r>
              <w:rPr>
                <w:rStyle w:val="IndexLink"/>
                <w:rtl w:val="true"/>
              </w:rPr>
              <w:tab/>
            </w:r>
            <w:r>
              <w:rPr>
                <w:rStyle w:val="IndexLink"/>
              </w:rPr>
              <w:t>608</w:t>
            </w:r>
          </w:hyperlink>
        </w:p>
        <w:p>
          <w:pPr>
            <w:pStyle w:val="Contents4"/>
            <w:tabs>
              <w:tab w:val="clear" w:pos="8176"/>
              <w:tab w:val="right" w:pos="9026" w:leader="dot"/>
            </w:tabs>
            <w:rPr/>
          </w:pPr>
          <w:hyperlink w:anchor="__RefHeading___Toc4067375_3224264995">
            <w:r>
              <w:rPr>
                <w:webHidden/>
                <w:rStyle w:val="IndexLink"/>
                <w:rtl w:val="true"/>
              </w:rPr>
              <w:t>الف،ب،پ،ت</w:t>
            </w:r>
            <w:r>
              <w:rPr>
                <w:rStyle w:val="IndexLink"/>
                <w:rtl w:val="true"/>
              </w:rPr>
              <w:tab/>
            </w:r>
            <w:r>
              <w:rPr>
                <w:rStyle w:val="IndexLink"/>
              </w:rPr>
              <w:t>608</w:t>
            </w:r>
          </w:hyperlink>
        </w:p>
        <w:p>
          <w:pPr>
            <w:pStyle w:val="Contents4"/>
            <w:tabs>
              <w:tab w:val="clear" w:pos="8176"/>
              <w:tab w:val="right" w:pos="9026" w:leader="dot"/>
            </w:tabs>
            <w:rPr/>
          </w:pPr>
          <w:hyperlink w:anchor="__RefHeading___Toc4067377_3224264995">
            <w:r>
              <w:rPr>
                <w:webHidden/>
                <w:rStyle w:val="IndexLink"/>
                <w:rtl w:val="true"/>
              </w:rPr>
              <w:t>ث،ج،چ،ح</w:t>
            </w:r>
            <w:r>
              <w:rPr>
                <w:rStyle w:val="IndexLink"/>
                <w:rtl w:val="true"/>
              </w:rPr>
              <w:tab/>
            </w:r>
            <w:r>
              <w:rPr>
                <w:rStyle w:val="IndexLink"/>
              </w:rPr>
              <w:t>613</w:t>
            </w:r>
          </w:hyperlink>
        </w:p>
        <w:p>
          <w:pPr>
            <w:pStyle w:val="Contents4"/>
            <w:tabs>
              <w:tab w:val="clear" w:pos="8176"/>
              <w:tab w:val="right" w:pos="9026" w:leader="dot"/>
            </w:tabs>
            <w:rPr/>
          </w:pPr>
          <w:hyperlink w:anchor="__RefHeading___Toc4067379_3224264995">
            <w:r>
              <w:rPr>
                <w:webHidden/>
                <w:rStyle w:val="IndexLink"/>
                <w:rtl w:val="true"/>
              </w:rPr>
              <w:t>خ،د،ذ،ر</w:t>
            </w:r>
            <w:r>
              <w:rPr>
                <w:rStyle w:val="IndexLink"/>
                <w:rtl w:val="true"/>
              </w:rPr>
              <w:tab/>
            </w:r>
            <w:r>
              <w:rPr>
                <w:rStyle w:val="IndexLink"/>
              </w:rPr>
              <w:t>615</w:t>
            </w:r>
          </w:hyperlink>
        </w:p>
        <w:p>
          <w:pPr>
            <w:pStyle w:val="Contents4"/>
            <w:tabs>
              <w:tab w:val="clear" w:pos="8176"/>
              <w:tab w:val="right" w:pos="9026" w:leader="dot"/>
            </w:tabs>
            <w:rPr/>
          </w:pPr>
          <w:hyperlink w:anchor="__RefHeading___Toc4067381_3224264995">
            <w:r>
              <w:rPr>
                <w:webHidden/>
                <w:rStyle w:val="IndexLink"/>
                <w:rtl w:val="true"/>
              </w:rPr>
              <w:t>ر،ژ،س،ش</w:t>
            </w:r>
            <w:r>
              <w:rPr>
                <w:rStyle w:val="IndexLink"/>
                <w:rtl w:val="true"/>
              </w:rPr>
              <w:tab/>
            </w:r>
            <w:r>
              <w:rPr>
                <w:rStyle w:val="IndexLink"/>
              </w:rPr>
              <w:t>616</w:t>
            </w:r>
          </w:hyperlink>
        </w:p>
        <w:p>
          <w:pPr>
            <w:pStyle w:val="Contents4"/>
            <w:tabs>
              <w:tab w:val="clear" w:pos="8176"/>
              <w:tab w:val="right" w:pos="9026" w:leader="dot"/>
            </w:tabs>
            <w:rPr/>
          </w:pPr>
          <w:hyperlink w:anchor="__RefHeading___Toc4067383_3224264995">
            <w:r>
              <w:rPr>
                <w:webHidden/>
                <w:rStyle w:val="IndexLink"/>
                <w:rtl w:val="true"/>
              </w:rPr>
              <w:t>ص،ض،ط،ظ</w:t>
            </w:r>
            <w:r>
              <w:rPr>
                <w:rStyle w:val="IndexLink"/>
                <w:rtl w:val="true"/>
              </w:rPr>
              <w:tab/>
            </w:r>
            <w:r>
              <w:rPr>
                <w:rStyle w:val="IndexLink"/>
              </w:rPr>
              <w:t>619</w:t>
            </w:r>
          </w:hyperlink>
        </w:p>
        <w:p>
          <w:pPr>
            <w:pStyle w:val="Contents4"/>
            <w:tabs>
              <w:tab w:val="clear" w:pos="8176"/>
              <w:tab w:val="right" w:pos="9026" w:leader="dot"/>
            </w:tabs>
            <w:rPr/>
          </w:pPr>
          <w:hyperlink w:anchor="__RefHeading___Toc4067385_3224264995">
            <w:r>
              <w:rPr>
                <w:webHidden/>
                <w:rStyle w:val="IndexLink"/>
                <w:rtl w:val="true"/>
              </w:rPr>
              <w:t>ع،غ،ف،ق</w:t>
            </w:r>
            <w:r>
              <w:rPr>
                <w:rStyle w:val="IndexLink"/>
                <w:rtl w:val="true"/>
              </w:rPr>
              <w:tab/>
            </w:r>
            <w:r>
              <w:rPr>
                <w:rStyle w:val="IndexLink"/>
              </w:rPr>
              <w:t>620</w:t>
            </w:r>
          </w:hyperlink>
        </w:p>
        <w:p>
          <w:pPr>
            <w:pStyle w:val="Contents3"/>
            <w:tabs>
              <w:tab w:val="clear" w:pos="8459"/>
              <w:tab w:val="right" w:pos="9026" w:leader="dot"/>
            </w:tabs>
            <w:rPr/>
          </w:pPr>
          <w:hyperlink w:anchor="__RefHeading___Toc4067387_3224264995">
            <w:r>
              <w:rPr>
                <w:webHidden/>
                <w:rStyle w:val="IndexLink"/>
                <w:rtl w:val="true"/>
              </w:rPr>
              <w:t>کتابها</w:t>
            </w:r>
            <w:r>
              <w:rPr>
                <w:rStyle w:val="IndexLink"/>
                <w:rtl w:val="true"/>
              </w:rPr>
              <w:tab/>
            </w:r>
            <w:r>
              <w:rPr>
                <w:rStyle w:val="IndexLink"/>
              </w:rPr>
              <w:t>629</w:t>
            </w:r>
          </w:hyperlink>
        </w:p>
        <w:p>
          <w:pPr>
            <w:pStyle w:val="Contents4"/>
            <w:tabs>
              <w:tab w:val="clear" w:pos="8176"/>
              <w:tab w:val="right" w:pos="9026" w:leader="dot"/>
            </w:tabs>
            <w:rPr/>
          </w:pPr>
          <w:hyperlink w:anchor="__RefHeading___Toc4067389_3224264995">
            <w:r>
              <w:rPr>
                <w:webHidden/>
                <w:rStyle w:val="IndexLink"/>
                <w:rtl w:val="true"/>
              </w:rPr>
              <w:t>الف،ب،پ،ت</w:t>
            </w:r>
            <w:r>
              <w:rPr>
                <w:rStyle w:val="IndexLink"/>
                <w:rtl w:val="true"/>
              </w:rPr>
              <w:tab/>
            </w:r>
            <w:r>
              <w:rPr>
                <w:rStyle w:val="IndexLink"/>
              </w:rPr>
              <w:t>629</w:t>
            </w:r>
          </w:hyperlink>
        </w:p>
        <w:p>
          <w:pPr>
            <w:pStyle w:val="Contents4"/>
            <w:tabs>
              <w:tab w:val="clear" w:pos="8176"/>
              <w:tab w:val="right" w:pos="9026" w:leader="dot"/>
            </w:tabs>
            <w:rPr/>
          </w:pPr>
          <w:hyperlink w:anchor="__RefHeading___Toc4067391_3224264995">
            <w:r>
              <w:rPr>
                <w:webHidden/>
                <w:rStyle w:val="IndexLink"/>
                <w:rtl w:val="true"/>
              </w:rPr>
              <w:t>ث،ج،چ،ح</w:t>
            </w:r>
            <w:r>
              <w:rPr>
                <w:rStyle w:val="IndexLink"/>
                <w:rtl w:val="true"/>
              </w:rPr>
              <w:tab/>
            </w:r>
            <w:r>
              <w:rPr>
                <w:rStyle w:val="IndexLink"/>
              </w:rPr>
              <w:t>633</w:t>
            </w:r>
          </w:hyperlink>
        </w:p>
        <w:p>
          <w:pPr>
            <w:pStyle w:val="Contents4"/>
            <w:tabs>
              <w:tab w:val="clear" w:pos="8176"/>
              <w:tab w:val="right" w:pos="9026" w:leader="dot"/>
            </w:tabs>
            <w:rPr/>
          </w:pPr>
          <w:hyperlink w:anchor="__RefHeading___Toc4067393_3224264995">
            <w:r>
              <w:rPr>
                <w:webHidden/>
                <w:rStyle w:val="IndexLink"/>
                <w:rtl w:val="true"/>
              </w:rPr>
              <w:t>خ،د،ذ،ر</w:t>
            </w:r>
            <w:r>
              <w:rPr>
                <w:rStyle w:val="IndexLink"/>
                <w:rtl w:val="true"/>
              </w:rPr>
              <w:tab/>
            </w:r>
            <w:r>
              <w:rPr>
                <w:rStyle w:val="IndexLink"/>
              </w:rPr>
              <w:t>634</w:t>
            </w:r>
          </w:hyperlink>
        </w:p>
        <w:p>
          <w:pPr>
            <w:pStyle w:val="Contents4"/>
            <w:tabs>
              <w:tab w:val="clear" w:pos="8176"/>
              <w:tab w:val="right" w:pos="9026" w:leader="dot"/>
            </w:tabs>
            <w:rPr/>
          </w:pPr>
          <w:hyperlink w:anchor="__RefHeading___Toc4067395_3224264995">
            <w:r>
              <w:rPr>
                <w:webHidden/>
                <w:rStyle w:val="IndexLink"/>
                <w:rtl w:val="true"/>
              </w:rPr>
              <w:t>ز،ژ،س،ش</w:t>
            </w:r>
            <w:r>
              <w:rPr>
                <w:rStyle w:val="IndexLink"/>
                <w:rtl w:val="true"/>
              </w:rPr>
              <w:tab/>
            </w:r>
            <w:r>
              <w:rPr>
                <w:rStyle w:val="IndexLink"/>
              </w:rPr>
              <w:t>636</w:t>
            </w:r>
          </w:hyperlink>
        </w:p>
        <w:p>
          <w:pPr>
            <w:pStyle w:val="Contents4"/>
            <w:tabs>
              <w:tab w:val="clear" w:pos="8176"/>
              <w:tab w:val="right" w:pos="9026" w:leader="dot"/>
            </w:tabs>
            <w:rPr/>
          </w:pPr>
          <w:hyperlink w:anchor="__RefHeading___Toc4067397_3224264995">
            <w:r>
              <w:rPr>
                <w:webHidden/>
                <w:rStyle w:val="IndexLink"/>
                <w:rtl w:val="true"/>
              </w:rPr>
              <w:t>ص،ض،ط،ظ</w:t>
            </w:r>
            <w:r>
              <w:rPr>
                <w:rStyle w:val="IndexLink"/>
                <w:rtl w:val="true"/>
              </w:rPr>
              <w:tab/>
            </w:r>
            <w:r>
              <w:rPr>
                <w:rStyle w:val="IndexLink"/>
              </w:rPr>
              <w:t>638</w:t>
            </w:r>
          </w:hyperlink>
        </w:p>
        <w:p>
          <w:pPr>
            <w:pStyle w:val="Contents4"/>
            <w:tabs>
              <w:tab w:val="clear" w:pos="8176"/>
              <w:tab w:val="right" w:pos="9026" w:leader="dot"/>
            </w:tabs>
            <w:rPr/>
          </w:pPr>
          <w:hyperlink w:anchor="__RefHeading___Toc4067399_3224264995">
            <w:r>
              <w:rPr>
                <w:webHidden/>
                <w:rStyle w:val="IndexLink"/>
                <w:rtl w:val="true"/>
              </w:rPr>
              <w:t>ع،غ،ف،ق</w:t>
            </w:r>
            <w:r>
              <w:rPr>
                <w:rStyle w:val="IndexLink"/>
                <w:rtl w:val="true"/>
              </w:rPr>
              <w:tab/>
            </w:r>
            <w:r>
              <w:rPr>
                <w:rStyle w:val="IndexLink"/>
              </w:rPr>
              <w:t>638</w:t>
            </w:r>
          </w:hyperlink>
        </w:p>
        <w:p>
          <w:pPr>
            <w:pStyle w:val="Contents4"/>
            <w:tabs>
              <w:tab w:val="clear" w:pos="8176"/>
              <w:tab w:val="right" w:pos="9026" w:leader="dot"/>
            </w:tabs>
            <w:rPr/>
          </w:pPr>
          <w:hyperlink w:anchor="__RefHeading___Toc4067401_3224264995">
            <w:r>
              <w:rPr>
                <w:webHidden/>
                <w:rStyle w:val="IndexLink"/>
                <w:rtl w:val="true"/>
              </w:rPr>
              <w:t>ک،گ،ل،م</w:t>
            </w:r>
            <w:r>
              <w:rPr>
                <w:rStyle w:val="IndexLink"/>
                <w:rtl w:val="true"/>
              </w:rPr>
              <w:tab/>
            </w:r>
            <w:r>
              <w:rPr>
                <w:rStyle w:val="IndexLink"/>
              </w:rPr>
              <w:t>640</w:t>
            </w:r>
          </w:hyperlink>
        </w:p>
        <w:p>
          <w:pPr>
            <w:pStyle w:val="Contents4"/>
            <w:tabs>
              <w:tab w:val="clear" w:pos="8176"/>
              <w:tab w:val="right" w:pos="9026" w:leader="dot"/>
            </w:tabs>
            <w:rPr/>
          </w:pPr>
          <w:hyperlink w:anchor="__RefHeading___Toc4067403_3224264995">
            <w:r>
              <w:rPr>
                <w:webHidden/>
                <w:rStyle w:val="IndexLink"/>
                <w:rtl w:val="true"/>
              </w:rPr>
              <w:t>ن،و،ه،ی</w:t>
            </w:r>
            <w:r>
              <w:rPr>
                <w:rStyle w:val="IndexLink"/>
                <w:rtl w:val="true"/>
              </w:rPr>
              <w:tab/>
            </w:r>
            <w:r>
              <w:rPr>
                <w:rStyle w:val="IndexLink"/>
              </w:rPr>
              <w:t>645</w:t>
            </w:r>
          </w:hyperlink>
        </w:p>
        <w:p>
          <w:pPr>
            <w:pStyle w:val="Contents3"/>
            <w:tabs>
              <w:tab w:val="clear" w:pos="8459"/>
              <w:tab w:val="right" w:pos="9026" w:leader="dot"/>
            </w:tabs>
            <w:rPr/>
          </w:pPr>
          <w:hyperlink w:anchor="__RefHeading___Toc4067405_3224264995">
            <w:r>
              <w:rPr>
                <w:webHidden/>
                <w:rStyle w:val="IndexLink"/>
                <w:rtl w:val="true"/>
              </w:rPr>
              <w:t>مکان ها</w:t>
            </w:r>
            <w:r>
              <w:rPr>
                <w:rStyle w:val="IndexLink"/>
                <w:rtl w:val="true"/>
              </w:rPr>
              <w:tab/>
            </w:r>
            <w:r>
              <w:rPr>
                <w:rStyle w:val="IndexLink"/>
              </w:rPr>
              <w:t>647</w:t>
            </w:r>
          </w:hyperlink>
        </w:p>
        <w:p>
          <w:pPr>
            <w:pStyle w:val="Contents4"/>
            <w:tabs>
              <w:tab w:val="clear" w:pos="8176"/>
              <w:tab w:val="right" w:pos="9026" w:leader="dot"/>
            </w:tabs>
            <w:rPr/>
          </w:pPr>
          <w:hyperlink w:anchor="__RefHeading___Toc4067407_3224264995">
            <w:r>
              <w:rPr>
                <w:webHidden/>
                <w:rStyle w:val="IndexLink"/>
                <w:rtl w:val="true"/>
              </w:rPr>
              <w:t>الف،ب،پ،ت</w:t>
            </w:r>
            <w:r>
              <w:rPr>
                <w:rStyle w:val="IndexLink"/>
                <w:rtl w:val="true"/>
              </w:rPr>
              <w:tab/>
            </w:r>
            <w:r>
              <w:rPr>
                <w:rStyle w:val="IndexLink"/>
              </w:rPr>
              <w:t>647</w:t>
            </w:r>
          </w:hyperlink>
        </w:p>
        <w:p>
          <w:pPr>
            <w:pStyle w:val="Contents4"/>
            <w:tabs>
              <w:tab w:val="clear" w:pos="8176"/>
              <w:tab w:val="right" w:pos="9026" w:leader="dot"/>
            </w:tabs>
            <w:rPr/>
          </w:pPr>
          <w:hyperlink w:anchor="__RefHeading___Toc4067409_3224264995">
            <w:r>
              <w:rPr>
                <w:webHidden/>
                <w:rStyle w:val="IndexLink"/>
                <w:rtl w:val="true"/>
              </w:rPr>
              <w:t>ت،ج،چ،ح</w:t>
            </w:r>
            <w:r>
              <w:rPr>
                <w:rStyle w:val="IndexLink"/>
                <w:rtl w:val="true"/>
              </w:rPr>
              <w:tab/>
            </w:r>
            <w:r>
              <w:rPr>
                <w:rStyle w:val="IndexLink"/>
              </w:rPr>
              <w:t>648</w:t>
            </w:r>
          </w:hyperlink>
        </w:p>
        <w:p>
          <w:pPr>
            <w:pStyle w:val="Contents4"/>
            <w:tabs>
              <w:tab w:val="clear" w:pos="8176"/>
              <w:tab w:val="right" w:pos="9026" w:leader="dot"/>
            </w:tabs>
            <w:rPr/>
          </w:pPr>
          <w:hyperlink w:anchor="__RefHeading___Toc4067411_3224264995">
            <w:r>
              <w:rPr>
                <w:webHidden/>
                <w:rStyle w:val="IndexLink"/>
                <w:rtl w:val="true"/>
              </w:rPr>
              <w:t>خ،د،ذ،ر</w:t>
            </w:r>
            <w:r>
              <w:rPr>
                <w:rStyle w:val="IndexLink"/>
                <w:rtl w:val="true"/>
              </w:rPr>
              <w:tab/>
            </w:r>
            <w:r>
              <w:rPr>
                <w:rStyle w:val="IndexLink"/>
              </w:rPr>
              <w:t>648</w:t>
            </w:r>
          </w:hyperlink>
        </w:p>
        <w:p>
          <w:pPr>
            <w:pStyle w:val="Contents4"/>
            <w:tabs>
              <w:tab w:val="clear" w:pos="8176"/>
              <w:tab w:val="right" w:pos="9026" w:leader="dot"/>
            </w:tabs>
            <w:rPr/>
          </w:pPr>
          <w:hyperlink w:anchor="__RefHeading___Toc4067413_3224264995">
            <w:r>
              <w:rPr>
                <w:webHidden/>
                <w:rStyle w:val="IndexLink"/>
                <w:rtl w:val="true"/>
              </w:rPr>
              <w:t>ز،ژ،س،ش</w:t>
            </w:r>
            <w:r>
              <w:rPr>
                <w:rStyle w:val="IndexLink"/>
                <w:rtl w:val="true"/>
              </w:rPr>
              <w:tab/>
            </w:r>
            <w:r>
              <w:rPr>
                <w:rStyle w:val="IndexLink"/>
              </w:rPr>
              <w:t>650</w:t>
            </w:r>
          </w:hyperlink>
        </w:p>
        <w:p>
          <w:pPr>
            <w:pStyle w:val="Contents4"/>
            <w:tabs>
              <w:tab w:val="clear" w:pos="8176"/>
              <w:tab w:val="right" w:pos="9026" w:leader="dot"/>
            </w:tabs>
            <w:rPr/>
          </w:pPr>
          <w:hyperlink w:anchor="__RefHeading___Toc4067415_3224264995">
            <w:r>
              <w:rPr>
                <w:webHidden/>
                <w:rStyle w:val="IndexLink"/>
                <w:rtl w:val="true"/>
              </w:rPr>
              <w:t>ص،ض،ط،ظ</w:t>
            </w:r>
            <w:r>
              <w:rPr>
                <w:rStyle w:val="IndexLink"/>
                <w:rtl w:val="true"/>
              </w:rPr>
              <w:tab/>
            </w:r>
            <w:r>
              <w:rPr>
                <w:rStyle w:val="IndexLink"/>
              </w:rPr>
              <w:t>650</w:t>
            </w:r>
          </w:hyperlink>
        </w:p>
        <w:p>
          <w:pPr>
            <w:pStyle w:val="Contents4"/>
            <w:tabs>
              <w:tab w:val="clear" w:pos="8176"/>
              <w:tab w:val="right" w:pos="9026" w:leader="dot"/>
            </w:tabs>
            <w:rPr/>
          </w:pPr>
          <w:hyperlink w:anchor="__RefHeading___Toc4067417_3224264995">
            <w:r>
              <w:rPr>
                <w:webHidden/>
                <w:rStyle w:val="IndexLink"/>
                <w:rtl w:val="true"/>
              </w:rPr>
              <w:t>ع،غ،ف،ق</w:t>
            </w:r>
            <w:r>
              <w:rPr>
                <w:rStyle w:val="IndexLink"/>
                <w:rtl w:val="true"/>
              </w:rPr>
              <w:tab/>
            </w:r>
            <w:r>
              <w:rPr>
                <w:rStyle w:val="IndexLink"/>
              </w:rPr>
              <w:t>650</w:t>
            </w:r>
          </w:hyperlink>
        </w:p>
        <w:p>
          <w:pPr>
            <w:pStyle w:val="Contents4"/>
            <w:tabs>
              <w:tab w:val="clear" w:pos="8176"/>
              <w:tab w:val="right" w:pos="9026" w:leader="dot"/>
            </w:tabs>
            <w:rPr/>
          </w:pPr>
          <w:hyperlink w:anchor="__RefHeading___Toc4067419_3224264995">
            <w:r>
              <w:rPr>
                <w:webHidden/>
                <w:rStyle w:val="IndexLink"/>
                <w:rtl w:val="true"/>
              </w:rPr>
              <w:t>ک،گ،ل،م</w:t>
            </w:r>
            <w:r>
              <w:rPr>
                <w:rStyle w:val="IndexLink"/>
                <w:rtl w:val="true"/>
              </w:rPr>
              <w:tab/>
            </w:r>
            <w:r>
              <w:rPr>
                <w:rStyle w:val="IndexLink"/>
              </w:rPr>
              <w:t>650</w:t>
            </w:r>
          </w:hyperlink>
        </w:p>
        <w:p>
          <w:pPr>
            <w:pStyle w:val="Contents4"/>
            <w:tabs>
              <w:tab w:val="clear" w:pos="8176"/>
              <w:tab w:val="right" w:pos="9026" w:leader="dot"/>
            </w:tabs>
            <w:rPr/>
          </w:pPr>
          <w:hyperlink w:anchor="__RefHeading___Toc4067421_3224264995">
            <w:r>
              <w:rPr>
                <w:webHidden/>
                <w:rStyle w:val="IndexLink"/>
                <w:rtl w:val="true"/>
              </w:rPr>
              <w:t>ن،و،ه،ی</w:t>
            </w:r>
            <w:r>
              <w:rPr>
                <w:rStyle w:val="IndexLink"/>
                <w:rtl w:val="true"/>
              </w:rPr>
              <w:tab/>
            </w:r>
            <w:r>
              <w:rPr>
                <w:rStyle w:val="IndexLink"/>
              </w:rPr>
              <w:t>653</w:t>
            </w:r>
          </w:hyperlink>
        </w:p>
        <w:p>
          <w:pPr>
            <w:pStyle w:val="Contents3"/>
            <w:tabs>
              <w:tab w:val="clear" w:pos="8459"/>
              <w:tab w:val="right" w:pos="9026" w:leader="dot"/>
            </w:tabs>
            <w:rPr/>
          </w:pPr>
          <w:hyperlink w:anchor="__RefHeading___Toc4067423_3224264995">
            <w:r>
              <w:rPr>
                <w:webHidden/>
                <w:rStyle w:val="IndexLink"/>
                <w:rtl w:val="true"/>
              </w:rPr>
              <w:t>فرق،مذاهب،طوایف</w:t>
            </w:r>
            <w:r>
              <w:rPr>
                <w:rStyle w:val="IndexLink"/>
                <w:rtl w:val="true"/>
              </w:rPr>
              <w:tab/>
            </w:r>
            <w:r>
              <w:rPr>
                <w:rStyle w:val="IndexLink"/>
              </w:rPr>
              <w:t>655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7_138981"/>
      <w:bookmarkStart w:id="1" w:name="pg12937_138981"/>
      <w:bookmarkEnd w:id="1"/>
    </w:p>
    <w:p>
      <w:pPr>
        <w:pStyle w:val="Heading2"/>
        <w:numPr>
          <w:ilvl w:val="1"/>
          <w:numId w:val="1"/>
        </w:numPr>
        <w:rPr/>
      </w:pPr>
      <w:bookmarkStart w:id="2" w:name="pg12937_138981"/>
      <w:bookmarkStart w:id="3" w:name="__RefHeading___Toc4066775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6777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37_138985"/>
      <w:bookmarkStart w:id="8" w:name="pg12937_138985"/>
      <w:bookmarkEnd w:id="8"/>
    </w:p>
    <w:p>
      <w:pPr>
        <w:pStyle w:val="Heading2"/>
        <w:numPr>
          <w:ilvl w:val="1"/>
          <w:numId w:val="1"/>
        </w:numPr>
        <w:rPr/>
      </w:pPr>
      <w:bookmarkStart w:id="9" w:name="pg12937_138985"/>
      <w:bookmarkStart w:id="10" w:name="__RefHeading___Toc4066779_3224264995"/>
      <w:bookmarkStart w:id="11" w:name="_Toc3"/>
      <w:bookmarkEnd w:id="9"/>
      <w:bookmarkEnd w:id="10"/>
      <w:r>
        <w:rPr>
          <w:rtl w:val="true"/>
        </w:rPr>
        <w:t>درباره این مجموعه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نوپا،باطرحواره‌ای به وسعت عرصه 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 اشاره بنا نهاده است و با چشمداشت به لطف حضرت حق در این مسیر گام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اقتضای متاخّران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 همان معنای اصیل عامش می‌باشد،بدین ترتیب تألیف، 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سابقه یکهزار ساله حوزه علمیّه اصفهان آگاهی داریم،رساله‌هایی که در این مجموعه عرضه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سراسر این پهنه وسیع را دربرگیرد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تلاش علمی </w:t>
      </w:r>
    </w:p>
    <w:p>
      <w:pPr>
        <w:pStyle w:val="BookText"/>
        <w:rPr/>
      </w:pPr>
      <w:r>
        <w:rPr>
          <w:rFonts w:ascii="IRNazanin" w:hAnsi="IRNazanin" w:eastAsia="IRNazanin"/>
          <w:color w:val="111111"/>
          <w:sz w:val="28"/>
          <w:sz w:val="28"/>
          <w:szCs w:val="28"/>
          <w:rtl w:val="true"/>
          <w:lang w:bidi="fa-IR"/>
        </w:rPr>
        <w:t>مشغول بوده‌اند،شیخ بهایی‌ها،و میردامادها و حکیم صهباها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کنار تلاش علمی بس 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اقیانوس‌های ناپیدا کرانه‌ای همچون مجلسی،شیخ بهایی،میر داماد،محقّق خوانساری،فاضل هندی،صدر المتالّهین،حکیم نوری،حکیم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 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 شایسته 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باشند منتشر نموده و صفحات خود را بدان،زیور بخشد و در این راه،همدلی و همراهی همه محقّقان ارجمند را امید می‌برد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حوزه علمیه اصفهان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العالم این گرامی‌نامه که برگی زرّین از آثار فرهنگ و تمدن اسلامی حوزه فخیم اصفهان می‌باشد به محضر عالم و فقیه فرزانه محمد بن عبد الفتاح مشهور به فاضل سراب اعلی الله مقامه از زعمای بلندمنزلت حوزه اصفهان و خوشه‌چین محفل علمی علاّمه مجلسی و آقا حسین خوانساری قدس سرّهما تقدیم می‌گردد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937_138989"/>
      <w:bookmarkStart w:id="13" w:name="pg12937_138989"/>
      <w:bookmarkEnd w:id="13"/>
    </w:p>
    <w:p>
      <w:pPr>
        <w:pStyle w:val="Heading2"/>
        <w:numPr>
          <w:ilvl w:val="1"/>
          <w:numId w:val="1"/>
        </w:numPr>
        <w:rPr/>
      </w:pPr>
      <w:bookmarkStart w:id="14" w:name="pg12937_138989"/>
      <w:bookmarkStart w:id="15" w:name="__RefHeading___Toc4066781_3224264995"/>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 xml:space="preserve">عنوان صفحه مقدمه مرکز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رساله التعلیقات علی زبدة البیان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 xml:space="preserve">مقدمه تحقیق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خطبه کتاب</w:t>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کتاب الأمر بالمعروف و النهی عن المنکر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کتاب المکاسب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الدین و توابعه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کتاب فیه جملة من العقود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کتاب القضاء و الشهادات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رساله هدایة الضبط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حبیب اللّه بن علی مدد الکاشانی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جبّار کاظم</w:t>
      </w:r>
    </w:p>
    <w:p>
      <w:pPr>
        <w:pStyle w:val="BookText"/>
        <w:rPr/>
      </w:pP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خطبه کتاب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تحقیق متعلّق الکتابة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کتابة الحروف مفردة أو مرکبة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الإبتداء و الوقف علی الحروف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کتابة الهمزة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الکلمات و فصلها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الحروف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الحروف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المقصور </w:t>
      </w:r>
      <w:r>
        <w:rPr>
          <w:rFonts w:eastAsia="IRNazanin" w:cs="IRNazanin"/>
          <w:color w:val="111111"/>
          <w:sz w:val="28"/>
          <w:szCs w:val="28"/>
          <w:lang w:bidi="fa-IR"/>
        </w:rPr>
        <w:t>334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التحقیق و مراجعه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طاهریه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کرم علی پاچناری اصفهانی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BookText"/>
        <w:rPr/>
      </w:pPr>
      <w:r>
        <w:rPr>
          <w:rFonts w:ascii="IRNazanin" w:hAnsi="IRNazanin" w:eastAsia="IRNazanin"/>
          <w:color w:val="111111"/>
          <w:sz w:val="28"/>
          <w:sz w:val="28"/>
          <w:szCs w:val="28"/>
          <w:rtl w:val="true"/>
          <w:lang w:bidi="fa-IR"/>
        </w:rPr>
        <w:t xml:space="preserve">پیشگفتار پژوهنده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پینوشتهای پیشگفتار پژوهنده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خطبه کتاب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رساله طاهریه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کتابنامه پژوهش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فهرست منابع و ماخذ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الأنوار اللاّمعة لزوار الجامعة بهاء الدین محمد حسینی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نورمحمّدی</w:t>
      </w:r>
    </w:p>
    <w:p>
      <w:pPr>
        <w:pStyle w:val="BookText"/>
        <w:rPr/>
      </w:pPr>
      <w:r>
        <w:rPr>
          <w:rFonts w:ascii="Amiri" w:hAnsi="Amiri" w:eastAsia="Amiri" w:cs="Amiri"/>
          <w:color w:val="111111"/>
          <w:sz w:val="28"/>
          <w:sz w:val="28"/>
          <w:szCs w:val="28"/>
          <w:rtl w:val="true"/>
          <w:lang w:bidi="ar-SA"/>
        </w:rPr>
        <w:t xml:space="preserve">مقدمه محقّق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زیارت جامعه و پژوهش‌های پیرامون آن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شیوه تحقیق و تصحیح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زندگی‌نامه و حیات علمی و آثار مختاری نائینی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آثار و تألیفات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زندگی و حیات علمی و آثار مختاری نائینی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الأنوار اللامعة لزوّار الجامعة </w:t>
      </w:r>
      <w:r>
        <w:rPr>
          <w:rFonts w:eastAsia="Amiri" w:cs="Amiri" w:ascii="Amiri" w:hAnsi="Amiri"/>
          <w:color w:val="111111"/>
          <w:sz w:val="28"/>
          <w:szCs w:val="28"/>
          <w:lang w:bidi="ar-SA"/>
        </w:rPr>
        <w:t>475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کتاب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نبذة من احوال مولانا علی بن محمد الهادی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نبذة من أحوال مولانا علی بن محمد الهادی علیهما السّلام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لقبه الشریف و مولده علیه السّلام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مناقبه علیه السّلام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کراماته و معجزاته علیه السّلام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السلام علیکم یا أهل البیت النبوّة و موضع الرسالة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 مختلف الملائکة و مهبط الوحی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و معدن الرحمة و خزّان العلم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و أصول الکرم و قادة الأمم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 عترة خیرة رب العالمین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السلام علی أئمة الهدی و مصابیح الدّجی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 المثل الأعلی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و الدعوة الحسنی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سبعة اوجه فی احتمال معناها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السلام علی محالّ معرفة اللّه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وجوه سبعه فی معنی محالّ معرفة اللّه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و ذریة رسول اللّه صلّی اللّه علیه و اله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السلام علی الدعاة إلی اللّه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و المخلصین فی توحید اللّه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و عباده المکرمون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السلام علی الائمة الدعاة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و أهل الذّکر </w:t>
      </w:r>
      <w:r>
        <w:rPr>
          <w:rFonts w:eastAsia="Amiri" w:cs="Amiri" w:ascii="Amiri" w:hAnsi="Amiri"/>
          <w:color w:val="111111"/>
          <w:sz w:val="28"/>
          <w:szCs w:val="28"/>
          <w:lang w:bidi="ar-SA"/>
        </w:rPr>
        <w:t>544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عشرة فی معنی أهل الذّکر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أشهد ان لا اله الا اللّه وحده لا شریک له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و أشهد أنکم الائمة الهداة الراشدون المهدیّون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فهارس فنی دفتر هشتم آیات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lang w:bidi="fa-IR"/>
        </w:rPr>
        <w:t>638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و مذاهب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937_138995"/>
      <w:bookmarkStart w:id="18" w:name="pg12937_138995"/>
      <w:bookmarkEnd w:id="18"/>
    </w:p>
    <w:p>
      <w:pPr>
        <w:pStyle w:val="Heading2"/>
        <w:numPr>
          <w:ilvl w:val="1"/>
          <w:numId w:val="1"/>
        </w:numPr>
        <w:rPr/>
      </w:pPr>
      <w:bookmarkStart w:id="19" w:name="pg12937_138995"/>
      <w:bookmarkStart w:id="20" w:name="__RefHeading___Toc4066783_3224264995"/>
      <w:bookmarkStart w:id="21" w:name="_Toc5"/>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سپاس خداوند بی‌مثل و مثال را که توفیق داد وصف نامش بر قلم‌ها و زبان‌ها جاری شود و یادش در خاطره‌ها رقم خورد؛و درود بر پیامبر عظیم‌الشأن آفرینش،که هستی را به معرفتی بزرگ از هستی‌بخش رهنمون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جوامع بشری عده‌ای پاک‌باخته،حیات خویش را وقف معماری و مهندسی دینی و فرهنگی جامعه و خلق قامتی بدیع از کرامت انسان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آبروی زمین‌اند و ستارگان نورانی برای اهل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هدایت انسان‌ها و معلمان نهاد بشریّت بوده‌اند؛اینان مهتران مردمند و بیشترین حق را بر انسانها دارند و هر اندیشه نابی که در هستی زاده شود،نقش پاک مهر و مهر آن بزرگان، در آن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مردانی در بلندای معرفت و کمال،به سرو،و در صلابت،کالجبل الراسخ،از قبیله پیروان راستین اهل بیت علیهم السّلام و بر سنّت حقیقی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بیعت خویش و هم‌کیشان خود در غدیر ماندند و فریاد اطاعت سردادند؛و با سلاح قلم و مرکّبی از جانمایه خویش،میراثی جاودان باقی گذاشتند؛و تندیس معرفت و کمال شیعی را بر تارک هستی برافراشتند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بیدارگران اقالیم قبله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بزرگان قبیله معرفت،از برگ برگ‌ها دفّتین معرفت </w:t>
      </w:r>
    </w:p>
    <w:p>
      <w:pPr>
        <w:pStyle w:val="BookText"/>
        <w:rPr/>
      </w:pPr>
      <w:r>
        <w:rPr>
          <w:rFonts w:ascii="IRNazanin" w:hAnsi="IRNazanin" w:eastAsia="IRNazanin"/>
          <w:color w:val="111111"/>
          <w:sz w:val="28"/>
          <w:sz w:val="28"/>
          <w:szCs w:val="28"/>
          <w:rtl w:val="true"/>
          <w:lang w:bidi="fa-IR"/>
        </w:rPr>
        <w:t>ساختند؛و از دهلیزها و سرداب‌ها،خلوتگه فکر و ذکر و اندیشه؛و در پرتو نور ناپایدار چراغ‌ها،درهای علم و دانایی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گشودند و درها سفتند و گوهرهای ناب آسمانی به زمینیان هدیّت کردند و امروز ما بر سفره پرنعمت آنان نشسته‌ایم و اندیشه‌های نورانی آنان را می‌کاویم و راه امروز و آینده را به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قلم این اربابان معرفت،بر خون شهید فزون است </w:t>
      </w:r>
      <w:r>
        <w:rPr>
          <w:rStyle w:val="FootnoteAnchor"/>
          <w:rtl w:val="true"/>
        </w:rPr>
        <w:footnoteReference w:id="3"/>
      </w:r>
      <w:r>
        <w:rPr>
          <w:rFonts w:ascii="IRNazanin" w:hAnsi="IRNazanin" w:eastAsia="IRNazanin"/>
          <w:color w:val="111111"/>
          <w:sz w:val="28"/>
          <w:sz w:val="28"/>
          <w:szCs w:val="28"/>
          <w:rtl w:val="true"/>
          <w:lang w:bidi="fa-IR"/>
        </w:rPr>
        <w:t>و برگ برگ نوشتارشان بر اساس حدیث مأثور،حجابی ضخیم و نگهدارنده در برابر آتش دوزخ</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ثمره این تلاش مبارک در قرن‌های متمادی دوره اسلامی،کتابت هزاران رساله و اثر علمی ارزنده در علوم مختلف اسلامی،تجربی،هنری،و فنی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دوران،هر آن کس که شوق دانش‌آموزی در دل داشت به جرگه طالبان علوم اسلامی در مدارس علوم دینی می‌پیوست و غیر از این مدارس،لجنه علمی دیگری وجود نداشت و آنچه امروز در سبک و سیاق 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ما وجود دارد،ساخته دست دیگران است و با پیشینه‌ای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ابتدای آن در کشور ما دار الفنون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نظم کنونی نیز وامدار بزرگ مردانی از مدرسه علمی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سهمی عظیم در پی‌ریزی و عظمت‌بخشی محتوایی مدارس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 دیگر اسلامی نیز با تفاوت زمانی اندک،اوضاع بر همین نسق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این‌چنین بر درخت تنومند علم،هر شاخ و برگی رویید و گلی شکفت از تربیت </w:t>
      </w:r>
    </w:p>
    <w:p>
      <w:pPr>
        <w:pStyle w:val="BookText"/>
        <w:rPr/>
      </w:pPr>
      <w:r>
        <w:rPr>
          <w:rFonts w:ascii="IRNazanin" w:hAnsi="IRNazanin" w:eastAsia="IRNazanin"/>
          <w:color w:val="111111"/>
          <w:sz w:val="28"/>
          <w:sz w:val="28"/>
          <w:szCs w:val="28"/>
          <w:rtl w:val="true"/>
          <w:lang w:bidi="fa-IR"/>
        </w:rPr>
        <w:t>یافتگان مدرسه علوم اسلامی بود و در فروع علوم مختلف از تفسیر کتاب اللّه و شرح و ترجمه کلمات خاندان رسالت علیهم السّلام گرفته تا لمعات فقه و فقاهت و اسفار فلسفه و شوارق کلام و مقابیس رجال از شاگردان این مکتب تحصیلی‌اند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درایة الحدیث و علوم ادبی و بلاغی و لغت تا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گستردگی‌اش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هیئت و ریاضیات و تاریخ و جغرافی و ادیان و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ملل و نحل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تجربی چون فیزیک و 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الأثقال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شیمی که یادآور آثار باعظمت خواجه طوسی است،همه از این آبشخور، اشراب گردیده،و در این مدرسه و به دست تربیت‌یافتگان آن به ظهور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پیشینه پرافتخاری که با انگشتانه‌ای از قلم،وصف آن به تمام و کمال نتوان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دین‌ستیزان و از ما کمتران غریبه و خودی‌های خودفروخته مزدور،تلاش کردند این پیشینه را نابود و یا به سرقت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تیغ تقدیر،دستشان را کوتاه کرد،سعی کردند انکار کنند و اندک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پاسداشت امروز ما از این میراث کهن و احیای علمی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حوزه فعالیت مجموعه سفر قیّم میراث حوزه علمیه اصفهان و آثاری از این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نکته نهفته است که تصحیح و تحقیق و در منظر و مرآی جامعه نهادن این میراث گرانبار، روح امید و تلاش و افتخار و سربلندی را در یک ملت زنده نگه می‌دارد و آن‌را هر روز بالنده‌تر و باشکوه‌تر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از این آثار،امروز دیگر در شمار آثار علمی روز به حساب نیاید و متعلّق به تاریخ علم باشد،یعنی آنچه در آن نهفته است دیگر به کار امروز نیاید، هرچند در زمان خود اثری بدیع بوده است امّا تصحیح و تحقیق و ارائه همان نیز می‌تواند سیر تطوّر فکری و علمی و تحوّلات اعتقادی و اجتماعی یک جامعه را نمایان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دست‌نوشته‌ها دربردارنده گستره اطلاعات آن روزگار در علوم مختلف است که ضرورت احیای آن را مبرهن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رسم‌الخط و اطلاعات نگارش هر عصر تا آداب و رسوم و افق فکر و اندیشه و فرهنگ و تمدن اقوام و ملل گرفته تا نهاد و آرام یا ناآرام زمانه و سیرت و سریرت و سرشت انسانهای قرون و اعصار،همه در آن تجلّی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بتوانیم این مسیر را با درایت به پیش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الهی همراه شد و تاکنون هفت دفتر از مجموعه وزین میراث حوزه علمیه اصفهان به اهل ادب و معرفت تقدیم گردید و هم‌اکنون به خواست خداوند متعال دفتر هشتم از میراث گرانبار عالمان و فرزانگان حوزه پرافتخار اصفهان در برابر دیدگان با بصیرت اهل علم و ادب و معرفت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احیاء آثار گذشتگان مکتب اصفهان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مرکز تحقیقات رایانه‌ای حوزه علمیه اصفهان مطرح گردید و پس از آن این مجموعه وزین با همت جمعی از محققین احیاء تراث و علاقمندان به میراث جاودانه عالمان اصفهان،مسیر خود را طی کرده و هشت دفتر از آن پا به عرصه وجود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این مدت،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کوتاه و بلند در این مجموعه احیاء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علمی و معرفتی اصفهان بسان آسمان پرستاره‌ای است که سالیان دراز می‌توان در آن به نظاره نشست و از آن ستاره علم و معرفت و کمال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باعظمت و متنوع این حوزه فخیم آن‌چنان فراوان است که به حق می‌توان از آن دهها دفتر از این دست فراهم آورد و پایه‌های فکری جامعه امروز را با آن استحکام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این میل باطنی به بار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 افتخار و اقتدار امروز خویش را رهین عنایت ویژه زعیم بزرگوار حوزه علمیه اصفهان حضرت آیة اللّه العظمی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معالیه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یقینا نظر صائب و پربرکت ایشان پشتیبان معنوی و ارزشمندی برای مرکز تحقیقات رایانه‌ای حوزه علمیه اصفهان بوده و هست</w:t>
      </w:r>
      <w:r>
        <w:rPr>
          <w:rFonts w:eastAsia="IRNazanin" w:cs="IRNazanin"/>
          <w:color w:val="111111"/>
          <w:sz w:val="28"/>
          <w:szCs w:val="28"/>
          <w:rtl w:val="true"/>
          <w:lang w:bidi="fa-IR"/>
        </w:rPr>
        <w:t xml:space="preserve">. </w:t>
      </w:r>
      <w:bookmarkStart w:id="22" w:name="pg12937_138999"/>
    </w:p>
    <w:p>
      <w:pPr>
        <w:pStyle w:val="BookText"/>
        <w:rPr/>
      </w:pPr>
      <w:bookmarkEnd w:id="22"/>
      <w:r>
        <w:rPr>
          <w:rFonts w:ascii="IRNazanin" w:hAnsi="IRNazanin" w:eastAsia="IRNazanin"/>
          <w:color w:val="111111"/>
          <w:sz w:val="28"/>
          <w:sz w:val="28"/>
          <w:szCs w:val="28"/>
          <w:rtl w:val="true"/>
          <w:lang w:bidi="fa-IR"/>
        </w:rPr>
        <w:t>در مدت فعالیت این مرکز تحقیقاتی دفتر معظم‌له همواره ارتقاء و کیفیت‌بخشی به آثار را وجهه همت خویش قرار داده و تأثیر بسزایی در رشد و تعالی این مجموعه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مدیریت محترم مرکز تحقیقات رایانه‌ای حوزه،جناب حجة الاسلام حاج سید احمد سجادی که همواره دغدغه ادامه بهتر و مناسبتر دفتر احیاء تراث اصفهان را داشته و آن را پیگیری کرده‌اند،صمیمانه سپاس‌گزاری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الطاف و مراحم حضرت ولی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این مجموعه مستدام بوده و حیات طیبه مجموعه به برکت عنایات خاص آن حضرت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معرفی اجمالی رساله‌های این دفتر می‌پردازیم</w:t>
      </w:r>
      <w:r>
        <w:rPr>
          <w:rFonts w:eastAsia="IRNazanin" w:cs="IRNazanin"/>
          <w:color w:val="111111"/>
          <w:sz w:val="28"/>
          <w:szCs w:val="28"/>
          <w:rtl w:val="true"/>
          <w:lang w:bidi="fa-IR"/>
        </w:rPr>
        <w:t>.</w:t>
      </w:r>
    </w:p>
    <w:p>
      <w:pPr>
        <w:pStyle w:val="Heading2"/>
        <w:numPr>
          <w:ilvl w:val="1"/>
          <w:numId w:val="1"/>
        </w:numPr>
        <w:rPr/>
      </w:pPr>
      <w:bookmarkStart w:id="23" w:name="__RefHeading___Toc4066785_3224264995"/>
      <w:bookmarkStart w:id="24" w:name="_Toc6"/>
      <w:bookmarkEnd w:id="23"/>
      <w:r>
        <w:rPr>
          <w:rtl w:val="true"/>
        </w:rPr>
        <w:t>[</w:t>
      </w:r>
      <w:r>
        <w:rPr>
          <w:rtl w:val="true"/>
        </w:rPr>
        <w:t>معرفی اجمالی رساله های این دفتر</w:t>
      </w:r>
      <w:r>
        <w:rPr>
          <w:rtl w:val="true"/>
        </w:rPr>
        <w:t>]</w:t>
      </w:r>
      <w:bookmarkEnd w:id="24"/>
    </w:p>
    <w:p>
      <w:pPr>
        <w:pStyle w:val="Heading3"/>
        <w:numPr>
          <w:ilvl w:val="2"/>
          <w:numId w:val="1"/>
        </w:numPr>
        <w:rPr/>
      </w:pPr>
      <w:bookmarkStart w:id="25" w:name="__RefHeading___Toc4066787_3224264995"/>
      <w:bookmarkStart w:id="26" w:name="_Toc7"/>
      <w:bookmarkEnd w:id="25"/>
      <w:r>
        <w:rPr/>
        <w:t>1</w:t>
      </w:r>
      <w:r>
        <w:rPr>
          <w:rtl w:val="true"/>
        </w:rPr>
        <w:t>-</w:t>
      </w:r>
      <w:r>
        <w:rPr>
          <w:rtl w:val="true"/>
        </w:rPr>
        <w:t>تعلیقات زبدة البیان</w:t>
      </w:r>
      <w:bookmarkEnd w:id="26"/>
    </w:p>
    <w:p>
      <w:pPr>
        <w:pStyle w:val="BookText"/>
        <w:rPr/>
      </w:pPr>
      <w:r>
        <w:rPr>
          <w:rFonts w:ascii="IRNazanin" w:hAnsi="IRNazanin" w:eastAsia="IRNazanin"/>
          <w:color w:val="111111"/>
          <w:sz w:val="28"/>
          <w:sz w:val="28"/>
          <w:szCs w:val="28"/>
          <w:rtl w:val="true"/>
          <w:lang w:bidi="fa-IR"/>
        </w:rPr>
        <w:t xml:space="preserve">توجه به آیات الاحکام و آیاتی که مبنای استنباط حکم شرعی می‌گردد،از دیرباز در میان مسلمانان متداول بوده است و به فرموده آقا بزرگ تهرانی اولین اثر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نصر محمد بن سائب بن بشر کلبی متوفای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اصحاب صادقین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اسلامی نیز آثار متعددی در زمینه آیات الاحکام به وسیله دانشمندان اسلامی به نگارش درآمده که در الذریعه آقا بزرگ تهرانی و دیگر کتابشناسی‌ها به‌وفور موجود و مذکور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آثار که در تألیف‌های شیعی جایگاه ویژه‌ای به خود اختصاص داده زبدة البیان مقدس اردبیلی است،این اثر دارای شروح و تعلیقات و ترجمه‌های فراوانی است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آثار استوار و ماندگار پیرامونی زبدة البیان تعلیقات فاضل سراب </w:t>
      </w:r>
      <w:bookmarkStart w:id="27" w:name="pg12937_139000"/>
    </w:p>
    <w:p>
      <w:pPr>
        <w:pStyle w:val="BookText"/>
        <w:rPr/>
      </w:pPr>
      <w:bookmarkEnd w:id="27"/>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اثر با اسلوب جدید با تحقیق حجة الاسلام مهدی باقری است که به قرآن‌پژوهان و فقه‌پژوهان تقدیم می‌گردد</w:t>
      </w:r>
      <w:r>
        <w:rPr>
          <w:rFonts w:eastAsia="IRNazanin" w:cs="IRNazanin"/>
          <w:color w:val="111111"/>
          <w:sz w:val="28"/>
          <w:szCs w:val="28"/>
          <w:rtl w:val="true"/>
          <w:lang w:bidi="fa-IR"/>
        </w:rPr>
        <w:t>.</w:t>
      </w:r>
    </w:p>
    <w:p>
      <w:pPr>
        <w:pStyle w:val="Heading3"/>
        <w:numPr>
          <w:ilvl w:val="2"/>
          <w:numId w:val="1"/>
        </w:numPr>
        <w:rPr/>
      </w:pPr>
      <w:bookmarkStart w:id="28" w:name="__RefHeading___Toc4066789_3224264995"/>
      <w:bookmarkStart w:id="29" w:name="_Toc8"/>
      <w:bookmarkEnd w:id="28"/>
      <w:r>
        <w:rPr/>
        <w:t>2</w:t>
      </w:r>
      <w:r>
        <w:rPr>
          <w:rtl w:val="true"/>
        </w:rPr>
        <w:t>-</w:t>
      </w:r>
      <w:r>
        <w:rPr>
          <w:rtl w:val="true"/>
        </w:rPr>
        <w:t>هدایة الضبط فی علم الخط</w:t>
      </w:r>
      <w:bookmarkEnd w:id="29"/>
    </w:p>
    <w:p>
      <w:pPr>
        <w:pStyle w:val="BookText"/>
        <w:rPr/>
      </w:pPr>
      <w:r>
        <w:rPr>
          <w:rFonts w:ascii="IRNazanin" w:hAnsi="IRNazanin" w:eastAsia="IRNazanin"/>
          <w:color w:val="111111"/>
          <w:sz w:val="28"/>
          <w:sz w:val="28"/>
          <w:szCs w:val="28"/>
          <w:rtl w:val="true"/>
          <w:lang w:bidi="fa-IR"/>
        </w:rPr>
        <w:t>اصول خط و آرایه‌های نگارشی آن،با تأکید بر رسم‌الخط قرآن در طول حیات شکوهمند دوران اسلامی همواره مورد تأکید و اهتمام مسلمانان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باب آثار جاودانه‌ای به قلم مبارک دانشمندان اسلامی به رشته تحریر درآمده است یکی از این رساله‌های بدیع و گرانبها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 آیت اللّه ملا حبیب اللّه کاشانی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بررسی ابعاد مختلف این موضوع پرداخته و با قلمی روان زوایای این موضوع قرآنی و ادبی را کاویده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فقیه ژرف‌اندیش و محیط بر علوم گوناگون در میراث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 و در دفتر پنجم همین مجموعه کتابشناسی آثار آن بزرگ به همت دوست عزیز جناب آقای غلامی جلیسه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توسط عماد جبار کاظم تحقیق و تصحیح گردیده است</w:t>
      </w:r>
      <w:r>
        <w:rPr>
          <w:rFonts w:eastAsia="IRNazanin" w:cs="IRNazanin"/>
          <w:color w:val="111111"/>
          <w:sz w:val="28"/>
          <w:szCs w:val="28"/>
          <w:rtl w:val="true"/>
          <w:lang w:bidi="fa-IR"/>
        </w:rPr>
        <w:t>.</w:t>
      </w:r>
    </w:p>
    <w:p>
      <w:pPr>
        <w:pStyle w:val="Heading3"/>
        <w:numPr>
          <w:ilvl w:val="2"/>
          <w:numId w:val="1"/>
        </w:numPr>
        <w:rPr/>
      </w:pPr>
      <w:bookmarkStart w:id="30" w:name="__RefHeading___Toc4066791_3224264995"/>
      <w:bookmarkStart w:id="31" w:name="_Toc9"/>
      <w:bookmarkEnd w:id="30"/>
      <w:r>
        <w:rPr/>
        <w:t>3</w:t>
      </w:r>
      <w:r>
        <w:rPr>
          <w:rtl w:val="true"/>
        </w:rPr>
        <w:t>-</w:t>
      </w:r>
      <w:r>
        <w:rPr>
          <w:rtl w:val="true"/>
        </w:rPr>
        <w:t>رساله طاهریه</w:t>
      </w:r>
      <w:bookmarkEnd w:id="31"/>
    </w:p>
    <w:p>
      <w:pPr>
        <w:pStyle w:val="BookText"/>
        <w:rPr/>
      </w:pPr>
      <w:r>
        <w:rPr>
          <w:rFonts w:ascii="IRNazanin" w:hAnsi="IRNazanin" w:eastAsia="IRNazanin"/>
          <w:color w:val="111111"/>
          <w:sz w:val="28"/>
          <w:sz w:val="28"/>
          <w:szCs w:val="28"/>
          <w:rtl w:val="true"/>
          <w:lang w:bidi="fa-IR"/>
        </w:rPr>
        <w:t>اثری است از عبد الرحیم بن کرم علی پاچناری اصفهانی از عالمان سده سیزدهم در طهارت خون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اثر،فاضل ارجمند جناب آقای جویا جهانبخش در مقدمه‌ای محققانه سابقه و ثمرات موضوع را کاویده و موافقان و مخالفان این نظر را به اجمال مطرح کرده و دورنما و درون‌نمایه‌ای اجمالی و مناسب از بحث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براساس تنها دستنوشت موجود از آن که در کتابخانه مدرسه صدر بازار اصفهان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مؤلف رسیده و تصحیح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محقق آن تصحیح و تحقیق گردیده است</w:t>
      </w:r>
      <w:r>
        <w:rPr>
          <w:rFonts w:eastAsia="IRNazanin" w:cs="IRNazanin"/>
          <w:color w:val="111111"/>
          <w:sz w:val="28"/>
          <w:szCs w:val="28"/>
          <w:rtl w:val="true"/>
          <w:lang w:bidi="fa-IR"/>
        </w:rPr>
        <w:t>.</w:t>
      </w:r>
    </w:p>
    <w:p>
      <w:pPr>
        <w:pStyle w:val="Heading3"/>
        <w:numPr>
          <w:ilvl w:val="2"/>
          <w:numId w:val="1"/>
        </w:numPr>
        <w:rPr/>
      </w:pPr>
      <w:bookmarkStart w:id="32" w:name="__RefHeading___Toc4066793_3224264995"/>
      <w:bookmarkStart w:id="33" w:name="_Toc10"/>
      <w:bookmarkEnd w:id="32"/>
      <w:r>
        <w:rPr/>
        <w:t>4</w:t>
      </w:r>
      <w:r>
        <w:rPr>
          <w:rtl w:val="true"/>
        </w:rPr>
        <w:t>-</w:t>
      </w:r>
      <w:r>
        <w:rPr>
          <w:rtl w:val="true"/>
        </w:rPr>
        <w:t>الانوار اللامعة لزوّار الجامعة</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شرحی است گرانبها از عالم بزرگوار بهاء الدین محمد بن محمد باقر حسینی </w:t>
      </w:r>
    </w:p>
    <w:p>
      <w:pPr>
        <w:pStyle w:val="BookText"/>
        <w:rPr/>
      </w:pPr>
      <w:r>
        <w:rPr>
          <w:rFonts w:ascii="IRNazanin" w:hAnsi="IRNazanin" w:eastAsia="IRNazanin"/>
          <w:color w:val="111111"/>
          <w:sz w:val="28"/>
          <w:sz w:val="28"/>
          <w:szCs w:val="28"/>
          <w:rtl w:val="true"/>
          <w:lang w:bidi="fa-IR"/>
        </w:rPr>
        <w:t xml:space="preserve">نائینی مشهور به مختاری نائینی بر زیارت جامعه کبیره که با کمال تأسف تا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مؤلّف از ادامه آن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جامعه‌پژوهی و تلاش برای احیاء تراث پیرامون زیارت جامعه با توجه به عمق و ژرفای بی‌مثال زیارت جامعه و بلندای باعظمت معارف توحیدی آن و ترسیمی دقیق و صحیح از شخصیت ملکوتی امام معصوم علیه السّلام از ضرورت‌های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جوانان و فرخیختگان زیادی به دنبال مطالب اصیل و ناب از معارف اهل بیت علیهم السّلام هستند و این میراث عظیم و گرانبار می‌تواند روح تشنه معارف‌طلبان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که دارای دو تحریر بوده است و تحریر دوم آن به اتحاف جناب حجة الاسلام شیخ محمد برکت به دستمان رسید از شروح ارزشمند جامعه کبیره می‌باشد و با احاطه و تضلّعی که از مختاری نائینی سراغ داریم و در آثارش هویدا است قدر و قیمت اثر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اللامعة براساس دو نسخه که یکی تحریر اوّل و محفوظ در کتابخانه آیت اللّه العظمی گلپایگانی است و تحریر دوم که در کتابخانه آستان قدس نگهداری می‌شود،تصحیح و تحقیق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مقدمه،چند نکته ضروری شایسته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دست‌اندرکاران دفتر احیاء تراث مرکز تحقیقات رایانه‌ای حوزه علمیه اصفهان بر این بوده است که دفترهای پی‌درپی میراث حوزه اصفهان هر روز بهتر و استوارتر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به مدد الهی و سبب نقد ناصحانه و تذکار مشفقانه سروران عزیز به اجابت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نقد و پیشنهاد همه عزیزان پیشاپیش سپاسگزاریم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محققان آثار در مقدمه رساله‌ها و تصحیح‌ها الزاما نظر مرکز نیست و چه بسا نظری در رساله‌ای یا در تصحیح‌های محققان گرامی آمده که توافقی بر آن نداشته‌ایم و بر نظر محقق احترام گزارده‌ایم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رساله‌های تراثی تحقیق شده عالمان مکتب اصفهان که با ضوابط دفتر احیاء تراث هماهنگ باشد برای چاپ در میراث حوزه علمیه اصفهان استقبال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کسانی که در به ثمر رسیدن این اثر سهیم بوده‌اند صمیمانه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محققان گرامی رساله‌ها و نیز سروران عزیز دفتر احیاء تراث حجة الاسلام سید محمود نریمانی،حجة الاسلام محمد بیدقی و حجة الاسلام مصطفی صادقی تشکر کرده برای همه آن عزیزان از درگاه احدیت توفیق و سربلندی و سرانجامی نیکو آرزومندیم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سرکار خانم لیلا صدری و سرکار خانم الهه پوری که زحمت حروف‌نگاری و صفحه‌آرایی اثر را به عهده گرفتند تشکر و آرزوی موفقیت و عزّت دو سرای را بر ایشان خواستاریم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الحمد للّه رب العالمین دفتر احیاء تراث مرکز تحقیقات رایانه‌ای حوزه علمیه اصفهان تاسوعای حسینی </w:t>
      </w: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نورمحمّدی </w:t>
      </w:r>
      <w:bookmarkStart w:id="34" w:name="pg12937_139003"/>
    </w:p>
    <w:p>
      <w:pPr>
        <w:pStyle w:val="Heading2"/>
        <w:numPr>
          <w:ilvl w:val="1"/>
          <w:numId w:val="1"/>
        </w:numPr>
        <w:rPr/>
      </w:pPr>
      <w:bookmarkStart w:id="35" w:name="__RefHeading___Toc4066795_3224264995"/>
      <w:bookmarkStart w:id="36" w:name="_Toc11"/>
      <w:bookmarkEnd w:id="34"/>
      <w:bookmarkEnd w:id="35"/>
      <w:r>
        <w:rPr>
          <w:rtl w:val="true"/>
        </w:rPr>
        <w:t>التعلیقات علی زبدة البیان</w:t>
      </w:r>
      <w:bookmarkEnd w:id="36"/>
    </w:p>
    <w:p>
      <w:pPr>
        <w:pStyle w:val="Heading3"/>
        <w:numPr>
          <w:ilvl w:val="2"/>
          <w:numId w:val="1"/>
        </w:numPr>
        <w:rPr/>
      </w:pPr>
      <w:bookmarkStart w:id="37" w:name="__RefHeading___Toc4066797_3224264995"/>
      <w:bookmarkStart w:id="38" w:name="_Toc12"/>
      <w:bookmarkEnd w:id="37"/>
      <w:r>
        <w:rPr>
          <w:rtl w:val="true"/>
        </w:rPr>
        <w:t>[</w:t>
      </w:r>
      <w:r>
        <w:rPr>
          <w:rtl w:val="true"/>
        </w:rPr>
        <w:t>مقدمه تحقیق</w:t>
      </w:r>
      <w:r>
        <w:rPr>
          <w:rtl w:val="true"/>
        </w:rPr>
        <w:t>]</w:t>
      </w:r>
      <w:bookmarkEnd w:id="38"/>
    </w:p>
    <w:p>
      <w:pPr>
        <w:pStyle w:val="Heading4"/>
        <w:numPr>
          <w:ilvl w:val="3"/>
          <w:numId w:val="1"/>
        </w:numPr>
        <w:rPr/>
      </w:pPr>
      <w:bookmarkStart w:id="39" w:name="__RefHeading___Toc4066799_3224264995"/>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متتبع و فقیه ارجمند محمد بن عبد الفتاح تنکابنی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41" w:name="__RefHeading___Toc4066801_3224264995"/>
      <w:bookmarkStart w:id="42" w:name="_Toc14"/>
      <w:bookmarkEnd w:id="41"/>
      <w:r>
        <w:rPr>
          <w:rtl w:val="true"/>
        </w:rPr>
        <w:t>آیات الأحکام و جایگاه آن</w:t>
      </w:r>
      <w:bookmarkEnd w:id="42"/>
    </w:p>
    <w:p>
      <w:pPr>
        <w:pStyle w:val="BookText"/>
        <w:rPr/>
      </w:pPr>
      <w:r>
        <w:rPr>
          <w:rFonts w:ascii="IRNazanin" w:hAnsi="IRNazanin" w:eastAsia="IRNazanin"/>
          <w:color w:val="111111"/>
          <w:sz w:val="28"/>
          <w:sz w:val="28"/>
          <w:szCs w:val="28"/>
          <w:rtl w:val="true"/>
          <w:lang w:bidi="fa-IR"/>
        </w:rPr>
        <w:t>فقیه برای استنباط احکام الهی از منابع چهارگانه‌ای بهره می‌برد که مهم‌ترین آنها کتاب و سنت است؛آخرین سفیر و پیام‌آور حضرت حق،بارها مردم را به این دو توجّه داده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مسلمانان از همان آغازین روزهای تابش آفتاب حیات‌بخش اسلام در </w:t>
      </w:r>
    </w:p>
    <w:p>
      <w:pPr>
        <w:pStyle w:val="BookText"/>
        <w:rPr/>
      </w:pPr>
      <w:r>
        <w:rPr>
          <w:rFonts w:ascii="IRNazanin" w:hAnsi="IRNazanin" w:eastAsia="IRNazanin"/>
          <w:color w:val="111111"/>
          <w:sz w:val="28"/>
          <w:sz w:val="28"/>
          <w:szCs w:val="28"/>
          <w:rtl w:val="true"/>
          <w:lang w:bidi="fa-IR"/>
        </w:rPr>
        <w:t>سرزمین حجاز،این سفارش آن حضرت را آویزه گوش خویش نموده و نسبت به قرآن و عترت،اهتمامی خاص داشتند که برای نمونه می‌توان از تألیف تفاسیر قرآن و کتاب‌های نگاشته شده درباره علوم قرآنی و هم‌چنین آفرینش مجموعه‌های ارزشمند حدیثی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مجید درباره احکام است،از مهم‌ترین تلاش‌هایی که در عرصه علوم قرآنی صورت گرفته،پرداختن به فقه القرآن و آیات الأحکام و آفرینش آثار مکتوب متعدّد در این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کتاب‌شناس شیعه،مرحوم علاّمه آقا بزرگ تهرانی در موسوعه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کتاب با این عنوان با نام مؤلفین آنها بر می‌شمارد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البته برخی از محقّقین با در نظر گرفتن زمان،در بررسی اجمالی خود،سیر پیدایش کتاب‌هایی این‌چنین را مورد کاوش قرار داده و فهرستی از آن را از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تا زمان حاضر به‌دست داده‌اند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میان کتاب‌هایی چون فقه القرآن قطب راوندی،کنز العرفان فاضل مقداد، مسالک الأفهام فاضل جواد و زبدة البیان مقدّس اردبیلی در بین آثار گرانسنگ عالمان شیعی،از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از بین آثار پیش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فراوانی شروح،حواشی و تعلیقات،کم‌نظیر و یا بی‌نظیر است؛صاحب الذریعه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تعلیقه نگاشته شده بر این کتاب نام می‌برد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این شروح و حواشی،تعلیقات مرحوم فاضل سراب از نظر فراوانی دقّت‌های فقهی،اصولی،رجالی و ادبی،بسیار ممتاز می‌باشد</w:t>
      </w:r>
      <w:r>
        <w:rPr>
          <w:rFonts w:eastAsia="IRNazanin" w:cs="IRNazanin"/>
          <w:color w:val="111111"/>
          <w:sz w:val="28"/>
          <w:szCs w:val="28"/>
          <w:rtl w:val="true"/>
          <w:lang w:bidi="fa-IR"/>
        </w:rPr>
        <w:t xml:space="preserve">. </w:t>
      </w:r>
      <w:bookmarkStart w:id="43" w:name="pg12937_139005"/>
    </w:p>
    <w:p>
      <w:pPr>
        <w:pStyle w:val="BookText"/>
        <w:rPr/>
      </w:pPr>
      <w:bookmarkEnd w:id="43"/>
      <w:r>
        <w:rPr>
          <w:rFonts w:ascii="IRNazanin" w:hAnsi="IRNazanin" w:eastAsia="IRNazanin"/>
          <w:color w:val="111111"/>
          <w:sz w:val="28"/>
          <w:sz w:val="28"/>
          <w:szCs w:val="28"/>
          <w:rtl w:val="true"/>
          <w:lang w:bidi="fa-IR"/>
        </w:rPr>
        <w:t>ما در این نوشتار به اختصار به دورنمائی از چهره درخشان فاضل سراب،نکاتی پیرامون این اثر،برخی از ویژگی‌های تحقیقی آن و نسخه‌های مورد استفاده در این تحقیق می‌پردازیم</w:t>
      </w:r>
      <w:r>
        <w:rPr>
          <w:rFonts w:eastAsia="IRNazanin" w:cs="IRNazanin"/>
          <w:color w:val="111111"/>
          <w:sz w:val="28"/>
          <w:szCs w:val="28"/>
          <w:rtl w:val="true"/>
          <w:lang w:bidi="fa-IR"/>
        </w:rPr>
        <w:t>.</w:t>
      </w:r>
    </w:p>
    <w:p>
      <w:pPr>
        <w:pStyle w:val="Heading4"/>
        <w:numPr>
          <w:ilvl w:val="3"/>
          <w:numId w:val="1"/>
        </w:numPr>
        <w:rPr/>
      </w:pPr>
      <w:bookmarkStart w:id="44" w:name="__RefHeading___Toc4066803_3224264995"/>
      <w:bookmarkStart w:id="45" w:name="_Toc15"/>
      <w:bookmarkEnd w:id="44"/>
      <w:r>
        <w:rPr>
          <w:rtl w:val="true"/>
        </w:rPr>
        <w:t>الف</w:t>
      </w:r>
      <w:r>
        <w:rPr>
          <w:rtl w:val="true"/>
        </w:rPr>
        <w:t>:</w:t>
      </w:r>
      <w:r>
        <w:rPr>
          <w:rtl w:val="true"/>
        </w:rPr>
        <w:t>درنگی کوتاه در حیات فاضل سراب</w:t>
      </w:r>
      <w:bookmarkEnd w:id="45"/>
    </w:p>
    <w:p>
      <w:pPr>
        <w:pStyle w:val="Heading5"/>
        <w:numPr>
          <w:ilvl w:val="4"/>
          <w:numId w:val="1"/>
        </w:numPr>
        <w:rPr/>
      </w:pPr>
      <w:bookmarkStart w:id="46" w:name="__RefHeading___Toc4066805_3224264995"/>
      <w:bookmarkStart w:id="47" w:name="_Toc16"/>
      <w:bookmarkEnd w:id="46"/>
      <w:r>
        <w:rPr/>
        <w:t>1</w:t>
      </w:r>
      <w:r>
        <w:rPr>
          <w:rtl w:val="true"/>
        </w:rPr>
        <w:t>-</w:t>
      </w:r>
      <w:r>
        <w:rPr>
          <w:rtl w:val="true"/>
        </w:rPr>
        <w:t>ولادت،تحصیلات و وفات</w:t>
      </w:r>
      <w:bookmarkEnd w:id="47"/>
    </w:p>
    <w:p>
      <w:pPr>
        <w:pStyle w:val="BookText"/>
        <w:rPr/>
      </w:pPr>
      <w:r>
        <w:rPr>
          <w:rFonts w:ascii="IRNazanin" w:hAnsi="IRNazanin" w:eastAsia="IRNazanin"/>
          <w:color w:val="111111"/>
          <w:sz w:val="28"/>
          <w:sz w:val="28"/>
          <w:szCs w:val="28"/>
          <w:rtl w:val="true"/>
          <w:lang w:bidi="fa-IR"/>
        </w:rPr>
        <w:t>محمّد بن عبد الفتاح تنکابنی مازندرانی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درخشان‌ترین چهره‌های علمی شیعه در دهه پایانی نیمه اول قرن یازدهم هجری در سراب مازندران چشم به جهان گشود و پس از فراگیری مقدّمات علوم در زادگاه خود، جهت بهره‌مندی از محضر پرفیض عالمان و اندیشمندان آن روز حوزه کهن اصفهان به این شهر هجرت نموده </w:t>
      </w:r>
      <w:r>
        <w:rPr>
          <w:rStyle w:val="FootnoteAnchor"/>
          <w:rtl w:val="true"/>
        </w:rPr>
        <w:footnoteReference w:id="10"/>
      </w:r>
      <w:r>
        <w:rPr>
          <w:rFonts w:ascii="IRNazanin" w:hAnsi="IRNazanin" w:eastAsia="IRNazanin"/>
          <w:color w:val="111111"/>
          <w:sz w:val="28"/>
          <w:sz w:val="28"/>
          <w:szCs w:val="28"/>
          <w:rtl w:val="true"/>
          <w:lang w:bidi="fa-IR"/>
        </w:rPr>
        <w:t>و به فراگیری علوم مختلف و خوشه‌چینی از خرمن عالمان این دیار می‌پردازند؛عالمان و فرزانگانی چون 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بحار الأنوار،گنجینه ارزشمند و بی‌نظیر حدیثی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کتاب ارزشمند کفایة الفقه و ذخیرة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استاد الکلّ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مدقّق شیروانی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سراب پس از این مرحله است که خود بر کرسی تدریس تکیه زده و مشتاقان علوم و معارف اسلام ناب را از آبشخور زلال و همیشه جاری بیان خویش سیراب نموده و شاگردانی نامور از خود به یادگار می‌گذارد که اسامی مبارک آنان زینت‌بخش اوراق کتاب پرافتخار عالمان شیعی است و پیوسته نام ایشان بر تارک آسمان علم و دانش چون خورشیدی فروزان نورافشانی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دانشور و عالم بزرگ پس از عمری پربرکت که در جهت دانش‌اندوزی، </w:t>
      </w:r>
      <w:bookmarkStart w:id="48" w:name="pg12937_139006"/>
    </w:p>
    <w:p>
      <w:pPr>
        <w:pStyle w:val="BookText"/>
        <w:rPr/>
      </w:pPr>
      <w:bookmarkEnd w:id="48"/>
      <w:r>
        <w:rPr>
          <w:rFonts w:ascii="IRNazanin" w:hAnsi="IRNazanin" w:eastAsia="IRNazanin"/>
          <w:color w:val="111111"/>
          <w:sz w:val="28"/>
          <w:sz w:val="28"/>
          <w:szCs w:val="28"/>
          <w:rtl w:val="true"/>
          <w:lang w:bidi="fa-IR"/>
        </w:rPr>
        <w:t xml:space="preserve">خردورزی،خودسازی و نشر معارف اهل البیت علیهم السّلام گذشت،در شب دوشنبه عید غدیر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چشم از جهان فروبست و در تخت فولاد و در مقبره‌ای که بعدها به نام وی و عنوان تکیه سراب معروف شد،در دل خاک آرام گرفت</w:t>
      </w:r>
      <w:r>
        <w:rPr>
          <w:rFonts w:eastAsia="IRNazanin" w:cs="IRNazanin"/>
          <w:color w:val="111111"/>
          <w:sz w:val="28"/>
          <w:szCs w:val="28"/>
          <w:rtl w:val="true"/>
          <w:lang w:bidi="fa-IR"/>
        </w:rPr>
        <w:t xml:space="preserve">. </w:t>
      </w:r>
      <w:r>
        <w:rPr>
          <w:rStyle w:val="FootnoteAnchor"/>
          <w:rtl w:val="true"/>
        </w:rPr>
        <w:footnoteReference w:id="11"/>
      </w:r>
    </w:p>
    <w:p>
      <w:pPr>
        <w:pStyle w:val="Heading5"/>
        <w:numPr>
          <w:ilvl w:val="4"/>
          <w:numId w:val="1"/>
        </w:numPr>
        <w:rPr/>
      </w:pPr>
      <w:bookmarkStart w:id="49" w:name="__RefHeading___Toc4066807_3224264995"/>
      <w:bookmarkStart w:id="50" w:name="_Toc17"/>
      <w:bookmarkEnd w:id="49"/>
      <w:r>
        <w:rPr/>
        <w:t>2</w:t>
      </w:r>
      <w:r>
        <w:rPr>
          <w:rtl w:val="true"/>
        </w:rPr>
        <w:t>-</w:t>
      </w:r>
      <w:r>
        <w:rPr>
          <w:rtl w:val="true"/>
        </w:rPr>
        <w:t>آثار و تألیفات</w:t>
      </w:r>
      <w:bookmarkEnd w:id="50"/>
    </w:p>
    <w:p>
      <w:pPr>
        <w:pStyle w:val="BookText"/>
        <w:rPr/>
      </w:pPr>
      <w:r>
        <w:rPr>
          <w:rFonts w:ascii="IRNazanin" w:hAnsi="IRNazanin" w:eastAsia="IRNazanin"/>
          <w:color w:val="111111"/>
          <w:sz w:val="28"/>
          <w:sz w:val="28"/>
          <w:szCs w:val="28"/>
          <w:rtl w:val="true"/>
          <w:lang w:bidi="fa-IR"/>
        </w:rPr>
        <w:t>از این فقیه و دانشمند نامور،آثار ارزشمندی نیز بر جای مانده که برخی از آنها به زیور طبع آراسته گردیده و برخی دیگر نیز چشم‌انتظار دست نوازش‌گر محقّقان جوان است که با سرپنجه تحقیق،غبار نشسته بر آن را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آثار را افزون بر سی کتاب و رساله دانسته و آنها را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ذخیرة المعاد؛این اثر مخطوط و نسخه آن در کتابخانه امیر المؤمنین علیه السّلام نجف اشرف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معالم الأصول؛مخطوط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الأخبار و الإجماع؛این اثر در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شمسی،توسّط دوست فاضل و گرامی جناب آقای مهدی رضوی تحقیق و در دفتر چهارم مجموعه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زیور طبع آراسته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النجاة؛مهم‌ترین اثر کلامی فاضل سراب است که به زبان عربی نگاشته شده و از چنان اهمیتی برخوردار است که مؤلّف با این اثر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ارجمند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تحقیق حضرت حجّة الإسلام و المسلمین سیّد مهدی رجائی،در شهر مقدّس قم چاپ و عرضه گردید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القلوب؛این اثر نیز از آثار کلامی مؤلّف است که به زبان فارسی بوده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تحقیق حجّة الإسلام سیّد صادق حسینی اشکوری و به سفارش </w:t>
      </w:r>
      <w:bookmarkStart w:id="51" w:name="pg12937_139007"/>
    </w:p>
    <w:p>
      <w:pPr>
        <w:pStyle w:val="BookText"/>
        <w:rPr/>
      </w:pPr>
      <w:bookmarkEnd w:id="51"/>
      <w:r>
        <w:rPr>
          <w:rFonts w:ascii="IRNazanin" w:hAnsi="IRNazanin" w:eastAsia="IRNazanin"/>
          <w:color w:val="111111"/>
          <w:sz w:val="28"/>
          <w:sz w:val="28"/>
          <w:szCs w:val="28"/>
          <w:rtl w:val="true"/>
          <w:lang w:bidi="fa-IR"/>
        </w:rPr>
        <w:t>مجموعه تاریخی فرهنگی و مذهبی تخت فولاد اصفهان،در شهر قم به زیور طبع آراسته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صلاة الجمعة؛این رسائل،چهار عنوان است که در مورد نماز جمعه می‌باشد و دو رساله آن،به همّت فاضل ارجمند حضرت حجّة الاسلام و المسلمین رسول جعفریان تحقیق و در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رساله فقهی درباره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رؤیة الهلال قبل الزوال؛این اثر ارزشمند با تحقیق دانشمند و محقّق گرامی حضرت حجّة الإسلام و المسلمین رضا مختاری،در ضمن مجلّد اول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عرضه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الأذان و الإقامه؛این رساله با تحقیق نگارنده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ضمن مجلّد سوم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رسائل من تراث اصفهان العلمی الخالد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گردید</w:t>
      </w:r>
      <w:r>
        <w:rPr>
          <w:rFonts w:eastAsia="IRNazanin" w:cs="IRNazanin"/>
          <w:color w:val="111111"/>
          <w:sz w:val="28"/>
          <w:szCs w:val="28"/>
          <w:rtl w:val="true"/>
          <w:lang w:bidi="fa-IR"/>
        </w:rPr>
        <w:t>.</w:t>
      </w:r>
    </w:p>
    <w:p>
      <w:pPr>
        <w:pStyle w:val="Heading5"/>
        <w:numPr>
          <w:ilvl w:val="4"/>
          <w:numId w:val="1"/>
        </w:numPr>
        <w:rPr/>
      </w:pPr>
      <w:bookmarkStart w:id="52" w:name="__RefHeading___Toc4066809_3224264995"/>
      <w:bookmarkStart w:id="53" w:name="_Toc18"/>
      <w:bookmarkEnd w:id="52"/>
      <w:r>
        <w:rPr/>
        <w:t>3</w:t>
      </w:r>
      <w:r>
        <w:rPr>
          <w:rtl w:val="true"/>
        </w:rPr>
        <w:t>-</w:t>
      </w:r>
      <w:r>
        <w:rPr>
          <w:rtl w:val="true"/>
        </w:rPr>
        <w:t>مقام علمی فاضل سراب</w:t>
      </w:r>
      <w:bookmarkEnd w:id="53"/>
    </w:p>
    <w:p>
      <w:pPr>
        <w:pStyle w:val="BookText"/>
        <w:rPr/>
      </w:pPr>
      <w:r>
        <w:rPr>
          <w:rFonts w:ascii="IRNazanin" w:hAnsi="IRNazanin" w:eastAsia="IRNazanin"/>
          <w:color w:val="111111"/>
          <w:sz w:val="28"/>
          <w:sz w:val="28"/>
          <w:szCs w:val="28"/>
          <w:rtl w:val="true"/>
          <w:lang w:bidi="fa-IR"/>
        </w:rPr>
        <w:t>در این قسمت تنها به ذکر سه مطلب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جلیل‌القدر محمّد بن علی اردبیلی و فاضل سراب هردو از شاگردان نامور علاّمه محمّد باقر مجلسی و مجاز از وی می‌باشند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اثر اردبیلی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و رافع الاشتباهات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کتاب در بین کتاب‌های رجالی شیعه،از چنان شهرتی برخوردار است که آن را بی‌نیاز از معرّفی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زمان حیات مؤلّف،مورد توجّه و تأیید علما،قرار گرفت و شاه سلیمان صفوی فرمان نسخه‌برداری از آن را صادر کرد و مؤلّف عدّه‌ای از بزرگان علمای اصفهان را به حجره خویش دعوت نمود و هرکدام از آنان قسمتی از مقدّمه کتاب را با خط مبارک خویش کتابت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بین نام مبارک فاضل </w:t>
      </w:r>
      <w:bookmarkStart w:id="54" w:name="pg12937_139008"/>
    </w:p>
    <w:p>
      <w:pPr>
        <w:pStyle w:val="BookText"/>
        <w:rPr/>
      </w:pPr>
      <w:bookmarkEnd w:id="54"/>
      <w:r>
        <w:rPr>
          <w:rFonts w:ascii="IRNazanin" w:hAnsi="IRNazanin" w:eastAsia="IRNazanin"/>
          <w:color w:val="111111"/>
          <w:sz w:val="28"/>
          <w:sz w:val="28"/>
          <w:szCs w:val="28"/>
          <w:rtl w:val="true"/>
          <w:lang w:bidi="fa-IR"/>
        </w:rPr>
        <w:t>سراب،در کنار نام بزرگانی چون علاّمه مجلسی،سید علاء الدین گلستانه،آقا جمال خوانساری و برادرش آقا رضی،قرار 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این‌که مرحوم اردبیلی در 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فاضل سراب این‌چنین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الفاضل الکامل مولانا محمّد الجیلانی الملقّب بالسراب مدّ ظله العالی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صاحب جامع الرواة پس از نقل تمامی بیان فاضل سراب،نظریه رجالی وی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اصفهان همایش بزرگداشت فاضل سراب برگزار گردید و افزون بر مجموعه مقالات فاضل سراب،برخی از دیگر آثار این فقیه فرزانه،تحقیق،چاپ و عرضه گردید</w:t>
      </w:r>
      <w:r>
        <w:rPr>
          <w:rFonts w:eastAsia="IRNazanin" w:cs="IRNazanin"/>
          <w:color w:val="111111"/>
          <w:sz w:val="28"/>
          <w:szCs w:val="28"/>
          <w:rtl w:val="true"/>
          <w:lang w:bidi="fa-IR"/>
        </w:rPr>
        <w:t>.</w:t>
      </w:r>
    </w:p>
    <w:p>
      <w:pPr>
        <w:pStyle w:val="Heading4"/>
        <w:numPr>
          <w:ilvl w:val="3"/>
          <w:numId w:val="1"/>
        </w:numPr>
        <w:rPr/>
      </w:pPr>
      <w:bookmarkStart w:id="55" w:name="__RefHeading___Toc4066811_3224264995"/>
      <w:bookmarkStart w:id="56" w:name="_Toc19"/>
      <w:bookmarkEnd w:id="55"/>
      <w:r>
        <w:rPr>
          <w:rtl w:val="true"/>
        </w:rPr>
        <w:t>ب</w:t>
      </w:r>
      <w:r>
        <w:rPr>
          <w:rtl w:val="true"/>
        </w:rPr>
        <w:t>:</w:t>
      </w:r>
      <w:r>
        <w:rPr>
          <w:rtl w:val="true"/>
        </w:rPr>
        <w:t>نکاتی درباره این اثر</w:t>
      </w:r>
      <w:bookmarkEnd w:id="56"/>
    </w:p>
    <w:p>
      <w:pPr>
        <w:pStyle w:val="Heading5"/>
        <w:numPr>
          <w:ilvl w:val="4"/>
          <w:numId w:val="1"/>
        </w:numPr>
        <w:rPr/>
      </w:pPr>
      <w:bookmarkStart w:id="57" w:name="__RefHeading___Toc4066813_3224264995"/>
      <w:bookmarkStart w:id="58" w:name="_Toc20"/>
      <w:bookmarkEnd w:id="57"/>
      <w:r>
        <w:rPr/>
        <w:t>1</w:t>
      </w:r>
      <w:r>
        <w:rPr>
          <w:rtl w:val="true"/>
        </w:rPr>
        <w:t>-</w:t>
      </w:r>
      <w:r>
        <w:rPr>
          <w:rtl w:val="true"/>
        </w:rPr>
        <w:t>بستر آفرینش این اثر</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گذشت کتاب ارجمند زبدة البیان،پس از تألیف پیوسته مورد توجّه عالمان و اندیشمندان بوده و آنان در مقابل نظریات مؤلّف کتاب،دیدگاه‌های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قبول یا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حاشیه،یادداشت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سراب نیز حواشی پراکنده‌ای بر زبدة البیان داشته که در سال‌های پایانی عمر به فرزند خویش ملاّ محمّد صادق تنکابنی دستور می‌دهد که آنها را جمع‌آوری و مرتّب نماید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یادداشت‌های پراکنده،پس از جمع‌آوری و تبویب،در زمان حیات فاضل سراب کتابت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فرزند مرحوم فاضل سراب مقدمه‌ای مختصر نیز بر آن می‌نویسد</w:t>
      </w:r>
      <w:r>
        <w:rPr>
          <w:rFonts w:eastAsia="IRNazanin" w:cs="IRNazanin"/>
          <w:color w:val="111111"/>
          <w:sz w:val="28"/>
          <w:szCs w:val="28"/>
          <w:rtl w:val="true"/>
          <w:lang w:bidi="fa-IR"/>
        </w:rPr>
        <w:t xml:space="preserve">. </w:t>
      </w:r>
      <w:bookmarkStart w:id="59" w:name="pg12937_139009"/>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برخی از فهرست‌ها و مصادر شرح حال فاضل سراب،از این اثر با عنوان حاشیه زبدة البیان یاد شده ولی مرحوم علاّمه سیّد حسن صدر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أمل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اثر،با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علی 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می‌برد </w:t>
      </w:r>
      <w:r>
        <w:rPr>
          <w:rStyle w:val="FootnoteAnchor"/>
          <w:rtl w:val="true"/>
        </w:rPr>
        <w:footnoteReference w:id="15"/>
      </w:r>
      <w:r>
        <w:rPr>
          <w:rFonts w:ascii="IRNazanin" w:hAnsi="IRNazanin" w:eastAsia="IRNazanin"/>
          <w:color w:val="111111"/>
          <w:sz w:val="28"/>
          <w:sz w:val="28"/>
          <w:szCs w:val="28"/>
          <w:rtl w:val="true"/>
          <w:lang w:bidi="fa-IR"/>
        </w:rPr>
        <w:t>و از همین روی ما نیز این نام را انتخاب نمودیم</w:t>
      </w:r>
      <w:r>
        <w:rPr>
          <w:rFonts w:eastAsia="IRNazanin" w:cs="IRNazanin"/>
          <w:color w:val="111111"/>
          <w:sz w:val="28"/>
          <w:szCs w:val="28"/>
          <w:rtl w:val="true"/>
          <w:lang w:bidi="fa-IR"/>
        </w:rPr>
        <w:t>.</w:t>
      </w:r>
    </w:p>
    <w:p>
      <w:pPr>
        <w:pStyle w:val="Heading5"/>
        <w:numPr>
          <w:ilvl w:val="4"/>
          <w:numId w:val="1"/>
        </w:numPr>
        <w:rPr/>
      </w:pPr>
      <w:bookmarkStart w:id="60" w:name="__RefHeading___Toc4066815_3224264995"/>
      <w:bookmarkStart w:id="61" w:name="_Toc21"/>
      <w:bookmarkEnd w:id="60"/>
      <w:r>
        <w:rPr/>
        <w:t>2</w:t>
      </w:r>
      <w:r>
        <w:rPr>
          <w:rtl w:val="true"/>
        </w:rPr>
        <w:t>-</w:t>
      </w:r>
      <w:r>
        <w:rPr>
          <w:rtl w:val="true"/>
        </w:rPr>
        <w:t>برخی از ویژگی‌های این اثر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 بر همه آثار خود،یا اکثر آنها،حواشی سودمندی دارد و در این اثر نیز چنین است و ما تمامی این موارد را در پاورقی و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که از زبدة البیان در اختیار فاضل سراب بوده،دارای برخی تفاوت‌ها با دو نسخه‌ای که از کتاب چاپ شده،می‌باشد که این موارد در پاورقی تذکّر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این اثر به مناسبت متذکّر برخی مباحث رجالی نیز شده است که با استخراج مجموعه نظریات وی در این کتاب و سایر آثار این دانشمند نامور،می‌توان به آراء فاضل سراب در این حوزه از علوم اسلامی نیز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از کتب ارزشمند تفسیری است که به علت داشتن نکات ادبی زبان عرب،مورد توجّه عالمان شیعی قرار گرفته و بزرگانی چون شیخ بهائی،مقدّس اردبیلی،ملاّ صدرا،سلطان العلماء،مدقّق شیروانی،فاضل ایروانی،و شهید قاضی نور اللّه تستری،بر آن حاشیه زده یا در آثار خود به آن استناد نموده‌اند؛فاضل سراب نیز در این اثر خود،به کتاب انوار التنزیل عنایتی ویژه دارد</w:t>
      </w:r>
      <w:r>
        <w:rPr>
          <w:rFonts w:eastAsia="IRNazanin" w:cs="IRNazanin"/>
          <w:color w:val="111111"/>
          <w:sz w:val="28"/>
          <w:szCs w:val="28"/>
          <w:rtl w:val="true"/>
          <w:lang w:bidi="fa-IR"/>
        </w:rPr>
        <w:t>.</w:t>
      </w:r>
    </w:p>
    <w:p>
      <w:pPr>
        <w:pStyle w:val="Heading4"/>
        <w:numPr>
          <w:ilvl w:val="3"/>
          <w:numId w:val="1"/>
        </w:numPr>
        <w:rPr/>
      </w:pPr>
      <w:bookmarkStart w:id="62" w:name="__RefHeading___Toc4066817_3224264995"/>
      <w:bookmarkStart w:id="63" w:name="_Toc22"/>
      <w:bookmarkEnd w:id="62"/>
      <w:r>
        <w:rPr>
          <w:rtl w:val="true"/>
        </w:rPr>
        <w:t>ج</w:t>
      </w:r>
      <w:r>
        <w:rPr>
          <w:rtl w:val="true"/>
        </w:rPr>
        <w:t>:</w:t>
      </w:r>
      <w:r>
        <w:rPr>
          <w:rtl w:val="true"/>
        </w:rPr>
        <w:t>دو نکته درباره نسخه‌های این اثر</w:t>
      </w:r>
      <w:r>
        <w:rPr>
          <w:rtl w:val="true"/>
        </w:rPr>
        <w:t>:</w:t>
      </w:r>
      <w:bookmarkEnd w:id="63"/>
    </w:p>
    <w:p>
      <w:pPr>
        <w:pStyle w:val="Heading5"/>
        <w:numPr>
          <w:ilvl w:val="4"/>
          <w:numId w:val="1"/>
        </w:numPr>
        <w:rPr/>
      </w:pPr>
      <w:bookmarkStart w:id="64" w:name="__RefHeading___Toc4066819_3224264995"/>
      <w:bookmarkStart w:id="65" w:name="_Toc23"/>
      <w:bookmarkEnd w:id="64"/>
      <w:r>
        <w:rPr/>
        <w:t>1</w:t>
      </w:r>
      <w:r>
        <w:rPr>
          <w:rtl w:val="true"/>
        </w:rPr>
        <w:t>-</w:t>
      </w:r>
      <w:r>
        <w:rPr>
          <w:rtl w:val="true"/>
        </w:rPr>
        <w:t>نسخه‌های شناخته شده</w:t>
      </w:r>
      <w:r>
        <w:rPr>
          <w:rtl w:val="true"/>
        </w:rPr>
        <w:t>:</w:t>
      </w:r>
      <w:bookmarkEnd w:id="65"/>
    </w:p>
    <w:p>
      <w:pPr>
        <w:pStyle w:val="BookText"/>
        <w:rPr/>
      </w:pPr>
      <w:r>
        <w:rPr>
          <w:rFonts w:ascii="IRNazanin" w:hAnsi="IRNazanin" w:eastAsia="IRNazanin"/>
          <w:color w:val="111111"/>
          <w:sz w:val="28"/>
          <w:sz w:val="28"/>
          <w:szCs w:val="28"/>
          <w:rtl w:val="true"/>
          <w:lang w:bidi="fa-IR"/>
        </w:rPr>
        <w:t>تاکنون هفت نسخه خطی از این اثر ارجمند شناخته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نسخه فوق به ترتیب زمان کتابت چنین است</w:t>
      </w:r>
      <w:r>
        <w:rPr>
          <w:rFonts w:eastAsia="IRNazanin" w:cs="IRNazanin"/>
          <w:color w:val="111111"/>
          <w:sz w:val="28"/>
          <w:szCs w:val="28"/>
          <w:rtl w:val="true"/>
          <w:lang w:bidi="fa-IR"/>
        </w:rPr>
        <w:t xml:space="preserve">: </w:t>
      </w:r>
      <w:bookmarkStart w:id="66" w:name="pg12937_139010"/>
    </w:p>
    <w:p>
      <w:pPr>
        <w:pStyle w:val="BookText"/>
        <w:rPr/>
      </w:pPr>
      <w:bookmarkEnd w:id="6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آیة اللّه مرعشی؛این نسخه در زمان حیات فاضل سراب کتابت شده و توضیح آن در ادامه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وزیری یزد؛تاریخ کتابت ربیع الثانی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همان؛تاریخ کتابت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صدر بازار اصفهان؛تاریخ کتابت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جامع کبیر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دکتر علی اصغر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مرکزی دانشگاه تهران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بین نسخه‌های معرّفی شده به هنگام تحقیق تنها از دو نسخه،کاملا استفاده شد یکی نسخه کتابخانه آیة اللّه مرعشی نجفی و دیگری نسخه کتابخانه وزیری یزد و از نسخه مدرسه صدر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وجود اشتباهات کتابتی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نقل عبارات نیم صفحه پایانی کتاب استفاده گردید</w:t>
      </w:r>
      <w:r>
        <w:rPr>
          <w:rFonts w:eastAsia="IRNazanin" w:cs="IRNazanin"/>
          <w:color w:val="111111"/>
          <w:sz w:val="28"/>
          <w:szCs w:val="28"/>
          <w:rtl w:val="true"/>
          <w:lang w:bidi="fa-IR"/>
        </w:rPr>
        <w:t>.</w:t>
      </w:r>
    </w:p>
    <w:p>
      <w:pPr>
        <w:pStyle w:val="Heading5"/>
        <w:numPr>
          <w:ilvl w:val="4"/>
          <w:numId w:val="1"/>
        </w:numPr>
        <w:rPr/>
      </w:pPr>
      <w:bookmarkStart w:id="67" w:name="__RefHeading___Toc4066821_3224264995"/>
      <w:bookmarkStart w:id="68" w:name="_Toc24"/>
      <w:bookmarkEnd w:id="67"/>
      <w:r>
        <w:rPr/>
        <w:t>2</w:t>
      </w:r>
      <w:r>
        <w:rPr>
          <w:rtl w:val="true"/>
        </w:rPr>
        <w:t>-</w:t>
      </w:r>
      <w:r>
        <w:rPr>
          <w:rtl w:val="true"/>
        </w:rPr>
        <w:t>مشخصات نسخه‌های مورد استفاده محقّق</w:t>
      </w:r>
      <w:bookmarkEnd w:id="68"/>
    </w:p>
    <w:p>
      <w:pPr>
        <w:pStyle w:val="BookText"/>
        <w:rPr/>
      </w:pPr>
      <w:r>
        <w:rPr>
          <w:rFonts w:ascii="IRNazanin" w:hAnsi="IRNazanin" w:eastAsia="IRNazanin"/>
          <w:color w:val="111111"/>
          <w:sz w:val="28"/>
          <w:sz w:val="28"/>
          <w:szCs w:val="28"/>
          <w:rtl w:val="true"/>
          <w:lang w:bidi="fa-IR"/>
        </w:rPr>
        <w:t>نسخه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آیة اللّه مرعشی نجفی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که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و تصویری از آن،هنگام تحقیق در اختیار محقّق بوده به شماره </w:t>
      </w: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آیة اللّه مرعشی نجفی نگهداری می‌شود </w:t>
      </w:r>
      <w:r>
        <w:rPr>
          <w:rStyle w:val="FootnoteAnchor"/>
          <w:rtl w:val="true"/>
        </w:rPr>
        <w:footnoteReference w:id="17"/>
      </w:r>
      <w:r>
        <w:rPr>
          <w:rFonts w:ascii="IRNazanin" w:hAnsi="IRNazanin" w:eastAsia="IRNazanin"/>
          <w:color w:val="111111"/>
          <w:sz w:val="28"/>
          <w:sz w:val="28"/>
          <w:szCs w:val="28"/>
          <w:rtl w:val="true"/>
          <w:lang w:bidi="fa-IR"/>
        </w:rPr>
        <w:t>و از انجام دارای افتادگی است و به همین جهت تاریخ کتابت آن معلوم نیست ولی با توجّه به اینکه کلمات پایانی حواشی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فاضل سراب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یادداشتی که در برگه دوم نسخه قرار دارد و در آن وفات مؤلّف گزارش شده است،می‌توان چنین نتیجه گرفت</w:t>
      </w:r>
      <w:r>
        <w:rPr>
          <w:rFonts w:eastAsia="IRNazanin" w:cs="IRNazanin"/>
          <w:color w:val="111111"/>
          <w:sz w:val="28"/>
          <w:szCs w:val="28"/>
          <w:rtl w:val="true"/>
          <w:lang w:bidi="fa-IR"/>
        </w:rPr>
        <w:t xml:space="preserve">. </w:t>
      </w:r>
      <w:bookmarkStart w:id="69" w:name="pg12937_139011"/>
    </w:p>
    <w:p>
      <w:pPr>
        <w:pStyle w:val="BookText"/>
        <w:rPr/>
      </w:pPr>
      <w:bookmarkEnd w:id="69"/>
      <w:r>
        <w:rPr>
          <w:rFonts w:ascii="IRNazanin" w:hAnsi="IRNazanin" w:eastAsia="IRNazanin"/>
          <w:color w:val="111111"/>
          <w:sz w:val="28"/>
          <w:sz w:val="28"/>
          <w:szCs w:val="28"/>
          <w:rtl w:val="true"/>
          <w:lang w:bidi="fa-IR"/>
        </w:rPr>
        <w:t xml:space="preserve">از این نسخه،با رمز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وزیری یزد</w:t>
      </w:r>
    </w:p>
    <w:p>
      <w:pPr>
        <w:pStyle w:val="BookText"/>
        <w:rPr/>
      </w:pPr>
      <w:r>
        <w:rPr>
          <w:rFonts w:ascii="IRNazanin" w:hAnsi="IRNazanin" w:eastAsia="IRNazanin"/>
          <w:color w:val="111111"/>
          <w:sz w:val="28"/>
          <w:sz w:val="28"/>
          <w:szCs w:val="28"/>
          <w:rtl w:val="true"/>
          <w:lang w:bidi="fa-IR"/>
        </w:rPr>
        <w:t xml:space="preserve">این نسخه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دارد و با شماره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وزیری یزد نگهداری می‌شود؛حواشی نسخه با این جمله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نیز از انجام،افتادگی دارد و از همین روی زمان کتابت مشخّص نیست اگرچه برخی تاریخ کتابت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،و کاتب را فرزند فاضل سراب دانسته‌اند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ویژگی‌های این نسخه،داشتن حواشی توضیحی است که در عین اختصار،بسیار ارزشمند می‌باشد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پاورقی از این نسخه با رمز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مدرسه صدر بازار اصفهان</w:t>
      </w:r>
    </w:p>
    <w:p>
      <w:pPr>
        <w:pStyle w:val="BookText"/>
        <w:rPr/>
      </w:pPr>
      <w:r>
        <w:rPr>
          <w:rFonts w:ascii="IRNazanin" w:hAnsi="IRNazanin" w:eastAsia="IRNazanin"/>
          <w:color w:val="111111"/>
          <w:sz w:val="28"/>
          <w:sz w:val="28"/>
          <w:szCs w:val="28"/>
          <w:rtl w:val="true"/>
          <w:lang w:bidi="fa-IR"/>
        </w:rPr>
        <w:t xml:space="preserve">این نسخه در کتابخانه صدر المتألّهین مدرسه صدر بازار اصفهان با شماره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و دارای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می‌باشد،این اثر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توسط محمّد بن تقی اصفهانی کتابت شده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نسخه اگرچه بسیار بدخط و مغلوط است ولی مزیّت آن نسبت به دو نسخه قبل این است که نسخه تمام است و نقصان دو نسخه قبل با این نسخه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این نسخه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نهاده‌ایم</w:t>
      </w:r>
      <w:r>
        <w:rPr>
          <w:rFonts w:eastAsia="IRNazanin" w:cs="IRNazanin"/>
          <w:color w:val="111111"/>
          <w:sz w:val="28"/>
          <w:szCs w:val="28"/>
          <w:rtl w:val="true"/>
          <w:lang w:bidi="fa-IR"/>
        </w:rPr>
        <w:t>.</w:t>
      </w:r>
    </w:p>
    <w:p>
      <w:pPr>
        <w:pStyle w:val="Heading4"/>
        <w:numPr>
          <w:ilvl w:val="3"/>
          <w:numId w:val="1"/>
        </w:numPr>
        <w:rPr/>
      </w:pPr>
      <w:bookmarkStart w:id="70" w:name="__RefHeading___Toc4066823_3224264995"/>
      <w:bookmarkStart w:id="71" w:name="_Toc25"/>
      <w:bookmarkEnd w:id="70"/>
      <w:r>
        <w:rPr>
          <w:rtl w:val="true"/>
        </w:rPr>
        <w:t>د</w:t>
      </w:r>
      <w:r>
        <w:rPr>
          <w:rtl w:val="true"/>
        </w:rPr>
        <w:t>:</w:t>
      </w:r>
      <w:r>
        <w:rPr>
          <w:rtl w:val="true"/>
        </w:rPr>
        <w:t>شیوه تحقیق</w:t>
      </w:r>
      <w:r>
        <w:rPr>
          <w:rtl w:val="true"/>
        </w:rPr>
        <w:t>:</w:t>
      </w:r>
      <w:bookmarkEnd w:id="71"/>
    </w:p>
    <w:p>
      <w:pPr>
        <w:pStyle w:val="Heading5"/>
        <w:numPr>
          <w:ilvl w:val="4"/>
          <w:numId w:val="1"/>
        </w:numPr>
        <w:rPr/>
      </w:pPr>
      <w:bookmarkStart w:id="72" w:name="__RefHeading___Toc4066825_3224264995"/>
      <w:bookmarkStart w:id="73" w:name="_Toc26"/>
      <w:bookmarkEnd w:id="72"/>
      <w:r>
        <w:rPr>
          <w:rtl w:val="true"/>
        </w:rPr>
        <w:t>مراحل تحقیق</w:t>
      </w:r>
      <w:r>
        <w:rPr>
          <w:rtl w:val="true"/>
        </w:rPr>
        <w:t>:</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مراحلی که در این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تهیه نمودن نسخ حاشیه 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پیموده شده،این‌چنین است</w:t>
      </w:r>
      <w:r>
        <w:rPr>
          <w:rFonts w:eastAsia="IRNazanin" w:cs="IRNazanin"/>
          <w:color w:val="111111"/>
          <w:sz w:val="28"/>
          <w:szCs w:val="28"/>
          <w:rtl w:val="true"/>
          <w:lang w:bidi="fa-IR"/>
        </w:rPr>
        <w:t xml:space="preserve">: </w:t>
      </w:r>
      <w:bookmarkStart w:id="74" w:name="pg12937_139012"/>
    </w:p>
    <w:p>
      <w:pPr>
        <w:pStyle w:val="BookText"/>
        <w:rPr/>
      </w:pPr>
      <w:bookmarkEnd w:id="7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نسخه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تایپ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عبارات زبدة البیان استخراج و به آخرین چاپ کتاب ارجاع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بعد،با نسخه خطی،تطبیق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مرحله،قسمت پایانی کتاب با استفاده از نسخه کتابخانه مدرسه صدر بازار،نوشته می‌شود و این‌گونه است که نسخه‌ای کامل از حاشیه فاضل سراب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این مرحله،نسخه ویراستاری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مراحل پنج‌گانه،متن آماده شده با نسخه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تطبیق و موارد اختلاف در پاورقی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مرحله،برای دوّمین مرتبه متن با نسخه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مقابله و موارد اختلاف با متن زبدة البیان و همچنین نسخه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و در پاورقی یادداشت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هشتمین مرحله آیات،روایات،اقوال و تمامی مواردی که برای تحقیق نیازمند مصدریابی است استخراج و به مصادر اصلی ارجاع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مرحله،نسخه تصحیح نهائی شده و تمامی حواشی دو نسخه برای دومین مرتبه مورد بازبینی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مرحله،اختصاص به بررسی و بازبینی نهائی،استخراج مصادر تحقیق و فهارس فنّی دارد</w:t>
      </w:r>
      <w:r>
        <w:rPr>
          <w:rFonts w:eastAsia="IRNazanin" w:cs="IRNazanin"/>
          <w:color w:val="111111"/>
          <w:sz w:val="28"/>
          <w:szCs w:val="28"/>
          <w:rtl w:val="true"/>
          <w:lang w:bidi="fa-IR"/>
        </w:rPr>
        <w:t>.</w:t>
      </w:r>
    </w:p>
    <w:p>
      <w:pPr>
        <w:pStyle w:val="Heading5"/>
        <w:numPr>
          <w:ilvl w:val="4"/>
          <w:numId w:val="1"/>
        </w:numPr>
        <w:rPr/>
      </w:pPr>
      <w:bookmarkStart w:id="75" w:name="__RefHeading___Toc4066827_3224264995"/>
      <w:bookmarkStart w:id="76" w:name="_Toc27"/>
      <w:bookmarkEnd w:id="75"/>
      <w:r>
        <w:rPr>
          <w:rtl w:val="true"/>
        </w:rPr>
        <w:t>-</w:t>
      </w:r>
      <w:r>
        <w:rPr>
          <w:rtl w:val="true"/>
        </w:rPr>
        <w:t>تذکّر چند نکته</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عبارات نقل شده توسّط فاضل سراب با متن دو چاپ موجود 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مرتضویه و نشر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داشته در پاورقی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کتابتی که توسّط کاتب در نسخه راه یافته را در متن اصلاح و اصل عبارات را در پاورقی ذکر کرده‌ایم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کارهای آغازین این تحقیق و تصحیح،توسّط دوست فاضل و گرامی جناب رحیم قاسمی صورت انجام گرفته و به سرانجام رساندن این تحقیق تا مرحله </w:t>
      </w:r>
      <w:bookmarkStart w:id="77" w:name="pg12937_139013"/>
    </w:p>
    <w:p>
      <w:pPr>
        <w:pStyle w:val="BookText"/>
        <w:rPr/>
      </w:pPr>
      <w:bookmarkEnd w:id="77"/>
      <w:r>
        <w:rPr>
          <w:rFonts w:ascii="IRNazanin" w:hAnsi="IRNazanin" w:eastAsia="IRNazanin"/>
          <w:color w:val="111111"/>
          <w:sz w:val="28"/>
          <w:sz w:val="28"/>
          <w:szCs w:val="28"/>
          <w:rtl w:val="true"/>
          <w:lang w:bidi="fa-IR"/>
        </w:rPr>
        <w:t>چاپ به نگارنده،پیشنهاد شد؛نگارنده پس از این،به صورت جدّی ادامه کار را پی گرفت که نتیجه آن،اثری است که هم‌اکنون خواننده محترم در مقابل چشمان خود می‌بیند</w:t>
      </w:r>
      <w:r>
        <w:rPr>
          <w:rFonts w:eastAsia="IRNazanin" w:cs="IRNazanin"/>
          <w:color w:val="111111"/>
          <w:sz w:val="28"/>
          <w:szCs w:val="28"/>
          <w:rtl w:val="true"/>
          <w:lang w:bidi="fa-IR"/>
        </w:rPr>
        <w:t>.</w:t>
      </w:r>
    </w:p>
    <w:p>
      <w:pPr>
        <w:pStyle w:val="Heading4"/>
        <w:numPr>
          <w:ilvl w:val="3"/>
          <w:numId w:val="1"/>
        </w:numPr>
        <w:rPr/>
      </w:pPr>
      <w:bookmarkStart w:id="78" w:name="__RefHeading___Toc4066829_3224264995"/>
      <w:bookmarkStart w:id="79" w:name="_Toc28"/>
      <w:bookmarkEnd w:id="78"/>
      <w:r>
        <w:rPr>
          <w:rtl w:val="true"/>
        </w:rPr>
        <w:t>ه</w:t>
      </w:r>
      <w:r>
        <w:rPr>
          <w:rtl w:val="true"/>
        </w:rPr>
        <w:t>:...</w:t>
      </w:r>
      <w:r>
        <w:rPr>
          <w:rtl w:val="true"/>
        </w:rPr>
        <w:t>و امّا سخن پایانی</w:t>
      </w:r>
      <w:r>
        <w:rPr>
          <w:rtl w:val="true"/>
        </w:rPr>
        <w:t>:</w:t>
      </w:r>
      <w:bookmarkEnd w:id="79"/>
    </w:p>
    <w:p>
      <w:pPr>
        <w:pStyle w:val="BookText"/>
        <w:rPr/>
      </w:pPr>
      <w:r>
        <w:rPr>
          <w:rFonts w:ascii="IRNazanin" w:hAnsi="IRNazanin" w:eastAsia="IRNazanin"/>
          <w:color w:val="111111"/>
          <w:sz w:val="28"/>
          <w:sz w:val="28"/>
          <w:szCs w:val="28"/>
          <w:rtl w:val="true"/>
          <w:lang w:bidi="fa-IR"/>
        </w:rPr>
        <w:t>و در پایان ضمن تقدیر از همه عزیزانی که نگارنده را در به ثمر نشستن این تراث ارجمند قرآنی کمک و مورد لطف خویش قرار دادند؛ثواب این تحقیق را به روح بلند فاضل سراب و تمامی عالمانی که با تلاش و مجاهدت خویش میراثی ارزشمند از علوم قرآنی را برای ما به یادگار نهادند،تقدیم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 اصفهان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مهرماه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مهدی باقری سیانی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العظمی مرعشی نجفی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العظمی مرعشی نجفی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وزیری یزد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وزیری یزد از آخر افتادگی دارد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صدر بازار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صدر بازار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2937_139021"/>
      <w:bookmarkStart w:id="81" w:name="pg12937_139021"/>
      <w:bookmarkEnd w:id="81"/>
    </w:p>
    <w:p>
      <w:pPr>
        <w:pStyle w:val="Heading3"/>
        <w:numPr>
          <w:ilvl w:val="2"/>
          <w:numId w:val="1"/>
        </w:numPr>
        <w:rPr/>
      </w:pPr>
      <w:bookmarkStart w:id="82" w:name="pg12937_139021"/>
      <w:bookmarkStart w:id="83" w:name="__RefHeading___Toc4066831_3224264995"/>
      <w:bookmarkStart w:id="84" w:name="_Toc29"/>
      <w:bookmarkEnd w:id="82"/>
      <w:bookmarkEnd w:id="83"/>
      <w:r>
        <w:rPr>
          <w:rtl w:val="true"/>
        </w:rPr>
        <w:t>[</w:t>
      </w:r>
      <w:r>
        <w:rPr>
          <w:rtl w:val="true"/>
        </w:rPr>
        <w:t>خطبه کتاب</w:t>
      </w:r>
      <w:r>
        <w:rPr>
          <w:rtl w:val="true"/>
        </w:rPr>
        <w:t>]</w:t>
      </w:r>
      <w:bookmarkEnd w:id="84"/>
    </w:p>
    <w:p>
      <w:pPr>
        <w:pStyle w:val="BookText"/>
        <w:rPr/>
      </w:pPr>
      <w:r>
        <w:rPr>
          <w:rFonts w:ascii="IRNazanin" w:hAnsi="IRNazanin" w:eastAsia="IRNazanin"/>
          <w:color w:val="111111"/>
          <w:sz w:val="28"/>
          <w:sz w:val="28"/>
          <w:szCs w:val="28"/>
          <w:rtl w:val="true"/>
          <w:lang w:bidi="fa-IR"/>
        </w:rPr>
        <w:t>بسم اللّه الرّحمن الرّحیم و به نستعین الحمد للّه ربّ العالمین،و الصلاة و السلام علی سیّد المرسلین،و خاتم النبیّین،و أهل بیته الطیّبین الطاهرین،سیّما وصیّه و خلیفته من بعده علیّ بن أبی طالب،أمیر المؤمنین، 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بعد،فهذه حواشی و تعلیقات قد کتبها والدی العلاّمة المحقّق،و الفهّامة المدقّق، اسوة العلماء المحقّقین،و قدوة الفضلاء المدقّقین،فرید دهره و أوانه،و وحید عصره و زمانه،مروّج آثار الأئمّة الطاهرین،و سالک مسالک الزاهدین المتّقین،الورع الزکی، و الزاهد التقی،مولانا محمّد بن عبد الفتّاح التنکابنی تغمّده اللّه بغفرانه،و أسکنه بحبوحة جنانه فی أثناء المطالعة و المباحثة،علی هامش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قدوة الناسکین، و اسوة الزاهدین،حلاّل عقد معضلات العبارات ببنان بیان المعانی،الفائز من مراتب الفضل و الزهد و التقی بمنتهی الأمانی،مولانا أحمد الأردبیلی أعلی اللّه فی درجات الجنان قدره،و أنار فی سماء الرضوان بدره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أمرنی بعد ما لحقه من الضعف و الکلال،بجمعها و تدوینها مخافة الاندراس و الاضمحلال،فجمعتها إطاعة لأمره رجاء الثواب،و دوّنتها لتکون محفوظة عن الذهاب،و أنا أفقر الخلایق إلی عفو ربّه الخالق،محمّد المدعوّ بصادق وفّقه اللّه للعمل فی یومه لغده،قبل أن یخرج الأمر من یده و هو حسبی و نعم الوکیل،نعم المولی و نعم النصیر</w:t>
      </w:r>
      <w:r>
        <w:rPr>
          <w:rFonts w:eastAsia="IRNazanin" w:cs="IRNazanin"/>
          <w:color w:val="111111"/>
          <w:sz w:val="28"/>
          <w:szCs w:val="28"/>
          <w:rtl w:val="true"/>
          <w:lang w:bidi="fa-IR"/>
        </w:rPr>
        <w:t xml:space="preserve">. </w:t>
      </w:r>
      <w:bookmarkStart w:id="85" w:name="pg12937_139022"/>
    </w:p>
    <w:p>
      <w:pPr>
        <w:pStyle w:val="BookText"/>
        <w:rPr/>
      </w:pPr>
      <w:bookmarkEnd w:id="85"/>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بیانه أنّ الشیخ أبا علی رحمه اللّه قال فی أوّل تفسیره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التفسیر معناه کشف المراد من </w:t>
      </w:r>
      <w:r>
        <w:rPr>
          <w:rStyle w:val="FootnoteAnchor"/>
          <w:rtl w:val="true"/>
        </w:rPr>
        <w:footnoteReference w:id="22"/>
      </w:r>
      <w:r>
        <w:rPr>
          <w:rFonts w:ascii="IRNazanin" w:hAnsi="IRNazanin" w:eastAsia="IRNazanin"/>
          <w:color w:val="111111"/>
          <w:sz w:val="28"/>
          <w:sz w:val="28"/>
          <w:szCs w:val="28"/>
          <w:rtl w:val="true"/>
          <w:lang w:bidi="fa-IR"/>
        </w:rPr>
        <w:t>اللّفظ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المراد من الأخبار الّتی منع فیها التفسیر بالرأی ترک الاعتماد علی ظاهر الآیات المحکمة،کما یزعم بعض الأخباریّین </w:t>
      </w:r>
      <w:r>
        <w:rPr>
          <w:rStyle w:val="FootnoteAnchor"/>
          <w:rtl w:val="true"/>
        </w:rPr>
        <w:footnoteReference w:id="23"/>
      </w:r>
      <w:r>
        <w:rPr>
          <w:rFonts w:ascii="Amiri" w:hAnsi="Amiri" w:eastAsia="Amiri" w:cs="Amiri"/>
          <w:color w:val="111111"/>
          <w:sz w:val="28"/>
          <w:sz w:val="28"/>
          <w:szCs w:val="28"/>
          <w:rtl w:val="true"/>
          <w:lang w:bidi="ar-SA"/>
        </w:rPr>
        <w:t>بما ذکر فی الکتاب،و بقول أمیر المؤمنین علیه الصلاة و السلام فی عهده الذی کتبه للأشتر النخعی رحمه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اردد إلی اللّه و رسوله ما یظلعک من الخطوب، و یشتبه علیک من الأمور،فقد قال اللّه سبحانه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Style w:val="FootnoteAnchor"/>
          <w:rtl w:val="true"/>
        </w:rPr>
        <w:footnoteReference w:id="24"/>
      </w:r>
      <w:r>
        <w:rPr>
          <w:rFonts w:ascii="IRNazanin" w:hAnsi="IRNazanin" w:eastAsia="IRNazanin"/>
          <w:color w:val="111111"/>
          <w:sz w:val="28"/>
          <w:sz w:val="28"/>
          <w:szCs w:val="28"/>
          <w:rtl w:val="true"/>
          <w:lang w:bidi="fa-IR"/>
        </w:rPr>
        <w:t>فالردّ إلی اللّه،الأخذ بمحکم کتابه،و الردّ إلی الرسول الأخذ بسنّته الجامعة غیر المفرقة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4066833_3224264995"/>
      <w:bookmarkStart w:id="87" w:name="_Toc30"/>
      <w:bookmarkEnd w:id="86"/>
      <w:r>
        <w:rPr>
          <w:rtl w:val="true"/>
        </w:rPr>
        <w:t>کتاب الطهارة</w:t>
      </w:r>
      <w:bookmarkEnd w:id="87"/>
    </w:p>
    <w:p>
      <w:pPr>
        <w:pStyle w:val="Heading4"/>
        <w:numPr>
          <w:ilvl w:val="3"/>
          <w:numId w:val="1"/>
        </w:numPr>
        <w:rPr/>
      </w:pPr>
      <w:bookmarkStart w:id="88" w:name="__RefHeading___Toc4066835_3224264995"/>
      <w:bookmarkStart w:id="89" w:name="_Toc31"/>
      <w:bookmarkEnd w:id="88"/>
      <w:r>
        <w:rPr>
          <w:rtl w:val="true"/>
        </w:rPr>
        <w:t>[</w:t>
      </w:r>
      <w:r>
        <w:rPr>
          <w:rtl w:val="true"/>
        </w:rPr>
        <w:t>نبدأ بالفاتحة تیمّنا و تبرّکا ثمّ نذکر آیاتها</w:t>
      </w:r>
      <w:r>
        <w:rPr>
          <w:rtl w:val="true"/>
        </w:rPr>
        <w:t>]</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أنّ المراد بها تعلیم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ظهور کون المراد بها تعلیم العباد ابتداء فعلهم،فلعلّ الرجحان أو الوجوب مخصوص بما یدلّ القرینة علیه،و الدلیل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المنع،فلعلّ المقدّر غیره،و علی تقدیر تسلیمه فلعلّ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باسم اللّه فی ابتداء أمر خاصّ یدلّ القرینة و المقام علیه،لا فی ابتداء الأمور،فلم یمکن الاستدلال بها علی وجوبها،و لا علی رجحانها فی الذبح لو لم یکن دلیل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الخبر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ذی بال لم یبدأ فیه باسم اللّه فهو أبتر</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الجملة،و هو فی أمر ذی بال،لا فی مطلق الامور کما ذکره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الاستدلال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قدّس سرّه بمثل ذلک الاستدلال هو أنّ الظاهر أنّ المراد تعلیم العباد ابتداء 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لمّا لم یکن هذا المدّعی بیّنا،علّل هناک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متعلّقا للجارّ،و لا یجری التعلیل هاهنا لو أغمض عن ضعفه الذی ذکر لک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إنّما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عموم التربیة،علی وفق قوله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أی مربّیها،أو المصلحیّة،أو المالکیّة بالنسبة إلی أفراد الممکن،و لا یدلّ علی إرادة الإیجاد و الإبقاء من الربیّة،فلعلّ المقصود منها سببیّة بعض الکمالات اللاحقة بالموجود،و علی تقدیر اندارجهما فیها فلا نسلّم شمول إرادة الإیجاد و الإبقاء المندرجین فیها حینئذ جمیع حالات الممکن،فلعلّ تعلّقها بالممکن مختلف، فبعض الحالات تعلّقها به بالإیجاد،و بعضها بتکمیله اللایق به،و بعضها دفع المنافیات و الآلام،و بعضها إطلاق ما یفسد المزاج و الأسقام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عدم إرادته رحمه اللّه بعض ما ذکرته فی وجه عدم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حاصله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نخصّک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ظاهر،و کونه علی ألسنة العباد غیر صالح للسببیّة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المسامحة فی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وجه المسامحة أنّ طلب الهدایة إلی رسول اللّه صلّی اللّه علیه و آله ظاهره لا یناسب المسلم مطلقا،لحصول </w:t>
      </w:r>
    </w:p>
    <w:p>
      <w:pPr>
        <w:pStyle w:val="BookText"/>
        <w:rPr/>
      </w:pPr>
      <w:r>
        <w:rPr>
          <w:rFonts w:ascii="IRNazanin" w:hAnsi="IRNazanin" w:eastAsia="IRNazanin"/>
          <w:color w:val="111111"/>
          <w:sz w:val="28"/>
          <w:sz w:val="28"/>
          <w:szCs w:val="28"/>
          <w:rtl w:val="true"/>
          <w:lang w:bidi="fa-IR"/>
        </w:rPr>
        <w:t>العلم به صلّی اللّه علیه و آله لهم،و إلی الأئمّة علیهم السّلام لا یناسب المؤمن،للوجه المذکور،و غیر المؤمن، لعدم طلبهم الهدایة إلی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بطلب الهدایة إلیهم علیهم السّلام طلب الهدایة إلی بعض مراتبهم الخفیّة الغیر المعلومة لنا،لأنّ مراتبهم التی تحصل بمعرفتها الترقّیّات العظیمة کثیرة جدّا، أو طلب ثبات ما هو معلوم لنا،أو طلب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بطلب الهدایة إلیهم علیهم السّلام الهدایة إلی طریقتهم القویمة،بحذف المضاف،و لا مسامحة علی الإحتمالات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عجز عقولنا عن الوصول إلی ما ذکروه علیهم السّلام بعنوان التفصیل نعلم غایة حسن ما ذکروه بعنوان الإجمال،فلا یناسب بعد نسبة هذا الإحتمال إلی أئمّتنا علیهم السّلام نسبة المسامحة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توقّفت صحّة العبادة علی الإیمان أشرت إلی بعض الآیات التی تتعلّق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أُولٰئِکَ عَلیٰ هُدیً مِنْ رَبِّهِمْ وَ أُولٰئِکَ هُمُ الْمُفْلِحُونَ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IRNazanin" w:hAnsi="IRNazanin" w:eastAsia="IRNazanin"/>
          <w:color w:val="111111"/>
          <w:sz w:val="28"/>
          <w:sz w:val="28"/>
          <w:szCs w:val="28"/>
          <w:rtl w:val="true"/>
          <w:lang w:bidi="fa-IR"/>
        </w:rPr>
        <w:t>أُولٰئِکَ و 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رحمه اللّه انّه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علی هدی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منه أنّ استحقاقهم الهدایة لأجل الصفات المذکورة بعد المتّقین،لعدم دلالة الضمیر علی ما یزید علی المرجع الذی هاهنا هو المتّقون،و کذلک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ذکر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منه أنّ استحقاقهم الفلاح لأجل الخصال المذکورة،کما یدلّ إسم الإشارة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ما ذکرته صاحب الکشّاف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إسم الإشارة الذی هو أُولٰئِکَ إیذان بأنّ ما یرد عقیبه فالمذکورون قبله أهل لاکتسابه من أجل الخصال التی عدّدت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ظهر لک أنّ کلّ واحد من التأکید و التصریح و المبالغة جاز فی التکریر </w:t>
      </w:r>
    </w:p>
    <w:p>
      <w:pPr>
        <w:pStyle w:val="BookText"/>
        <w:rPr/>
      </w:pPr>
      <w:r>
        <w:rPr>
          <w:rFonts w:ascii="IRNazanin" w:hAnsi="IRNazanin" w:eastAsia="IRNazanin"/>
          <w:color w:val="111111"/>
          <w:sz w:val="28"/>
          <w:sz w:val="28"/>
          <w:szCs w:val="28"/>
          <w:rtl w:val="true"/>
          <w:lang w:bidi="fa-IR"/>
        </w:rPr>
        <w:t>الذی هو إشارة إلی ذکر أولئک ثانیا،بخلاف المذکور أوّلا؛لأنّه إنّما یدلّ علی استحقاقهم الهدایة لأجل الخصال المذکورة بعد المتّقین فقط،فذکر المصنّف رحمه اللّه الوجوه الجاریة فی التکریر لیعلم ما یجری منها فی اختیار أولئک بلا حاجة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الفصل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کون الفلاح للمتّقین الموصوفین بالصفات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تساوی الضمیر و إسم الإشارة فی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رحمه اللّه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الفصل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یدلّ علی کون الفلاح للمتّقین الموصوفین بحسب الواقع بالصفات المذکورة،أو أنّ المرجع هو المتّقون بلا ملاحظة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الموصوفین بالصفات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بعد کلّ واحد من الإحتمالین یزید بعده بذکر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إفادته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 هذه العبارات اشتراک الفصل مع إسم الإشارة فی المفاد، و زیادته علیه بإفادة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یصار إلیه إلاّ بدلیل قطعیّ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ما استدلّ علی کون الإیمان أمرا قلبیّا قطعیّ المتن،و لا یعارض القطعیّ غیر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 الثابت أنّ سبب التأویل یجب أن یکون أقوی،أمّا ضرورة کونه قطعیّ المتن عند کون ما یعارض ظاهره قطعیّ المتن فلا دلیل علیه،فلعلّ ظهور احتمال التخصیص و شهرته و قوّة المعارض سندا و دلالة و شهرة عمل القدماء علی المعارض أورثت الظنّ علی ظاهر المعارض،و علی إرادة التخصیص فی قطعیّ المتن،و عدم جواز التخصیص حینئذ لا دلیل علیه،و لیس غرضی کون ما نحن فیه کذلک،بل المقصود الإیماء إلی ضعف هذا الدلیل،لتنتفع بالعلم به فی مواضع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ذکرته من وجوب کون سبب التأویل أقوی ظهر ضعف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بالمثل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مراده بالمثل ما هو مثله إذا قطع النظر عن الامور الخارجة عن</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أصل المتعارضین،فأمّا إذا لوحظت فیمکن رجحان أحد المثلین باعتبارها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یصحّ الحصر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ظاهر القطعیّ لا یجوز الاّ بأقوی منه أو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الخروج عن ظاهر القطعی بما هو أضعف منه بضمیمة أمر خارج یصیر الأضعف باعتباره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ذکرته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ذکرته من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إرادة الحکم بخلاف ظاهر القطعیّ عن الخروج عن ظاهره،و أمّا إذا ارید عدم الحکم بظاهره حتّی یندرج التوقّف أیضا فیه فلا،لکنّ الظاهر عدم اندراج التوقّف فیما یفهم بحسب العرف من الخروج عن أمر،فلا یقال للمتوقّف فی أمر خرج عنه،و إن کان قبل التوقّف حاکما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بعض أفراد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عبارته یدلّ علی کون إطلاق الإیمان علی التصدیق الخاصّ حقیقة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دخول الخصوص فی المعنی الشرعی یستلزم خروج المجموع عن المعنی اللغوی،فالمناسب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الخاصّ و إن لم یکن معنی لغویّا للإیمان لکنّ الدلیل القوی صرفه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علی إمامته و وصایته من المعقول و المنقول غیر 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رحمه اللّه من المعقول ما یدلّ علی وجوب الإمام فی کلّ عصر عند ختم النبوّة،و علی إعتبار العصمة فیه،و دلالتهما علی إمامته علیه السّلام إنّما هی بانضمام عدم عصمة غیره ممّن زعم الإمامة فی شأنه،فلا یرد أنّه لا یستقلّ العقل فی تعیین أحد 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فی الطهارة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صلّیتم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القیام إلی الصلاة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قیام المؤمنین ذاهبین إلی الصلاة أو ما یلین إلیها،فلعلّه لذلک قیل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قمتم إلی الصلاة،و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صلّیتم،أو أقمتم الصلاة،و حینئذ لا یحتاج إلی تقدیر الإرادة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وجوب التخلیل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نظر،نعم تخصیص ظاهر الآیة بالإجماع و بالأخبار المعتبرة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یفهم إلاّ کون غسل الوجه بلا 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إمّا لتعقیب غسل الوجه عن إرادة الصلاة،ثمّ عطف علیه سائر أعضاء الوضوء،و إمّا لتعقیب المجموع بعد عطف بعض الأعضاء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ظاهر الآیة الموالاة،بناء علی کون الفاء للتعقیب من غیر تراخ،لا مجرّد کون غسل الوجه بعد الإرادة بلا 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نعم،تخصیص الظاهر بقدر یقتضیه المخصّص المعتبر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حملتا علی التقیة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المسح بالماء الجدید لیس من مذهب مخالفینا مطلقا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معروفیّة وجوب المسح بالماء الجدید بین المذاهب الأربعة المتداولة بینهم لا ینافی الإحتیاج إلیها بکونه مذهب بعضهم فی زمانهما علیهما السّلام کما یظهر من کلام بعض</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الروایتین بعد قول السائل فی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أیجزی للرجل أن یمسح قدمیه بفضل رأسه؟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فی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أمسح بما فی یدی من الندی رأسی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الدالّین علی بقاء الرطوبة،و کون السؤال فی الجواز و الکفایة آب عن الحمل علی غیر الإختیار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و الشیخ فی التهذیب</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موافق لمذهب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المشهور بینهم هو أنّ الکعب هو الناشزان من جانبی القدم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الآیة،فإنّ قراءة الجرّ 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التعلیل لا یناسب المعلّل؛لأنّ صراحة إحدی القراءتین کافیة فی الآیة فی المسح، لوجوب حمل القراءة الاخری علی هذه،لئلاّ یلزم تنافی المفاد بین القراءتین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أنّه لمّا علّل الصراحة بالعطف علی الرؤوس،و سلب احتمال الغیر،نشأ توهّم أنّ قراءة الجرّ لا تستلزم العطف علی الرؤوس،لاحتمال کون جرّ الأرجل بجوار الرؤوس، لا بسبب العطف علیها،فأجاب بضعف جرّ الجوار،و أیّد الضعف بالإشتباه و حرف العطف،لکن دفع الإحتمال بهذا الوجه إنّما یناسب ظهور الآیة فی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صراحتها فیه کما ذکره فی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ضعف جرّ الجوار جوابا مستقلاّ حتّی یکون الإشتباه و حرف العطف مؤیّدا للضعف،بل الجواب إنّما هو المجموع،و لعلّ المجموع غیر محتمل عند المصنّف، کما یحکم به الوجدان،و تتبّع کلام البلغاء و أهل اللسان،لکن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عن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رحمه اللّه بصراحة قراءة الجرّ إنّما هی غایة الظهور،و حینئذ یتلائم أجزاء الکلام کما یظهر بالتأمّل،و بعد هذا الإحتمال لا یمنع الموجّه خصوصا فی کلام مثل المصنّف الذی لیس من دأبه السعی فی ظهور دلالة اللفظ علی المقصود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عطفه علی الوجه فمعلوم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ذیل کون </w:t>
      </w:r>
    </w:p>
    <w:p>
      <w:pPr>
        <w:pStyle w:val="BookText"/>
        <w:rPr/>
      </w:pPr>
      <w:r>
        <w:rPr>
          <w:rFonts w:ascii="IRNazanin" w:hAnsi="IRNazanin" w:eastAsia="IRNazanin"/>
          <w:color w:val="111111"/>
          <w:sz w:val="28"/>
          <w:sz w:val="28"/>
          <w:szCs w:val="28"/>
          <w:rtl w:val="true"/>
          <w:lang w:bidi="fa-IR"/>
        </w:rPr>
        <w:t>قراءة النصب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 عن التوجیه المذکور إن قلنا باحتماله فی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عطف علی محلّ بِرُؤُسِکُمْ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ضعف ظاهر هذا التعلیل،بل الأجود أن یعلّل بما أخّره بأدنی تغییر،بأن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عطفها علی الوجه معلوم بعده،فیجب عطفها علی محلّ 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اکتفی بالظهور فی المسح بناء علی قراءة النصب بما أشرته،و قویّ برعایة التوافق فی المقتضی مع قراءة الجرّ کان أجود من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فیه،بل المناسب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یحمل علی ما ذهب إلیه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لکفایته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المقابلة باعتبار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بعد تأثیر النیّة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للتضرّر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التضرّر لا خصوصیّة له بالمسافر،و یمکن حمل التضرّر ها هنا علی معنی یناسب المسافر کالتخلّف عن الرفقة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تضعوا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التیمّم ببعض الصعید الذی هو مقتضی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بمحض وضع الأیدی علی بعض الصعید،و فعل ما یعتبر بعد الوضع،و صرّح علی ما أشار إلیه هاهنا فی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 إرادة هذا المعنی من التبعیض،بل ظاهر التبعیض هو اعتبار اللصوق، و یجیء ما یناسب المقام بعد أیضا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طهارة الماء و إباحته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؛الإستدلال بالآیة </w:t>
      </w:r>
    </w:p>
    <w:p>
      <w:pPr>
        <w:pStyle w:val="BookText"/>
        <w:rPr/>
      </w:pPr>
      <w:r>
        <w:rPr>
          <w:rFonts w:ascii="IRNazanin" w:hAnsi="IRNazanin" w:eastAsia="IRNazanin"/>
          <w:color w:val="111111"/>
          <w:sz w:val="28"/>
          <w:sz w:val="28"/>
          <w:szCs w:val="28"/>
          <w:rtl w:val="true"/>
          <w:lang w:bidi="fa-IR"/>
        </w:rPr>
        <w:t>علی طهارة الماء و إباحته إنّما یصحّ لو کان اعتبار شیء فی البدل مستلزما لاعتباره فی الأصل،و الإستلزام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أوّل أفعال التیمّم مسح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الآیة علیه إنّما هی بوجود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فی دلالة آیة الوضوء علی الترتیب،و یرد علیها ما اورد هناک،و لعلّ ترک الإعتراض هاهنا بل الإجمال فی بیان الدلالة لکفایة ما سبق منه رحمه اللّه للناظر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العطف بأو،و المناسب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مَرْضیٰ أَوْ عَلیٰ سَفَرٍ </w:t>
      </w:r>
      <w:r>
        <w:rPr>
          <w:rStyle w:val="FootnoteAnchor"/>
          <w:rtl w:val="true"/>
        </w:rPr>
        <w:footnoteReference w:id="41"/>
      </w:r>
      <w:r>
        <w:rPr>
          <w:rFonts w:ascii="IRNazanin" w:hAnsi="IRNazanin" w:eastAsia="IRNazanin"/>
          <w:color w:val="111111"/>
          <w:sz w:val="28"/>
          <w:sz w:val="28"/>
          <w:szCs w:val="28"/>
          <w:rtl w:val="true"/>
          <w:lang w:bidi="fa-IR"/>
        </w:rPr>
        <w:t>حکم المحدثین بأحد الحدثین،من المرضی و المسافرین عند فقد الماء،بل عند وجوده؛و بیان حکمهما عند فقده یظهر بالأولویّة أو بتعمیم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أَحَدٌ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حینئذ العطف بأو هو المناسب لا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تکلیفهم و نهیهم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 قدّس سرّه أنّ النهی فی الآیة متعلّق بالسکاری،فینبغی توجیهه حتّی لا یلزم تکلیف الغافل،فأوّله بما أوّله، و التخصیص بعید،بل الظاهر أنّ المکلّفین بعدم قرب الصلاة حال السکر هم المؤمنون المدرکون،فإن کانوا شربوا المسکر أو أکلوه و لم یسکروا بعد فمعناه ما ذکره و إن لم یشربوا،فالغرض من النهی أن لا یشربوا فی وقت یصیرون وقت الصلاة بسکاری لا یعلمون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إلی الإحتیاج إلی التقیید به کما یصرّح به بقوله ناقلا عن مجمع البیان و یؤیّده عدم الإحتیاج إلی قیده بالتیمّم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الإحتیاج إلی التقیید أنّ الإستثناء یدلّ علی جواز الصلاة جنبا حین کونهم مسافرین،فاحتاج إلی التقیید المذکور حتّی یصح ما دلّ علیه الإستثناء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یمکن أن یکون الغرض من الإستثناء رفع نهی القرب من الصلاة باعتبار </w:t>
      </w:r>
    </w:p>
    <w:p>
      <w:pPr>
        <w:pStyle w:val="BookText"/>
        <w:rPr/>
      </w:pPr>
      <w:r>
        <w:rPr>
          <w:rFonts w:ascii="IRNazanin" w:hAnsi="IRNazanin" w:eastAsia="IRNazanin"/>
          <w:color w:val="111111"/>
          <w:sz w:val="28"/>
          <w:sz w:val="28"/>
          <w:szCs w:val="28"/>
          <w:rtl w:val="true"/>
          <w:lang w:bidi="fa-IR"/>
        </w:rPr>
        <w:t>الجنابة بالنسبة إلی المسافر،و لا منافاة بینه و بین منعه منه باعتبار آخر یظهر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مفهوم الغایة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تَعْلَمُوا مٰا تَقُولُونَ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عدم لزوم التکرار إمّا لکون التیمّم المقدّر أوّلا غیر مبیّن،و ما ذکر بعده مبیّن،و لا یعدّ مثل هذا تکرارا،أو لأنّ التیمّم المقدّر أوّلا متعلّق بالمسافر فقط،و ما ذکر بعده متعلّق بمطلق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الصلاة مع التیمّم بعده بحیث یندرج فیه المسافر یدلّ علی أنّ المذکور أوّلا لیس من أحکام الصلاة و إلاّ یلزم التکرار بالنسبة إلی المجنب المسافر،و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بتحریم دخول السکران المسجد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المعلومیّة مرجّح ضعیف،بل لا یبعد القول بعدم کونه مرجّحا،و النافع هاهنا معلومیّة العدم،و هو لا یدّعیها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المضاف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قصور،لأنّه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المساجد للصلاة فی حال السکر و لا تدخلوها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الآیة،فهو معنی صحیح موافق للروایة عن الصادقین علیهما السّلام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للصلاة فی الجنب لا یوافق تقدیر المضاف علی طریقة المفسّرین و الفقهاء،و عدم تقدیره فیه خارج عن الاسلوب،علی ما ذکره من تقدیره فی السکاری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المساجد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بتخصیص المسجدین حینئذ عن الحکم؛لأنّ تخصیص الحکم بغیرهما مع شدّة الحاجة إلی حکم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فی محلّ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حکم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الورود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بعد، و مع ذلک یجب التخصیص علی تقدیر صراحة الروایة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ذلک معلوما بالبیان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تأیید هذا الإحتمال بجواز 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تَعْلَمُوا مٰا تَقُولُونَ </w:t>
      </w:r>
      <w:r>
        <w:rPr>
          <w:rStyle w:val="FootnoteAnchor"/>
          <w:rtl w:val="true"/>
        </w:rPr>
        <w:footnoteReference w:id="45"/>
      </w:r>
      <w:r>
        <w:rPr>
          <w:rFonts w:ascii="IRNazanin" w:hAnsi="IRNazanin" w:eastAsia="IRNazanin"/>
          <w:color w:val="111111"/>
          <w:sz w:val="28"/>
          <w:sz w:val="28"/>
          <w:szCs w:val="28"/>
          <w:rtl w:val="true"/>
          <w:lang w:bidi="fa-IR"/>
        </w:rPr>
        <w:t>قرینة للفعل،و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عٰابِرِی سَبِیلٍ </w:t>
      </w:r>
      <w:r>
        <w:rPr>
          <w:rStyle w:val="FootnoteAnchor"/>
          <w:rtl w:val="true"/>
        </w:rPr>
        <w:footnoteReference w:id="46"/>
      </w:r>
      <w:r>
        <w:rPr>
          <w:rFonts w:ascii="IRNazanin" w:hAnsi="IRNazanin" w:eastAsia="IRNazanin"/>
          <w:color w:val="111111"/>
          <w:sz w:val="28"/>
          <w:sz w:val="28"/>
          <w:szCs w:val="28"/>
          <w:rtl w:val="true"/>
          <w:lang w:bidi="fa-IR"/>
        </w:rPr>
        <w:t>قرینة للدخول،و لا بعد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الأوّل ما ذکر قبل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لا تقربوا مواضع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ذکره أوّلا،کما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بمضمونها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تعیّن القول بمضمونها إنّما هو لعدم صراحة الآیة،بل عدم ظهورها فی المعنی الآخر،و إلاّ کان القول بمضمونها مشکلا خصوصا علی طریقة المصنّف،علی ما ظهرت فی تفسیر المؤمن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یصار إلیه إلاّ بدلیل قطعیّ المتن و قویّ الدلالة؛إذ الخروج عن ظاهر القطعیّ لا یجوز إلاّ بأقوی منه أو بالمثل</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دلالة مّا علی </w:t>
      </w:r>
      <w:r>
        <w:rPr>
          <w:rStyle w:val="FootnoteAnchor"/>
          <w:rtl w:val="true"/>
        </w:rPr>
        <w:footnoteReference w:id="48"/>
      </w:r>
      <w:r>
        <w:rPr>
          <w:rFonts w:ascii="IRNazanin" w:hAnsi="IRNazanin" w:eastAsia="IRNazanin"/>
          <w:color w:val="111111"/>
          <w:sz w:val="28"/>
          <w:sz w:val="28"/>
          <w:szCs w:val="28"/>
          <w:rtl w:val="true"/>
          <w:lang w:bidi="fa-IR"/>
        </w:rPr>
        <w:t>عدم خروج المؤمن عن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بشرب الخمر،فتأمل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علی ما ذکره کثیر من المفسّرین أنّ نزولها قبل تحریم الخمر،فلا یدلّ علی عدم خروج المؤمن عن الإیمان بشربها بعد تحریمها،و لعلّه أشار إلی ما ذکرته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المساجد أو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متعلّق بالدخول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الدخول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الآیة دلالة علی تحریم دخول الشارب فیهما،یعنی کلّ واحد،علی 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حصول رفع الحدث بالتیمّم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اختاره، و أمّا علی احتمال تقدیر المضاف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هذه العبارة حمله علی تعذّر الإستعمال بوجه مّا مع وجود الماء،و إن کان ما یقول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فلم تجدوا عطف علی أو جاء قیدا للمرض و السفر</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مشعرا بعدم إرادة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مَرْضیٰ </w:t>
      </w:r>
      <w:r>
        <w:rPr>
          <w:rStyle w:val="FootnoteAnchor"/>
          <w:rtl w:val="true"/>
        </w:rPr>
        <w:footnoteReference w:id="50"/>
      </w:r>
      <w:r>
        <w:rPr>
          <w:rFonts w:ascii="IRNazanin" w:hAnsi="IRNazanin" w:eastAsia="IRNazanin"/>
          <w:color w:val="111111"/>
          <w:sz w:val="28"/>
          <w:sz w:val="28"/>
          <w:szCs w:val="28"/>
          <w:rtl w:val="true"/>
          <w:lang w:bidi="fa-IR"/>
        </w:rPr>
        <w:t>بیان حکم المجنب إذا مرض و وجد الماء،لمجیء حکم فاقد الماء مطلقا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یحمل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سَفَرٍ </w:t>
      </w:r>
      <w:r>
        <w:rPr>
          <w:rStyle w:val="FootnoteAnchor"/>
          <w:rtl w:val="true"/>
        </w:rPr>
        <w:footnoteReference w:id="51"/>
      </w:r>
      <w:r>
        <w:rPr>
          <w:rFonts w:ascii="IRNazanin" w:hAnsi="IRNazanin" w:eastAsia="IRNazanin"/>
          <w:color w:val="111111"/>
          <w:sz w:val="28"/>
          <w:sz w:val="28"/>
          <w:szCs w:val="28"/>
          <w:rtl w:val="true"/>
          <w:lang w:bidi="fa-IR"/>
        </w:rPr>
        <w:t>أیضا علی حکم المسافر عند وجود الماء،و تحقّق المانع من الاستعمال،لخوف احتیاج المحترم إلیه،أو تخلّف الرفقة بالإستعمال،و إحالة بیان حکم فاقد الماء علی ما یجیء،و تخصیص المرض و السفر عند کون المکلّف مجنبا مع وجود الماء،لشیوع تعذّر المجنب عن الغسل فی الحالین و إن وجد الماء دون الوضوء کما یعرفه المتتبّع المفتّش،فاکتفی بتعذّر استعمال الماء مع وجوده بأمرین یکثر التعذّر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لسفر لا یکون فیه الماء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 جٰاءَ أَحَدٌ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مغن عنه،کما هو مغن عن وَ إِنْ کُنْتُمْ مَرْضیٰ علی قوله بأنّ فَلَمْ تَجِدُوا </w:t>
      </w:r>
      <w:r>
        <w:rPr>
          <w:rStyle w:val="FootnoteAnchor"/>
          <w:rtl w:val="true"/>
        </w:rPr>
        <w:footnoteReference w:id="53"/>
      </w:r>
      <w:r>
        <w:rPr>
          <w:rFonts w:ascii="Amiri" w:hAnsi="Amiri" w:eastAsia="Amiri" w:cs="Amiri"/>
          <w:color w:val="111111"/>
          <w:sz w:val="28"/>
          <w:sz w:val="28"/>
          <w:szCs w:val="28"/>
          <w:rtl w:val="true"/>
          <w:lang w:bidi="ar-SA"/>
        </w:rPr>
        <w:t xml:space="preserve">قید للمرض، و علی ما ذکرته لا یحتاج أن یجعل کلمة أَوْ فی أَوْ جٰاءَ أَحَدٌ مِنْکُمْ </w:t>
      </w:r>
      <w:r>
        <w:rPr>
          <w:rStyle w:val="FootnoteAnchor"/>
          <w:rtl w:val="true"/>
        </w:rPr>
        <w:footnoteReference w:id="54"/>
      </w:r>
      <w:r>
        <w:rPr>
          <w:rFonts w:ascii="IRNazanin" w:hAnsi="IRNazanin" w:eastAsia="IRNazanin"/>
          <w:color w:val="111111"/>
          <w:sz w:val="28"/>
          <w:sz w:val="28"/>
          <w:szCs w:val="28"/>
          <w:rtl w:val="true"/>
          <w:lang w:bidi="fa-IR"/>
        </w:rPr>
        <w:t>بمعنی الواو،مع عدم کونها سابقا و لاحقا بمعناها،و أشرت إلی بعض ما ذکرته هاهنا سابقا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فی الکشّاف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الأرض ترابا کان أو غیره،و إن کان صخرا لا تراب علیه،لو ضرب المتیمّم یده علیه و مسح لکان ذلک طهوره،و هو مذهب أبی حنیفة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بقوله فی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بِوُجُوهِکُمْ وَ أَیْدِیکُمْ مِنْهُ </w:t>
      </w:r>
      <w:r>
        <w:rPr>
          <w:rStyle w:val="FootnoteAnchor"/>
          <w:rtl w:val="true"/>
        </w:rPr>
        <w:footnoteReference w:id="55"/>
      </w:r>
      <w:r>
        <w:rPr>
          <w:rFonts w:ascii="IRNazanin" w:hAnsi="IRNazanin" w:eastAsia="IRNazanin"/>
          <w:color w:val="111111"/>
          <w:sz w:val="28"/>
          <w:sz w:val="28"/>
          <w:szCs w:val="28"/>
          <w:rtl w:val="true"/>
          <w:lang w:bidi="fa-IR"/>
        </w:rPr>
        <w:t>أی بعضه،و هذا لا یتأتّی فی الصخرة التی لا تراب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محلّ الحوالة،و غرضه رحمه اللّه أنّ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 مذکور فی الکشّاف،و لا ینافی هذا ما ذکره صاحب الکشاف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لإبتداء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متعسّف،و لا یفهم أحد من العرب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رأسی من الدهن و من الماء و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معنی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تقول،و الإذعان للحقّ أحق من 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وجه عدم المنافاة أنّ ترجیح صاحب الکشّاف التبعیض لا ینافی کونها لابتداء الغایة فی الکشّاف کما ذکره المصنّف،فلا یرد ما أورده بعض الناظرین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منه قدّس سرّه کیف قال هذا،و المذکور فی الکشّاف نقیض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کونها للتبعیض مع عدم لصوق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علی اللصوق،فعلی تقدیر تسلیم التبعیض أیضا لا یتمّ الدلالة مع قطع النظر عن المؤیّدین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هذا المعنی ما مرّ منه فی تفسیر آیة المائدة الذی أشار إلیه هاهنا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،و ظهر لک ضعفه بما ذکرته هناک،و بما نقلته من صاحب الکشّاف ها هنا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قیل بعدم اعتبار اللصوق،بإهمالها هاهنا،و بالأخبار،و یجعل الأمرین دالّین </w:t>
      </w:r>
    </w:p>
    <w:p>
      <w:pPr>
        <w:pStyle w:val="BookText"/>
        <w:rPr/>
      </w:pPr>
      <w:r>
        <w:rPr>
          <w:rFonts w:ascii="IRNazanin" w:hAnsi="IRNazanin" w:eastAsia="IRNazanin"/>
          <w:color w:val="111111"/>
          <w:sz w:val="28"/>
          <w:sz w:val="28"/>
          <w:szCs w:val="28"/>
          <w:rtl w:val="true"/>
          <w:lang w:bidi="fa-IR"/>
        </w:rPr>
        <w:t xml:space="preserve">علی عدم إرادة التبعیض منها </w:t>
      </w:r>
      <w:r>
        <w:rPr>
          <w:rStyle w:val="FootnoteAnchor"/>
          <w:rtl w:val="true"/>
        </w:rPr>
        <w:footnoteReference w:id="59"/>
      </w:r>
      <w:r>
        <w:rPr>
          <w:rFonts w:ascii="IRNazanin" w:hAnsi="IRNazanin" w:eastAsia="IRNazanin"/>
          <w:color w:val="111111"/>
          <w:sz w:val="28"/>
          <w:sz w:val="28"/>
          <w:szCs w:val="28"/>
          <w:rtl w:val="true"/>
          <w:lang w:bidi="fa-IR"/>
        </w:rPr>
        <w:t xml:space="preserve">لکان له وجه إن لم تکن صحیحة زرارة المنقولة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صالحة لمعارضتها،و الإحتیاط فی أمثال هذه الامور لا ینبغی أن یترک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یعتبر اللصوق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عدم اعتبار اللصوق فی الید لمسح الید أنّه علی تقدیر اعتبار اللصوق فی الجملة لم یعتبر إلاّ أکثر الضربتین فی التیمّم الذی هو بدل الوضوء،و لا وجه له أیضا،بل اعتبارهما فی بدل الغسل أیضا لیس مسلّما و متّفقا فیه،فعلی تقدیر اعتبار اللصوق فی الجملة إذا مسح الوجه بالیدین فربّما ارتفع عنهما ما لصق بهما،و لا یلزم بقاؤه للیدین،و نسبة المسح إلی الوجه و الیدین نسبة واحدة،کما هو ظاهر فَامْسَحُوا بِوُجُوهِکُمْ وَ أَیْدِیکُمْ مِنْهُ </w:t>
      </w:r>
      <w:r>
        <w:rPr>
          <w:rStyle w:val="FootnoteAnchor"/>
          <w:rtl w:val="true"/>
        </w:rPr>
        <w:footnoteReference w:id="62"/>
      </w:r>
      <w:r>
        <w:rPr>
          <w:rFonts w:ascii="IRNazanin" w:hAnsi="IRNazanin" w:eastAsia="IRNazanin"/>
          <w:color w:val="111111"/>
          <w:sz w:val="28"/>
          <w:sz w:val="28"/>
          <w:szCs w:val="28"/>
          <w:rtl w:val="true"/>
          <w:lang w:bidi="fa-IR"/>
        </w:rPr>
        <w:t>فإذا اعتبر لصوق التراب عند مسح الوجه لزم اعتباره عند مسح الیدین؛و انتفاء اللازم یدلّ علی انتفاء الملزوم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اعتبار اللصوق اعتباره فی الیدین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ذکر من أنّه ربما ارتفع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ضعیف،لأنّ ارتفاع کلّ </w:t>
      </w:r>
      <w:r>
        <w:rPr>
          <w:rStyle w:val="FootnoteAnchor"/>
          <w:rtl w:val="true"/>
        </w:rPr>
        <w:footnoteReference w:id="63"/>
      </w:r>
      <w:r>
        <w:rPr>
          <w:rFonts w:ascii="IRNazanin" w:hAnsi="IRNazanin" w:eastAsia="IRNazanin"/>
          <w:color w:val="111111"/>
          <w:sz w:val="28"/>
          <w:sz w:val="28"/>
          <w:szCs w:val="28"/>
          <w:rtl w:val="true"/>
          <w:lang w:bidi="fa-IR"/>
        </w:rPr>
        <w:t>ما لصق بمحض مسح الوجه بعید،فلعلّه بعد العلم باللصوق یمکن الإکتفاء به،بمقتضی عدم العلم بالإرتفاع،و أصالة البقاء، و علی تقدیر حصول العلم بزوال الکلّ بغسل الیدین مثلا بعد مسح الوجه فلا یتمّ کفایة مسح الیدین حینئذ،فلعلّه حینئذ یجب ضرب آخر حتّی یتحقّق مقتضی التبعیض، و عدم ظهور القول بوجوب الضرب الثانی حینئذ لا یضرّ،لعدم توفّر السؤال و التفتیش فی أمثاله؛لأنّ العلم بزوال ما لصق کلا عند مسح الیدین إمّا منتف أو فی غایة الندرة،فلا یظهر تکثّر البحث و التفتیش فی زمان ظهور الحجج علیهم السّلام و عدم ظهور القول به بین الفقهاء حینئذ،بل ظهور عدم القول به بینهم لیس حجّة شرعیّة،کما حقّقته فی تعلیقاتی علی المعالم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الآیة دلالة علی کون الغایط و نحوه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نسبة دلالة حدثیّة نحو الغایط إلی الآیة لا یخلو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احتیاج الوضوء فی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الدلالة هو مفهوم الغایة،و </w:t>
      </w:r>
      <w:r>
        <w:rPr>
          <w:rStyle w:val="FootnoteAnchor"/>
          <w:rtl w:val="true"/>
        </w:rPr>
        <w:footnoteReference w:id="65"/>
      </w:r>
      <w:r>
        <w:rPr>
          <w:rFonts w:ascii="Amiri" w:hAnsi="Amiri" w:eastAsia="Amiri" w:cs="Amiri"/>
          <w:color w:val="111111"/>
          <w:sz w:val="28"/>
          <w:sz w:val="28"/>
          <w:szCs w:val="28"/>
          <w:rtl w:val="true"/>
          <w:lang w:bidi="ar-SA"/>
        </w:rPr>
        <w:t xml:space="preserve">قد عرفت ضعفها بما ذکرته فی مفهوم الغایة فی حَتّٰی تَعْلَمُوا مٰا تَقُولُونَ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دلالة الآیة السابقة علیه علی تقدیر عطف وَ إِنْ کُنْتُمْ جُنُباً </w:t>
      </w:r>
      <w:r>
        <w:rPr>
          <w:rStyle w:val="FootnoteAnchor"/>
          <w:rtl w:val="true"/>
        </w:rPr>
        <w:footnoteReference w:id="67"/>
      </w:r>
      <w:r>
        <w:rPr>
          <w:rFonts w:ascii="Amiri" w:hAnsi="Amiri" w:eastAsia="Amiri" w:cs="Amiri"/>
          <w:color w:val="111111"/>
          <w:sz w:val="28"/>
          <w:sz w:val="28"/>
          <w:szCs w:val="28"/>
          <w:rtl w:val="true"/>
          <w:lang w:bidi="ar-SA"/>
        </w:rPr>
        <w:t xml:space="preserve">علی إِذٰا قُمْتُمْ </w:t>
      </w:r>
      <w:r>
        <w:rPr>
          <w:rStyle w:val="FootnoteAnchor"/>
          <w:rtl w:val="true"/>
        </w:rPr>
        <w:footnoteReference w:id="68"/>
      </w:r>
      <w:r>
        <w:rPr>
          <w:rFonts w:ascii="IRNazanin" w:hAnsi="IRNazanin" w:eastAsia="IRNazanin"/>
          <w:color w:val="111111"/>
          <w:sz w:val="28"/>
          <w:sz w:val="28"/>
          <w:szCs w:val="28"/>
          <w:rtl w:val="true"/>
          <w:lang w:bidi="fa-IR"/>
        </w:rPr>
        <w:t>کما ذکره هناک فغیر ظاهر؛لعدم تعلّق الإطهار بالصلاة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تقدیر عطفه علی المقدّر کما هو ظاهر السیاق،و المؤیدات التی ذکرها هناک أیضا تدلّ علی عدم الإحتیاج إلی الوضوء،فلعلّ هذا عدول منه عن القول بدلالة الآیة علی وجوب الغسل بنفسه بسبب المؤیّدات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فهم عموم بدلیّة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الوضوء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الآیة علی عموم البدلیّة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 بین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کلامه علی دخول الطواف أیضا فی حکم المستثنی،و هو بعید؛لعدم دخول الطواف فیما یفهم من العبور بحسب العرف،و لا یقول هو أیضا به،و القیاس منفیّ شرعا؛نعم،جواز طواف المتیمّم فی بعض الصور ثابت بدلائل غیر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الآیة یشعر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؛إشعار هذه الآیة غیر ظاهر،و إن قیل بإشعار مٰا یُرِیدُ اللّٰهُ لِیَجْعَلَ عَلَیْکُمْ مِنْ حَرَجٍ </w:t>
      </w:r>
      <w:r>
        <w:rPr>
          <w:rStyle w:val="FootnoteAnchor"/>
          <w:rtl w:val="true"/>
        </w:rPr>
        <w:footnoteReference w:id="69"/>
      </w:r>
      <w:r>
        <w:rPr>
          <w:rFonts w:ascii="IRNazanin" w:hAnsi="IRNazanin" w:eastAsia="IRNazanin"/>
          <w:color w:val="111111"/>
          <w:sz w:val="28"/>
          <w:sz w:val="28"/>
          <w:szCs w:val="28"/>
          <w:rtl w:val="true"/>
          <w:lang w:bidi="fa-IR"/>
        </w:rPr>
        <w:t>فی المائدة باشتراک العلّة فلا بعد فیه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دخول الجنب بغیر طهور و لو بالتیمّم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لک ضعف تقدیر التیمّم فی أوایل تفسیر هذه الآیة،فیدلّ ظاهر الآیة علی عدم دخوله المسجد قبل الغسل مطلقا و إن تیمّم،علی وفق ما ذکره فخر المحقّقین </w:t>
      </w:r>
      <w:r>
        <w:rPr>
          <w:rStyle w:val="FootnoteAnchor"/>
          <w:rtl w:val="true"/>
        </w:rPr>
        <w:footnoteReference w:id="70"/>
      </w:r>
      <w:r>
        <w:rPr>
          <w:rFonts w:ascii="IRNazanin" w:hAnsi="IRNazanin" w:eastAsia="IRNazanin"/>
          <w:color w:val="111111"/>
          <w:sz w:val="28"/>
          <w:sz w:val="28"/>
          <w:szCs w:val="28"/>
          <w:rtl w:val="true"/>
          <w:lang w:bidi="fa-IR"/>
        </w:rPr>
        <w:t>بمقتضی مدلول الغایة و عموم المستثنی منه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نعم،تخصیص الظاهر بالدلیل المعتبر جایز،و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بقاء مانعیّة الجنابة عن الصلاة فی غیر السفر،أو عن دخول المساجد بغیر العبور،إلی حصول الغایة التی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تَغْتَسِلُوا </w:t>
      </w:r>
      <w:r>
        <w:rPr>
          <w:rStyle w:val="FootnoteAnchor"/>
          <w:rtl w:val="true"/>
        </w:rPr>
        <w:footnoteReference w:id="71"/>
      </w:r>
      <w:r>
        <w:rPr>
          <w:rFonts w:ascii="IRNazanin" w:hAnsi="IRNazanin" w:eastAsia="IRNazanin"/>
          <w:color w:val="111111"/>
          <w:sz w:val="28"/>
          <w:sz w:val="28"/>
          <w:szCs w:val="28"/>
          <w:rtl w:val="true"/>
          <w:lang w:bidi="fa-IR"/>
        </w:rPr>
        <w:t xml:space="preserve">إن لم یکن المؤمنون صاحبی أعذار،بقرینة کون مانعیّة الجنابة بالنسبة إلیهم هی التیمّم کما تدلّ علیه تتمّة الآیة،فکما أنّ حصول الغایة الاولی رافع الجنابة عن الطایفة الاولی فلا بعد فی رفع الغایة الثانیة إیّاها عن الطایفة الثانیة،و حینئذ عموم المستثنی منه الذی یظهر من السیاق و الغایة لا ینفع فخر المحقّقین؛لعدم ظهور کون التیمّم عند الأعذار مندرجا فی الجنب،و حینئذ یتوافق ما یفهم من هذه الآیة مع ما یفهم من نفی الحرج،و الأخبار الکثیرة </w:t>
      </w:r>
      <w:r>
        <w:rPr>
          <w:rStyle w:val="FootnoteAnchor"/>
          <w:rtl w:val="true"/>
        </w:rPr>
        <w:footnoteReference w:id="72"/>
      </w:r>
      <w:r>
        <w:rPr>
          <w:rFonts w:ascii="IRNazanin" w:hAnsi="IRNazanin" w:eastAsia="IRNazanin"/>
          <w:color w:val="111111"/>
          <w:sz w:val="28"/>
          <w:sz w:val="28"/>
          <w:szCs w:val="28"/>
          <w:rtl w:val="true"/>
          <w:lang w:bidi="fa-IR"/>
        </w:rPr>
        <w:t>الذین أشار إلیهما المصنّف قدّس سرّه من غیر حاجة إلی التقیید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طهور و لو بالتیمّم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بعد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إنّما هی فِی کِتٰابٍ مَکْنُونٍ باعتبار المتعلّق،و کذلک الخبر؛و أمّا مَکْنُونٍ فهو صفة کِتٰابٍ علی التقدیرین،فقوله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مستور عن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تفسیر مکنون،و لا تعلّق له بأحد الإحتمالین بخصوصه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لوحه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متعلّقا بمستور؛لکون المستور هو لوحه المحفوظ لا ما فیه،بل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لوحه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اخری عن فِی کِتٰابٍ مَکْنُونٍ للتوضیح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رجوع ضمیر لاٰ یَمَسُّهُ إلی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یتوقّف دلالة لاٰ یَمَسُّهُ إِلاَّ الْمُطَهَّرُونَ علی عدم جواز مسّ القرآن للمحدث علی رجوع ضمیر لاٰ یَمَسُّهُ إلی أحدهما،و لا یخفی أنّه إن جعل صفة لقرآن فالضمیر له،و إن جعل خبر إنّ فالضمیر للمنزل،و لیس فی هذین الإرجاعین التابعین للإحتمالین خلاف ظاهر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اسلوب کلامه قدّس سرّه من جعل رجوع الضمیر فی ذیل التوقّف یدلّ علی انفکاک رجوع الضمیر إلی أحدهما عن الإحتمالین،أو اشتمال الإرجاع علی بعد،و لعلّ مراده رحمه اللّه محض بیان مرجع الضمیر بناء علی الإحتمالین،لا ما یفهم من ظاهر العبارة، و قد یوجد فی قلیل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المسقبل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رِجٰالٌ یُحِبُّونَ أَنْ یَتَطَهَّرُوا وَ اللّٰهُ یُحِبُّ الْمُطَّهِّرِینَ </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یحبّون أن یتطهّروا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العلم لا یحتاج للعمل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أمثاله مندرجة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ما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رحمه اللّه بمثل ذلک ما لیس بعبادة، و التقیید بمثل ذلک لأنّ العبادة تحتاج إلی بیان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عَلَیْکُمْ مِنَ السَّمٰاءِ مٰاءً لِیُطَهِّرَکُمْ بِهِ</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ضعف دلالة الآیة علی جواز الجلوس فی زماننا الذی هو المقصود،بل لا یدلّ علی جواز الجلوس فی زمان نوح علیه السّلام غیر وقت امر به،فإن تمسّک </w:t>
      </w:r>
    </w:p>
    <w:p>
      <w:pPr>
        <w:pStyle w:val="BookText"/>
        <w:rPr/>
      </w:pPr>
      <w:r>
        <w:rPr>
          <w:rFonts w:ascii="IRNazanin" w:hAnsi="IRNazanin" w:eastAsia="IRNazanin"/>
          <w:color w:val="111111"/>
          <w:sz w:val="28"/>
          <w:sz w:val="28"/>
          <w:szCs w:val="28"/>
          <w:rtl w:val="true"/>
          <w:lang w:bidi="fa-IR"/>
        </w:rPr>
        <w:t xml:space="preserve">بعدم ورود النهی علی </w:t>
      </w:r>
      <w:r>
        <w:rPr>
          <w:rStyle w:val="FootnoteAnchor"/>
          <w:rtl w:val="true"/>
        </w:rPr>
        <w:footnoteReference w:id="79"/>
      </w:r>
      <w:r>
        <w:rPr>
          <w:rFonts w:ascii="IRNazanin" w:hAnsi="IRNazanin" w:eastAsia="IRNazanin"/>
          <w:color w:val="111111"/>
          <w:sz w:val="28"/>
          <w:sz w:val="28"/>
          <w:szCs w:val="28"/>
          <w:rtl w:val="true"/>
          <w:lang w:bidi="fa-IR"/>
        </w:rPr>
        <w:t>الجلوس فلیس من دلالة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نعم،تدلّ علیه الآیة السابقة و الإجماع و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الْمَحِیضِ قُلْ هُوَ أَذیً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بما روی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حکمی علی الواحد حکمی علی الجماعة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فی عدم التصریح أیضا تأمّل،فتأمّل،کذا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عدم الصراحة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 بأعلاها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ظاهر فی عموم الإنتفاع المتعلّق بهذا الجانب الدالّ علی عدم العموم فیما تحت الإزار،و أمّا علی عدم جوازه أصلا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الرجحان المطلق إلی حین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الأظهر رجحان الإعتزال،و عدم القرب المطلق إلی حین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مقصوده أنّ تحقّق عدم الرجحان المطلق إمّا بتساوی عدم المقاربة و وجودها، أو برجحان العدم مع عدم جواز المقاربة،أو مع جوازها؛و الإحتمال الأوّل ظاهر الانتفاء، فالمتحقّق أحد الأخیرین اللذّین أشار إلیهما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مضیّ وقت صلاة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عندنا من الکشّافین</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علی وجه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عند القاضی </w:t>
      </w:r>
      <w:r>
        <w:rPr>
          <w:rStyle w:val="FootnoteAnchor"/>
          <w:rtl w:val="true"/>
        </w:rPr>
        <w:footnoteReference w:id="85"/>
      </w:r>
      <w:r>
        <w:rPr>
          <w:rFonts w:ascii="IRNazanin" w:hAnsi="IRNazanin" w:eastAsia="IRNazanin"/>
          <w:color w:val="111111"/>
          <w:sz w:val="28"/>
          <w:sz w:val="28"/>
          <w:szCs w:val="28"/>
          <w:rtl w:val="true"/>
          <w:lang w:bidi="fa-IR"/>
        </w:rPr>
        <w:t>،و هو ظاهر،بل فی إِنَّمَا الْمُشْرِکُونَ نَجَسٌ و هذا بعنوان الإلزام علی القاضی من جعل الغلبة سبب النجاسة بأنّ إطلاق النجس علی المشرکین إذا کان باعتبار الغلبة لا یلزم کونهم نجسا حقیقة حتّی یلزم تحقّق النجاسة کلمّا تحقّقت الغلبة،فلعلّها سبب إطلاق النجس علیهم مجازا و إن لم یکونوا نجسا حقیقة،و لا یجب اجتناب ما مسّوه رطبا بمحض مسّهم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ظهر نجاسة الخارج فیما مسّوا شیئا به یجب الإجتناب،و هذا لا اختصاص له بالمشرکین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لا دلیل لها إلاّ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؛الصواب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تقدیر العلم بالعلّة مثل نصوص العلّة لیس الحکم بدوران الحکم مع العلّة قیاسا منفیّا،بل هو حکم بما یقتضی ظاهر اللفظ،و احتمال مدخلیّة خصوص المحلّ احتمال بعید لا ینافی ظهور العموم الذی هو مدار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علی هذا الإحتمال لا یصحّ الحصر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لا دلیل لها إلاّ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العلم بعلّیّة الغلبة إن کانت العلّة المعلومة مطلقة فالمعلول تابع لها،و إن کانت مرتبة </w:t>
      </w:r>
      <w:r>
        <w:rPr>
          <w:rStyle w:val="FootnoteAnchor"/>
          <w:rtl w:val="true"/>
        </w:rPr>
        <w:footnoteReference w:id="86"/>
      </w:r>
      <w:r>
        <w:rPr>
          <w:rFonts w:ascii="Amiri" w:hAnsi="Amiri" w:eastAsia="Amiri" w:cs="Amiri"/>
          <w:color w:val="111111"/>
          <w:sz w:val="28"/>
          <w:sz w:val="28"/>
          <w:szCs w:val="28"/>
          <w:rtl w:val="true"/>
          <w:lang w:bidi="ar-SA"/>
        </w:rPr>
        <w:t>خاصّة فالمعلول معلول لهذه المرتبة و ما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نعم،لیس الحکم فیما نحن فیه تابعا للغلبة،و هو أمر آخر لا ینفعه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یعذر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یلزم من القول بعلّیّة غلبة النجاسة للنجاسة نجاسة المسلم إذا کان کذلک و بطلان اللازم ظاهر،فلا یعذر قائله أی لیس قائل هذا القول معذورا فی هذا القول،بل هذا القول فاسد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ما هو 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بالذال،و أمّا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بالزاء فمعناه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التأمّل أنّ نسبة الشرک إلی أهل 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عَمّٰا یُشْرِکُونَ </w:t>
      </w:r>
      <w:r>
        <w:rPr>
          <w:rStyle w:val="FootnoteAnchor"/>
          <w:rtl w:val="true"/>
        </w:rPr>
        <w:footnoteReference w:id="87"/>
      </w:r>
      <w:r>
        <w:rPr>
          <w:rFonts w:ascii="IRNazanin" w:hAnsi="IRNazanin" w:eastAsia="IRNazanin"/>
          <w:color w:val="111111"/>
          <w:sz w:val="28"/>
          <w:sz w:val="28"/>
          <w:szCs w:val="28"/>
          <w:rtl w:val="true"/>
          <w:lang w:bidi="fa-IR"/>
        </w:rPr>
        <w:t>لیست صریحة فی أنّها باعتبار قولهم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فقط،بل من اتّخاذهم أحبارهم و رهبانهم أربابا أیضا،و عدم کون هذا شرکا مطلقا ظاهر،فإطلاق الشرک مع القرینة لا یدلّ علی إطلاقه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قول کلّ أهل الکتاب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ظاهر،و کون من قال به مندرجا فی المشرک المطلق غیر ظاهر،و العطف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w:t>
      </w:r>
      <w:r>
        <w:rPr>
          <w:rStyle w:val="FootnoteAnchor"/>
          <w:rtl w:val="true"/>
        </w:rPr>
        <w:footnoteReference w:id="88"/>
      </w:r>
      <w:r>
        <w:rPr>
          <w:rFonts w:ascii="IRNazanin" w:hAnsi="IRNazanin" w:eastAsia="IRNazanin"/>
          <w:color w:val="111111"/>
          <w:sz w:val="28"/>
          <w:sz w:val="28"/>
          <w:szCs w:val="28"/>
          <w:rtl w:val="true"/>
          <w:lang w:bidi="fa-IR"/>
        </w:rPr>
        <w:t>ظاهر فی التغایر،و للتغایر مؤیّدات آخر من الآیات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فهم تحریم دخولهم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عدم تمکین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یَقْرَبُوا الْمَسْجِدَ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إمّا متعلّق بالمسلمین،بمعنی منع المسلمین المشرکین عن الدخول،و إمّا متعلّق بالمشرکین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کون الکفّار مکلّفین بالفروع لیس من أحکام الآیة،و علی الثانی لیس عدم تمکین المسلمین لهم من أحکامها،فعدّهما من الأحکام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المسلمین إیّاهم عن الدخول إنّما هو بمقتضی وجوب النهی عن المنکر،فلیس عدم التمکین حینئذ من الأحکام المستفادة من هذه الآیة،و القول بأنّ مراده قدّس سرّه من جعل کلّ واحد من الأمرین من أحکام الآیة إنّما هو علی تقدیر خارج عن اسلوب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 الحکم بنجاسة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التقیید بالموضوع فی المحمول بعید خارج عن ظاهر اللفظ بلا دلیل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نجاسة المشرکین متعدّیة،لعدم انفکاکهم غالبا عن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لحرارة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 عدم رعایتهم علی تقدیر عدم المنع وقت عدم العرق،و عدم رطوبة </w:t>
      </w:r>
    </w:p>
    <w:p>
      <w:pPr>
        <w:pStyle w:val="BookText"/>
        <w:rPr/>
      </w:pPr>
      <w:r>
        <w:rPr>
          <w:rFonts w:ascii="IRNazanin" w:hAnsi="IRNazanin" w:eastAsia="IRNazanin"/>
          <w:color w:val="111111"/>
          <w:sz w:val="28"/>
          <w:sz w:val="28"/>
          <w:szCs w:val="28"/>
          <w:rtl w:val="true"/>
          <w:lang w:bidi="fa-IR"/>
        </w:rPr>
        <w:t>المسجد،فلعلّ تعلیل المنع بالنجاسة لاستلزام دخولهم النجاسة المسریّة و إن لم تکن العلّة فی کلّ الأفراد و فی کلّ الأوقات؛لأنّ عموم الحکم الشرعی لا یستلزم عموم العلّة، و یؤیّد کون سبب المنع النجاسة المتعدّیة بجواز طواف المستحاضة،لیس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التخصیص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الآیة الاولی من الآیات المتعلّقة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 من الوجهین المتقدّمین یجری هاهنا لا الأوّل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عدم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؛المخاطب فی فَاهْجُرْ </w:t>
      </w:r>
      <w:r>
        <w:rPr>
          <w:rStyle w:val="FootnoteAnchor"/>
          <w:rtl w:val="true"/>
        </w:rPr>
        <w:footnoteReference w:id="91"/>
      </w:r>
      <w:r>
        <w:rPr>
          <w:rFonts w:ascii="IRNazanin" w:hAnsi="IRNazanin" w:eastAsia="IRNazanin"/>
          <w:color w:val="111111"/>
          <w:sz w:val="28"/>
          <w:sz w:val="28"/>
          <w:szCs w:val="28"/>
          <w:rtl w:val="true"/>
          <w:lang w:bidi="fa-IR"/>
        </w:rPr>
        <w:t>إمّا أن یکون رسول اللّه صلّی اللّه علیه و آله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المؤمنین،أو مطلق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الأوّلین ینبغی صرف الهجر عن ظاهره علی وجه یناسبهما،و أشار إلی الإحتمال الأوّل و تأویل الهجر بما یناسبه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عدم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إمّا أن یکون المراد من الهجر بالنسبة إلیه صلّی اللّه علیه و آله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یکون عند الخطاب عابد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علی تقدیر التخصیص،و بالنسبة إلی عبدة الأصنام الترک، و هو بعید فی نفسه لا من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المراد منه القدر المشترک بین ما ذکره أوّلا و الترک،و تحقّقه بالنسبة إلی غیر عبدة الأصنام هو فی ضمن المعنی الأوّل،و بالنسبة إلیهم فی ضمن الترک؛و هو الأظهر بحسب المعنی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إلی ما أراد من الإحتمالین بعد ما ذکره أوّلا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غیره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یدخل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فَاهْجُرْ أمران غیره صلّی اللّه علیه و آله فی </w:t>
      </w:r>
    </w:p>
    <w:p>
      <w:pPr>
        <w:pStyle w:val="BookText"/>
        <w:rPr/>
      </w:pPr>
      <w:r>
        <w:rPr>
          <w:rFonts w:ascii="IRNazanin" w:hAnsi="IRNazanin" w:eastAsia="IRNazanin"/>
          <w:color w:val="111111"/>
          <w:sz w:val="28"/>
          <w:sz w:val="28"/>
          <w:szCs w:val="28"/>
          <w:rtl w:val="true"/>
          <w:lang w:bidi="fa-IR"/>
        </w:rPr>
        <w:t>المخاطب و ترک عبادة الصنم من أهل 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الهجر،فقوله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غیره،و لم یلتفت إلی الإحتمال الثانی إمّا لأنّه بعد جعل المخاطب أعمّ منه صلّی اللّه علیه و آله لا حاجة إلی تخصیصه ببعض المکلّفین،أو لظهور حکمه من الإحتمال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المراد بالعهد ما هو الأعمّ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هذا فی الإستدلال علی اشتراط العدالة فی إمام الجماعة خارج عن القانون،فلعلّ مراده من الإستدلال لیس ما یفهم من هذا اللفظ بحسب العرف،بل ما یندرج فیه احتمال الإرادة،و لیس غرضی توجیه هذه العبارة فقط،بل ذکر الإحتمال فی بیان ما عنون بالإستدلال کثیر فی کلامه رحمه اللّه بحیث یبعد عن مثله الغفلة عن عدم الإنطباق فی شیء من المواضع،فلا یبعد منه إرادة المعنی العامّ من الإستدلال و إن لم یکن معروفة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تفویض أمر عظیم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؛فیندرج إمامة الجماعة فی عهد اللّه المذکور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93"/>
      </w:r>
      <w:r>
        <w:rPr>
          <w:rFonts w:ascii="IRNazanin" w:hAnsi="IRNazanin" w:eastAsia="IRNazanin"/>
          <w:color w:val="111111"/>
          <w:sz w:val="28"/>
          <w:sz w:val="28"/>
          <w:szCs w:val="28"/>
          <w:rtl w:val="true"/>
          <w:lang w:bidi="fa-IR"/>
        </w:rPr>
        <w:t>و لا یخفی أنّ اندراج إمامة الجماعة فی عَهْدِی فی غایة البعد،و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لاشتراک علّیّة منع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و لا یدلّ کلام صاحب الکشّاف علی ادّعائه الإشتراک،بل کلامه استدلال بالأولویّة بعد تسلیم اشتراطه العدالة فی المذکورین کما یظهر فی کلامه،و هو ما نقله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یصلح لها من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مطلق الإمامة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کذا یمکن الإستدلال فی القاضی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نفی اللّه العهد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کون أحد مقتدی به فی أفعاله و أقواله سواء کان بنیابة نبیّ أو لا؟و سواء کان بالنسبة إلی کلّ الناس أو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علی تقدیر کون المشتقّ حقیقة لمن اتّصف به وقتا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باطل البتة </w:t>
      </w:r>
      <w:r>
        <w:rPr>
          <w:rStyle w:val="FootnoteAnchor"/>
          <w:rtl w:val="true"/>
        </w:rPr>
        <w:footnoteReference w:id="94"/>
      </w:r>
      <w:r>
        <w:rPr>
          <w:rFonts w:ascii="IRNazanin" w:hAnsi="IRNazanin" w:eastAsia="IRNazanin"/>
          <w:color w:val="111111"/>
          <w:sz w:val="28"/>
          <w:sz w:val="28"/>
          <w:szCs w:val="28"/>
          <w:rtl w:val="true"/>
          <w:lang w:bidi="fa-IR"/>
        </w:rPr>
        <w:t xml:space="preserve">إذا انتفی الوصف،و اتصف المحلّ بضدّه،فلا یقال للأسود و التائب </w:t>
      </w:r>
      <w:r>
        <w:rPr>
          <w:rStyle w:val="FootnoteAnchor"/>
          <w:rtl w:val="true"/>
        </w:rPr>
        <w:footnoteReference w:id="95"/>
      </w:r>
      <w:r>
        <w:rPr>
          <w:rFonts w:ascii="IRNazanin" w:hAnsi="IRNazanin" w:eastAsia="IRNazanin"/>
          <w:color w:val="111111"/>
          <w:sz w:val="28"/>
          <w:sz w:val="28"/>
          <w:szCs w:val="28"/>
          <w:rtl w:val="true"/>
          <w:lang w:bidi="fa-IR"/>
        </w:rPr>
        <w:t>أبیض و فاسق باعتبار اتصافهما بالوصفین وقتا مّا،فحینئذ لا یندرج التائبین عن الظلم فی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Style w:val="FootnoteAnchor"/>
          <w:rtl w:val="true"/>
        </w:rPr>
        <w:footnoteReference w:id="96"/>
      </w:r>
      <w:r>
        <w:rPr>
          <w:rFonts w:ascii="IRNazanin" w:hAnsi="IRNazanin" w:eastAsia="IRNazanin"/>
          <w:color w:val="111111"/>
          <w:sz w:val="28"/>
          <w:sz w:val="28"/>
          <w:szCs w:val="28"/>
          <w:rtl w:val="true"/>
          <w:lang w:bidi="fa-IR"/>
        </w:rPr>
        <w:t>هذه القضیّة سالبة،و الظاهر من السالبة المطلقة هی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المنطقیّون و یشهد به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الآیة علی عدم نیل الظالم الإمامة أو النبوّة عند التوبة التی یخرج صاحبها عن صدق الظالم علیه،لحصول الملکة المنافیة للظلم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ظاهر الحکم علی المشتقّ یدلّ علی علّیّة مبدأ الاشتقاق الذی هو الظلم هاهنا، فبانتفائه بالتوبة ینتفی علّة عدم النیل المذکورة فی الآیة،فلا یمکن الحکم بتحقّق المعلول الذی هو عدم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للإستدلال بالآیة وجه وجیه،و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غرض إبراهیم علیه السّلام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ذُرِّیَّتِی </w:t>
      </w:r>
      <w:r>
        <w:rPr>
          <w:rStyle w:val="FootnoteAnchor"/>
          <w:rtl w:val="true"/>
        </w:rPr>
        <w:footnoteReference w:id="97"/>
      </w:r>
      <w:r>
        <w:rPr>
          <w:rFonts w:ascii="IRNazanin" w:hAnsi="IRNazanin" w:eastAsia="IRNazanin"/>
          <w:color w:val="111111"/>
          <w:sz w:val="28"/>
          <w:sz w:val="28"/>
          <w:szCs w:val="28"/>
          <w:rtl w:val="true"/>
          <w:lang w:bidi="fa-IR"/>
        </w:rPr>
        <w:t>السؤال عن حالة إمامة الذرّیّة،سواء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ذُرِّیَّتِی علی طلب الإمامة،أو استفهام حصولها لهم فی مقام التوقّع،لأنّ هذا السؤال إنّما یناسب بعد العلم بتحقّقها لهم حتّی یکون السؤال عن الوقت و الحالة،بل الظاهر أنّ الغرض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ذُرِّیَّتِی السؤال </w:t>
      </w:r>
      <w:r>
        <w:rPr>
          <w:rStyle w:val="FootnoteAnchor"/>
          <w:rtl w:val="true"/>
        </w:rPr>
        <w:footnoteReference w:id="98"/>
      </w:r>
      <w:r>
        <w:rPr>
          <w:rFonts w:ascii="IRNazanin" w:hAnsi="IRNazanin" w:eastAsia="IRNazanin"/>
          <w:color w:val="111111"/>
          <w:sz w:val="28"/>
          <w:sz w:val="28"/>
          <w:szCs w:val="28"/>
          <w:rtl w:val="true"/>
          <w:lang w:bidi="fa-IR"/>
        </w:rPr>
        <w:t>بأحد الوجهین المذکورین عن تحقّقها فیهم،فقوله تعالی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99"/>
      </w:r>
      <w:r>
        <w:rPr>
          <w:rFonts w:ascii="IRNazanin" w:hAnsi="IRNazanin" w:eastAsia="IRNazanin"/>
          <w:color w:val="111111"/>
          <w:sz w:val="28"/>
          <w:sz w:val="28"/>
          <w:szCs w:val="28"/>
          <w:rtl w:val="true"/>
          <w:lang w:bidi="fa-IR"/>
        </w:rPr>
        <w:t>حینئذ جواب بعدم تحقّقها فی الطائفة المذکورة صریحا دائما لا وقت الظلم بخصوصه؛لعدم مناسبة إرادة هذا المعنی السؤال المذکور،و بتحقّقها فی غیر الظالمین مفهوما بمعنی تحقّقها فیهم لا تحقّقها فی کلّ فرد من غیرهم،لعدم اقتضاء المفهوم هذا العموم،کما هو ظاهر للمتدبّر</w:t>
      </w:r>
      <w:r>
        <w:rPr>
          <w:rFonts w:eastAsia="IRNazanin" w:cs="IRNazanin"/>
          <w:color w:val="111111"/>
          <w:sz w:val="28"/>
          <w:szCs w:val="28"/>
          <w:rtl w:val="true"/>
          <w:lang w:bidi="fa-IR"/>
        </w:rPr>
        <w:t xml:space="preserve">. </w:t>
      </w:r>
      <w:bookmarkStart w:id="90" w:name="pg12937_139045"/>
    </w:p>
    <w:p>
      <w:pPr>
        <w:pStyle w:val="BookText"/>
        <w:rPr/>
      </w:pPr>
      <w:bookmarkEnd w:id="90"/>
      <w:r>
        <w:rPr>
          <w:rFonts w:ascii="IRNazanin" w:hAnsi="IRNazanin" w:eastAsia="IRNazanin"/>
          <w:color w:val="111111"/>
          <w:sz w:val="28"/>
          <w:sz w:val="28"/>
          <w:szCs w:val="28"/>
          <w:rtl w:val="true"/>
          <w:lang w:bidi="fa-IR"/>
        </w:rPr>
        <w:t>و نقول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الظلم کما لم تکن داخلة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قابلة للإفادة،لغایة ظهور عدم نیل عهد اللّه حال الظلم،فیجب الحمل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فی جواب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مع کفایة الإخبار بنیل بعضهم الإمامة،و کونه علی وفق السؤال إفادة زائدة هی الإیماء إلی علامة عدم النیل و هی الظلم و إن کان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من الأدلّة الدالّة علی اعتبار العصمة فی الإمامة التی هی الرّیاسة العامّة فی الامور الدنیویّة و الاخرویّة بالنیابة عن النبی صلّی اللّه علیه و آله إن ثبت کونها من عهد اللّه تعالی،سواء کانت الإمامة المنسوبة إلی إبراهیم هی هذه بغیر أخذ النیابة فیها أم أمرا آخر،و کونها عهد اللّه ظاهر للمنصف المتدبّر التارک لتقلید الکبراء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لیس بمراد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المراد من الظالم من اتّصف به حین اتّصافه به و إن کان باعتبار الملکة،لأنّه یقال شارب الخمر علی من یشربها ما لم یتب منه،و إن لم یکن حین إطلاق اللفظ مشغولا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المراد بعدم نیله العهد عدم نیله دائما کما ذکرته فی حاشیة اخری،و بما ذکرته فی الحاشیتین یظهر ما فی بعض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للتأمّل بإثبات عدم الواسطة بین الظلم و العدل</w:t>
      </w:r>
      <w:r>
        <w:rPr>
          <w:rFonts w:eastAsia="IRNazanin" w:cs="IRNazanin"/>
          <w:color w:val="111111"/>
          <w:sz w:val="28"/>
          <w:szCs w:val="28"/>
          <w:rtl w:val="true"/>
          <w:lang w:bidi="fa-IR"/>
        </w:rPr>
        <w:t>.</w:t>
      </w:r>
    </w:p>
    <w:p>
      <w:pPr>
        <w:pStyle w:val="Heading3"/>
        <w:numPr>
          <w:ilvl w:val="2"/>
          <w:numId w:val="1"/>
        </w:numPr>
        <w:rPr/>
      </w:pPr>
      <w:bookmarkStart w:id="91" w:name="__RefHeading___Toc4066837_3224264995"/>
      <w:bookmarkStart w:id="92" w:name="_Toc32"/>
      <w:bookmarkEnd w:id="91"/>
      <w:r>
        <w:rPr>
          <w:rtl w:val="true"/>
        </w:rPr>
        <w:t>کتاب الصلاة</w:t>
      </w:r>
      <w:bookmarkEnd w:id="92"/>
    </w:p>
    <w:p>
      <w:pPr>
        <w:pStyle w:val="Heading4"/>
        <w:numPr>
          <w:ilvl w:val="3"/>
          <w:numId w:val="1"/>
        </w:numPr>
        <w:rPr/>
      </w:pPr>
      <w:bookmarkStart w:id="93" w:name="__RefHeading___Toc4066839_3224264995"/>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و هی یتنوّع أنواعا</w:t>
      </w:r>
      <w:r>
        <w:rPr>
          <w:rFonts w:eastAsia="IRNazanin" w:cs="IRNazanin"/>
          <w:color w:val="111111"/>
          <w:sz w:val="28"/>
          <w:szCs w:val="28"/>
          <w:rtl w:val="true"/>
          <w:lang w:bidi="fa-IR"/>
        </w:rPr>
        <w:t>:</w:t>
      </w:r>
    </w:p>
    <w:p>
      <w:pPr>
        <w:pStyle w:val="Heading4"/>
        <w:numPr>
          <w:ilvl w:val="3"/>
          <w:numId w:val="1"/>
        </w:numPr>
        <w:rPr/>
      </w:pPr>
      <w:bookmarkStart w:id="95" w:name="__RefHeading___Toc4066841_3224264995"/>
      <w:bookmarkStart w:id="96" w:name="_Toc34"/>
      <w:bookmarkEnd w:id="95"/>
      <w:r>
        <w:rPr>
          <w:rtl w:val="true"/>
        </w:rPr>
        <w:t>[</w:t>
      </w:r>
      <w:r>
        <w:rPr>
          <w:rtl w:val="true"/>
        </w:rPr>
        <w:t>النوع</w:t>
      </w:r>
      <w:r>
        <w:rPr>
          <w:rtl w:val="true"/>
        </w:rPr>
        <w:t xml:space="preserve">] </w:t>
      </w:r>
      <w:r>
        <w:rPr>
          <w:rtl w:val="true"/>
        </w:rPr>
        <w:t>الأوّل فی البحث عنها بقول مطلق</w:t>
      </w:r>
      <w:bookmarkEnd w:id="96"/>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تدلّ علی جواز العمل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غایة الإهتمام فی شیء من العبادة لا یحتاج إلی الأمر بالإهتمام به بخصوصه،فتفریع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نظر؛لأنّ العمل الذی یتعلّق بوقت خاصّ لا یمکن الحکم بجواز فعله فی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صلاة العید لا تجوز إلاّ فی یوم ثبت کونه عیدا شرعا،و ما یظهر من عمل أربع لیال عند اشتباه لیلة القدر لا یدلّ علی عموم الحکم عند الإشتباه،مع أنّه لا یبعد أن یکون العمل الموظّف للیلتین فی اللیلتین الشرعیّتین،و الإحیاء و العبادة اللتین لا اختصاص لهما باللیلتین الشرعیّتین فی اللیلتین الآخرتین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ما لیس بواجبة منها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للسلب،أی خرج صلوات عدم وجوبها إجماعیّ من کونها داخلة فی کونها مأمورة بالمحافظة، و بقیت الصلاة المعلوم وجوبها و مشکوکه مندرجة فی عموم الآیة،لعدم الدلیل علی التخصیص؛فحینئذ یمکن الإستدلال بالآیة علی وجوب الصلوات المشکوک وجوبها بظهور الأمر فی الوجوب،خصوصا الأوامر القرآنیّة،و خصوصا عند ملاحظة وجوب محافظة الصلوات المعلوم وجوبها،و مشارکة الصلوات المشکوک وجوبها معها فی کونها متعلّقة للأمر بالمحافظة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إمّا أن یحمل الآیة علی الأمر بمحافظة الصلوات المفروضة الیومیّة،أو مطلق الفریضة،أو مطلق الصلاة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کانت أو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 الصلاة المأمور بها،یومیّة کانت أو غیر 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الإحتمالین الأوّلین لا وجه للإستدلال علی وجوب ما لم یعلم وجوبه؛لأنّ کونه مندرجا فی الأمر بالمحافظة حینئذ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الإحتمالین الأخیرین أیضا لا یصحّ الإستدلال علی وجوب الصلوات المشکوک وجوبها؛لکون المحافظة المأمور بها حینئذ مطلقة جاریة فی النوافل أیضا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ذکرته أنّ ظاهر الآیة أحد الإحتمالین الأوّلین،لکون ظاهرها وجوب المحافظة بما ذکرته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ترجیح الإحتمال الثانی بأنّ ما ذکرته إنّما یدلّ علی تخصیص الصلوات بالفرائض،و أمّا تخصیصها بالیومیّة فلا دلیل علیها،فحینئذ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المشکوک وجوبها التی ثبت وجوبها فی زمان رسول اللّه صلّی اللّه علیه و آله مثل الجمعة و العیدین یمکن إثبات وجوبها فی زماننا بما یدلّ علی عموم الحکم الأزمان و إن ادّی بخطاب المشافهة، ما لم یدلّ دلیل علی 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الإستدلال علی العموم إن دلّ ضرورة الدین أو المذهب أو الإجماع علی صرف الخطاب عن ظاهره الذی هو الخصوص،و هو فیما نحن فیه منتف،و الکلام فی الإستدلال علی وجوب الجمعة علی تقدیر ترجیح الإحتمال الأوّل بالتبادر،و کون الجمعة من الیومیّة،و ما علیه ظاهر بما ذکرته من غیر حاجة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وجوبه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إرجاع ضمیر وجوبه إلی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فالقائل معلوم،و هو ابن أبی عقیل </w:t>
      </w:r>
      <w:r>
        <w:rPr>
          <w:rStyle w:val="FootnoteAnchor"/>
          <w:rtl w:val="true"/>
        </w:rPr>
        <w:footnoteReference w:id="102"/>
      </w: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103"/>
      </w:r>
      <w:r>
        <w:rPr>
          <w:rFonts w:ascii="IRNazanin" w:hAnsi="IRNazanin" w:eastAsia="IRNazanin"/>
          <w:color w:val="111111"/>
          <w:sz w:val="28"/>
          <w:sz w:val="28"/>
          <w:szCs w:val="28"/>
          <w:rtl w:val="true"/>
          <w:lang w:bidi="fa-IR"/>
        </w:rPr>
        <w:t>،و إن ارید به القیام فکذلک؛لأنّ من قال بوجوب القنوت قال بوجوبه حال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الظاهر بقرینة السیاق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یکون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یکون مشروطا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دلالة مثل هذه العبارة علی الوجوب الشرطی کما ذکره قدّس سرّه إنّما کان المعنی ما ذکره إن کان القرآن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إن کنتم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یفید مفاده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قٰانِتِینَ </w:t>
      </w:r>
      <w:r>
        <w:rPr>
          <w:rStyle w:val="FootnoteAnchor"/>
          <w:rtl w:val="true"/>
        </w:rPr>
        <w:footnoteReference w:id="104"/>
      </w:r>
      <w:r>
        <w:rPr>
          <w:rFonts w:ascii="IRNazanin" w:hAnsi="IRNazanin" w:eastAsia="IRNazanin"/>
          <w:color w:val="111111"/>
          <w:sz w:val="28"/>
          <w:sz w:val="28"/>
          <w:szCs w:val="28"/>
          <w:rtl w:val="true"/>
          <w:lang w:bidi="fa-IR"/>
        </w:rPr>
        <w:t>فی غایة الظهور فی طلب القیام بهذه الصفة، لا علی تقدیر هذه الصفة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معی متعمّما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 التعمّم و کونه معه،و قال فی </w:t>
      </w:r>
    </w:p>
    <w:p>
      <w:pPr>
        <w:pStyle w:val="BookText"/>
        <w:rPr/>
      </w:pPr>
      <w:r>
        <w:rPr>
          <w:rFonts w:ascii="IRNazanin" w:hAnsi="IRNazanin" w:eastAsia="IRNazanin"/>
          <w:color w:val="111111"/>
          <w:sz w:val="28"/>
          <w:sz w:val="28"/>
          <w:szCs w:val="28"/>
          <w:rtl w:val="true"/>
          <w:lang w:bidi="fa-IR"/>
        </w:rPr>
        <w:t>جواب الإعتراض بعدم امتثال أمر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کان مشروطا بالتعمّم،فترکته حتّی لا یجب علیّ المشروط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العقلاء بصحّة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نعم،القول بعدم دلالة الآیة علی الوجوب بما ذکره سابقا باحتمال معان آخر هو الموجّه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الآیة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الإستحباب إمّا بحمل الأمر علی الطلب الإستحبابی،أو الطلب المطلق،و حینئذ لا یبعد حمل الأمر بالمحافظة أیضا علی طلب المحافظة المطلق،و حینئذ یحتمل تعمیم الصلوات، و تخصیصها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تأییده بوجه بما روی بعض العامّة عن ابن عمر من أنّه هی صلاة الظهر؛لأنها فی وسط النهار،و کان رسول اللّه صلّی اللّه علیه و آله یصلّیها بالهاجرة،و لم یکن صلاة أشدّ علی أصحابه منها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وجه التأیید أنّ ظاهر الخبر أنّ سبب تأکید الأمر بالمحافظة هو التأکید فی رعایة فضیلتها التی هی الإتیان بالصلاة الوسطی فی وقت الهاجرة،و طلب الإتیان بها فی خصوص هذا الوقت لیس طلبا حتمیّا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الخشوع أمر وجودیّ یتبعه بعض التروک،و أنّ اللغو وجودیّ،و الإعراض عنه ترکه،و نسبة اللغویّة إلی الترک مثل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 التجارة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یقال إذا کان لک داع إلی ترکها،فتصون نفسک عنها،فکان الإعراض و الترک متعلّقا بأمر وجودی هو صون النفس عنها،تدبّر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کان أو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إشارة إلی أنّ الإعراض عن اللغو شامل للفعل،کفعل المندوب،فإنّ ترکه لا نفع فیه،و ما لا نفع فیه فهو لغو،فلا یصحّ </w:t>
      </w:r>
    </w:p>
    <w:p>
      <w:pPr>
        <w:pStyle w:val="BookText"/>
        <w:rPr/>
      </w:pPr>
      <w:r>
        <w:rPr>
          <w:rFonts w:ascii="Amiri" w:hAnsi="Amiri" w:eastAsia="Amiri" w:cs="Amiri"/>
          <w:color w:val="111111"/>
          <w:sz w:val="28"/>
          <w:sz w:val="28"/>
          <w:szCs w:val="28"/>
          <w:rtl w:val="true"/>
          <w:lang w:bidi="ar-SA"/>
        </w:rPr>
        <w:t>ما یظهر من کلام صاحب الکشّاف من جعل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اللَّغْوِ مُعْرِضُونَ </w:t>
      </w:r>
      <w:r>
        <w:rPr>
          <w:rStyle w:val="FootnoteAnchor"/>
          <w:rtl w:val="true"/>
        </w:rPr>
        <w:footnoteReference w:id="107"/>
      </w:r>
      <w:r>
        <w:rPr>
          <w:rFonts w:ascii="IRNazanin" w:hAnsi="IRNazanin" w:eastAsia="IRNazanin"/>
          <w:color w:val="111111"/>
          <w:sz w:val="28"/>
          <w:sz w:val="28"/>
          <w:szCs w:val="28"/>
          <w:rtl w:val="true"/>
          <w:lang w:bidi="fa-IR"/>
        </w:rPr>
        <w:t>إشارة إلی الترک</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هذا خلاصة ما قیل فی شرح کلام المصنّف،و بعد تأملّک ما ذکرته فی الحاشیة یظهر لک حاله إن کان مراده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یحصل الإعراض عن ذلک إلاّ بترک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یدلّ علی اندراج المباحات فی اللغو،و ما یذکره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دلّت علی الترغیب بالإعراض عن 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یفهم وجوب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وجوب الإجتناب عن المباحات،و هو مثل قول ضعیف منسوب إلی الکعبی فی نفی المباح،و إن تغایرا فی کون المباح عند الکعبی واجبا و عند المصنّف حراما،و لا حاجة ها هنا إلی نقل شبهة الکعبی و جوابها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ما استدلّ به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له دخلا فی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 علی الوجوب إن علم أنّ الإیمان ها هنا مستعمل فی المرتبة التی یجب تحصیلها علی المکلّفین،و أمّا إن ارید به المرتبة الکاملة التی تکون لبعض الخلّص فلا،و مقارنة الزکاة و ترک الزنا إنّما یدلّ علی عدم إرادة الإستحباب بخصوصه،و أمّا علی عدم إرادة الطلب المطلق المتحقّق فی ضمن الواجب و المستحب فلا یدلّ علیه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اندراج المستحبّات فی الآیة کما یدلّ علیه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علی استحباب بعض الأفعال فی الصلاة</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المکروهات أیضا 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کراهیّة البعض</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یدلّ علی ما ذکرته،تدبّر</w:t>
      </w:r>
      <w:r>
        <w:rPr>
          <w:rFonts w:eastAsia="Amiri" w:cs="Amiri" w:ascii="Amiri" w:hAnsi="Amiri"/>
          <w:color w:val="111111"/>
          <w:sz w:val="28"/>
          <w:szCs w:val="28"/>
          <w:rtl w:val="true"/>
          <w:lang w:bidi="ar-SA"/>
        </w:rPr>
        <w:t xml:space="preserve">. </w:t>
      </w:r>
      <w:bookmarkStart w:id="97" w:name="pg12937_139050"/>
    </w:p>
    <w:p>
      <w:pPr>
        <w:pStyle w:val="BookText"/>
        <w:rPr/>
      </w:pPr>
      <w:bookmarkEnd w:id="9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فیوجب ذلک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یناسب ما ذکره هاهنا القول بأنّ الفلاح المذکور فی الآیة مرتبة کاملة تحصل بمواظبة الوظائف الشرعیّة،واجبة أو مندوبة،و ترک مرجوحاتها محرّمة أو مکروهة؛فلا یمکن الإستدلال علی وجوب ما یشتمل علیه هذه الآیة بهذه الآیة،و کذلک علی حرمة ما تشتمل علیه بها فحینئذ ظاهر الآیة کون الفردوس جنّة مخصوصة لها مزیّة بالنسبة إلی بعض الجنان،حتّی یصحّ حصر إرث الفردوس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کاد أن یکون له دخل عظیم فی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مدخلیّة الخشوع و ما قارنه من الإعراض عن اللغو و غیرهما من الأوصاف المذکورة فی کمال الإیمان محلّ نظر،بل ظاهر الآیة إنّما هو مدخلیّة الصفات المذکورة فی الفلاح حتّی لو فرض بدل المؤمنین أهل المدینة فالدلالة باقیة بحالها،لا تفاوت بینهما إلاّ فی أنّه ینبغی أن یطلب لتخصیص أهل المدینة علی الفرض المذکور نکتة،لامتناع تأثیر الصفات فیهم بخصوصهم،و أمّا تخصیص المؤمنین فلاشتراط تأثیر الصفات فی الفلاح بالإیمان،و هذا الإشتراط لا یدلّ علی مدخلیّة الصفات فی کمال الإیمان،فلعلّ فلاح المؤمنین الذین لا تفاوت فی إیمانهم متوقّف علی الصفات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غرضی عدم تفاوت الإیمان مطلقا،بل غرضی عدم دلالة الآیة علی التفاوت، و لو سلّم دلالة الآیة علی التفاوت مماشاة معه فالجواب ما ذکرته فی حاشیة اخری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 علی الوجوب إن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مراده بکمال الإیمان ما ذکرته فی الحاشیة،فلا تغفل</w:t>
      </w:r>
      <w:r>
        <w:rPr>
          <w:rFonts w:eastAsia="IRNazanin" w:cs="IRNazanin"/>
          <w:color w:val="111111"/>
          <w:sz w:val="28"/>
          <w:szCs w:val="28"/>
          <w:rtl w:val="true"/>
          <w:lang w:bidi="fa-IR"/>
        </w:rPr>
        <w:t>.</w:t>
      </w:r>
    </w:p>
    <w:p>
      <w:pPr>
        <w:pStyle w:val="Heading4"/>
        <w:numPr>
          <w:ilvl w:val="3"/>
          <w:numId w:val="1"/>
        </w:numPr>
        <w:rPr/>
      </w:pPr>
      <w:bookmarkStart w:id="98" w:name="__RefHeading___Toc4066843_3224264995"/>
      <w:bookmarkStart w:id="99" w:name="_Toc35"/>
      <w:bookmarkEnd w:id="98"/>
      <w:r>
        <w:rPr>
          <w:rtl w:val="true"/>
        </w:rPr>
        <w:t>النوع الثانی</w:t>
      </w:r>
      <w:r>
        <w:rPr>
          <w:rtl w:val="true"/>
        </w:rPr>
        <w:t>:</w:t>
      </w:r>
      <w:r>
        <w:rPr>
          <w:rtl w:val="true"/>
        </w:rPr>
        <w:t>فی دلائل الصلوات الخمس و أوقاتها</w:t>
      </w:r>
      <w:bookmarkEnd w:id="99"/>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w:t>
      </w:r>
    </w:p>
    <w:p>
      <w:pPr>
        <w:pStyle w:val="BookText"/>
        <w:rPr/>
      </w:pPr>
      <w:r>
        <w:rPr>
          <w:rFonts w:ascii="Amiri" w:hAnsi="Amiri" w:eastAsia="Amiri" w:cs="Amiri"/>
          <w:color w:val="111111"/>
          <w:sz w:val="28"/>
          <w:sz w:val="28"/>
          <w:szCs w:val="28"/>
          <w:rtl w:val="true"/>
          <w:lang w:bidi="ar-SA"/>
        </w:rPr>
        <w:t>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الظهور أنّ أمره صلّی اللّه علیه و آله بالفرائض الثلاث المشترکة فی الوجوب علی النبی صلّی اللّه علیه و آله و غیره،و صلاة التهجّد و ترک الفریضتین المشترکتین فی الوجوب علیهما هاهنا مع کون إحدیهما مخصوصة بزیادة التأکید فی ضمن الأمر بالصلاة الوسطی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المقصود جعل اللغة دلیلا مستقلا،بل عطف الروایة علی اللغة متقدّم علی الحکم بالدلالة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اللّه تعالی الأمر ببعض الفرائض فی موضع یأمره به فی موضع آخر لا بعد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بالتأمّل فی ظاهر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ترک الأمر بالظهرین هاهنا لظهوره بالکتاب فی موضع آخر،أو بالسنّة،أو بهما،و لبعض المصالح الذی لا اطّلاع لنا به، و کون إحدیهما مخصوصة بزیادة التأکید لا یستلزم ذکرها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حمل الآیة علی العموم ممتنعا أو بعیدا لکان ما ذکرته موجّها،لکن تخصیص دلالة الآیة ببعض الفرائض مع عدم بعد اندراج الکلّ فی ظاهرها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الإستدلال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بعد إثبات کون الدلوک هو الزوال و الغسق انتصاف اللیل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هو کون زمان الذی بینهما صالحا للصلوات الأربع،من غیر اختصاص بعضها ببعض إلاّ ما یدلّ علیه الدلیل،و عدم جواز الظهرین بعد المغرب و العشائین قبله یدلّ علیه القاطع،و ما یدلّ علی تخصیص أزید من هذا بحیث یصحّ تخصیص ظاهر الآیة به منتف،فدلّت الآیة علی وسعة الظهرین إلی الغروب،و العشائین إلی انتصاف اللیل بهذا التقریب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مع بعده حمل کلام المصنّف رحمه اللّه علیه لا یخلو من إشکال،و لعلّ ما یذکره من </w:t>
      </w:r>
    </w:p>
    <w:p>
      <w:pPr>
        <w:pStyle w:val="BookText"/>
        <w:rPr/>
      </w:pPr>
      <w:r>
        <w:rPr>
          <w:rFonts w:ascii="IRNazanin" w:hAnsi="IRNazanin" w:eastAsia="IRNazanin"/>
          <w:color w:val="111111"/>
          <w:sz w:val="28"/>
          <w:sz w:val="28"/>
          <w:szCs w:val="28"/>
          <w:rtl w:val="true"/>
          <w:lang w:bidi="fa-IR"/>
        </w:rPr>
        <w:t>الروایات،و نقل قول السیّد و الشیخ لتقریب التوسعة و عدم تخصیص أزید ممّا ظهر و ممّا یبعد حمله علی ما ذکرته تفریع و بیان أوقاتها علی ما سبق،لأنّ إمکان استنباط التوسعة بالتوجیه و التکلّف لیس بیانا لها،و لعلّه قدّس سرّه یساهل فی التعبیر،و لا یوضح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فی قوله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لیس مراد صاحب الکشّاف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الذی لا یشرع عندهم فی غیر الصلاتین کما یظهر من تفسیره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Style w:val="FootnoteAnchor"/>
          <w:rtl w:val="true"/>
        </w:rPr>
        <w:footnoteReference w:id="11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العشیّ علی وقت العشاء أو العشائین غیر ظاهر،و قال صاحب الکشّاف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بالتسبیح ظاهره الذی هو تنزیه اللّه تعالی من السوء،و الثناء علیه بالخیر فی هذه الأوقات،لما یتجدّد فیها من نعم اللّه الظاهرة،و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 قیل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ذکره المصنّف من توجیه قول ابن عباس أو قوله بتغییر لا یتغیّر به المعنی،و لم یذکر شیئا من الإحتمالین اللذین ذکرهما المصنّف رحمه اللّه من عنده،فلعلّه لعدم ظهور إطلاق العشیّ علی أحد الزمانین عند صاحب الکشّاف؛و صاحب القاموس أیضا لم یذکر فی معنی العشیّ شیئا من الزمانین </w:t>
      </w:r>
      <w:r>
        <w:rPr>
          <w:rStyle w:val="FootnoteAnchor"/>
          <w:rtl w:val="true"/>
        </w:rPr>
        <w:footnoteReference w:id="118"/>
      </w:r>
      <w:r>
        <w:rPr>
          <w:rFonts w:ascii="IRNazanin" w:hAnsi="IRNazanin" w:eastAsia="IRNazanin"/>
          <w:color w:val="111111"/>
          <w:sz w:val="28"/>
          <w:sz w:val="28"/>
          <w:szCs w:val="28"/>
          <w:rtl w:val="true"/>
          <w:lang w:bidi="fa-IR"/>
        </w:rPr>
        <w:t>،لعلّ تقدیم صاحب الکشّاف ما قدّمه لکونه أظهر عنده، لأنّ جعل سبحان بمعنی الأمر أو إشارة إلیه خلاف الظاهر،و السبب الذی ذکره العلماء فی صرف بعض أخبار اللّه تعالی و حججه علیهم السّلام عن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جار هاهنا؛لأنّ الکلام علی تقدیر الحمل علی الخبریّة یدلّ علی کون الأوقات،أوقات یلیق فیها التنزیه،أو علی تحقّق التنزیه فیها من المنزّهین،و السبب غیر جار علی شیء من </w:t>
      </w:r>
      <w:bookmarkStart w:id="100" w:name="pg12937_139053"/>
    </w:p>
    <w:p>
      <w:pPr>
        <w:pStyle w:val="BookText"/>
        <w:rPr/>
      </w:pPr>
      <w:bookmarkEnd w:id="100"/>
      <w:r>
        <w:rPr>
          <w:rFonts w:ascii="IRNazanin" w:hAnsi="IRNazanin" w:eastAsia="IRNazanin"/>
          <w:color w:val="111111"/>
          <w:sz w:val="28"/>
          <w:sz w:val="28"/>
          <w:szCs w:val="28"/>
          <w:rtl w:val="true"/>
          <w:lang w:bidi="fa-IR"/>
        </w:rPr>
        <w:t>الإحتمالین و لو دلّ علی تقدیر الخبریّة علی وقوع التنزیه من کلّ المکلّفین أو من بعض علم عدم تحقّقه منه وجب صرفه عن الظاهر،و لیس الکلام ظاهرا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تُمْسُونَ و تُصْبِحُونَ لا یدلّ علی تقدیر الخبریّة علی الإخبار بوقوعه منهم،و الترغیب المستنبط من أمثال هذا الخطاب لیس مثل صریح الأمر فی الدلالة علی الوجوب کما یعرفه العارف بأسالیب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ثبت کون ما نسب إلی ابن عبّاس منه،و کونه مأخوذا من أمیر المؤمنین علیه السّلام فهو المعیّن،و إلاّ فهو غیر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رَبِّکَ قَبْلَ طُلُوعِ الشَّمْسِ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هذه الآیة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آیة الطور،فإنّ فی أوّلها وَ اصْبِرْ لِحُکْمِ رَبِّکَ فَإِنَّکَ بِأَعْیُنِنٰا وَ سَبِّحْ</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066845_3224264995"/>
      <w:bookmarkStart w:id="102" w:name="_Toc36"/>
      <w:bookmarkEnd w:id="101"/>
      <w:r>
        <w:rPr>
          <w:rtl w:val="true"/>
        </w:rPr>
        <w:t>النوع الثالث</w:t>
      </w:r>
      <w:r>
        <w:rPr>
          <w:rtl w:val="true"/>
        </w:rPr>
        <w:t>:</w:t>
      </w:r>
      <w:r>
        <w:rPr>
          <w:rtl w:val="true"/>
        </w:rPr>
        <w:t>فی القبلة</w:t>
      </w:r>
      <w:bookmarkEnd w:id="102"/>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أدعی إلی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الکشّاف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أدعی للعرب إلی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کلامه ضمیری مفخرتهم و مطافهم إلی العرب،ففی کلامه قدّس سرّه سقط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القلم،أو اسقط اکتفاء بدلالة المقام علی مرجع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بعض الأخبار الصحیحة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سبق منه من دلالة قلّة الأدلّة علی عدم الضیق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قولهم علیهم السّلام بین المشرق و المغرب قبلة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حمل الروایة علی قبلة المضطر،کما حملها الصدوق </w:t>
      </w:r>
      <w:r>
        <w:rPr>
          <w:rStyle w:val="FootnoteAnchor"/>
          <w:rtl w:val="true"/>
        </w:rPr>
        <w:footnoteReference w:id="124"/>
      </w:r>
      <w:r>
        <w:rPr>
          <w:rFonts w:ascii="IRNazanin" w:hAnsi="IRNazanin" w:eastAsia="IRNazanin"/>
          <w:color w:val="111111"/>
          <w:sz w:val="28"/>
          <w:sz w:val="28"/>
          <w:szCs w:val="28"/>
          <w:rtl w:val="true"/>
          <w:lang w:bidi="fa-IR"/>
        </w:rPr>
        <w:t>و غیره؛لأنّه یمکن أن یکون المتوجّه إلی نقطة بین المشرق و المغرب منحرفا عن شطر الحرم و الکعبة، فتجویز التوجّه إلیها حینئذ خروج عن مقتضی الآیة و کثیر من الأخبار،فلا وجه لتجویز التوجّه إلیها اختیارا،و علی تقدیر حملها علی الضرورة لا تدلّ علی عدم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التی تحمل الروایة علیها هی عدم إمکان تحصیل الظنّ بجهة مخصوصة،و جواز الإکتفاء بصلاة واحدة،و عدم التکلیف لصلوات یحصل العلم أو الظنّ بکون واحدة منها علی وفق جهة القبلة فی وقت توسعة الوقت لها دالّ علی عدم الضیق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مراده هاهنا و إن لم یکن الروایة بانفرادها کافیة فی الدلالة علی التوسعة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ترک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اشتمال علم الهیئة علی الأدلّة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یفهم من المقام،و فیه تکلّف،و الداعی علی هذا التکلّف إن جعل اللام إشارة إلی تفویض أمر القبلة إلی علم الهیئة لا وجه له،کما یظهر بالتأمّل</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126"/>
      </w:r>
      <w:bookmarkStart w:id="103" w:name="pg12937_139055"/>
    </w:p>
    <w:p>
      <w:pPr>
        <w:pStyle w:val="BookText"/>
        <w:rPr/>
      </w:pPr>
      <w:bookmarkEnd w:id="10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روایة جابر أنّه لا تجب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القبلة هی هنا،و قال بعضنا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هی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حیرة الطائفتین؛لأنّ حیرة الطائفة إنّما تستقرّ عند عدم الظنّ بها بوجه،فإن بقی من السریة غیر من ظنّ فی نفسه بجهة القبلة،فیمکن حصول ظنّه بما عیّن غیره،فلم یظهر صحّة صلاة المتحیّر بجهة واحدة بهذه الروایة</w:t>
      </w:r>
      <w:r>
        <w:rPr>
          <w:rFonts w:eastAsia="IRNazanin" w:cs="IRNazanin"/>
          <w:color w:val="111111"/>
          <w:sz w:val="28"/>
          <w:szCs w:val="28"/>
          <w:rtl w:val="true"/>
          <w:lang w:bidi="fa-IR"/>
        </w:rPr>
        <w:t>.</w:t>
      </w:r>
    </w:p>
    <w:p>
      <w:pPr>
        <w:pStyle w:val="Heading4"/>
        <w:numPr>
          <w:ilvl w:val="3"/>
          <w:numId w:val="1"/>
        </w:numPr>
        <w:rPr/>
      </w:pPr>
      <w:bookmarkStart w:id="104" w:name="__RefHeading___Toc4066847_3224264995"/>
      <w:bookmarkStart w:id="105" w:name="_Toc37"/>
      <w:bookmarkEnd w:id="104"/>
      <w:r>
        <w:rPr>
          <w:rtl w:val="true"/>
        </w:rPr>
        <w:t>النوع الرابع</w:t>
      </w:r>
      <w:r>
        <w:rPr>
          <w:rtl w:val="true"/>
        </w:rPr>
        <w:t>:</w:t>
      </w:r>
      <w:r>
        <w:rPr>
          <w:rtl w:val="true"/>
        </w:rPr>
        <w:t>فی مقدمات اخر للصلاة</w:t>
      </w:r>
      <w:bookmarkEnd w:id="105"/>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ستر العورة باللباس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إنزال لباس یستر العورة امتنانا بالمواراة التی یندفع بها الإنفعال الطبیعی الذی یحصل لکثیر من الناس،لکون أکثر الإنسان مجبولا بالإنفعال عن کشف العورة و التأثر به،و الشاهد علی ذلک مع ظهوره للراجع إلی الوجدان تتبّع أحوال الطوائف التی لم یتقیّد بشرع و لم تطع ملّة،و کشف بعض الکفّار فی بعض الأحوال لا ینافی ما ذکرته،و دفع الإنفعال انتفاع مصحّح لذکر إنزال لباس یواری السوأة فی مقام الإمتنان،فلا یدلّ الأوّل علی وجوب 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إلی استحباب التجمّل باللباس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الإمتنان بالامور الراجحة بحسب الشرع یمکن الإمتنان بالامور المباحة إذا اشتملت علی لذّة،فلعلّ ذکر الإنعام بالریش من ذلک القسم،فلا إشارة فی الثانی إلی الإستحباب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نعم،استحباب اتّخاذ لباس التجمّل لغرض صحیح مثل إظهار نعم اللّه ثابت بالأخبار، و لا یبعد استنباط الإستحباب من ظاهر معنی التفضیل فی ذٰلِکَ خَیْرٌ </w:t>
      </w:r>
      <w:r>
        <w:rPr>
          <w:rStyle w:val="FootnoteAnchor"/>
          <w:rtl w:val="true"/>
        </w:rPr>
        <w:footnoteReference w:id="128"/>
      </w:r>
      <w:r>
        <w:rPr>
          <w:rFonts w:ascii="IRNazanin" w:hAnsi="IRNazanin" w:eastAsia="IRNazanin"/>
          <w:color w:val="111111"/>
          <w:sz w:val="28"/>
          <w:sz w:val="28"/>
          <w:szCs w:val="28"/>
          <w:rtl w:val="true"/>
          <w:lang w:bidi="fa-IR"/>
        </w:rPr>
        <w:t>إن لم یقصد منه زیادة الإنتفاع،فإن قصد منه زیادة الإنتفاع کما یؤمی إلیه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خیرا؛لأنّه یحصل به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رجوعه إلی اللباس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بعده لفظا هذا صرف اسم التفضیل عن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دلالة علی عدم جواز التقلید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الصور،و هو الصورة التی یحکم العقل بقباحته،کما یدلّ علیه ترک تعرّض الإعتذار الأوّل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یَأْمُرُ بِالْفَحْشٰاءِ </w:t>
      </w:r>
      <w:r>
        <w:rPr>
          <w:rStyle w:val="FootnoteAnchor"/>
          <w:rtl w:val="true"/>
        </w:rPr>
        <w:footnoteReference w:id="129"/>
      </w:r>
      <w:r>
        <w:rPr>
          <w:rFonts w:ascii="IRNazanin" w:hAnsi="IRNazanin" w:eastAsia="IRNazanin"/>
          <w:color w:val="111111"/>
          <w:sz w:val="28"/>
          <w:sz w:val="28"/>
          <w:szCs w:val="28"/>
          <w:rtl w:val="true"/>
          <w:lang w:bidi="fa-IR"/>
        </w:rPr>
        <w:t>لدلالة لا یأمر بالفلان و الإکتفاء به علی ظهور القباحة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غرضی جواز التقلید فی غیر الصورة المذکورة،بل غرضی عدم دلالة الآیة علی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ذکرت قبح الثانی أیضا ظاهر،فلم خصّصهم اللّه تعالی بتکذیبهم فیه؟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ظاهر التمسّک بأمر اللّه تعالی موهما للصحّة ذکر کذبهم فیه مع التأکید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یَأْمُرُ بِالْفَحْشٰاءِ و لمّا کان بعد نسبة الکذب یندفع التوهّم بمحض النسبة بلا حاجة إلی البیان لکفایة الالتفات لإذعان صدق النسبة اکتفی بمحض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الطَّیِّبٰاتِ مِنَ الرِّزْقِ </w:t>
      </w:r>
      <w:r>
        <w:rPr>
          <w:rStyle w:val="FootnoteAnchor"/>
          <w:rtl w:val="true"/>
        </w:rPr>
        <w:footnoteReference w:id="131"/>
      </w:r>
      <w:r>
        <w:rPr>
          <w:rFonts w:ascii="IRNazanin" w:hAnsi="IRNazanin" w:eastAsia="IRNazanin"/>
          <w:color w:val="111111"/>
          <w:sz w:val="28"/>
          <w:sz w:val="28"/>
          <w:szCs w:val="28"/>
          <w:rtl w:val="true"/>
          <w:lang w:bidi="fa-IR"/>
        </w:rPr>
        <w:t>المستلذّات من المأکل و المشرب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منها إمّا المباحات الواقعیّة،أو بزعمهم،و عدم احتمال الثانی ظاهر،و علی الأوّل فلعلّهم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حرّمنا المباحات،بل حکمنا بحرمة المحرّمات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یصحّ علی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دلالة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فیها حینئذ إنکار حرمة المباحات بخصوصها،و هو لیس محلّ الکلام أصلا،بل الظاهر من إنکار حرمة الطیّبات کونهم عارفین بکونها طیّبات،فینبغی تفسیرها بالمستلذّات التی یعرفونها،لا بالمباحات التی لا معرفة لهم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فالآیة تدلّ علی إباحة الأرزاق الطیّبة إلاّ ما أخرجه الدلیل،و یظهر بما ذکرته بعد حمل الطیّبات علی المباحات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العقل إشکال؛لأنّ العقل یجوّز أن یکون خلق الأشیاء محلّلة للإمتنان،و محرّمة للإمتحان،فما لم یبیّن الحلّیّة لم یمکن الحکم بها،بل یجب الإجتناب بحسب العقل حینئذ ما لم یعلم الإباحة کوجوب اجتناب أطعمة علم دخول السمّ فی بعضها ما لم یعلم خلوّ طعام بخصوصه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الحکیم بالإجتناب و عدم البیان عند الحاجة شیء لا یجوّز العقل نسبته إلی الحکیم،فما لم یظهر بما یمکن الفهم من الکتاب و السّنة المتّبعة حرمة أمر بخصوصه و باندراجه فی وصف جعله الشارع علامة للحرمة فالظاهر فیه الحلّیّة؛و هذا هو المراد بکون الأصل فی الأشیاء الإباحة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 ما زاد فحشه و 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و ما یشتدّ قبحه من الذنوب</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هو ظاهر معروف،و أمّا ما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فحشه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مسامحة،لعدم دلالة الفواحش علی الزیادة فی المفرد، و لعلّ ذکر قبحه بعد فحشه إشارة إلی تجریده عن الزیادة،بجعل قبحه تفسیرا له،لکن لیس لذکر فحشه دخل فی توضیح المعرّف أصلا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تقدیر الأعمّ 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المتبادر من المطلق أمرا خاصّا فالحکم بإرادة الأعمّ منه لیس أولی و لا صحیحا،و ظاهر أنّ ما نحن فیه کذلک،و حینئذ لا یلزم الإجمال،و لا الترجیح بلا مرجّح؛لأنّ تبادر الخصوص قرینة له، 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إنّما یدلّ علی حرمة تزویج المذکورات و توابعه،لکونهما المتبادر من التحریم إذا نسب إلی النساء،فکما أنّ إرادة ما </w:t>
      </w:r>
    </w:p>
    <w:p>
      <w:pPr>
        <w:pStyle w:val="BookText"/>
        <w:rPr/>
      </w:pPr>
      <w:r>
        <w:rPr>
          <w:rFonts w:ascii="IRNazanin" w:hAnsi="IRNazanin" w:eastAsia="IRNazanin"/>
          <w:color w:val="111111"/>
          <w:sz w:val="28"/>
          <w:sz w:val="28"/>
          <w:szCs w:val="28"/>
          <w:rtl w:val="true"/>
          <w:lang w:bidi="fa-IR"/>
        </w:rPr>
        <w:t>ذکرته فی آیة النساء لیست إجمالا و لا ترجیحا بلا مرجّح فکذلک فیما نحن فیه؛ و تحریم الأعمّ من المیتة لا یستلزم إرادته من هذه الآیة،مثل تحریم الأعمّ من الخنزیر مع ذکر خصوص اللحم فی الآیة،و مع ظهور ما ذکرته ذکر الدمّ و لحم الخنزیر قرینة دالّة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ذکر اللحم فی لَحْمُ الْخِنْزِیرِ </w:t>
      </w:r>
      <w:r>
        <w:rPr>
          <w:rStyle w:val="FootnoteAnchor"/>
          <w:rtl w:val="true"/>
        </w:rPr>
        <w:footnoteReference w:id="135"/>
      </w:r>
      <w:r>
        <w:rPr>
          <w:rFonts w:ascii="IRNazanin" w:hAnsi="IRNazanin" w:eastAsia="IRNazanin"/>
          <w:color w:val="111111"/>
          <w:sz w:val="28"/>
          <w:sz w:val="28"/>
          <w:szCs w:val="28"/>
          <w:rtl w:val="true"/>
          <w:lang w:bidi="fa-IR"/>
        </w:rPr>
        <w:t>إشارة إلی عموم التحریم فی المیتة و إلاّ کان المناسب ذکر اللحم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اَلْخِنْزِیرِ من غیر ذکر اللحم لم یکن المتبادر هو حرمة لحمه فقط مثل المیتة و کان هو المقصود بالبیان ها هنا و إن کان غیر اللحم منه أیضا حراما، فاحتیج إلی التقیید باللحم فی الخنزیر دون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 الآیة علی نجاسة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التعمیم علی ما هو مختاره إنّما یدلّ علی حرمة انتفاعات المیتة،و أمّا وجوب اجتناب الملاقاة بالرطوبة أو مطلقا فلا یندرج فی هذا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لَکُمْ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مع بعد إرادة الأعمّ من لفظ مِنْ جُلُودِ الْأَنْعٰامِ </w:t>
      </w:r>
      <w:r>
        <w:rPr>
          <w:rStyle w:val="FootnoteAnchor"/>
          <w:rtl w:val="true"/>
        </w:rPr>
        <w:footnoteReference w:id="137"/>
      </w:r>
      <w:r>
        <w:rPr>
          <w:rFonts w:ascii="IRNazanin" w:hAnsi="IRNazanin" w:eastAsia="IRNazanin"/>
          <w:color w:val="111111"/>
          <w:sz w:val="28"/>
          <w:sz w:val="28"/>
          <w:szCs w:val="28"/>
          <w:rtl w:val="true"/>
          <w:lang w:bidi="fa-IR"/>
        </w:rPr>
        <w:t>الإتّخاذ من الوبر و أخویه مذکور صریحا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موت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الکشّاف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مَتٰاعاً إِلیٰ حِینٍ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شیئا ینتفع به إلی حین أن تقضوا منه أوطارکم،أو إلی أن یبلی و یفنی،أو إلی أن تموتوا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صریح فی کون الغایة موت المخاطبین حین جعل اللفظ إشارة إلی الموت،و هو الصواب؛لعدم انتهاء الإنتفاع بالامور المذکورة بموت الأنعام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مِمّٰا خَلَقَ ظِلاٰلاً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له دافع غیر اللباس مثل دفع النار و دخول البیت البرد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فی کلامه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الدخول فی البیت کما یدفع البرد یدفع الحرّ أیضا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،فلا وجه لذکره فی وجه تخصیص الحرّ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دلالة علی إباحة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الأحوال،و الإستدلال علی إباحتها فی جمیع الأحوال بهذه الآیة غیر ظاهر،و لعلّ مراده قدّس سرّه هذا القدر،و دلالتها علی إباحة نحو هذه الامور أیضا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نعم،عند الضرورة إلیه یظهر الإباحة لکن لا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تحریم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؛تفریعه علی قول صاحب الکشّاف تدلّ علی تحریم هذا القول،لا مطلقا بل مقیّدا بما إذا لم یعتقد أنّها من اللّه تعالی،و حینئذ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مثله فی التقیید،و أنّ مراده رحمه اللّه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الوجوب،و لا یناسب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ظاهر فی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استحبابه و تأکّده،و یکون تفریعا ممّا فهم سابقا من جواز هذا القول عند إرادة أنّه تعالی أجراها علی ید فلان،و غایة الحرمة عند عدم هذه الإرادة،بأن ذکر لفظ ذی احتمالین یکون علی أحدهما حراما قریبا من الکفر،و علی الآخر جایزا ینبغی الإجتناب عنه،حذرا من غفلة السامع عن مراد المتکلّم،و من غفلة المتکلّم،و قصد ما لا یجوز،و القرینة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الإحتیاط</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الإجتناب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ظاهره،و القول بوجوب ما عبّر عنه بالإحتیاط هاهنا،و القرینة سیاق الکلام و ظاهر التفریع؛و إرادة الوجوب من لفظ الإحتیاط کثیر فی کلامهم و إن کان إرادة غیره أکثر و أظهر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آیات أخر تتعلّق بالمساجد،ذکرنا آیة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تعلّق الآیة بالمساجد علی تقدیر کون المسجد موضع السجود ظاهر،و أمّا علی تقدیر کونه بمعنی السجود فلعلّ تعلّقها بها باعتبار تعلّق کمال بعضه بها،و أیضا تعلّقها بها </w:t>
      </w:r>
      <w:r>
        <w:rPr>
          <w:rStyle w:val="FootnoteAnchor"/>
          <w:rtl w:val="true"/>
        </w:rPr>
        <w:footnoteReference w:id="144"/>
      </w:r>
      <w:r>
        <w:rPr>
          <w:rFonts w:ascii="IRNazanin" w:hAnsi="IRNazanin" w:eastAsia="IRNazanin"/>
          <w:color w:val="111111"/>
          <w:sz w:val="28"/>
          <w:sz w:val="28"/>
          <w:szCs w:val="28"/>
          <w:rtl w:val="true"/>
          <w:lang w:bidi="fa-IR"/>
        </w:rPr>
        <w:t>باعتبار بعض الإحتمالات أیضا کاف فی عدّها متعلّقة بها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توجّهوا إلی عبادة اللّه مستقیمین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هذا تفسیر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وُجُوهَکُمْ بالإستقامة فی العبادة،و عدم العدول إلی غیرها،و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أقیموها نحو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له بإقامة الوجوه نحو القبلة؛و إرادة المعنیین من اللفظ قریب من إرادة المعنیین من المشترک اللفظی،و هی بعیدة علی تقدیر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أو،و یمکن سقوط الهمزة من القلم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استخراج صلاة 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المراد من المسجد موضع السجود،و مع هذا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أنّه فی أیّ مسجد حضرت الصلاة الخ،کما ذکره؛لأنّ حضور الصلاة إنّما یظهر فیما ثبت بغیر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المطلق بإقامة الوجوه عند کلّ موضع صلاة ظاهره العموم، فلا یخصّص إلاّ بقدر الحاجة؛فیمکن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أحد المسجد ینبغی إقامة وجهه نحو القبلة،سواء کان الوقت وقت صلاة فریضة،أو نافلة،أو لا،و صلاة التحیّة ها هنا هی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إقامة الوجه نحو القبلة لا یدلّ علی طلب الصلاة؛لعدم اختصاص طلب المواجهة إلی القبلة بالصلاة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إقامة الوجه فی موضع السجود ظاهره طلبها فی الصلاة،لکنّ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106" w:name="pg12937_139061"/>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ظاهرها التفریع،و لم یظهر من کلامه رحمه اللّه ما یتفرّع هذا علیه،و حملها علی التعقیب أیضا لا یخلو من شیء؛لأنّ هذا الإستنباط یحتاج إلی البیان،و الإکتفاء بالأمر بتأمّل الناظر بعید،و لعلّه لم یکن بعیدا عنده بحیث لا یناسب الإکتفاء بالأمر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الحکم باستحباب صلاة التحیّة بما ذکر من البیان؟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إرادة موضع الصلاة من المسجد هاهنا غیر ظاهرة،و علی تقدیر الإرادة تعمیم الأمر المطلق هاهنا بحث یشمل وقت غیر صلاة فریضة أو نافلة موقّتة غیر ظاهر،فلعلّ العموم بالنسبة إلی الصلوات المعروفة التی علم مطلوبیّتها بغیر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الإشعار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یٰا أَیُّهَا الَّذِینَ آمَنُوا لاٰ تَتَّخِذُوا الَّذِینَ اتَّخَذُوا دِینَکُمْ هُزُواً وَ لَعِباً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الآیة السابقة شناعة فعل أهل الکتاب و الکفّار فی اتّخاذهم دین الإسلام هزوا و لعبا،و نهی عن اتّخاذهم أولیاء، و ذکر فی هذه الآیة شناعة فعلهم الآخر،و هو أخذ المناداة إلی الصلاة أو نفسها هزوا و 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ظهر من قول المصنف بعد نقل هذه الآیة من نهی اتّخاذهم أولیاء مضمون الآیة السابقة،و ذکره تلک الآیة 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التاسعة،و عدم ذکرها بعده،للإرتباط بهذه الآیة، و خروجها عمّا نحن فیه،و هو الإشتمال علی الأذان</w:t>
      </w:r>
      <w:r>
        <w:rPr>
          <w:rFonts w:eastAsia="IRNazanin" w:cs="IRNazanin"/>
          <w:color w:val="111111"/>
          <w:sz w:val="28"/>
          <w:szCs w:val="28"/>
          <w:rtl w:val="true"/>
          <w:lang w:bidi="fa-IR"/>
        </w:rPr>
        <w:t>.</w:t>
      </w:r>
    </w:p>
    <w:p>
      <w:pPr>
        <w:pStyle w:val="Heading4"/>
        <w:numPr>
          <w:ilvl w:val="3"/>
          <w:numId w:val="1"/>
        </w:numPr>
        <w:rPr/>
      </w:pPr>
      <w:bookmarkStart w:id="107" w:name="__RefHeading___Toc4066849_3224264995"/>
      <w:bookmarkStart w:id="108" w:name="_Toc38"/>
      <w:bookmarkEnd w:id="107"/>
      <w:r>
        <w:rPr>
          <w:rtl w:val="true"/>
        </w:rPr>
        <w:t>النوع الخامس</w:t>
      </w:r>
      <w:r>
        <w:rPr>
          <w:rtl w:val="true"/>
        </w:rPr>
        <w:t>:</w:t>
      </w:r>
      <w:r>
        <w:rPr>
          <w:rtl w:val="true"/>
        </w:rPr>
        <w:t>فی مقارنات الصلاة و فیه آیات</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حینئذ لا معنی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تُخٰافِتْ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نهی الجهر بالمعنی المفهوم من الروایة یستلزم الأمر بالإخفات،لکون الصلاة مأمورا بها، و یمتنع خلوّها عنهما و إن لم یستلزم النهی المذکور الأمر بالإخفات،فلا محالة ینافی </w:t>
      </w:r>
    </w:p>
    <w:p>
      <w:pPr>
        <w:pStyle w:val="BookText"/>
        <w:rPr/>
      </w:pPr>
      <w:r>
        <w:rPr>
          <w:rFonts w:ascii="IRNazanin" w:hAnsi="IRNazanin" w:eastAsia="IRNazanin"/>
          <w:color w:val="111111"/>
          <w:sz w:val="28"/>
          <w:sz w:val="28"/>
          <w:szCs w:val="28"/>
          <w:rtl w:val="true"/>
          <w:lang w:bidi="fa-IR"/>
        </w:rPr>
        <w:t>النهی عن الإخفات،فجوّز غلط الروایة عنهما علیهما السّلام أو کون الإخفات المنهیّ حدیث النفس،و حینئذ یتحقّق الواسطة بین الجهر و الإخفات المنهیّین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وَ ابْتَغِ </w:t>
      </w:r>
      <w:r>
        <w:rPr>
          <w:rStyle w:val="FootnoteAnchor"/>
          <w:rtl w:val="true"/>
        </w:rPr>
        <w:footnoteReference w:id="147"/>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تُخٰافِتْ بِهٰا ظاهر الدلالة علی عدم امتناع خلّو الصلاة عن الجهر و الإخفات المنهیّین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مقصوده قدّس سرّه أنّه لو کان سبب نزول الآیة ما ذکر،لوجب الإکتفاء فیها بنهی الجهر و نهی الإخفات،و الأمر بالإبتغاء بعد النهی عن الجهر یدلاّن علی عدم کون سبب النزول ما ذکر،و حینئذ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إنّما یتوجّه هذا الکلام لو کان ما ذکر سبب نزول الآیة،و أمّا إن کان ما ذکر سبب نهی الجهر فقط فلا،و لعلّ لنهی الإخفات و الأمر بالإبتغاء سببا لم یذکر هاهنا و لا اطّلاع لنا علیه،لا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الإخفات محمول علی حدیث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آب عن هذا الإحتمال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؛غرضه رحمه اللّه محض بیان اختلاف الموضعین،لا الإستدلال علی کون الإخفات مطلوبا فی الدعاء بالآیتین،و لعلّ محلّ الإستدلال وَ دُونَ الْجَهْرِ </w:t>
      </w:r>
      <w:r>
        <w:rPr>
          <w:rStyle w:val="FootnoteAnchor"/>
          <w:rtl w:val="true"/>
        </w:rPr>
        <w:footnoteReference w:id="148"/>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رکعتی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ما ذکرت إن لم یخصّ حکم الآیة بالرکعتین الأولتین،فلعلّ الآیة مخصوصة ببیان حکمهما، و یظهر حکم غیرهما بالسنّة،لأنّا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لیمکن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عدمه الأصل،و الروایة الصحیحة،و ظاهر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من طلب ابتغاء بین ذلک کونه مرتبة شخصیّة حتّی یتمّ دلالة ظاهر الآیة علی عدم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تدلّ </w:t>
      </w:r>
      <w:r>
        <w:rPr>
          <w:rStyle w:val="FootnoteAnchor"/>
          <w:rtl w:val="true"/>
        </w:rPr>
        <w:footnoteReference w:id="149"/>
      </w:r>
      <w:r>
        <w:rPr>
          <w:rFonts w:ascii="IRNazanin" w:hAnsi="IRNazanin" w:eastAsia="IRNazanin"/>
          <w:color w:val="111111"/>
          <w:sz w:val="28"/>
          <w:sz w:val="28"/>
          <w:szCs w:val="28"/>
          <w:rtl w:val="true"/>
          <w:lang w:bidi="fa-IR"/>
        </w:rPr>
        <w:t>الآیة علی التفصیل،و لا کلام فیه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من طلب الإبتغاء بعد النهی عن الجهر و الإخفات دلالة الآیة </w:t>
      </w:r>
    </w:p>
    <w:p>
      <w:pPr>
        <w:pStyle w:val="BookText"/>
        <w:rPr/>
      </w:pPr>
      <w:r>
        <w:rPr>
          <w:rFonts w:ascii="IRNazanin" w:hAnsi="IRNazanin" w:eastAsia="IRNazanin"/>
          <w:color w:val="111111"/>
          <w:sz w:val="28"/>
          <w:sz w:val="28"/>
          <w:szCs w:val="28"/>
          <w:rtl w:val="true"/>
          <w:lang w:bidi="fa-IR"/>
        </w:rPr>
        <w:t>علی المطلوب من کیفیّة القراءة بحیث یمکن الإکتفاء بما ظهر بها،و هذه الدلالة إنّما تتمّ بعدم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نعم،هذه الدلالة،دلالة ضعیفة یصرف عنها بأدنی صارف،و 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 أنّ وجوب الجهر فی بعض الصلوات و الإخفات فی بعضها مع خفاء معناهما بعید أو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 ما ادّعی قدّس سرّه من عدم امتیاز معنی الجهر و الإخفات عرفا لو تمّ ما ذکره لدلّ علی عدم طلب التفصیل مطلقا،لا وجوبا،و لا استحبابا،فلا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حمل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یوافق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صاحب الکشّاف أنّ الآیة نازلة فی الصلاة الجهریّة بابتغاء الوسط،فحینئذ لا یرد ما أورده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صاحب الکشّاف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بصلاتک کلّها، و لا تخافت بها کلّها،و ابتغ بین ذلک سبیلا بأن تجهر بصلاة اللیل،و تخافت بصلاة النهار</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یدلّ علی أنّ القول الأوّل لیس قولا باختلاف الصلاة فی الجهر و الإخفات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یقال من قبل المصنّف قدّس سرّه لکن یمکن أن یقال من قبل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شهرة اختلاف الصلاة فی الجهر و الإخفات کافیة فی عدم اشتباه إرادة العموم فی الأوّل،فالمقصود من الأوّل ابتغاء الوسط فی الصلاة الجهریّة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ابتغاء الوسط فی مطلق الصلاة بحیث یصیر بعض الصلاة جهریّا و بعضها إخفاتیّا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طلب الخفیة فی الدعاء لا ینافی ابتغاء الوسط فی قراءة الصلاة التی یتبادر منها قراءة الحمد و السورة عند تحقّق الوسط فی ضمن الجهر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المراد بطلب الخفیة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مقتضی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أکثر المواضع،لخروج الدعاء فی القنوت و غیره ممّا ظهر من السنّة طلب الجهر فیها عن العموم</w:t>
      </w:r>
      <w:r>
        <w:rPr>
          <w:rFonts w:eastAsia="IRNazanin" w:cs="IRNazanin"/>
          <w:color w:val="111111"/>
          <w:sz w:val="28"/>
          <w:szCs w:val="28"/>
          <w:rtl w:val="true"/>
          <w:lang w:bidi="fa-IR"/>
        </w:rPr>
        <w:t xml:space="preserve">. </w:t>
      </w:r>
      <w:bookmarkStart w:id="109" w:name="pg12937_139064"/>
    </w:p>
    <w:p>
      <w:pPr>
        <w:pStyle w:val="BookText"/>
        <w:rPr/>
      </w:pPr>
      <w:bookmarkEnd w:id="109"/>
      <w:r>
        <w:rPr>
          <w:rFonts w:ascii="IRNazanin" w:hAnsi="IRNazanin" w:eastAsia="IRNazanin"/>
          <w:color w:val="111111"/>
          <w:sz w:val="28"/>
          <w:sz w:val="28"/>
          <w:szCs w:val="28"/>
          <w:rtl w:val="true"/>
          <w:lang w:bidi="fa-IR"/>
        </w:rPr>
        <w:t>ذکر صاحب الکشّاف حکایة النسخ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بصلاتک،بدعائک</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إرادة الدعاء من الصلاة یمکن الجمع باحتمال أن یکون المراد بابتغاء الوسط فیما لا یخرجه الدلیل ما لا یکون جهرا عرفا و لا إخفاتا بحیث لا یسمع نفسه،و هذا الوسط لا ینافی الخفیة التی هی مقابل الجهر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صلّی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p>
    <w:p>
      <w:pPr>
        <w:pStyle w:val="Heading4"/>
        <w:numPr>
          <w:ilvl w:val="3"/>
          <w:numId w:val="1"/>
        </w:numPr>
        <w:rPr/>
      </w:pPr>
      <w:bookmarkStart w:id="110" w:name="__RefHeading___Toc4066851_3224264995"/>
      <w:bookmarkStart w:id="111" w:name="_Toc39"/>
      <w:bookmarkEnd w:id="110"/>
      <w:r>
        <w:rPr>
          <w:rtl w:val="true"/>
        </w:rPr>
        <w:t>النوع السادس</w:t>
      </w:r>
      <w:r>
        <w:rPr>
          <w:rtl w:val="true"/>
        </w:rPr>
        <w:t>:</w:t>
      </w:r>
      <w:r>
        <w:rPr>
          <w:rtl w:val="true"/>
        </w:rPr>
        <w:t>فی المندوبات</w:t>
      </w:r>
      <w:bookmarkEnd w:id="111"/>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إرادة ذبح ما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یخرج من إرادة النحر بخصوصه الذبح،یخرج من إرادة الذبح بخصوصه النحر؛فکان الظاهر أن یقول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ذبح ما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تذکیة ما ذکّی،و إن کان مراده من الذبح هو المعنی العام، بقرینة المقام،و مجیء الذبح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کمنع ذبحا و ذباحا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و فتق و نحر</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الغسل المستحبّ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محض الإحتمال،و سلب الإستبعاد الذی یجری فیما لا اطّلاع لنا علیه،لا الحکم بالإستحباب الناشی من المأخذ الشرعی الذی یصیر مناط العمل،بل لیس علی جواز العبادة بأمثال هذه الإحتمالات دلیل أصلا،و احتمال البدعة فی فعل العبادة بأمثال هذه الإحتمالات ظاهر؛فمقتضی رعایة الإحتیاط و ملازمة مسلک النجاة الإجتناب عن عبادة کان مأخذها أمثال هذه الإحتمالات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غرضی توجیه کلامه قدّس سرّه مهما أمکن،و إلاّ حمل کلامه رحمه اللّه علی محض سلب الإستبعاد بعید،و یصیر أبعد بالأمر بالإستفهام،لیترتّب علیه الإفهام،و لعلّه ظهر له من السورة و غیرها دلالة علی المدّعی بطریق لم یبلغ ذهننا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الوجوب من خصایصه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تقویة هذا الإحتمال بإفراد الخطاب فی آیة الإستعاذة،مع کون الآیة السابقة صریحة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إرادة اللّه تعالی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رحمه اللّه أراد بعدم الإمکان،البعید </w:t>
      </w:r>
      <w:r>
        <w:rPr>
          <w:rStyle w:val="FootnoteAnchor"/>
          <w:rtl w:val="true"/>
        </w:rPr>
        <w:footnoteReference w:id="155"/>
      </w:r>
      <w:r>
        <w:rPr>
          <w:rFonts w:ascii="IRNazanin" w:hAnsi="IRNazanin" w:eastAsia="IRNazanin"/>
          <w:color w:val="111111"/>
          <w:sz w:val="28"/>
          <w:sz w:val="28"/>
          <w:szCs w:val="28"/>
          <w:rtl w:val="true"/>
          <w:lang w:bidi="fa-IR"/>
        </w:rPr>
        <w:t>و إلاّ عدم ظهور القرینة الدالّة علی ظهور معنی لنا لا ینافی إرادته تعالی،لإمکان إقامة قرینة خفیّة متّصلة أو منفصلة یفهم بها المقصود رسول اللّه صلّی اللّه علیه و آله و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بالجملة،إفهام من نزّل علیه کاف لإمکان الإرادة،ألا تری إلی روایات دالّة علی إمکان استنباط جمیع الأحکام من القرآن،و ما یبلغ إلیه عقول غیر حجج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الإستحباب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نقل الإستعاذة من الأئمّة علیهم السّلام فی الصلاة فی غیر الرکعة الاولی عند قراءة الحمد فقط،الحکم باستحبابها عند قراءة السورة مطلقا و عند قراءة الحمد فی غیر الاولی بهذه الآیة مشکل؛ لعدم صراحتها فی العموم،و عدم نقل العموم من الحجج لا قولا و لا فعلا دالّ علی عدمه دلالة قویّة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له أن یرجع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الإرادة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إنّما یدفع الوجوب البتّی لا الشرطی،و لعلّ عدم القول به،و عدم نقل ما یناسب العموم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أشرت إلیه فی 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التأویل بالإستحباب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رحمه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الوجوب الشرطی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 الأخبار عنها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 عدم الوجوب یدلّ علی عدم عموم الإستحباب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لیست بصریحة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الصراحة فی العموم غیر ضارّ مع الظهور الذی هو ظاهر السیاق،و لعلّ هذا هو وجه التأمّل،أو عدّ قراءة الرکعات قراءة واحدة،أو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المرتّب علی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 بتکرّره قیاسا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 من القیاس ها هنا لیس قیاسا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کون نصفه بدلا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إبدال النصف من القلیل بعد،لأنّ إرادة النصف من القلیل بعید إن جازت،و إن جعلت القلّة </w:t>
      </w:r>
      <w:r>
        <w:rPr>
          <w:rStyle w:val="FootnoteAnchor"/>
          <w:rtl w:val="true"/>
        </w:rPr>
        <w:footnoteReference w:id="157"/>
      </w:r>
      <w:r>
        <w:rPr>
          <w:rFonts w:ascii="IRNazanin" w:hAnsi="IRNazanin" w:eastAsia="IRNazanin"/>
          <w:color w:val="111111"/>
          <w:sz w:val="28"/>
          <w:sz w:val="28"/>
          <w:szCs w:val="28"/>
          <w:rtl w:val="true"/>
          <w:lang w:bidi="fa-IR"/>
        </w:rPr>
        <w:t>بالنسبة إلی جمیع اللیل کما أنّها إذا کان قوم عشرة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القوم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عند العقل إرادة إکرام الخمسة إن جازت إرادته مع جریان التوجیه الذی هو قلّة الخمسة بالنسبة إلی العشرة بخلاف إبداله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بعد الإحتمال الأوّل علی تقدیر جوازه و قرب الثانی یدفع الإلتباس،و کیف ظهور خلافه و توسیط الإستثناء بعد الأمن عن الإلتباس بما ذکرته سهل و لغویة </w:t>
      </w:r>
      <w:r>
        <w:rPr>
          <w:rStyle w:val="FootnoteAnchor"/>
          <w:rtl w:val="true"/>
        </w:rPr>
        <w:footnoteReference w:id="158"/>
      </w:r>
      <w:r>
        <w:rPr>
          <w:rFonts w:ascii="IRNazanin" w:hAnsi="IRNazanin" w:eastAsia="IRNazanin"/>
          <w:color w:val="111111"/>
          <w:sz w:val="28"/>
          <w:sz w:val="28"/>
          <w:szCs w:val="28"/>
          <w:rtl w:val="true"/>
          <w:lang w:bidi="fa-IR"/>
        </w:rPr>
        <w:t>أو انقص من النصف الذی استثنی منه قلیل قلیلا فلا،و حینئذ لا احتیاج إلی أحد العذرین المذکورین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المقصود من أَوْ زِدْ </w:t>
      </w:r>
      <w:r>
        <w:rPr>
          <w:rStyle w:val="FootnoteAnchor"/>
          <w:rtl w:val="true"/>
        </w:rPr>
        <w:footnoteReference w:id="159"/>
      </w:r>
      <w:r>
        <w:rPr>
          <w:rFonts w:ascii="IRNazanin" w:hAnsi="IRNazanin" w:eastAsia="IRNazanin"/>
          <w:color w:val="111111"/>
          <w:sz w:val="28"/>
          <w:sz w:val="28"/>
          <w:szCs w:val="28"/>
          <w:rtl w:val="true"/>
          <w:lang w:bidi="fa-IR"/>
        </w:rPr>
        <w:t>الزیادة المطلقة التی یندرج فیها ما إذا انضّمت أیضا یکون المجموع أقلّ من النصف و نفسه و أکثر منه لعدم تقیید الزیادة بالقلّة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أشار إلی ما ذکرته علی ما ینقله المصنّف رحمه اللّه و ذکر النصف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 بعنوان المثال لاندراجه فی الزاید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هذا بالنظر إلی ظاهر الآیة مع قطع النظر عن الروایة،فإن کان ما نقل عن الصادق علیه السّلام فی تفسیر الآیة منه علیه السّلام فهو المقصود،و عدم إدراکنا الجهة من قصورنا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لزوم لغویّة الإستثناء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؛لغویّة الإستثناء إنّما تلزم إن لم یکن المقصود التکلیف بأقلّ من نصف اللیل بقدر قلیل أو أقلّ من ذلک الأقلّ بقلیل،أو أزید من الأقلّ الأوّل مطلقا کما أو مأت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الوصول إلی الربع أو النصف،بخصوصه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أنقص أو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أحدهما،بل ذکرهما بعنوان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ظهور کون اللیل للإستغراق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ظهور العهد،و عدم مناسبة الجنس ظاهر فی الإستغراق،و عدم الإحتیاج إلی الإستثناء إنّما هو إن ارید بالعذر و المرض،العذر و المرض اللذان لا یمکن معهما القیام فی اللیل،و أمّا إن ارید بهما ما یندرج فیه الحالة التی یشقّ معها القیام فی اللیل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التکلّف فی البدل فلعلّه لکون الظاهر حین إرادة الإستغراق إرادة نصف اللیالی، عدد الذی عدم إرادته ظاهر،لا إرادة نصف کلّ واحد من اللیالی مقدارا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سهل؛لأنّه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استثناء لیالی المرض و العذر بیّن أنّ الأمر بقیام کلّ واحد من اللیالی الباقیة إنّما هو بنصفه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سیجیء فی هذه السورة من </w:t>
      </w:r>
      <w:r>
        <w:rPr>
          <w:rStyle w:val="FootnoteAnchor"/>
          <w:rtl w:val="true"/>
        </w:rPr>
        <w:footnoteReference w:id="16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w:t>
      </w:r>
      <w:r>
        <w:rPr>
          <w:rStyle w:val="FootnoteAnchor"/>
          <w:rtl w:val="true"/>
        </w:rPr>
        <w:footnoteReference w:id="162"/>
      </w:r>
      <w:r>
        <w:rPr>
          <w:rFonts w:ascii="Amiri" w:hAnsi="Amiri" w:eastAsia="Amiri" w:cs="Amiri"/>
          <w:color w:val="111111"/>
          <w:sz w:val="28"/>
          <w:sz w:val="28"/>
          <w:szCs w:val="28"/>
          <w:rtl w:val="true"/>
          <w:lang w:bidi="ar-SA"/>
        </w:rPr>
        <w:t xml:space="preserve">فلإستعمال اللیل هاهنا علی وفق قُمِ اللَّیْلَ </w:t>
      </w:r>
      <w:r>
        <w:rPr>
          <w:rStyle w:val="FootnoteAnchor"/>
          <w:rtl w:val="true"/>
        </w:rPr>
        <w:footnoteReference w:id="163"/>
      </w:r>
      <w:r>
        <w:rPr>
          <w:rFonts w:ascii="IRNazanin" w:hAnsi="IRNazanin" w:eastAsia="IRNazanin"/>
          <w:color w:val="111111"/>
          <w:sz w:val="28"/>
          <w:sz w:val="28"/>
          <w:szCs w:val="28"/>
          <w:rtl w:val="true"/>
          <w:lang w:bidi="fa-IR"/>
        </w:rPr>
        <w:t xml:space="preserve">و عدم </w:t>
      </w:r>
      <w:r>
        <w:rPr>
          <w:rStyle w:val="FootnoteAnchor"/>
          <w:rtl w:val="true"/>
        </w:rPr>
        <w:footnoteReference w:id="164"/>
      </w:r>
      <w:r>
        <w:rPr>
          <w:rFonts w:ascii="IRNazanin" w:hAnsi="IRNazanin" w:eastAsia="IRNazanin"/>
          <w:color w:val="111111"/>
          <w:sz w:val="28"/>
          <w:sz w:val="28"/>
          <w:szCs w:val="28"/>
          <w:rtl w:val="true"/>
          <w:lang w:bidi="fa-IR"/>
        </w:rPr>
        <w:t>إرادة الإستغراق هاهنا، فالسابق کذلک،لبعد اختلاف الإرادة مع اتّحاد اللفظ</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دفع هذا البعد بما ذکرته فی دفع التکلّف عن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الإحتیاج إلی التکلّف فی الإستثنا فلعلّه باعتبار أنّه إذا تعلّق الإستثناء باللیل عند إرادة الإستغراق منه لم یظهر </w:t>
      </w:r>
    </w:p>
    <w:p>
      <w:pPr>
        <w:pStyle w:val="BookText"/>
        <w:rPr/>
      </w:pPr>
      <w:r>
        <w:rPr>
          <w:rFonts w:ascii="IRNazanin" w:hAnsi="IRNazanin" w:eastAsia="IRNazanin"/>
          <w:color w:val="111111"/>
          <w:sz w:val="28"/>
          <w:sz w:val="28"/>
          <w:szCs w:val="28"/>
          <w:rtl w:val="true"/>
          <w:lang w:bidi="fa-IR"/>
        </w:rPr>
        <w:t>کون القلیل المستثنی من عموم اللیالی هو لیالی العذر و المرض؛فالحمل علی هذا الإحتمال حمل اللفظ علی ما لا یبلغ إلیه العقول من غیر ضرورة داعیة إلیه،و حمل اللفظ علی مثل هذا الإحتمال فی مثل هذه الحالة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هذا المعنی إنّما کانت بعیدة لو کان الخطاب إلینا،و أمّا إذا کان الخطاب إلی رسول اللّه صلّی اللّه علیه و آله کما هو مقتضی قُمِ اللَّیْلَ فلا بعد فیه أصلا،و مع ما ذکرته،بعض الأخبار یدلّ علی هذا الإحتمال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فیمکن حملها علی عدم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فَتٰابَ عَلَیْکُمْ فَاقْرَؤُا مٰا تَیَسَّرَ مِنَ الْقُرْآنِ </w:t>
      </w:r>
      <w:r>
        <w:rPr>
          <w:rStyle w:val="FootnoteAnchor"/>
          <w:rtl w:val="true"/>
        </w:rPr>
        <w:footnoteReference w:id="165"/>
      </w:r>
      <w:r>
        <w:rPr>
          <w:rFonts w:ascii="Amiri" w:hAnsi="Amiri" w:eastAsia="Amiri" w:cs="Amiri"/>
          <w:color w:val="111111"/>
          <w:sz w:val="28"/>
          <w:sz w:val="28"/>
          <w:szCs w:val="28"/>
          <w:rtl w:val="true"/>
          <w:lang w:bidi="ar-SA"/>
        </w:rPr>
        <w:t>الدالّ علی تعذّر ضبط الوقت،و ترتّب أمر فَاقْرَؤُا مٰا تَیَسَّرَ مِنَ الْقُرْآنِ علیه علی عدم القدرة علی الصلاة فی غایة البعد لو أمکن الحمل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إطلاق المرض و السفر و المقاتلة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سَیَکُونُ مِنْکُمْ مَرْضیٰ </w:t>
      </w:r>
      <w:r>
        <w:rPr>
          <w:rStyle w:val="FootnoteAnchor"/>
          <w:rtl w:val="true"/>
        </w:rPr>
        <w:footnoteReference w:id="166"/>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w:t>
      </w:r>
      <w:r>
        <w:rPr>
          <w:rStyle w:val="FootnoteAnchor"/>
          <w:rtl w:val="true"/>
        </w:rPr>
        <w:footnoteReference w:id="167"/>
      </w:r>
      <w:r>
        <w:rPr>
          <w:rFonts w:ascii="IRNazanin" w:hAnsi="IRNazanin" w:eastAsia="IRNazanin"/>
          <w:color w:val="111111"/>
          <w:sz w:val="28"/>
          <w:sz w:val="28"/>
          <w:szCs w:val="28"/>
          <w:rtl w:val="true"/>
          <w:lang w:bidi="fa-IR"/>
        </w:rPr>
        <w:t>و عدم تقیید واحد منها بما یتعذّر معه صلاة اللیل،علی عدم القدرة بعید،خصوصا حمل السفر و المقاتلة علیه لشیوع القتال بالنهار، و حصول الکلال به لا یصیر فی الأغلب سببا لعدم القدرة علی صلاة اللیل؛و السفر إن کان بالنهار فکذلک،و إن کان باللیل و استوعب اللیل یصیر سببا لعدم القدرة إن لم یجز فعل صلاة اللیل سائرا،و لیس کذلک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مراده بکون المراد بقم اللیل،صلاة اللیل،أعمّ من أن یکون المراد بقیام اللیل هو صلاة اللیل أو یکون المراد قم اللیل للصلاة،فلا ینافی ما ذکره المصنّف رحمه اللّه بعد نقل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قم اللیل أیّها المزمل بالثیاب أو بأعباء النبوّة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الإجماع،لکن قوله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مجمع البیان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الصلاة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أنّ القیام باللیل کنایة عن الصلاة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فهم المصنّف من عبارة مجمع البیان المعنی الأعمّ؛لدلالة نقل کلام مجمع البیان بعد ذکر الإحتمالین کونه مغایرا لکلّ واحد منهما عند المصنّف؛و لو کان مراد صاحب مجمع البیان المعنی العام عنده لکان الإحتمالان مندرجین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فلعلّه لم یثبت للمصنّف هذا الإجماع،أو </w:t>
      </w:r>
      <w:r>
        <w:rPr>
          <w:rStyle w:val="FootnoteAnchor"/>
          <w:rtl w:val="true"/>
        </w:rPr>
        <w:footnoteReference w:id="169"/>
      </w:r>
      <w:r>
        <w:rPr>
          <w:rFonts w:ascii="IRNazanin" w:hAnsi="IRNazanin" w:eastAsia="IRNazanin"/>
          <w:color w:val="111111"/>
          <w:sz w:val="28"/>
          <w:sz w:val="28"/>
          <w:szCs w:val="28"/>
          <w:rtl w:val="true"/>
          <w:lang w:bidi="fa-IR"/>
        </w:rPr>
        <w:t>لم یثبت عنده حجیّة إجماع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الإستدلال بهذه الآیات علی وجوب صلاة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الاستدلال علی وجوبها علی النبی صلّی اللّه علیه و آله فبقوله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w:t>
      </w:r>
      <w:r>
        <w:rPr>
          <w:rStyle w:val="FootnoteAnchor"/>
          <w:rtl w:val="true"/>
        </w:rPr>
        <w:footnoteReference w:id="170"/>
      </w:r>
      <w:r>
        <w:rPr>
          <w:rFonts w:ascii="IRNazanin" w:hAnsi="IRNazanin" w:eastAsia="IRNazanin"/>
          <w:color w:val="111111"/>
          <w:sz w:val="28"/>
          <w:sz w:val="28"/>
          <w:szCs w:val="28"/>
          <w:rtl w:val="true"/>
          <w:lang w:bidi="fa-IR"/>
        </w:rPr>
        <w:t>لظهور الأمر فی الوجوب؛و لا یظهر وجوبها علی الامّة بظاهر هذه الآیة،لکون الخطاب مخصوصا ظاهرا به صلّی اللّه علیه و آله و لا دلیل علی اندراجهم فی هذا الطلب؛لعدم ظهور کون الخطاب عامّا بحسب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مِنَ الَّذِینَ مَعَکَ </w:t>
      </w:r>
      <w:r>
        <w:rPr>
          <w:rStyle w:val="FootnoteAnchor"/>
          <w:rtl w:val="true"/>
        </w:rPr>
        <w:footnoteReference w:id="171"/>
      </w:r>
      <w:r>
        <w:rPr>
          <w:rFonts w:ascii="IRNazanin" w:hAnsi="IRNazanin" w:eastAsia="IRNazanin"/>
          <w:color w:val="111111"/>
          <w:sz w:val="28"/>
          <w:sz w:val="28"/>
          <w:szCs w:val="28"/>
          <w:rtl w:val="true"/>
          <w:lang w:bidi="fa-IR"/>
        </w:rPr>
        <w:t>لا یدلّ علی اندراجهم فی الخطاب،بل الظاهر تبرّعهم بعبادة امر رسول اللّه صلّی اللّه علیه و آله بها؛فتأسّیهم به صلّی اللّه علیه و آله فی أصل الفعل،و فی قدر الوقت المقدّر له،لا فی جهته من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الإستدلال علی استحبابها علی الامّة فبقوله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مِنَ الَّذِینَ مَعَکَ لأنّه لا شکّ فی دلالته علی رجحان فعلهم،و الأعذار المذکورة بعد انضمام الطائفة بصیغ الجمع مثل لَنْ تُحْصُوهُ </w:t>
      </w:r>
      <w:r>
        <w:rPr>
          <w:rStyle w:val="FootnoteAnchor"/>
          <w:rtl w:val="true"/>
        </w:rPr>
        <w:footnoteReference w:id="172"/>
      </w:r>
      <w:r>
        <w:rPr>
          <w:rFonts w:ascii="IRNazanin" w:hAnsi="IRNazanin" w:eastAsia="IRNazanin"/>
          <w:color w:val="111111"/>
          <w:sz w:val="28"/>
          <w:sz w:val="28"/>
          <w:szCs w:val="28"/>
          <w:rtl w:val="true"/>
          <w:lang w:bidi="fa-IR"/>
        </w:rPr>
        <w:t xml:space="preserve">و ما بعده تدلّ علی التخفیف بحسب الزمان لا عن الأصل؛ فمن کان الأصل بالنسبة إلیه واجبا خفّف فی الوقت مع بقاء الوجوب،و من کان بالنسبة إلیه مستحبّا </w:t>
      </w:r>
      <w:r>
        <w:rPr>
          <w:rStyle w:val="FootnoteAnchor"/>
          <w:rtl w:val="true"/>
        </w:rPr>
        <w:footnoteReference w:id="173"/>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ذکرته أنّه لا إشعار فی الآیة علی وجوبها علی الامّة حتّی یحتاج إلی ذکر احتمال النسخ بالنسبة إلیهم،و أنّ ظاهر سیاق الآیة هو تخفیف الإستحباب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فی کلّ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یناسب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هاهنا؛لبعد الانفصال إِلاّٰ قَلِیلاً عن قُمِ اللَّیْلَ فی النزول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قراءة القرآن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الأخبار تدلّ علی الإستحباب العامّ خصوصا باللیل؛فلتحمل الآیة علی بیان هذا الإستحباب لا علی بیان الوجوب الذی هو الوجوب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القید حینئذ یصیر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حمل الآیة علی الإستحباب المذکور،لا علی الوجوب الکفائی؛لأنّ للإستحباب خصوصیّة مّا باللیل علی ما هو ظاهر سیاق الآیة؛و یدلّ علی هذه الخصوصیّة أخبار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الکفائی للحفظ و المعجزة و أدلّة الاصول،فلا اختصاص له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یصیر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 حین حمل فَاقْرَؤُا علی الوجوب الکفائی یصیر لغوا،فیجب حمل فَاقْرَؤُا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استحباب قراءة القرآن باللیل؛لاختصاص زیادة الاستحباب و تأکیده باللیل،و هذا القدر کاف للتقیید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ترتیل القرآن قراءته علی ترسّل و تؤدة بتبیین الحروف و إشباع الحرکات حتّی یجیء المتلوّ منه شبها بالثغر المرتّل،و هو المفلّج </w:t>
      </w:r>
      <w:r>
        <w:rPr>
          <w:rStyle w:val="FootnoteAnchor"/>
          <w:rtl w:val="true"/>
        </w:rPr>
        <w:footnoteReference w:id="174"/>
      </w:r>
      <w:r>
        <w:rPr>
          <w:rFonts w:ascii="IRNazanin" w:hAnsi="IRNazanin" w:eastAsia="IRNazanin"/>
          <w:color w:val="111111"/>
          <w:sz w:val="28"/>
          <w:sz w:val="28"/>
          <w:szCs w:val="28"/>
          <w:rtl w:val="true"/>
          <w:lang w:bidi="fa-IR"/>
        </w:rPr>
        <w:t xml:space="preserve">المبشّر بنور الأقحوان </w:t>
      </w:r>
      <w:r>
        <w:rPr>
          <w:rStyle w:val="FootnoteAnchor"/>
          <w:rtl w:val="true"/>
        </w:rPr>
        <w:footnoteReference w:id="175"/>
      </w:r>
      <w:r>
        <w:rPr>
          <w:rFonts w:ascii="Amiri" w:hAnsi="Amiri" w:eastAsia="Amiri" w:cs="Amiri"/>
          <w:color w:val="111111"/>
          <w:sz w:val="28"/>
          <w:sz w:val="28"/>
          <w:szCs w:val="28"/>
          <w:rtl w:val="true"/>
          <w:lang w:bidi="ar-SA"/>
        </w:rPr>
        <w:t xml:space="preserve">،و أن لا یهذّه هذّا </w:t>
      </w:r>
      <w:r>
        <w:rPr>
          <w:rStyle w:val="FootnoteAnchor"/>
          <w:rtl w:val="true"/>
        </w:rPr>
        <w:footnoteReference w:id="176"/>
      </w:r>
      <w:r>
        <w:rPr>
          <w:rFonts w:ascii="IRNazanin" w:hAnsi="IRNazanin" w:eastAsia="IRNazanin"/>
          <w:color w:val="111111"/>
          <w:sz w:val="28"/>
          <w:sz w:val="28"/>
          <w:szCs w:val="28"/>
          <w:rtl w:val="true"/>
          <w:lang w:bidi="fa-IR"/>
        </w:rPr>
        <w:t xml:space="preserve">و لا یسرده سردا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التضید،الشدید البیاض،الکثیر الماء من الثغور؛ و رتّل الکلام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تألیفه؛و ترتّل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آخر ما یتعلّق بمعنی الترتیل فی کلام أمیر المؤمنین علیه السّلام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الرمل،و لعلّه علیه السّلام بعد تفسیر الترتیل بما فسّره ذکر ما یلیق أن یکون القاریء علیه بحسب القلب و الإقبال و إن لم یکن معنی الترتیل مشتملا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کون ما بعده داخلا فی معنی الترتیل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إقرأ متفکّرا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مجموع الروایة علی تفسیر الترتیل؛و یمکن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إقرأ متفکّرا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به القلوب القاسیة</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من غیر أن یجعله داخلا فی تفسیر الترتیل؛و ما ذکره رحمه اللّه بعده إشارة إلی معنی الترتیل الذی أشار إلیه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بیّنه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قدّس سرّه لم یبیّن عدم کون مجموع الروایة تفسیرا للترتیل،للأمن من الاشتباه،و إن کان مراده ما جوّزنا إرادته کان ذکر روایة أبی عبد اللّه علیه السّلام بتقریب أنّ سؤال الجنّة و التعوّذ من النار مطلوبان کما أنّ الترتیل مطلوب؛و غرضی من حمل کلامه علی ما حملناه بعد إرادة التفکّر و السؤال و التعوّذ من الترتیل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امّ سلمة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کونه تفسیرا للترتیل أو کونه معتبرا فیه،فإن ظهر من أمر آخر فالظاهر ذکره؛و ذکرها هاهنا بالتقریب من غیر أن یکون ما ذکر فیها معتبرا فی الترتیل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ذکرته فی روایة امّ سلمة جار فی روایة أنس</w:t>
      </w:r>
      <w:r>
        <w:rPr>
          <w:rFonts w:eastAsia="IRNazanin" w:cs="IRNazanin"/>
          <w:color w:val="111111"/>
          <w:sz w:val="28"/>
          <w:szCs w:val="28"/>
          <w:rtl w:val="true"/>
          <w:lang w:bidi="fa-IR"/>
        </w:rPr>
        <w:t xml:space="preserve">. </w:t>
      </w:r>
      <w:bookmarkStart w:id="112" w:name="pg12937_139072"/>
    </w:p>
    <w:p>
      <w:pPr>
        <w:pStyle w:val="BookText"/>
        <w:rPr/>
      </w:pPr>
      <w:bookmarkEnd w:id="11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علی وجوب الإستغفار و مشروعیّته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الغرض من ذکر مشروعیّته بعد ذکر وجوب الإستغفار الإشارة إلی أنّ الوجوب هاهنا هو المطلوبیّة المطلقة التی تتحقّق فی ضمن الوجوب الإصطلاحی و الإستحباب،و حینئذ 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استحباب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قبول التوبة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هذا القول و قوله بوجوب التوبة و الإستغفار فی جمیع الأحوال،و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منافاة؛لأنّه إذا تاب أحد عن جمیع المعاصی قبل توبته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قبول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معصیة له حینئذ؛و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الإستغفار بعده أیضا مع عدم جریان التعلیل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قبول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قبولها فی الجملة، و القبول لا یستلزم العلم به،و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خلوّه عنها بعنوان الإحتمال،لاحتمال عدم استیفاء التوبة شرایط القبول</w:t>
      </w:r>
      <w:r>
        <w:rPr>
          <w:rFonts w:eastAsia="IRNazanin" w:cs="IRNazanin"/>
          <w:color w:val="111111"/>
          <w:sz w:val="28"/>
          <w:szCs w:val="28"/>
          <w:rtl w:val="true"/>
          <w:lang w:bidi="fa-IR"/>
        </w:rPr>
        <w:t>.</w:t>
      </w:r>
    </w:p>
    <w:p>
      <w:pPr>
        <w:pStyle w:val="Heading4"/>
        <w:numPr>
          <w:ilvl w:val="3"/>
          <w:numId w:val="1"/>
        </w:numPr>
        <w:rPr/>
      </w:pPr>
      <w:bookmarkStart w:id="113" w:name="__RefHeading___Toc4066853_3224264995"/>
      <w:bookmarkStart w:id="114" w:name="_Toc40"/>
      <w:bookmarkEnd w:id="113"/>
      <w:r>
        <w:rPr>
          <w:rtl w:val="true"/>
        </w:rPr>
        <w:t>النوع السابع</w:t>
      </w:r>
      <w:r>
        <w:rPr>
          <w:rtl w:val="true"/>
        </w:rPr>
        <w:t>:</w:t>
      </w:r>
      <w:r>
        <w:rPr>
          <w:rtl w:val="true"/>
        </w:rPr>
        <w:t>فی أحکام متعدّدة تتعلّق بالصلاة</w:t>
      </w:r>
      <w:bookmarkEnd w:id="114"/>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حُیِّیتُمْ بِتَحِیَّةٍ فَحَیُّوا بِأَحْسَنَ مِنْهٰا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 یأثم و یبقی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الکلام خروج وقته بالتأخیر،و وجوب القضاء؛و الحکم بوجوبه بمحض الآیة لا یخلو من إشکال،بل الظاهر عدم إمکان الحکم بالوجوب بهذه الآیة؛و تأیید فوریّة حقوق الناس بهذه الآیة غیر ظاهر أیضا،فلعلّ لخصوصیّة التحیّة سببیّة للفوریّة لیست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غرضی عدم فوریّة حقوق الناس،بل عدم إمکان تأیید فوریّة الحقوق المطلقة بهذه الآیة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لإمکان إرادة المصنّف رحمه اللّه </w:t>
      </w:r>
    </w:p>
    <w:p>
      <w:pPr>
        <w:pStyle w:val="BookText"/>
        <w:rPr/>
      </w:pPr>
      <w:r>
        <w:rPr>
          <w:rFonts w:ascii="IRNazanin" w:hAnsi="IRNazanin" w:eastAsia="IRNazanin"/>
          <w:color w:val="111111"/>
          <w:sz w:val="28"/>
          <w:sz w:val="28"/>
          <w:szCs w:val="28"/>
          <w:rtl w:val="true"/>
          <w:lang w:bidi="fa-IR"/>
        </w:rPr>
        <w:t>بالفوریّة هاهنا استحقاق الإثم بالتأخیر،و إن بقی الوجوب علی تقدیر عدم الإتیان بالواجب فی الفور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یؤیّد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یرد علیه أنّه إذا حمل الأمر علی الفور و حکم بدلالته علی استحقاق الإثم بالتأخیر بالفاء فأیّ دلیل یدلّ حینئذ علی وجوب الردّ بعد استحقاق الإثم؟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بواضح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الإستدلال علیه بأنّ اشتغال الذمة بردّ السلام ثابت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فَحَیُّوا بِأَحْسَنَ مِنْهٰا أَوْ رُدُّوهٰا و بالأخبار </w:t>
      </w:r>
      <w:r>
        <w:rPr>
          <w:rStyle w:val="FootnoteAnchor"/>
          <w:rtl w:val="true"/>
        </w:rPr>
        <w:footnoteReference w:id="180"/>
      </w:r>
      <w:r>
        <w:rPr>
          <w:rFonts w:ascii="IRNazanin" w:hAnsi="IRNazanin" w:eastAsia="IRNazanin"/>
          <w:color w:val="111111"/>
          <w:sz w:val="28"/>
          <w:sz w:val="28"/>
          <w:szCs w:val="28"/>
          <w:rtl w:val="true"/>
          <w:lang w:bidi="fa-IR"/>
        </w:rPr>
        <w:t>،و لا یحصل العلم ببراءة الذمّة بدون الإسماع،و صراحة بعض الأخبار التی ادّعاها لیست عامّة،فإن لم یمکن التأویل وجب تخصیصها بموردها،لکن یمکن أن یکون حدیث النفس کنایة عن انخفاض الصوت فی حالة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الاستدلال بظاهر فَحَیُّوا ؛لعدم إطلاق التحیّة عرفا علی حدیث النفس و ما لا یسمع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تأییده فی الجملة بما رواه الکلینی بسنده عن ابن القدّاح،عن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أحدکم فلیجهر بسلامه،و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علیّ،و لعلّه یکون قد سلّم و لم یسمعهم؛فإذا ردّ أحدکم فلیجهر بردّه،و لا یقول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فلم یردّوا علیّ</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إجماع الامّة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ظاهر الإجماع ما رواه الکلینی عن غیاث بن إبراهیم فی الموثّق 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 من القوم واحد أجزأ عنهم،و إذا ردّ واحد أجزأ عنهم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عن أبی عبد اللّه علیه السّلام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سلّم علی القوم و هم جماعة أجزأهم أن یردّ واحد منهم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لا یبعد الإستدلال علی الأمر المتوفّر الدواعی بمثل تلک الأخبار و الإشتهار،إن لم یثبت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إنّما سلّم سلاما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لمّا قصد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 غیر المکلّف فی ضمن الجماعة،فکأنّه سلّم غیر المکلّف فی الجملة،لعدم وجوب الردّ عند ردّ غیر المکلّف،و أمّا إذا ترک الکلّ ردّ السلام فیأثم کلّ المکلّفین؛فلعلّ الأمر بالتأمّل لدفع توهّم کون السلام علی التقدیر المذکور مثل السلام علی غیر المکلّف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منشأ القول بالاستحباب عموم الأخبار، و أمّا عموم الآیة فلا؛لأنّ الآیة إنّما تدلّ علی عموم وجوب الردّ،و أمّا علی عموم التحیّة أوّلا فلا؛و ما یذکره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عدم صراحة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منع عموم الآیة لا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فالوجوب حینئذ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أفعال الصلاة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ردّ السلام بوجه من الوجوه بین العموم ممنوع؛لإمکان تخصیص العامّ بغیر صورة المعارضة مع الموالاة،و کون ردّ السلام عند المعارضة مع الموالاة حراما، و علی تقدیر وجوبه عند المعارضة بوجه مّا فقد یکون الوجوب تخییریّا بین ردّ السلام و رعایة الموالاة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یدلّ علی منافاة رعایة الموالاة المعتبرة </w:t>
      </w:r>
      <w:r>
        <w:rPr>
          <w:rStyle w:val="FootnoteAnchor"/>
          <w:rtl w:val="true"/>
        </w:rPr>
        <w:footnoteReference w:id="184"/>
      </w:r>
      <w:r>
        <w:rPr>
          <w:rFonts w:ascii="IRNazanin" w:hAnsi="IRNazanin" w:eastAsia="IRNazanin"/>
          <w:color w:val="111111"/>
          <w:sz w:val="28"/>
          <w:sz w:val="28"/>
          <w:szCs w:val="28"/>
          <w:rtl w:val="true"/>
          <w:lang w:bidi="fa-IR"/>
        </w:rPr>
        <w:t xml:space="preserve">فی القراءة لردّ السلام،و هی </w:t>
      </w:r>
    </w:p>
    <w:p>
      <w:pPr>
        <w:pStyle w:val="BookText"/>
        <w:rPr/>
      </w:pPr>
      <w:r>
        <w:rPr>
          <w:rFonts w:ascii="IRNazanin" w:hAnsi="IRNazanin" w:eastAsia="IRNazanin"/>
          <w:color w:val="111111"/>
          <w:sz w:val="28"/>
          <w:sz w:val="28"/>
          <w:szCs w:val="28"/>
          <w:rtl w:val="true"/>
          <w:lang w:bidi="fa-IR"/>
        </w:rPr>
        <w:t>ممنوعة؛لعدم ظهور انقطاع القراءة عن الموالاة بکلام خفیف،و مع ظهور هذا،الروایات الدالّة علی وجوب الردّ فی الصلاة،و فعل الأئمّة علیهم السّلام و الأمر بالصلاة علی النبیّ صلّی اللّه علیه و آله عند ذکره صلّی اللّه علیه و آله أو سماع إسمه فی الصلاة یدلّ علی 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بانتفاء الموالاة المعتبرة فی القراءة بمحض ردّ السلام،و التخییر بینهما عند المعارضة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یدلّ علی حکمه باستمرار الوجوب مع الفوریّة مثل الحجّ،و توقّفه عند تحقّق التعارض بین رعایة ردّ السلام و الموالاة فی أنّ أیّهما هو المأمور بالمراعاة؟ </w:t>
      </w:r>
      <w:r>
        <w:rPr>
          <w:rStyle w:val="FootnoteAnchor"/>
          <w:rtl w:val="true"/>
        </w:rPr>
        <w:footnoteReference w:id="185"/>
      </w:r>
      <w:r>
        <w:rPr>
          <w:rFonts w:ascii="IRNazanin" w:hAnsi="IRNazanin" w:eastAsia="IRNazanin"/>
          <w:color w:val="111111"/>
          <w:sz w:val="28"/>
          <w:sz w:val="28"/>
          <w:szCs w:val="28"/>
          <w:rtl w:val="true"/>
          <w:lang w:bidi="fa-IR"/>
        </w:rPr>
        <w:t>و مع عدم منافاة ردّ السلام للموالاة العرفیّة علی تقدیر تحقّق المنافاة تسقط رعایتها عند تعارضها لردّ السلام بظاهر الآیة و الأخبار و فعلهم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ذاکرا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علی التقیید الذی فی قول البعض،و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وقت السلام مشغولا بذکر من أذکار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علی تقدیر عدم الإشتغال بالذکر حین السلام قد یبطل الصلاة بترک الردّ؛فلا وجه للتقیید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بأنّ مراد البعض بوقت السلام ما یتناول وقت الردّ أیضا،و 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المراد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بالأذکار المستحبّه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کذا لو أتی بالأذکار المستحبّة حین ترک الردّ لم تبطل صلاته،فلا فرق بین الأذکار الواجبة و المستحبّة إلاّ بوجوب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الاولی و بطلان الصلاة بترک الإعادة، و عدم </w:t>
      </w:r>
      <w:r>
        <w:rPr>
          <w:rStyle w:val="FootnoteAnchor"/>
          <w:rtl w:val="true"/>
        </w:rPr>
        <w:footnoteReference w:id="186"/>
      </w:r>
      <w:r>
        <w:rPr>
          <w:rFonts w:ascii="IRNazanin" w:hAnsi="IRNazanin" w:eastAsia="IRNazanin"/>
          <w:color w:val="111111"/>
          <w:sz w:val="28"/>
          <w:sz w:val="28"/>
          <w:szCs w:val="28"/>
          <w:rtl w:val="true"/>
          <w:lang w:bidi="fa-IR"/>
        </w:rPr>
        <w:t>الإحتیاج إلی الإعادة فی الثانیة و عدم البطلان بترکها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معنی لِلّٰهِ باعتبار تعلّقه بالحیاة و المماة عند إرادة نفس الحیاة و المماة مخالف له باعتبار تعلّقه ب صَلاٰتِی وَ نُسُکِی و لا یخلو من بعد مّا بالنسبة إلی عقولنا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وجوب کون العبادة للّه لا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النیّة فی العبادة و وجوب کونها للّه لا لغیره ثابتان،لکن إثباتهما بهذه الآیة غیر ظاهر،لاحتمال الاختصاص،و لعلّ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أَوَّلُ الْمُسْلِمِینَ </w:t>
      </w:r>
      <w:r>
        <w:rPr>
          <w:rStyle w:val="FootnoteAnchor"/>
          <w:rtl w:val="true"/>
        </w:rPr>
        <w:footnoteReference w:id="188"/>
      </w:r>
      <w:r>
        <w:rPr>
          <w:rFonts w:ascii="IRNazanin" w:hAnsi="IRNazanin" w:eastAsia="IRNazanin"/>
          <w:color w:val="111111"/>
          <w:sz w:val="28"/>
          <w:sz w:val="28"/>
          <w:szCs w:val="28"/>
          <w:rtl w:val="true"/>
          <w:lang w:bidi="fa-IR"/>
        </w:rPr>
        <w:t>نوع تأیید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ذکرته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المراد باستفادة النیّة و وجوب کون العبادة للّه إنّما هما بالنسبة إلی رسول اللّه صلّی اللّه علیه و آله لا بالنسبة إلی الامّة أو الأعمّ حتّی یکون احتمال الإختصاص منافیا للاستنباط توهّم بعید یظهر بطلانه بأدنی تأمّل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مستلزم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فعلها لوجوبها مستلزم لقصد حصول الثواب و عدم العقاب،لا یبعد أن یصدر عن بعض الخلّص فی بعض الحال عبادة لکون طلبها حتمیّا بحیث یستحقّ فاعلها الثواب و تارکها العقاب،و مع ذلک إذا لاحظ نفسه یجدها تفعلها بمحض استحقاقه تعالی للامتثال فیما حتّمه و أوجبه، و بمحض محبّته الداعیة إلیه حتّی لو فرض خلوّها من الفائدتین الجلیلتین لم تجد فی فعلها فتورا،و هذه المرتبة لمّا کانت عزیزة جدّا علی تقدیر تحقّقها لم یحکم بوقوعها،بل حکم بعدم وقوعها فی غیر من قال باختصاصه بهذه المرتبة الجلیلة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ظاهر الإختصاص الذی ادّعاه قدّس سرّه أنّه إذا ثبت فعله علیه السّلام العبادة علی وجه یظهر من الروایة یثبت إمکان الفعل بهذا الوجه فی الجملة،فدعوی الإختصاص بمثله علیه السّلام خال عن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عبادة غیره و غیر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بل أکثریّا کذلک بعید بحسب عقولنا،و إن کان من کمّل الموفّقین لکان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مسلم مأمورا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التفریع لا یناسب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استفید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جواز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جواز التأخیر علی تقدیر حملها علی الزکاة الواجبة غیر ظاهرة؛لأنّه یدلّ علی جواز إعطاء الزکاة الواجبة قبل حلول وقت الوجوب بعض الروایات،فلعلّ هذا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لَعَلَّکُمْ تَتَّقُونَ جملة حالیة عن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لا یجوز أن یحمل علی رجاء اللّه تقویهم؛ لأنّ الرجاء لا یجوز علی عالم الغیب و الشهادة،و حمله علی أن یخلقهم راجین للتقوی لیس بسدید أیضا،و لکن لعلّ واقعة فی الآیة موقع المجاز لا الحقیقة؛لأنّ اللّه عزّ و جلّ خلق عباده لیتعبّدهم بالتکلیف،و رکّب فیهم العقول و الشهوات،و أزاح العلّة فی أقدارهم و تمکینهم،و هداهم النجدین،و وضع فی أیدیهم زمام الإختیار،و أراد منهم الخیر و التقوی،فهم فی صورة المرجوّ منهم أن یتّقوا،لیترجّح أمرهم،و هم مختارون بین الطاعة و العصیان کما ترجّحت حال المرتجی بین أن یفعل و أن لا یفعل،و مصداقه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Style w:val="FootnoteAnchor"/>
          <w:rtl w:val="true"/>
        </w:rPr>
        <w:footnoteReference w:id="192"/>
      </w:r>
      <w:r>
        <w:rPr>
          <w:rStyle w:val="FootnoteAnchor"/>
          <w:rtl w:val="true"/>
        </w:rPr>
        <w:footnoteReference w:id="1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أن یخلقهم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جعله حالا عن المخلوقین،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تحقّق الرجاء حین الخلق،فلا یتّحد زمان الرجاء و خلق المخلوقین،فلا یصحّ جعله حالا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جوابه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لعلّ 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 جواب الإشکال الناشئ من جعله حالا عن الخالق،لکن یمکن منه استنباط جواب الإشکال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اعبدوا راجین للتقوی؛هذا هو الإحتمال الأظهر </w:t>
      </w:r>
      <w:r>
        <w:rPr>
          <w:rStyle w:val="FootnoteAnchor"/>
          <w:rtl w:val="true"/>
        </w:rPr>
        <w:footnoteReference w:id="194"/>
      </w:r>
      <w:r>
        <w:rPr>
          <w:rFonts w:ascii="IRNazanin" w:hAnsi="IRNazanin" w:eastAsia="IRNazanin"/>
          <w:color w:val="111111"/>
          <w:sz w:val="28"/>
          <w:sz w:val="28"/>
          <w:szCs w:val="28"/>
          <w:rtl w:val="true"/>
          <w:lang w:bidi="fa-IR"/>
        </w:rPr>
        <w:t>بحسب أفهامنا،لعدم الإحتیاج إلی دفع إشکال عدم صحّة الرجاء بالنسبة إلی الخالق،و لا إشکال عدم اتّحاد زمان الحال و العامل،و حینئذ ینبغی القول إمّا باختلاف العبادة و التقوی و إن کان بأکملیّة التقوی کما أشار إلیه صاحب الکشّاف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غایات العبادة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،و إمّا بأنّ المقصود من الحال هو حصول ملکة العبادة؛و لعلّ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إشارة إلی الملکة،و إمّا باعتبار الأمرین کما هو ظاهر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؛التوافق بین الآیتین الذی أشار إلیه إمّا مبنیّ علی جعل التقوی فی و لَعَلَّکُمْ تَتَّقُونَ </w:t>
      </w:r>
      <w:r>
        <w:rPr>
          <w:rStyle w:val="FootnoteAnchor"/>
          <w:rtl w:val="true"/>
        </w:rPr>
        <w:footnoteReference w:id="197"/>
      </w:r>
      <w:r>
        <w:rPr>
          <w:rFonts w:ascii="IRNazanin" w:hAnsi="IRNazanin" w:eastAsia="IRNazanin"/>
          <w:color w:val="111111"/>
          <w:sz w:val="28"/>
          <w:sz w:val="28"/>
          <w:szCs w:val="28"/>
          <w:rtl w:val="true"/>
          <w:lang w:bidi="fa-IR"/>
        </w:rPr>
        <w:t>بمعنی العبادة،أو علی مناسبتها لها فی جواز صیرورتها غایة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نقل فی الکشّاف و تفسیر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علی سبیل الإطماع فی مواضع من القرآن،و لکن لأنّه إطماع من کریم رحیم إذا أطمع فعل ما یطمع فیه لا محالة لجری إطماعه مجری وعده المحتوم وفاؤه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الحقیقة ما القیت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الإطماع الذی أشار إلیه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لأنّه إطماع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عند جعل لَعَلَّکُمْ تَتَّقُونَ حالا من الخالق کما لا یخفی</w:t>
      </w:r>
      <w:r>
        <w:rPr>
          <w:rFonts w:eastAsia="Amiri" w:cs="Amiri" w:ascii="Amiri" w:hAnsi="Amiri"/>
          <w:color w:val="111111"/>
          <w:sz w:val="28"/>
          <w:szCs w:val="28"/>
          <w:rtl w:val="true"/>
          <w:lang w:bidi="ar-SA"/>
        </w:rPr>
        <w:t xml:space="preserve">. </w:t>
      </w:r>
      <w:bookmarkStart w:id="115" w:name="pg12937_139079"/>
    </w:p>
    <w:p>
      <w:pPr>
        <w:pStyle w:val="BookText"/>
        <w:rPr/>
      </w:pPr>
      <w:bookmarkEnd w:id="115"/>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یکون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إسما بمعنی بعض،کما یدلّ علیه جعله الرزق حینئذ حالا أو مفعولا له، و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رِزْقاً </w:t>
      </w:r>
      <w:r>
        <w:rPr>
          <w:rStyle w:val="FootnoteAnchor"/>
          <w:rtl w:val="true"/>
        </w:rPr>
        <w:footnoteReference w:id="200"/>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جعل مِنَ 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للجهل،و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لقطع عذرهم</w:t>
      </w:r>
      <w:r>
        <w:rPr>
          <w:rFonts w:eastAsia="IRNazanin" w:cs="IRNazanin"/>
          <w:color w:val="111111"/>
          <w:sz w:val="28"/>
          <w:szCs w:val="28"/>
          <w:rtl w:val="true"/>
          <w:lang w:bidi="fa-IR"/>
        </w:rPr>
        <w:t>.</w:t>
      </w:r>
    </w:p>
    <w:p>
      <w:pPr>
        <w:pStyle w:val="Heading4"/>
        <w:numPr>
          <w:ilvl w:val="3"/>
          <w:numId w:val="1"/>
        </w:numPr>
        <w:rPr/>
      </w:pPr>
      <w:bookmarkStart w:id="116" w:name="__RefHeading___Toc4066855_3224264995"/>
      <w:bookmarkStart w:id="117" w:name="_Toc41"/>
      <w:bookmarkEnd w:id="116"/>
      <w:r>
        <w:rPr>
          <w:rtl w:val="true"/>
        </w:rPr>
        <w:t>النوع الثامن</w:t>
      </w:r>
      <w:r>
        <w:rPr>
          <w:rtl w:val="true"/>
        </w:rPr>
        <w:t>:</w:t>
      </w:r>
      <w:r>
        <w:rPr>
          <w:rtl w:val="true"/>
        </w:rPr>
        <w:t>فیما عدا الیومیّة من الصلوات و أحکام تلحق الیومیّة أیضا</w:t>
      </w:r>
      <w:bookmarkEnd w:id="117"/>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أنّ المستحبّ هو الرواح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الرواح إلی الصلاة بالسکینة لا ینافی الأمر بالسعی و السرعة عند نداء الصلاة،لأنّ السکینة عند النداء قد تصیر سبب فوات سماع الخطبة کلاّ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احتمال فوات سماع الخطبة فالوجه هو العمل بظاهر الآیة کما ذکرت، و أمّا عند عدم المعارضة بین السکینة و إدراک کلّ الخطبة کقرب موضع المکلّف من موضع الصلاة،أو عند معلومیّة عدم سماع الخطبة علی تقدیر الإسراع أیضا لکون موضع یمکن سماع الخطبة فیه غاصّا بأهله،أو عند ثقل سامعة المکلّف فالعمل بظاهر أیّهما هو الظاهر؟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بظاهر الآیة،لأنّ صرف الخاصّ عن الظاهر بالمطلق ضعیف عند توافقهما فی القوّة،بل الظاهر هو حمل المطلق علی ما عدا الخاصّ،فکیف یناسب صرف الآیة عن ظاهرها بالروایة المطلقة؟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توجیهه قدّس سرّه بوجه آخر،و هو أنّ مفهوم المخالف علی توجیهه عدم الذهاب </w:t>
      </w:r>
    </w:p>
    <w:p>
      <w:pPr>
        <w:pStyle w:val="BookText"/>
        <w:rPr/>
      </w:pPr>
      <w:r>
        <w:rPr>
          <w:rFonts w:ascii="IRNazanin" w:hAnsi="IRNazanin" w:eastAsia="IRNazanin"/>
          <w:color w:val="111111"/>
          <w:sz w:val="28"/>
          <w:sz w:val="28"/>
          <w:szCs w:val="28"/>
          <w:rtl w:val="true"/>
          <w:lang w:bidi="fa-IR"/>
        </w:rPr>
        <w:t>عند عدم سماع الأذان،و لم یقل به أحد؛بخلاف مفهوم المخالف علی توجیهنا،لأنّ عدم طلب الإسراع المطلق عند عدم السماع لا یستلزم عدم الطلب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یظهر علی توجیهنا أیضا طلب الذهاب إلی الجمعة عند عدم سماع الأذان، فنحتاج فی تعمیم الحکم إلی التمسّک بمثل عدم القول باختصاص الوجوب بالسامعین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ترک المبایعة و الإشتغال بغیر الصلاة و ما یقرّب إلیها عند النداء؛لأنّ اجتماع الحرمة مع عدم الإنعقاد أردع عن البیع من الحرمة المنفکّة عن عدم الانعقاد،و الأردع أقرب إلی المطلوب من غیره؛و هذه الأقربیّة هی المقصودة من تمام المطلوب،لا ظاهر تمام المقصود؛فلا یرد حینئذ عدم لزوم التمام لعدم </w:t>
      </w:r>
      <w:r>
        <w:rPr>
          <w:rStyle w:val="FootnoteAnchor"/>
          <w:rtl w:val="true"/>
        </w:rPr>
        <w:footnoteReference w:id="202"/>
      </w:r>
      <w:r>
        <w:rPr>
          <w:rFonts w:ascii="IRNazanin" w:hAnsi="IRNazanin" w:eastAsia="IRNazanin"/>
          <w:color w:val="111111"/>
          <w:sz w:val="28"/>
          <w:sz w:val="28"/>
          <w:szCs w:val="28"/>
          <w:rtl w:val="true"/>
          <w:lang w:bidi="fa-IR"/>
        </w:rPr>
        <w:t>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بالنقض،لإمکان الاستدلال بمثل ما ذکره علی کون أصغر الصغائر مثل أکبر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بالحلّ بأنّا لا نسلّم أنّه یلزم حمل النهی هاهنا بانضمام المقام کما یدلّ کلامه رحمه اللّه علیه علی ما هو أردع؛فلعلّ المقصود من ذَرُوا الْبَیْعَ </w:t>
      </w:r>
      <w:r>
        <w:rPr>
          <w:rStyle w:val="FootnoteAnchor"/>
          <w:rtl w:val="true"/>
        </w:rPr>
        <w:footnoteReference w:id="203"/>
      </w:r>
      <w:r>
        <w:rPr>
          <w:rFonts w:ascii="IRNazanin" w:hAnsi="IRNazanin" w:eastAsia="IRNazanin"/>
          <w:color w:val="111111"/>
          <w:sz w:val="28"/>
          <w:sz w:val="28"/>
          <w:szCs w:val="28"/>
          <w:rtl w:val="true"/>
          <w:lang w:bidi="fa-IR"/>
        </w:rPr>
        <w:t>مرتبة خاصّة من الردع لا یتجاوزها إلی مرتبة فوقها،للمصلحة الباعثة علی تلک المرتبة،فیمکن أن یکون الأمر الباعث علی نهی المبایعة هو المفسدة التی تتعلّق بنفس المبایعة و لکن لا یکون بعدها مفسدة فی انعقادها،بل یمکن أن یکون فی انعقادها بعدها مصلحة خالیة عن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ما یدلّ علی انعقاده هو 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 هی عدم البعد،لکنّ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الإنعقاد،لکن الحصر الذی یظهر من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ممنوع،بل الدلیل علی انعقاده هو عموم أَوْفُوا بِالْعُقُودِ </w:t>
      </w:r>
      <w:r>
        <w:rPr>
          <w:rStyle w:val="FootnoteAnchor"/>
          <w:rtl w:val="true"/>
        </w:rPr>
        <w:footnoteReference w:id="204"/>
      </w:r>
      <w:r>
        <w:rPr>
          <w:rFonts w:ascii="IRNazanin" w:hAnsi="IRNazanin" w:eastAsia="IRNazanin"/>
          <w:color w:val="111111"/>
          <w:sz w:val="28"/>
          <w:sz w:val="28"/>
          <w:szCs w:val="28"/>
          <w:rtl w:val="true"/>
          <w:lang w:bidi="fa-IR"/>
        </w:rPr>
        <w:t>و ما یؤیّده من الروایات؛و التأیید بالأصل بعد الدلیل علی الانعقاد ضعیف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أنّهم الذین کانوا معه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یقال فی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دلالة أو إشارة إلی اختصاص هذه الصلاة برسول اللّه صلّی اللّه علیه و آله کاختصاص هذه الواقعة به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إشارة فی حکایة وقوع واقعة خاصّة مقارنة بفعله صلّی اللّه علیه و آله فعلا واجبا إلی اختصاص ما قارنها و هو الجمعة له صلّی اللّه علیه و آله بوجه،کما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من یظهر من کلامه کمال الحرص فی إنکار وجوب الجمعة فی زمان الغیبة لم یقدر علی إنکار تفسیر مطلق المفسّرین ذکر اللّه بصلاة الجمعة أو خطبتها،و الظاهر عدم اختصاص خطاب المشافهة بالموجودین عند الخطاب بما یدلّ علیه،و شیوع إرادة التعمیم من أمثاله و دلالة ظاهر کلام أمیر المؤمنین علیه السّلام فی بعض خطبه علی جریان حکم الآیة فی زمانه علیه السّلام،فعلی مدّعی الإختصاص الدلیل علیه،و کیف یقال باختصاصها به صلّی اللّه علیه و آله بوقوع هذه الواقعة فی یوم من أیّام إقامة الجمعة الذی لا ارتباط له بالمدّعی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ألم یقع واقعة مقارنة لفعله صلّی اللّه علیه و آله واجبا من الواجبات المشترکة فی وقت من الأوقات؟أم اختصّت هذه الواقعة بصفة یدلّ بها علی الإختصاص لم توجد فی غیرها؛ و لیس علی أحد الأمرین دلالة و لا إمارة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عَلیٰ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إشعار بجواز ذلک للمسلمین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للتعلیل بالکفر باللّه و رسوله علی عدم صلاحیّة غیره للعلّیّة،لاحتمال أن یکون الکفر بهما علّة فیهم،و إنکار الإمام علّة فی منکره إن لم نقل باندراجه فی الکفر بالرسول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ذکرته أنّه إذا نهی أحد عن إکرام طائفة و علّله بکونهم سارقین لا یدلّ علی اختصاص نهی الإکرام بهم،لجواز نهی إکرام طائفة اخری لکونهم شاربین،و هکذا، خصوصا إذا لم یتحقّق عند نهی الصلاة و الإکرام عن طائفة من مظهری الإسلام مبطلة غیر المنافقین و السارقین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القصر عزیمة و واجبا کالتمام،و کون الأمر للوجوب،و کون نفی الجناح لا ینافی الوجوب العینی،و کون التأسّی واجبا،و کون السعی واجبا،و وجوب إعادة الصلاة الباطلة بالزیادة مع العلم بعدمها أداء و قضاء،و کون الجاهل معذورا فی الإتمام،و وجوب التقصیر فی جمیع الصلوات بحذف الرکعتین إلاّ المغرب،و کونها ثلاثة فیه و فی الحضر،و کون مسیرة یوم أربعة و عشرین میلا و هی ثمانیة فراسخ،فکلّ ثلاثة میل فرسخ،و کون ذلک موجبا للتقصیر و وجوب الإفطار،و تسمیة الواجب بالسنّة، و کون ترک ذلک عصیانا،و کونهم علیهم السّلام عالمین بالغیب،و هو بإعلام اللّه و رسوله صلّی اللّه علیه و آله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التأسّی واجبا أی عند کون فعله صلّی اللّه علیه و آله شیئا مقرونا بذکره فی القرآن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قصد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قوله هذا تفسیر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نیّة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ما یقول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یبعد کلّ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الروایة بعیدة عن ظاهر عدم نیّة الإقامة فی الأربعة،بل إرادة الرجوع بدون الإقامة المسقطة لحکم السفر بین الذهاب و الإیاب،و هذا ظاهر ما نسب إلی ابن أبی عقیل؛ و یمکن تأیید هذا المذهب بما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أولی،لأنّ ظاهر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الجمع باشتراط جواز القصر بالخروج،و وجوبه بخفاء الأذان و الخفاء عن الجدران </w:t>
      </w:r>
      <w:r>
        <w:rPr>
          <w:rStyle w:val="FootnoteAnchor"/>
          <w:rtl w:val="true"/>
        </w:rPr>
        <w:footnoteReference w:id="208"/>
      </w:r>
      <w:r>
        <w:rPr>
          <w:rFonts w:ascii="IRNazanin" w:hAnsi="IRNazanin" w:eastAsia="IRNazanin"/>
          <w:color w:val="111111"/>
          <w:sz w:val="28"/>
          <w:sz w:val="28"/>
          <w:szCs w:val="28"/>
          <w:rtl w:val="true"/>
          <w:lang w:bidi="fa-IR"/>
        </w:rPr>
        <w:t>،و بحمل المطلق علی المقیّد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ظاهر إطلاق الضرب فی الأرض یؤیّد الأوّل لتحقّقه ظاهرا بمجرّد الخروج،لکن یحتاج حینئذ إلی تعمیم فَلَیْسَ عَلَیْکُمْ جُنٰاحٌ </w:t>
      </w:r>
      <w:r>
        <w:rPr>
          <w:rStyle w:val="FootnoteAnchor"/>
          <w:rtl w:val="true"/>
        </w:rPr>
        <w:footnoteReference w:id="209"/>
      </w:r>
      <w:r>
        <w:rPr>
          <w:rFonts w:ascii="IRNazanin" w:hAnsi="IRNazanin" w:eastAsia="IRNazanin"/>
          <w:color w:val="111111"/>
          <w:sz w:val="28"/>
          <w:sz w:val="28"/>
          <w:szCs w:val="28"/>
          <w:rtl w:val="true"/>
          <w:lang w:bidi="fa-IR"/>
        </w:rPr>
        <w:t xml:space="preserve">بحیث یدخل </w:t>
      </w:r>
      <w:r>
        <w:rPr>
          <w:rStyle w:val="FootnoteAnchor"/>
          <w:rtl w:val="true"/>
        </w:rPr>
        <w:footnoteReference w:id="210"/>
      </w:r>
      <w:r>
        <w:rPr>
          <w:rFonts w:ascii="IRNazanin" w:hAnsi="IRNazanin" w:eastAsia="IRNazanin"/>
          <w:color w:val="111111"/>
          <w:sz w:val="28"/>
          <w:sz w:val="28"/>
          <w:szCs w:val="28"/>
          <w:rtl w:val="true"/>
          <w:lang w:bidi="fa-IR"/>
        </w:rPr>
        <w:t>فیه وجوب القصر و جوازه؛و رعایة براءة الذمّة الیقینیّة و الحائطة فی الدین تقتضیان رعایة الخفاء المشهورة بین الفقهاء العظام رضی اللّه عنهم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السفر رکعتان تامّ غیر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نبیّکم</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تامّ فی الثواب،غیر ناقص ببیان النبی صلّی اللّه علیه و آله و ظاهر هذا البیان منه صلّی اللّه علیه و آله لا یدلّ علی کون القصر عزیمة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مبتدأ محذوف،و أمّا إن جعلناه خبرا،و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بعد خبر فالظاهر الدلالة علی 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الجملة بحیث لا یختصّ به صلّی اللّه علیه و آله لإجماع کون حکم الإمام حکمه صلّی اللّه علیه و آله فإذا ظهر عدم اختصاص الخطاب به صلّی اللّه علیه و آله فالظاهر عدم اختصاص هذه الصلاة بأحدهما علیهما السّلام فالإجماع یدلّ علی العموم بمعنی عدم الإختصاص به صلّی اللّه علیه و آله و التأسّی یدلّ علی العموم أزید من العموم الذی یدلّ علیه الإجماع؛ لکن دلیل التأسّی مع الخطاب فی کُنْتَ و أقمت و التقیید بالشرط ظاهر الضعف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ذکرته عدم المنافاة بین الحکم بظهور ثبوت عموم الآیة بما أثبته،و الإشکال فی العموم فی بعض الفروض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فمشکل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لفهم صلاة الأمن من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آیة النساء قبیل آیة البقرة بحیث یکتفی بها غیر ظاهر،و لعلّه قدّس سرّه زعم الآیتین فی سورة واحدة بترتیب، کما یظهر من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هیئة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یشعر به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أزید من التعقیب بلا تراخ،و أمّا کونه علی هیئة الصلاة عند التعقیب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استفادة استحباب الدوام علی الطهارة من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غرضه علیه السّلام أنّه لا یعتبر فی المعقّب جلوسه فی موضع الصلاة عند التعقیب مطلقا،بل هو معقّب مادام متطهّرا أی له أجر التعقیب المتعارف إذا دعا و عقّب و إن لم یجلس فی موضعها فی بعض الصور،فلیس المقصود حینئذ أنّه بمحض کونه متطهّرا معقّب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مادام متطهّرا بعد الصلاة فی بعض الصور فهو معقّب أی له أجر التعقیب فی الجملة و إن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لا تدلّ علی استحباب الدوام علی الطهارة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Style w:val="FootnoteAnchor"/>
          <w:rtl w:val="true"/>
        </w:rPr>
        <w:footnoteReference w:id="2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فیها حینئذ إشارة إلی أنّ الجماعة لا بدّ لإدراکها من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بذلک قال بأنّ المأموم إذا لحق بالإمام فی الرکوع و إن کان فی أوّله لم یلحق الرکعة مع صدق المعیّة العرفیّة و اللغویّة،فلا معنی لجعل الآیة إشارة إلی هذا المذهب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من اقتدی بإمام قبل رکوعه و رکع فی تلک الرکعة أو رکعة اخری بعد ما رکع الإمام و ذکر بعض الأذکار لکن قبل أن یرفع رأسه من الرکوع لحق الرکعة،فإمّا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المعیّة المطلوبة بالآیة بمحض إدراکه راکعا،أو یشترط فی تحقّقها إدراکه فی أوّل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الثانی لا یقول به أحد،و علی الأوّل یتحقّق المعیّة إن لحق به راکعا؛لأنّ المأمور به بظاهر الآیة هو الرکوع مع الراکعین،و أمّا کون النیّة و تکبیر الإحرام قبل الرکوع فلا یظهر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یظهر من الآیة التفاوت بین إدراک الرکوع أو إدراکه راکعا،بل إن قیل بتأیید الآیة لإدراک الرکعة بإدراکه راکعا فلا بعد فیه،کما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قراءة الکتاب الدالّ علی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قراءة الکتاب دالّة علی وجوب الإیمان به و اتّباعه،فهی دالّة علی قبح ترکهما،فیمکن أن 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إدراک قبحهما هو عدم إدراک القبح الشرعی لا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غرضی عدم ثبوت القبح العقلی بوجه،بل غرضی أنّه لا یظهر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تَعْقِلُونَ </w:t>
      </w:r>
      <w:r>
        <w:rPr>
          <w:rStyle w:val="FootnoteAnchor"/>
          <w:rtl w:val="true"/>
        </w:rPr>
        <w:footnoteReference w:id="216"/>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تَتْلُونَ الْکِتٰابَ </w:t>
      </w:r>
      <w:r>
        <w:rPr>
          <w:rStyle w:val="FootnoteAnchor"/>
          <w:rtl w:val="true"/>
        </w:rPr>
        <w:footnoteReference w:id="217"/>
      </w:r>
      <w:r>
        <w:rPr>
          <w:rFonts w:ascii="IRNazanin" w:hAnsi="IRNazanin" w:eastAsia="IRNazanin"/>
          <w:color w:val="111111"/>
          <w:sz w:val="28"/>
          <w:sz w:val="28"/>
          <w:szCs w:val="28"/>
          <w:rtl w:val="true"/>
          <w:lang w:bidi="fa-IR"/>
        </w:rPr>
        <w:t>لاحتمال کونه إشارة إلی القبح الذی یظهر من تلاوة الکتاب،فلا یندفع بما ذکره رحمه اللّه ما ینقله عن التفتازانی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مراد التفتازانی من الدفع عدم تمام الدلالة العقلیّة،و إن کان مراده إبطال الدلالة العقلیّة فالدلیل غیر تامّ،و الظاهر هو الأوّل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العدالة لا یشترط فی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 العدالة مسلّم لکن عدم اشتراط الإیتمار بما یأمر،و الإنزجار عمّا ینهی غیر مسلّم،و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w:t>
      </w:r>
      <w:r>
        <w:rPr>
          <w:rStyle w:val="FootnoteAnchor"/>
          <w:rtl w:val="true"/>
        </w:rPr>
        <w:footnoteReference w:id="218"/>
      </w:r>
      <w:r>
        <w:rPr>
          <w:rFonts w:ascii="IRNazanin" w:hAnsi="IRNazanin" w:eastAsia="IRNazanin"/>
          <w:color w:val="111111"/>
          <w:sz w:val="28"/>
          <w:sz w:val="28"/>
          <w:szCs w:val="28"/>
          <w:rtl w:val="true"/>
          <w:lang w:bidi="fa-IR"/>
        </w:rPr>
        <w:t>إذا لم یخصّص بخلاف الوعد حرمة نفس القول عند عدم العمل</w:t>
      </w:r>
      <w:r>
        <w:rPr>
          <w:rFonts w:eastAsia="IRNazanin" w:cs="IRNazanin"/>
          <w:color w:val="111111"/>
          <w:sz w:val="28"/>
          <w:szCs w:val="28"/>
          <w:rtl w:val="true"/>
          <w:lang w:bidi="fa-IR"/>
        </w:rPr>
        <w:t xml:space="preserve">. </w:t>
      </w:r>
      <w:bookmarkStart w:id="118" w:name="pg12937_139086"/>
    </w:p>
    <w:p>
      <w:pPr>
        <w:pStyle w:val="BookText"/>
        <w:rPr/>
      </w:pPr>
      <w:bookmarkEnd w:id="118"/>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و التمسّک بالأصل و الشهرة لا وقع له عند دلالة ظاهر الآیة علی خلاف مقتضاهما،و الدلیل علی عدم الإشتراط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بالمعروف واجب و فعله 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الفعل واجبا آخر لا یدلّ علی عدم مدخلیّته فی الواجب مثل الغسل و الصلاة علی تقدیر کونه واجبا لنفسه،و بما ذکرته ظهر ضعف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یستلزم ترک الثانی سقوط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علی الأعمّ لا علی خلاف الوعد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کون نزولها فی خلاف الوعد ما ذکر صاحب الکشّاف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أخبر اللّه تعالی بثواب شهداء بدر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لقینا قتالا لنفرغنّ فیه وسعنا، ففرّوا یوم احد و لم یفوا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یطعن،و غیرهما ممّا یندرج فیه الأمر بما لم یأتمر </w:t>
      </w:r>
      <w:r>
        <w:rPr>
          <w:rStyle w:val="FootnoteAnchor"/>
          <w:rtl w:val="true"/>
        </w:rPr>
        <w:footnoteReference w:id="220"/>
      </w:r>
      <w:r>
        <w:rPr>
          <w:rFonts w:ascii="IRNazanin" w:hAnsi="IRNazanin" w:eastAsia="IRNazanin"/>
          <w:color w:val="111111"/>
          <w:sz w:val="28"/>
          <w:sz w:val="28"/>
          <w:szCs w:val="28"/>
          <w:rtl w:val="true"/>
          <w:lang w:bidi="fa-IR"/>
        </w:rPr>
        <w:t>و النهی عمّا لم ینزجر</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فلعلّ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علی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الإعتماد علی الامور المنقولة من 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أن یکون تجویز الأعمّ لعدم الإعتماد علی ما نقل من سبب النزول، کیف و عدم الإعتماد علی سبب النزول لا یستلزم الاعتماد علی عدمه؟بل الحقّ أنّ خصوص سبب النزول لا یدلّ علی إرادة الخصوص من الأمر النازل،بل مدار الإستدلال علی دلالة اللفظ،و ظاهر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کلامه مبنیّ علی احتمال إرادة الخصوص علی وفق سبب النزول،و إرادة العموم علی وفق ظاهر اللفظ،و قد عرفت أنّ الظاهر هو رعایة مقتضی ظاهر اللفظ</w:t>
      </w:r>
      <w:r>
        <w:rPr>
          <w:rFonts w:eastAsia="IRNazanin" w:cs="IRNazanin"/>
          <w:color w:val="111111"/>
          <w:sz w:val="28"/>
          <w:szCs w:val="28"/>
          <w:rtl w:val="true"/>
          <w:lang w:bidi="fa-IR"/>
        </w:rPr>
        <w:t>.</w:t>
      </w:r>
    </w:p>
    <w:p>
      <w:pPr>
        <w:pStyle w:val="Heading4"/>
        <w:numPr>
          <w:ilvl w:val="3"/>
          <w:numId w:val="1"/>
        </w:numPr>
        <w:rPr/>
      </w:pPr>
      <w:bookmarkStart w:id="119" w:name="__RefHeading___Toc4066857_3224264995"/>
      <w:bookmarkStart w:id="120" w:name="_Toc42"/>
      <w:bookmarkEnd w:id="119"/>
      <w:r>
        <w:rPr>
          <w:rtl w:val="true"/>
        </w:rPr>
        <w:t>و لنتبع الکتاب بذکر آیات</w:t>
      </w:r>
      <w:r>
        <w:rPr>
          <w:rtl w:val="true"/>
        </w:rPr>
        <w:t>:</w:t>
      </w:r>
      <w:bookmarkEnd w:id="120"/>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هذا السبب لنزول الآیة هو منع </w:t>
      </w:r>
    </w:p>
    <w:p>
      <w:pPr>
        <w:pStyle w:val="BookText"/>
        <w:rPr/>
      </w:pPr>
      <w:r>
        <w:rPr>
          <w:rFonts w:ascii="Amiri" w:hAnsi="Amiri" w:eastAsia="Amiri" w:cs="Amiri"/>
          <w:color w:val="111111"/>
          <w:sz w:val="28"/>
          <w:sz w:val="28"/>
          <w:szCs w:val="28"/>
          <w:rtl w:val="true"/>
          <w:lang w:bidi="ar-SA"/>
        </w:rPr>
        <w:t>النفس عن السرور اللاحق،و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بِعِبٰادَةِ رَبِّهِ أَحَداً </w:t>
      </w:r>
      <w:r>
        <w:rPr>
          <w:rStyle w:val="FootnoteAnchor"/>
          <w:rtl w:val="true"/>
        </w:rPr>
        <w:footnoteReference w:id="223"/>
      </w:r>
      <w:r>
        <w:rPr>
          <w:rFonts w:ascii="IRNazanin" w:hAnsi="IRNazanin" w:eastAsia="IRNazanin"/>
          <w:color w:val="111111"/>
          <w:sz w:val="28"/>
          <w:sz w:val="28"/>
          <w:szCs w:val="28"/>
          <w:rtl w:val="true"/>
          <w:lang w:bidi="fa-IR"/>
        </w:rPr>
        <w:t>هو منع إرادة غیر اللّه بنفس العبادة،و اندراج السرور اللاحق فی حکم الشرک حتّی یکون منهیّا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یُشْرِکْ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ابن عبّاس تدلّ علی أنّ الشرک فی العبادة الذی نهی اللّه تعالی عنه هو إرادة حبّ الحمد عند العبادة 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 أن یحمد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هو مقتضی الجملة الحالیّة،و الروایتین الآتیتین أیضا تدلاّن علی أنّ النهی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یُشْرِکْ متوجّه إلی أمر مقارن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السرور اللاحق من الحمد کاشف عن عدم الخلوص السابق غالبا،فلعلّ نزول الآیة بعد حکایة الرجل إشارة إلی ضعف خلوصه،و من یخلص عبادته للّه یخاف من حمد الحامدین،و یخشی من مدح المادحین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نوّر مرقده یشیر إلی ما ذکرته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بعمله</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أَنْ یُحْمَدُوا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نسخ الکتاب لا یدلّ علی مطلوبه،و فی القرآن فی أواخر سورة آل عمران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ترتّب الوعید علی کلّ واحد من الفرح و حبّ المدح،و یحتمل ترتّبه علی المجموع؛و ظاهر اللفظ هو الأخیر،و علی تقدیر الاطّلاع بتحقّق أحد الأمرین أو کلیهما </w:t>
      </w:r>
    </w:p>
    <w:p>
      <w:pPr>
        <w:pStyle w:val="BookText"/>
        <w:rPr/>
      </w:pPr>
      <w:r>
        <w:rPr>
          <w:rFonts w:ascii="IRNazanin" w:hAnsi="IRNazanin" w:eastAsia="IRNazanin"/>
          <w:color w:val="111111"/>
          <w:sz w:val="28"/>
          <w:sz w:val="28"/>
          <w:szCs w:val="28"/>
          <w:rtl w:val="true"/>
          <w:lang w:bidi="fa-IR"/>
        </w:rPr>
        <w:t xml:space="preserve">فی أحد لا یناسب الحکم بفسقه ما لم یظهر الإستمرار و التکرار </w:t>
      </w:r>
      <w:r>
        <w:rPr>
          <w:rStyle w:val="FootnoteAnchor"/>
          <w:rtl w:val="true"/>
        </w:rPr>
        <w:footnoteReference w:id="227"/>
      </w:r>
      <w:r>
        <w:rPr>
          <w:rFonts w:ascii="Amiri" w:hAnsi="Amiri" w:eastAsia="Amiri" w:cs="Amiri"/>
          <w:color w:val="111111"/>
          <w:sz w:val="28"/>
          <w:sz w:val="28"/>
          <w:szCs w:val="28"/>
          <w:rtl w:val="true"/>
          <w:lang w:bidi="ar-SA"/>
        </w:rPr>
        <w:t xml:space="preserve">اللذان ظاهران من لفظ یَفْرَحُونَ و یُحِبُّونَ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تغتر بما ذکرته حتّی تفرح بما فعلت،أو تحبّ المدح بما لم تفعل،فتبتلی ببلیّة یتعسّر أو یتعذّر خلاص نفسک منها،أعاذنا اللّه و إیّاکم من المهالک النفسانیّة و الوساوس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الفرح المذموم هو العجب بما فعل،و عدّه عظیما،و أمّا الإستبشار بظاهر التوفیق و الشکر له مخلوطا بالخوف من عدم القبول فلا مذمّة علیه،و إلیه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ذکرته من ترتّب الوعید علی کلّ واحد من الفرح و حبّ المدح أو کلیهما إنّما هو بناء علی عدم اختصاص الوعید بما نقل من سبب نزول الآیة،و الحکم بما هو مقتضی ظاهر اللفظ،کما هو الظاهر فی أمثال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توجر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أعاقب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بحسب الواقع، أو بزعمک؛و علی الثانی لا یدلّ علی حصول الثواب للمعین،و علی الأوّل یحتمل التوجیه بما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المعین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مع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نوّر اللّه مرقده ظهور استحقاق المعین للثواب من کلّ واحد من الواقعتین،و الظاهر عدم دلالة حکایة المأمون علیه إلاّ بتکلّف،و هو أنّ ما یدلّ علی صحّة العبادة یدلّ علی استحقاق الشریکین للثواب و إن کان قلیلا بمقتضی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ظهور ذلک من مجموع الحکایتین لا استقلال کلّ واحد بالمجموع،لکن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العقاب علی المعین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سلب العقاب علی المعین،و استحقاق الثواب من حکایة المأمون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 علی الکراهة مع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مع </w:t>
      </w:r>
    </w:p>
    <w:p>
      <w:pPr>
        <w:pStyle w:val="BookText"/>
        <w:rPr/>
      </w:pPr>
      <w:r>
        <w:rPr>
          <w:rFonts w:ascii="IRNazanin" w:hAnsi="IRNazanin" w:eastAsia="IRNazanin"/>
          <w:color w:val="111111"/>
          <w:sz w:val="28"/>
          <w:sz w:val="28"/>
          <w:szCs w:val="28"/>
          <w:rtl w:val="true"/>
          <w:lang w:bidi="fa-IR"/>
        </w:rPr>
        <w:t xml:space="preserve">طلب المتوضّیء الإعانة یتحقّق الکراهة بالنسبة إلیه،و أمّا بالنسبة إلی المعین فلا،فیمکن حینئذ استحقاقه الثواب کما یدلّ شراکة </w:t>
      </w:r>
      <w:r>
        <w:rPr>
          <w:rStyle w:val="FootnoteAnchor"/>
          <w:rtl w:val="true"/>
        </w:rPr>
        <w:footnoteReference w:id="228"/>
      </w:r>
      <w:r>
        <w:rPr>
          <w:rFonts w:ascii="IRNazanin" w:hAnsi="IRNazanin" w:eastAsia="IRNazanin"/>
          <w:color w:val="111111"/>
          <w:sz w:val="28"/>
          <w:sz w:val="28"/>
          <w:szCs w:val="28"/>
          <w:rtl w:val="true"/>
          <w:lang w:bidi="fa-IR"/>
        </w:rPr>
        <w:t>الغلام المستنبطة من قراءة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عند طلب المعین أیضا یظهر الکراهة بالنسبة إلی المتوضّیء أو استحقاق الثواب بالنسبة إلی المعین من روایة رویت عن الرضا علیه السّلام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تعمیم الطلب حتّی یشمل طلب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الکراهة عند طلب أحدهما،و عدمه عند اتّفاق المعاونة من غیر طلب،لا وجه له عند ملاحظة الآیة المنقولة فی حکایة المأمون؛فالصواب ترک قید مع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لصدق بعضه و کذب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صدق بعض الخبر دالاّ علی صدق الباقی دلالة قطعیّة بل ظنّیّة معتبرة فی الامور الشرعیّة لأمکن الإستدلال بکذب الجزء من الخبر علی کذب کلّه هکذا لو کان شیء من هذا الخبر صادقا لکان الجزء الفلانی منه صادقا،و التالی کاذب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عدم مثل هذا الإستدلال فی کلامهم بطلان </w:t>
      </w:r>
      <w:r>
        <w:rPr>
          <w:rStyle w:val="FootnoteAnchor"/>
          <w:rtl w:val="true"/>
        </w:rPr>
        <w:footnoteReference w:id="230"/>
      </w:r>
      <w:r>
        <w:rPr>
          <w:rFonts w:ascii="IRNazanin" w:hAnsi="IRNazanin" w:eastAsia="IRNazanin"/>
          <w:color w:val="111111"/>
          <w:sz w:val="28"/>
          <w:sz w:val="28"/>
          <w:szCs w:val="28"/>
          <w:rtl w:val="true"/>
          <w:lang w:bidi="fa-IR"/>
        </w:rPr>
        <w:t xml:space="preserve">الملازمة ظاهر،و لو جعل صدق البعض إمارة ما علی </w:t>
      </w:r>
      <w:r>
        <w:rPr>
          <w:rStyle w:val="FootnoteAnchor"/>
          <w:rtl w:val="true"/>
        </w:rPr>
        <w:footnoteReference w:id="231"/>
      </w:r>
      <w:r>
        <w:rPr>
          <w:rFonts w:ascii="IRNazanin" w:hAnsi="IRNazanin" w:eastAsia="IRNazanin"/>
          <w:color w:val="111111"/>
          <w:sz w:val="28"/>
          <w:sz w:val="28"/>
          <w:szCs w:val="28"/>
          <w:rtl w:val="true"/>
          <w:lang w:bidi="fa-IR"/>
        </w:rPr>
        <w:t>صدق الباقی لکان 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تمل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بحسب المعنی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ترید مجالسة أهل الثروة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أنّ من کمال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أولی </w:t>
      </w:r>
    </w:p>
    <w:p>
      <w:pPr>
        <w:pStyle w:val="BookText"/>
        <w:rPr/>
      </w:pPr>
      <w:r>
        <w:rPr>
          <w:rFonts w:ascii="IRNazanin" w:hAnsi="IRNazanin" w:eastAsia="IRNazanin"/>
          <w:color w:val="111111"/>
          <w:sz w:val="28"/>
          <w:sz w:val="28"/>
          <w:szCs w:val="28"/>
          <w:rtl w:val="true"/>
          <w:lang w:bidi="fa-IR"/>
        </w:rPr>
        <w:t>بالذین إمّا للإیضاح أو التقیید،و ما ذکره سابقا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أنّ ذوی العقول هم الذین یذکرون اللّه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یناسب الإحتمال الأوّل،و مع عدم ظهور إرادة الإحتمال الأوّل من الآیة لما بنی رحمه اللّه تفسیر المعطوف علیه علی الإحتمال الأوّل کان المناسب أن یذکر رحمه اللّه فی تفسیر المعطوف هکذا و هو إشارة إلی أنّ </w:t>
      </w:r>
      <w:r>
        <w:rPr>
          <w:rStyle w:val="FootnoteAnchor"/>
          <w:rtl w:val="true"/>
        </w:rPr>
        <w:footnoteReference w:id="234"/>
      </w:r>
      <w:r>
        <w:rPr>
          <w:rFonts w:ascii="IRNazanin" w:hAnsi="IRNazanin" w:eastAsia="IRNazanin"/>
          <w:color w:val="111111"/>
          <w:sz w:val="28"/>
          <w:sz w:val="28"/>
          <w:szCs w:val="28"/>
          <w:rtl w:val="true"/>
          <w:lang w:bidi="fa-IR"/>
        </w:rPr>
        <w:t>ذوی العقول هم الذین یتفکّرون، للتناسب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نوّر مرقده هاهنا فلا یوافق شیئا من الإحتمالین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 علی التقدیر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بالوصف لیس للّبّ و العقل مطلقا، لظهور عدم اعتباره فیه،بل لکماله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الإحتمال الثانی ذکر الوصف و إن لم یکن للتوضیح لکن یظهر من سیاق الآیة کونه غایة عظمی،و سلب شیء بسلب غایته شایع؛یقال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إنسانا بسلب بعض غایات الإنسانیّة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ینطبقان علی کلّ واحد من الإحتمالین کما یظهر للمتأمّل فیما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تعبیره رحمه اللّه بکمال العقل ثانیا بعد تعبیره بذوی العقول أوّلا للإشارة إلی إرادة الکمال فی العقول من ذوی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توجیه کلامه هاهنا،لکن ما یجیء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کذکر اللّه و من لوازم العقل و شرطه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إرادته قدّس سرّه الاحتمال الأوّل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کذکر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مثله لا ینافی أفضلیّة التفکّر کما یظهر من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عبادة کالتفکّر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غیره من الأخبار و الآثار، </w:t>
      </w:r>
    </w:p>
    <w:p>
      <w:pPr>
        <w:pStyle w:val="BookText"/>
        <w:rPr/>
      </w:pPr>
      <w:r>
        <w:rPr>
          <w:rFonts w:ascii="IRNazanin" w:hAnsi="IRNazanin" w:eastAsia="IRNazanin"/>
          <w:color w:val="111111"/>
          <w:sz w:val="28"/>
          <w:sz w:val="28"/>
          <w:szCs w:val="28"/>
          <w:rtl w:val="true"/>
          <w:lang w:bidi="fa-IR"/>
        </w:rPr>
        <w:t>و تقدّم الذکر فی الآیة لا یدلّ علی المزیّة،فلعلّ تقدّم الذکر علی التفکّر فی الآیة لکونه وسیلة لقوّة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النجوم و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مشتمل علی الذکر و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 لحافی حتّی ألصق جلده بجلدی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لک أن تأذن لی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تحقّق المضاجعة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اللیلة</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المشتملة علی زمان یناسب الإکتفاء به فیها؛فلعلّ الإحتیاج إلی الإذن إنّما کان لإرادة إحیاء اللیلة و العبادة فیها،من غیر أن یتحقّق المضاجعة المعتبرة فی استیفاء حقّها؛فلا دلالة للروایة علی وجوب المضاجعة طول اللیلة کما سیذکره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 التی یظهر من الآیة خلاف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عدم اطّلاع أحد علیه،کیف و الإشتغال بالتعقیب فی موضع الصلاة و علی هیئة خاصّة مؤکّد،و الخضوع و غایة الإقبال فی القرآن و الدعاء مطلوبان،و هما قد ینتهیان إلی البکاء،و ترک البکاء فی مثل تلک الحال قد یکون بترک الإقبال أو الخضوع،و هما لا یناسبان إلاّ عند الإبتلاء بالریاء عند اطّلاع أحد علی البکاء، فحینئذ إصلاح النفس عن الریاء هو المهمّ اللازم،فإن عجز عن الإصلاح فترک قدر من الخضوع الذی یوجب البکاء و الریاء هو اللازم بالنسبة إلیه،لأنّ ما یفعل الریاء بالعمل لا یفعله به ترک قدر من الخضوع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ذکرته ظهر عدم ضرر بکائه فی حال من الحالات،و إن لم یدلّ هذه الروایة علی کون بکائه صلّی اللّه علیه و آله بعد حضور بلال،فلعلّه عند کونه صلّی اللّه علیه و آله باکیا أتاه بلال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r>
        <w:rPr>
          <w:rStyle w:val="FootnoteAnchor"/>
          <w:rtl w:val="true"/>
        </w:rPr>
        <w:footnoteReference w:id="238"/>
      </w:r>
      <w:r>
        <w:rPr>
          <w:rFonts w:ascii="IRNazanin" w:hAnsi="IRNazanin" w:eastAsia="IRNazanin"/>
          <w:color w:val="111111"/>
          <w:sz w:val="28"/>
          <w:sz w:val="28"/>
          <w:szCs w:val="28"/>
          <w:rtl w:val="true"/>
          <w:lang w:bidi="fa-IR"/>
        </w:rPr>
        <w:t>إشارة إلی المخلوق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و یکون غرضه نوّر مرقده أنّ لفظة هذا إمّا إشارة إلی السماوات و الأرض بتأویل المخلوق،أو إشارة إلی الخلق بمعنی المخلوق المراد به هو السماوات و الأرض، لکن لا یظهر حینئذ لجعل هذا إشارة إلیهما وجه یرتضیه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الإبتدائیّة علی ما یظهر من الکشّاف و 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السماوات و الأرض حتّی یکون مقصوده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السماوات و الأرض و ما خلق منهما،بتأویل ما ظهر و ما 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مقام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رحمه اللّه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الإبتدائیّة،و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المذکور بوجه مّا حتّی یصح الإشارة بهذا،و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أی المخلوق هو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السموات و الأرض بتأویل المخلوق،و حینئذ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السماوات و الأرض،أی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البعد أنّه بعد تقدیر کلّ واحد بل کلّ واحدة کان الظاهر إلیها لا إلیهما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فیدلّ علی أنّه بغیر التوبة یجوز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یظهر من هذه الآیة،لأنّ ظاهر أولی اَلْأَلْبٰابِ </w:t>
      </w:r>
      <w:r>
        <w:rPr>
          <w:rStyle w:val="FootnoteAnchor"/>
          <w:rtl w:val="true"/>
        </w:rPr>
        <w:footnoteReference w:id="239"/>
      </w:r>
      <w:r>
        <w:rPr>
          <w:rFonts w:ascii="IRNazanin" w:hAnsi="IRNazanin" w:eastAsia="IRNazanin"/>
          <w:color w:val="111111"/>
          <w:sz w:val="28"/>
          <w:sz w:val="28"/>
          <w:szCs w:val="28"/>
          <w:rtl w:val="true"/>
          <w:lang w:bidi="fa-IR"/>
        </w:rPr>
        <w:t>المذکورین الممدوحین بما ذکر فی الآیة عدم إصرارهم فی المآثم،و لو فرض عدم ظهور عدم الإصرار لا یظهر اندراج المصرّین فی هذه الآیة،فلا دلالة فیها علی الجواز المذکور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مجرّد ذلک 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النافع هو إثبات ما جوّزه البعض،و لم یثبت</w:t>
      </w:r>
      <w:r>
        <w:rPr>
          <w:rFonts w:eastAsia="IRNazanin" w:cs="IRNazanin"/>
          <w:color w:val="111111"/>
          <w:sz w:val="28"/>
          <w:szCs w:val="28"/>
          <w:rtl w:val="true"/>
          <w:lang w:bidi="fa-IR"/>
        </w:rPr>
        <w:t xml:space="preserve">. </w:t>
      </w:r>
      <w:bookmarkStart w:id="121" w:name="pg12937_139093"/>
    </w:p>
    <w:p>
      <w:pPr>
        <w:pStyle w:val="BookText"/>
        <w:rPr/>
      </w:pPr>
      <w:bookmarkEnd w:id="121"/>
      <w:r>
        <w:rPr>
          <w:rFonts w:ascii="IRNazanin" w:hAnsi="IRNazanin" w:eastAsia="IRNazanin"/>
          <w:color w:val="111111"/>
          <w:sz w:val="28"/>
          <w:sz w:val="28"/>
          <w:szCs w:val="28"/>
          <w:rtl w:val="true"/>
          <w:lang w:bidi="fa-IR"/>
        </w:rPr>
        <w:t>فإن قلت بکفایة الإحتمال فی 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الإشکال عند من لم یجوّز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تَوَفَّنٰا مَعَ الْأَبْرٰارِ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الْأَبْرٰارِ مخصوصین بصحبتهم،مورودین </w:t>
      </w:r>
      <w:r>
        <w:rPr>
          <w:rStyle w:val="FootnoteAnchor"/>
          <w:rtl w:val="true"/>
        </w:rPr>
        <w:footnoteReference w:id="241"/>
      </w:r>
      <w:r>
        <w:rPr>
          <w:rFonts w:ascii="IRNazanin" w:hAnsi="IRNazanin" w:eastAsia="IRNazanin"/>
          <w:color w:val="111111"/>
          <w:sz w:val="28"/>
          <w:sz w:val="28"/>
          <w:szCs w:val="28"/>
          <w:rtl w:val="true"/>
          <w:lang w:bidi="fa-IR"/>
        </w:rPr>
        <w:t>فی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زمان الحال و العامل مانع عن هذا التفسیر؛لأنّ الإختصاص بصحبتهم لا یقارن التوفّی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التوفّی مقارنا لحالة یستحقّ بها صحبتهم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من المقارنة المفهومة من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بعده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تضمین معنی الجعل،أی توفّنا جاعلا إیّانا بعده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المقارنة ظاهر بما ذکرته فی کلام صاحب الکشّاف،لکن إرادة المعنیین الذّین أشار إلیهما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أمتنا موتتهم و اجعلنا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 وَ تَوَفَّنٰا مَعَ الْأَبْرٰارِ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غرضه رحمه اللّه بیان إرادة هذین المعنیین من اللفظ،بل غرضه رحمه اللّه بیان حاصل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 موتتهم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بعده معهم</w:t>
      </w:r>
      <w:r>
        <w:rPr>
          <w:rFonts w:eastAsia="IRNazanin" w:cs="IRNazanin"/>
          <w:color w:val="111111"/>
          <w:sz w:val="28"/>
          <w:szCs w:val="28"/>
          <w:rtl w:val="true"/>
          <w:lang w:bidi="fa-IR"/>
        </w:rPr>
        <w:t>».</w:t>
      </w:r>
    </w:p>
    <w:p>
      <w:pPr>
        <w:pStyle w:val="Heading3"/>
        <w:numPr>
          <w:ilvl w:val="2"/>
          <w:numId w:val="1"/>
        </w:numPr>
        <w:rPr/>
      </w:pPr>
      <w:bookmarkStart w:id="122" w:name="__RefHeading___Toc4066859_3224264995"/>
      <w:bookmarkStart w:id="123" w:name="_Toc43"/>
      <w:bookmarkEnd w:id="122"/>
      <w:r>
        <w:rPr>
          <w:rtl w:val="true"/>
        </w:rPr>
        <w:t>کتاب الصوم</w:t>
      </w:r>
      <w:bookmarkEnd w:id="123"/>
    </w:p>
    <w:p>
      <w:pPr>
        <w:pStyle w:val="Heading4"/>
        <w:numPr>
          <w:ilvl w:val="3"/>
          <w:numId w:val="1"/>
        </w:numPr>
        <w:rPr/>
      </w:pPr>
      <w:bookmarkStart w:id="124" w:name="__RefHeading___Toc4066861_3224264995"/>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حکم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ذکر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کان أَیّٰاماً مَعْدُودٰاتٍ </w:t>
      </w:r>
      <w:r>
        <w:rPr>
          <w:rStyle w:val="FootnoteAnchor"/>
          <w:rtl w:val="true"/>
        </w:rPr>
        <w:footnoteReference w:id="247"/>
      </w:r>
      <w:r>
        <w:rPr>
          <w:rFonts w:ascii="IRNazanin" w:hAnsi="IRNazanin" w:eastAsia="IRNazanin"/>
          <w:color w:val="111111"/>
          <w:sz w:val="28"/>
          <w:sz w:val="28"/>
          <w:szCs w:val="28"/>
          <w:rtl w:val="true"/>
          <w:lang w:bidi="fa-IR"/>
        </w:rPr>
        <w:t>عبارة عن عاشوراء و ثلاثة أیّام من کلّ شهر، فکما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الأصل منسوخ بوجوب رمضان،فالأمر الذی فرّع علیه أیضا منسوخ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نعم،نظیر ما فرّع أوّلا </w:t>
      </w:r>
      <w:r>
        <w:rPr>
          <w:rStyle w:val="FootnoteAnchor"/>
          <w:rtl w:val="true"/>
        </w:rPr>
        <w:footnoteReference w:id="249"/>
      </w:r>
      <w:r>
        <w:rPr>
          <w:rFonts w:ascii="IRNazanin" w:hAnsi="IRNazanin" w:eastAsia="IRNazanin"/>
          <w:color w:val="111111"/>
          <w:sz w:val="28"/>
          <w:sz w:val="28"/>
          <w:szCs w:val="28"/>
          <w:rtl w:val="true"/>
          <w:lang w:bidi="fa-IR"/>
        </w:rPr>
        <w:t>واجب علی تقدیر نسخ الأصل بما یذکر بعد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کٰانَ مَرِیضاً أَوْ عَلیٰ سَفَرٍ فَعِدَّةٌ مِنْ أَیّٰامٍ أُخَرَ </w:t>
      </w:r>
      <w:r>
        <w:rPr>
          <w:rStyle w:val="FootnoteAnchor"/>
          <w:rtl w:val="true"/>
        </w:rPr>
        <w:footnoteReference w:id="250"/>
      </w:r>
      <w:r>
        <w:rPr>
          <w:rFonts w:ascii="IRNazanin" w:hAnsi="IRNazanin" w:eastAsia="IRNazanin"/>
          <w:color w:val="111111"/>
          <w:sz w:val="28"/>
          <w:sz w:val="28"/>
          <w:szCs w:val="28"/>
          <w:rtl w:val="true"/>
          <w:lang w:bidi="fa-IR"/>
        </w:rPr>
        <w:t>فالصواب عدم ذکر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بالمناسبة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للاحتیاط فی أمثال هذا،و المناسبة العقلیّة فی الامور الشرعیّة غیر معتبرة عندنا خصوصا إذا خالفت ظاهر الآیة،و کون یُرِیدُ اللّٰهُ بِکُمُ الْیُسْرَ</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بعد حکم المرض و السفر،و عدم اعتبار ما فهم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کما سیصرّح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قیّد بحصول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الإعتماد بهذا المفهوم فی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إرادة الیسر و عدم إرادة العسر یکونان باعتبار نوع المرض و السفر لا باعتبار کلّ واحد من الجزئیّات،فالصواب،الإکتفاء بالأخبار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لأنّه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معنی للقربة فیما هو مکروه بالمعنی الحقیقی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الکراهة بمعناه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الکراهة علی معناها المتعارف فی الاصول إنّما یصحّ إن لم نقل باعتبار النیّة فی هذا الصوم،أو قلنا </w:t>
      </w:r>
    </w:p>
    <w:p>
      <w:pPr>
        <w:pStyle w:val="BookText"/>
        <w:rPr/>
      </w:pPr>
      <w:r>
        <w:rPr>
          <w:rFonts w:ascii="IRNazanin" w:hAnsi="IRNazanin" w:eastAsia="IRNazanin"/>
          <w:color w:val="111111"/>
          <w:sz w:val="28"/>
          <w:sz w:val="28"/>
          <w:szCs w:val="28"/>
          <w:rtl w:val="true"/>
          <w:lang w:bidi="fa-IR"/>
        </w:rPr>
        <w:t xml:space="preserve">باعتبارها و لم نقل باعتبار القربة فی النیّة،و لا وجه لشیء منهما؛لأنّه </w:t>
      </w:r>
      <w:r>
        <w:rPr>
          <w:rStyle w:val="FootnoteAnchor"/>
          <w:rtl w:val="true"/>
        </w:rPr>
        <w:footnoteReference w:id="252"/>
      </w:r>
      <w:r>
        <w:rPr>
          <w:rFonts w:ascii="Amiri" w:hAnsi="Amiri" w:eastAsia="Amiri" w:cs="Amiri"/>
          <w:color w:val="111111"/>
          <w:sz w:val="28"/>
          <w:sz w:val="28"/>
          <w:szCs w:val="28"/>
          <w:rtl w:val="true"/>
          <w:lang w:bidi="ar-SA"/>
        </w:rPr>
        <w:t xml:space="preserve">لا قربیّة </w:t>
      </w:r>
      <w:r>
        <w:rPr>
          <w:rStyle w:val="FootnoteAnchor"/>
          <w:rtl w:val="true"/>
        </w:rPr>
        <w:footnoteReference w:id="253"/>
      </w:r>
      <w:r>
        <w:rPr>
          <w:rFonts w:ascii="IRNazanin" w:hAnsi="IRNazanin" w:eastAsia="IRNazanin"/>
          <w:color w:val="111111"/>
          <w:sz w:val="28"/>
          <w:sz w:val="28"/>
          <w:szCs w:val="28"/>
          <w:rtl w:val="true"/>
          <w:lang w:bidi="fa-IR"/>
        </w:rPr>
        <w:t>فی فعل المکروه بالمعنی المتعارف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فی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المانع کون نیّة القربة فی المکروه الاصولی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اختصاصه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إمّا للشعبان،أو لأحد الأئمّة،و هما بعیدان فی غایة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ترک هذا الإحتمال، و الإکتفاء بما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یسأله عن فعله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 طاب ثراه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أنّه لو کان سبق ذکر صوم یوم حضرا ثمّ ذکر صومه سفرا أمکن حمل منع صومه سفرا علی أنّه لیس له أجر صومه حضرا،فامکن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تصم فی السفر لتوقّع أجره فی الحضر،و لیس صومه من البر الذی کان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لا یحتملان المعنیین المذکورین،بل کلّ واحد من النهی و لیس من البرّ حینئذ دالّ علی عدم اشتماله علی الأجر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بعض التخفیف حتّی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العاطفة،فمعنی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فعله و لا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هذا المعنی لا بعد له فی هذا المقام،لکن تعبیره بهذا اللفظ بعید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الحقّ عدم حجّیّة ما لم یثبت کونه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عدم الحجّیّة إذا کان قراءة ما لم یثبت کونه قرآنا بعنوان القرآنیّة،و إن کان قراءته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قرائة الغیر المتعلّقة ب</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التفسیر فینبغی ملاحظة السند کالأخبار الغیر المتعلّقة بالتفسیر،و لعلّ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عدم 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الإحتمال الأوّل، و لکن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علی هذا الإحتمال؛لأنّ الظاهر عدم التأیید أیضا، کما لا یصحّ شیء من إطلاق عدم الحجّیّة و إطلاق التأیید علی الإحتمال الثانی؛لأنّ الظاهر من التأیید عدم بلوغ مرتبة الحجّیّة،و یمکن بناء علی الإحتمال الثانی بلوغ مرتبة الحجّیّة بقوة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ابیّ،هاهنا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متتابعات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بعد حملها علی التفسیر یمکن استنباط الإستحباب،لعدم اعتبار قوّة السند فیه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فیخلّص بذلک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تأییده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بالحائطة فی دینکم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لکن إنّما تجری فیمن لم یطّلع علی ضعف دلیل الموجب،و أمّا إذا ظهر ضعفه بحیث لم یندرج رعایة مذهبه فی الحائطة فلا یجری فیه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دلالة دلیل آخر علی استحباب الخلاص عن مثل هذا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الکشّاف و تفسیر القاضی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خَیْرٌ لَکُمْ </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لفظ خَیْرٌ لَکُمْ فی الکشّاف و تفسیر القاضی هاهنا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إجماعهم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الضمیر للجمهور </w:t>
      </w:r>
    </w:p>
    <w:p>
      <w:pPr>
        <w:pStyle w:val="BookText"/>
        <w:rPr/>
      </w:pPr>
      <w:r>
        <w:rPr>
          <w:rFonts w:ascii="IRNazanin" w:hAnsi="IRNazanin" w:eastAsia="IRNazanin"/>
          <w:color w:val="111111"/>
          <w:sz w:val="28"/>
          <w:sz w:val="28"/>
          <w:szCs w:val="28"/>
          <w:rtl w:val="true"/>
          <w:lang w:bidi="fa-IR"/>
        </w:rPr>
        <w:t>و المخالفین کما هو المتبادر من مثل هذا الضمیر عند عدم قرب ذکر الأصحاب،و یؤیّده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مراده بالطلبة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ألسنة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سبب قوله قدّس سرّه بأنّ الظاهر إجماعهم علی وجوب الإفطار هو ما نقله عن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إلی وجوب الإفطار فی السفر جماعة من الصحابة کعمر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هو لا یدلّ علی الإجماع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أیضا فی کفّارة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قدر الفدیة التی یعطی المظاهر کلّ مسکین فی کفّارة الظهار هو القدر الذی یعطی المریض المذکور لکلّ یوم أفطر لا أنّ کفّارته مثل کفّارته فی أنّ علیه أن یعطی لکلّ یوم أفطر من أیّام صیام الظهار مدّا 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مطلق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غیر قصد و عزم علی القضاء أو مع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ما ذکره رحمه اللّه لما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ما ذکر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تهاون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الإستخفاف فی الجملة کما یدلّ علیه کلام الصحاح </w:t>
      </w:r>
      <w:r>
        <w:rPr>
          <w:rStyle w:val="FootnoteAnchor"/>
          <w:rtl w:val="true"/>
        </w:rPr>
        <w:footnoteReference w:id="261"/>
      </w:r>
      <w:r>
        <w:rPr>
          <w:rFonts w:ascii="IRNazanin" w:hAnsi="IRNazanin" w:eastAsia="IRNazanin"/>
          <w:color w:val="111111"/>
          <w:sz w:val="28"/>
          <w:sz w:val="28"/>
          <w:szCs w:val="28"/>
          <w:rtl w:val="true"/>
          <w:lang w:bidi="fa-IR"/>
        </w:rPr>
        <w:t>،بمعنی أنّ فی تأخیر الصیام مع الصحّة نوع استخفاف و ترک اهتمام بالقضاء، فیمکن استنباط استحباب التوالی فی القضاء بهذه الروایة،و بحسنة محمّد بن مسلم السابقة أیضا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قابله بمن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؛یحتاج إلی مثل هذا التوجیه حسنة محمّد بن مسلم السالفة </w:t>
      </w:r>
      <w:r>
        <w:rPr>
          <w:rStyle w:val="FootnoteAnchor"/>
          <w:rtl w:val="true"/>
        </w:rPr>
        <w:footnoteReference w:id="262"/>
      </w:r>
      <w:r>
        <w:rPr>
          <w:rFonts w:ascii="IRNazanin" w:hAnsi="IRNazanin" w:eastAsia="IRNazanin"/>
          <w:color w:val="111111"/>
          <w:sz w:val="28"/>
          <w:sz w:val="28"/>
          <w:szCs w:val="28"/>
          <w:rtl w:val="true"/>
          <w:lang w:bidi="fa-IR"/>
        </w:rPr>
        <w:t>،و لعلّه إنّما تعرّض لتوجیه هذه الروایة فقط لاستدلال الشیخ علی التفصیل بها،و لأنّ ذکر استمرار المرض فی الحسنة فی مقابل التوانی،و التردید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کذا و إن کان کذا یجعل هذا التوجیه فیها فی غایة </w:t>
      </w:r>
    </w:p>
    <w:p>
      <w:pPr>
        <w:pStyle w:val="BookText"/>
        <w:rPr/>
      </w:pPr>
      <w:r>
        <w:rPr>
          <w:rFonts w:ascii="IRNazanin" w:hAnsi="IRNazanin" w:eastAsia="IRNazanin"/>
          <w:color w:val="111111"/>
          <w:sz w:val="28"/>
          <w:sz w:val="28"/>
          <w:szCs w:val="28"/>
          <w:rtl w:val="true"/>
          <w:lang w:bidi="fa-IR"/>
        </w:rPr>
        <w:t>الظهور،بخلاف روایة أبی بصیر،لذکر التهاون هاهنا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صحّ فیما بین الرمضانین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تردید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تهاون کذا و إن لم یتهاون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المفهومة من الآیة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لکلّ واحد من اختصار المسافر و ترک زیادة المریض،و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تدلّ الآیة علی أنّ إرادة الیسر و عدم إرادة العسر صارا سببین لمشروعیّة الإفطار للمریض و المسافر،و أمّا اکتفائهما فی الإفطار بما یرتفع به العسر فلا دلالة لها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تری أنّ حرمة الإفطار ارتفعت بالمرض و السفر،فلو کان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 دالاّ علی الإختصار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الزیادة کان الظاهر عدم ارتفاع الحرمة عند عدم الإختصار</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و عدم ترک الزیادة لا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بأنّ ظاهر العلّة المفهومة من الآیة و إن کان کذلک لکن دعانا إلی صرف الکلام عن هذا الظاهر و استخراج الکراهة </w:t>
      </w:r>
      <w:r>
        <w:rPr>
          <w:rStyle w:val="FootnoteAnchor"/>
          <w:rtl w:val="true"/>
        </w:rPr>
        <w:footnoteReference w:id="264"/>
      </w:r>
      <w:r>
        <w:rPr>
          <w:rFonts w:ascii="IRNazanin" w:hAnsi="IRNazanin" w:eastAsia="IRNazanin"/>
          <w:color w:val="111111"/>
          <w:sz w:val="28"/>
          <w:sz w:val="28"/>
          <w:szCs w:val="28"/>
          <w:rtl w:val="true"/>
          <w:lang w:bidi="fa-IR"/>
        </w:rPr>
        <w:t>من العلّة المفهومة من الآیة عدم القول بالحرمة بعید لا نحتاج إلی القول به مع ظهور التوجیه الذی ذکرته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ظهور کونه خلاف الظاهر یحتاج إلیه فی فَمَنْ کٰانَ مِنْکُمْ مَرِیضاً أَوْ عَلیٰ سَفَرٍ </w:t>
      </w:r>
      <w:r>
        <w:rPr>
          <w:rStyle w:val="FootnoteAnchor"/>
          <w:rtl w:val="true"/>
        </w:rPr>
        <w:footnoteReference w:id="266"/>
      </w:r>
      <w:r>
        <w:rPr>
          <w:rFonts w:ascii="IRNazanin" w:hAnsi="IRNazanin" w:eastAsia="IRNazanin"/>
          <w:color w:val="111111"/>
          <w:sz w:val="28"/>
          <w:sz w:val="28"/>
          <w:szCs w:val="28"/>
          <w:rtl w:val="true"/>
          <w:lang w:bidi="fa-IR"/>
        </w:rPr>
        <w:t>لعدم ذکر السفر هناک بعد الشهود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أنّه قد یستعمل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عاین</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قد یستعمل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الظاهر </w:t>
      </w:r>
    </w:p>
    <w:p>
      <w:pPr>
        <w:pStyle w:val="BookText"/>
        <w:rPr/>
      </w:pPr>
      <w:r>
        <w:rPr>
          <w:rFonts w:ascii="IRNazanin" w:hAnsi="IRNazanin" w:eastAsia="IRNazanin"/>
          <w:color w:val="111111"/>
          <w:sz w:val="28"/>
          <w:sz w:val="28"/>
          <w:szCs w:val="28"/>
          <w:rtl w:val="true"/>
          <w:lang w:bidi="fa-IR"/>
        </w:rPr>
        <w:t>أنّ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أقلّ من استعماله فی کلّ واحد من المعنیین،و مع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w:t>
      </w:r>
      <w:r>
        <w:rPr>
          <w:rStyle w:val="FootnoteAnchor"/>
          <w:rtl w:val="true"/>
        </w:rPr>
        <w:footnoteReference w:id="269"/>
      </w:r>
      <w:r>
        <w:rPr>
          <w:rFonts w:ascii="IRNazanin" w:hAnsi="IRNazanin" w:eastAsia="IRNazanin"/>
          <w:color w:val="111111"/>
          <w:sz w:val="28"/>
          <w:sz w:val="28"/>
          <w:szCs w:val="28"/>
          <w:rtl w:val="true"/>
          <w:lang w:bidi="fa-IR"/>
        </w:rPr>
        <w:t>بغیر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الجملة فی أحدهما و إن لم یکن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فَلْیَصُمْهُ </w:t>
      </w:r>
      <w:r>
        <w:rPr>
          <w:rStyle w:val="FootnoteAnchor"/>
          <w:rtl w:val="true"/>
        </w:rPr>
        <w:footnoteReference w:id="270"/>
      </w:r>
      <w:r>
        <w:rPr>
          <w:rFonts w:ascii="IRNazanin" w:hAnsi="IRNazanin" w:eastAsia="IRNazanin"/>
          <w:color w:val="111111"/>
          <w:sz w:val="28"/>
          <w:sz w:val="28"/>
          <w:szCs w:val="28"/>
          <w:rtl w:val="true"/>
          <w:lang w:bidi="fa-IR"/>
        </w:rPr>
        <w:t>فی أحدهما أظهر و إن احتمل الحذف و الإیصال؛لأنّ اللفظ إذا کان مشترکا فالاستعمال قرینة لما یناسبه،فترک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 اللفظ قرینة لأحد المعنیین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الحاجة إلی التقیید فی إخراج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التوجیه لا یجری فی جمیع المریض الذی یسقط عنه الصوم بل فی بعضه،فالبعض الآخر یحتاج إلی التخصیص،و لعلّ النکتة فی عدم تصریح سقوط الصوم من المریض و المسافر فی الآیة أنّ عدم وجوبه علی بعض المریض و بعض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اللّذان لا یقدران علی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البیان،لظهور امتناع تکلیفهما، فالمحتاج إلی البیان فیهما هو وجوب أیّام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عدم وجوبه علی المریض و المسافر الّذین یحتاج إلی بیان عدم وجوبه علیهما،لإطلاق المریض و المسافر فی الآیة،و وجوب الصوم علی مریض لا یتضرّر بالصوم و لم یکن مشقّة لا یتحمّل مثلها عادة،تخصیص أفراد نادرة من المریض بالسنّة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عاین الشهر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عاین هلاله و علم به،فلا یعتبر فی أحدهما کلّ الشهر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فی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ظاهر فی الإقامة فی کلّ الشهر،فلمّا حمل قدّس سرّه اللفظ علی هذا المعنی احتاج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أعمّ من الحضور فی بعضه أو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 اللفظ علی أحد المعنیین الأوّلین لتحقّق المعنی علی التقدیرین من غیر حاجة إلی التعمیم الذی هو خارج عن معناه،و هذا أیضا یؤیّد حمل اللفظ علی أحد المعنیین بحسب ما یصل إلیه أفهامنا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 بذلک هو ترک بعض ما أخبر به،و لعلّ وجه عدّ هذا الإحتمال متعیّنا أنّه علیه السّلام قال فی جواب السؤال عن الخروج إذا دخل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ما أخبرک به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الحصر یدلّ علی عدم جواز الخروج فی غیر ما أخبر علیه السّلام به،فلو کان ما أخبر به منحصرا فیما ذکر لزم حصر جواز السفر فی أفراد نادرة بالنسبة إلی الأفراد الغیر المذکورة التی یجوز السفر لها،و هذا لا یجوز؛فیجب القول بسقوط تلک الأفراد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التعیّن إنّما یصحّ إذا لم یحتمل توجیها آخر،فکما یمکن أن یکون الغرض من السؤال عن الخروج إذا دخل شهر رمضان عن جواز الخروج،کذلک یمکن أن یکون السؤال عن الرجحان المطلق،فحینئذ یمکن ذکر امور یترجّح فیها الخروج سواء بلغ إلی مرتبة الوجوب أم لا بعنوان الإکتفاء و إحالة الامور الغیر المذکورة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الرجحان المطلق فی الامور الدینیّة أو الدنیویّة التی تفوت بالتأخیر أو یتضرّر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السائل فهم من کیفیّة الجواب عدم الإختصاص بالامور المذکورة،فللشّاهد أن یفهم من مکالمة البلیغ ما لا یفهم الغائب،فلا یلزم القیاس المنفیّ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فیخصّص بتلک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إلی ضعفه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ما ذکر الشیخ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هذه الروایة إنّما تدلّ علی کراهة السفر و أفضلیّة الصیام مع تأخیر الزیادة،و لا تدلّ علی </w:t>
      </w:r>
    </w:p>
    <w:p>
      <w:pPr>
        <w:pStyle w:val="BookText"/>
        <w:rPr/>
      </w:pPr>
      <w:r>
        <w:rPr>
          <w:rFonts w:ascii="IRNazanin" w:hAnsi="IRNazanin" w:eastAsia="IRNazanin"/>
          <w:color w:val="111111"/>
          <w:sz w:val="28"/>
          <w:sz w:val="28"/>
          <w:szCs w:val="28"/>
          <w:rtl w:val="true"/>
          <w:lang w:bidi="fa-IR"/>
        </w:rPr>
        <w:t>کراهة السفر عند معارضتها مع الصیام بعدم إمکانها بعد الصیام باعتبار بعض الموانع الذی یکون بعد الفراغ من الصیام؛و السفر عند المعارضة المذکورة غیر أفراد السفر المذکورة فی روایة أبی بصیر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بصیر هذه لا تدلّ علی کراهة السفر حینئذ لکون الکلام فی هذه الروایة عند عدم التعارض کما یدلّ علیه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أفطر و أزوره بعد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لا یبعد عدم المعارضة بین الصیام و الأمر الذی یرید البراح له المذکورین فی روایة الحلبی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جعل شیء من الروایتین دلیلا علی کراهة السفر فی غیر الأفراد المذکورة فی روایة أبی بصیر السابقة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حمل حاجة لا بدّ له من الخروج فیها علی حاجة تفوت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علی طریق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ما نقل أنّه سمع من المصنّف طاب ثراه تفسیره بلا تتحقّق،فهذا القول تأکید لما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تشترط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یوجبون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 عدم اشتراط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 القلم عن لا یوجبون،و لعلّه حینئذ رتّب علی عدم اشتراط النیّة فی اللیل الذی له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 عن النیّة رأسا،و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تحققّها من غیر أن یکون فی اللیل ما رتّبه من الإحتمالین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الإحتمال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یوجبون علیه الصوم لا الإمساک فقط حتّی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تسمیته بالصوم لترتّب حکم الصوم علیه من حرمة الإفطار و وجوب الکفّارة علیه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القائل باعتبار تبییت النیّة إنّما یقول به فی الصّوم الحقیقی لا المجازی، </w:t>
      </w:r>
      <w:bookmarkStart w:id="126" w:name="pg12937_139102"/>
    </w:p>
    <w:p>
      <w:pPr>
        <w:pStyle w:val="BookText"/>
        <w:rPr/>
      </w:pPr>
      <w:bookmarkEnd w:id="126"/>
      <w:r>
        <w:rPr>
          <w:rFonts w:ascii="IRNazanin" w:hAnsi="IRNazanin" w:eastAsia="IRNazanin"/>
          <w:color w:val="111111"/>
          <w:sz w:val="28"/>
          <w:sz w:val="28"/>
          <w:szCs w:val="28"/>
          <w:rtl w:val="true"/>
          <w:lang w:bidi="fa-IR"/>
        </w:rPr>
        <w:t>فلعلّه رحمه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خلوّه عن النیّة فی المجازی فلم لا یجوز خلوّه عنها فی الحقیقی، لکن مع هذا لا یصلح السند للسندیّة؛لأنّ ما یستدلّ به علی اعتبار النیّة فی اللیل إنّما یجری فی الصوم الحقیقی لا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 صومه</w:t>
      </w:r>
      <w:r>
        <w:rPr>
          <w:rFonts w:eastAsia="IRNazanin" w:cs="IRNazanin"/>
          <w:color w:val="111111"/>
          <w:sz w:val="28"/>
          <w:szCs w:val="28"/>
          <w:rtl w:val="true"/>
          <w:lang w:bidi="fa-IR"/>
        </w:rPr>
        <w:t>».</w:t>
      </w:r>
    </w:p>
    <w:p>
      <w:pPr>
        <w:pStyle w:val="Heading4"/>
        <w:numPr>
          <w:ilvl w:val="3"/>
          <w:numId w:val="1"/>
        </w:numPr>
        <w:rPr/>
      </w:pPr>
      <w:bookmarkStart w:id="127" w:name="__RefHeading___Toc4066863_3224264995"/>
      <w:bookmarkStart w:id="128" w:name="_Toc45"/>
      <w:bookmarkEnd w:id="127"/>
      <w:r>
        <w:rPr>
          <w:rtl w:val="true"/>
        </w:rPr>
        <w:t>[</w:t>
      </w:r>
      <w:r>
        <w:rPr>
          <w:rtl w:val="true"/>
        </w:rPr>
        <w:t>الدعاء و آدابه</w:t>
      </w:r>
      <w:r>
        <w:rPr>
          <w:rtl w:val="true"/>
        </w:rPr>
        <w:t>]</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یدعوا متیقّنا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رحمه اللّه التیقّن للإجابة إلی ما دعاه،أو إلی بدله الذی فیه المصلحة،و إلاّ لا طریق إلی التیقّن بالإجابة فی مطلق ما طلب من اللّه،و إن کان عند الطلب فی غایة الخضوع و الإقبال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لفظ فَتٰابَ </w:t>
      </w:r>
      <w:r>
        <w:rPr>
          <w:rStyle w:val="FootnoteAnchor"/>
          <w:rtl w:val="true"/>
        </w:rPr>
        <w:footnoteReference w:id="275"/>
      </w:r>
      <w:r>
        <w:rPr>
          <w:rFonts w:ascii="Amiri" w:hAnsi="Amiri" w:eastAsia="Amiri" w:cs="Amiri"/>
          <w:color w:val="111111"/>
          <w:sz w:val="28"/>
          <w:sz w:val="28"/>
          <w:szCs w:val="28"/>
          <w:rtl w:val="true"/>
          <w:lang w:bidi="ar-SA"/>
        </w:rPr>
        <w:t>بعد ذکر معصیة مخصوصة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تَخْتٰانُونَ أَنْفُسَکُمْ </w:t>
      </w:r>
      <w:r>
        <w:rPr>
          <w:rStyle w:val="FootnoteAnchor"/>
          <w:rtl w:val="true"/>
        </w:rPr>
        <w:footnoteReference w:id="276"/>
      </w:r>
      <w:r>
        <w:rPr>
          <w:rFonts w:ascii="IRNazanin" w:hAnsi="IRNazanin" w:eastAsia="IRNazanin"/>
          <w:color w:val="111111"/>
          <w:sz w:val="28"/>
          <w:sz w:val="28"/>
          <w:szCs w:val="28"/>
          <w:rtl w:val="true"/>
          <w:lang w:bidi="fa-IR"/>
        </w:rPr>
        <w:t>لا یدلّ علی العموم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وجوب قبول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قبول التوبة من معصیة مخصوصة،فلا یدلّ علی قبولها عن معصیة اخری،فربّما کانت لهذه المعصیة خصوصیّة تناسب العفو عنها عند التوبة لیست لغیرها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تأیید هذا الاحتمال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 لَهُنَّ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الغرض عدم قبول التوبة عن المعاصی الآخر،بل الغرض عدم دلالة هذه الآیة علی القبول،و بعد تسلیم الدلالة علی عموم القبول لا دلالة لها علی وجوب قبول التوبة، لا بعنوان العموم،و لا بعنوان الخصوص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قدّس سرّه قبول التوبة من خصوص المعصیة،فیندفع الإعتراض الأوّل،و إن کان ظاهر اللفظ إرادة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تتعبون فی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تتعبون فی التحصیل عند عدم إرادة ما کتب اللّه لکم،و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بعض الاوقات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مرادکم فی جمیع مطالبکم ما کتب اللّه لکم،لأنّه إذا کان مطلبکم من جمیع الامور ما کتب اللّه لکم و تحصیل مرضاته یحصل لکم ما طلبتم من المثوبات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الأحوط ما قاله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لأکثریّة الروایات الدالّة علی ما قاله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إرادة هذا المعنی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التعبیر بالبعض فی مثل هذا المقام ظاهر فی الأقلّ و إن کان بحسب اللغة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الأکثریّة و لا المساواة فی الروایات الدالّة علی ما قاله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أکثریّة القائلین بهذا القول،و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ینافی أکثریّة بعض الروایات،و حینئذ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و تأیید لقول الأکثر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دلیل غیره التقیید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الأخبار لیس قابلا لهذا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حمل دلیل غیره علی التقیّة،و یحتمل حمل دلیل الأکثر علی الفضیلة؛ و الأوّل أحوط،و الثانی أقوی،لعدم بعد حمل ما یدلّ علی اعتبار ذهاب الحمرة المشرقیّة علی الفضیلة فی نفسه،و إمکان تأیید الإحتمال بالروایة،و مع هذا لا ینبغی ترک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الکراهة لمن خاف أن ینجرّ مثل التقبیل إلی الجماع أو الإنزال موجود فی الروایات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رجحان المباشرة المستفادة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p>
    <w:p>
      <w:pPr>
        <w:pStyle w:val="BookText"/>
        <w:rPr/>
      </w:pPr>
      <w:r>
        <w:rPr>
          <w:rFonts w:ascii="Amiri" w:hAnsi="Amiri" w:eastAsia="Amiri" w:cs="Amiri"/>
          <w:color w:val="111111"/>
          <w:sz w:val="28"/>
          <w:sz w:val="28"/>
          <w:szCs w:val="28"/>
          <w:rtl w:val="true"/>
          <w:lang w:bidi="ar-SA"/>
        </w:rPr>
        <w:t>بشیء بعد تحریمه و إن لم یکن ظاهرا فی الرجحان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278"/>
      </w:r>
      <w:r>
        <w:rPr>
          <w:rFonts w:ascii="Amiri" w:hAnsi="Amiri" w:eastAsia="Amiri" w:cs="Amiri"/>
          <w:color w:val="111111"/>
          <w:sz w:val="28"/>
          <w:sz w:val="28"/>
          <w:szCs w:val="28"/>
          <w:rtl w:val="true"/>
          <w:lang w:bidi="ar-SA"/>
        </w:rPr>
        <w:t>لکن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w:t>
      </w:r>
      <w:r>
        <w:rPr>
          <w:rStyle w:val="FootnoteAnchor"/>
          <w:rtl w:val="true"/>
        </w:rPr>
        <w:footnoteReference w:id="279"/>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w:t>
      </w:r>
      <w:r>
        <w:rPr>
          <w:rStyle w:val="FootnoteAnchor"/>
          <w:rtl w:val="true"/>
        </w:rPr>
        <w:footnoteReference w:id="280"/>
      </w:r>
      <w:r>
        <w:rPr>
          <w:rFonts w:ascii="Amiri" w:hAnsi="Amiri" w:eastAsia="Amiri" w:cs="Amiri"/>
          <w:color w:val="111111"/>
          <w:sz w:val="28"/>
          <w:sz w:val="28"/>
          <w:szCs w:val="28"/>
          <w:rtl w:val="true"/>
          <w:lang w:bidi="ar-SA"/>
        </w:rPr>
        <w:t>الدالّ علی الإباحة التی یبعد اندراج الکراهة فیه ظاهر فی الرجحان،و صعوبة الصبر المستفادة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 لَهُنَّ </w:t>
      </w:r>
      <w:r>
        <w:rPr>
          <w:rStyle w:val="FootnoteAnchor"/>
          <w:rtl w:val="true"/>
        </w:rPr>
        <w:footnoteReference w:id="281"/>
      </w:r>
      <w:r>
        <w:rPr>
          <w:rFonts w:ascii="IRNazanin" w:hAnsi="IRNazanin" w:eastAsia="IRNazanin"/>
          <w:color w:val="111111"/>
          <w:sz w:val="28"/>
          <w:sz w:val="28"/>
          <w:szCs w:val="28"/>
          <w:rtl w:val="true"/>
          <w:lang w:bidi="fa-IR"/>
        </w:rPr>
        <w:t>کما یمکن کونها سببا للإباحة کذلک یمکن کونها سببا للرجحان،فینبغی الرجوع إلی دلالة اللفظ الّتی هی الرجحان بما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بَاشِرُوهُنَّ هاهنا علی الإباحة بعید بما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لبقاء الأمر فی معناه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الأصلی هو رجحان الفعل و المنع عن الترک،و کونه بعد النهی ظاهر فی عدم اعتبار القید الثانی بخصوصه و إن لم یکن منافیا له کما أومئ إلیه بتفسیر الإباحة برفع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یناف کون الأمر بعد النهی لشیء من جزئی معناه الأصلی فلم یقول بانتفاء اعتبار القید الثانی،و إن لاحظ أنّ القید الثانی لا یفهم من الأمر الذی بعد النهی فهو کذلک لکنّ الظاهر عدم فهم القید الأوّل أیضا منه إن لم یکن قرینة دالّة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بعد إثبات الرجحان فی المباشرة بما ذکرته سابقا إثبات رجحان الأکل و الشرب بالأمر بهما بعد الأمر بها،لبعد کون الأمر الأوّل للرجحان،و الأخیرین للمعنی العامّ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أمر آخر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الأکل و الشرب محرّمین بعد النوم أو صلاة العشاء إلی اللیل فنسخ المنع مغیّی بطلوع الفجر و إن کان بإباحتهما بالمعنی الأخصّ،فالزمان الباقی الذی هو من طلوع الصبح إلی اللیل باق علی حرمتهما السابقة فیه،لکن مثله جار علی تقدیر حمل الأمر علی الإستحباب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الغایة للمستحبّ ظاهر فی الجواز بعدها بارتفاع الرجحان فیه، بخلاف الإباحة بالمعنی الأخصّ،فظاهر الجواز المفهوم من غایة المستحبّ معارض لأصالة بقاء الحرمة،فلا یمکن الحکم بالدلالة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جعل هذا المفهوم معارضا للحرمة السابقة،لکونه أضعف من أن یصحّ جعله ناسخا له،و مع هذا الفرق بین الإستحباب و الإباحة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إخراج جزء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حکم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جواز الوطئ إلی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یظهر من توجیهه أن یکون لهذا الجزء الذی یجب ترک الجماع فیه قدر یسع وقوع الغسل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حَتّٰی </w:t>
      </w:r>
      <w:r>
        <w:rPr>
          <w:rStyle w:val="FootnoteAnchor"/>
          <w:rtl w:val="true"/>
        </w:rPr>
        <w:footnoteReference w:id="282"/>
      </w:r>
      <w:r>
        <w:rPr>
          <w:rFonts w:ascii="IRNazanin" w:hAnsi="IRNazanin" w:eastAsia="IRNazanin"/>
          <w:color w:val="111111"/>
          <w:sz w:val="28"/>
          <w:sz w:val="28"/>
          <w:szCs w:val="28"/>
          <w:rtl w:val="true"/>
          <w:lang w:bidi="fa-IR"/>
        </w:rPr>
        <w:t>غایة للمباشرة مع التابع الذی هو الغسل بدلیل الأخبار المعتبرة المعاضدة بالشهرة،و احتمال الأخبار المنافیة لها التقیّة،فتعتبر فی الجزء من اللیل الوسعة للغسل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وجه آخر لا یتمّ علی صاحب الکشّاف </w:t>
      </w:r>
      <w:r>
        <w:rPr>
          <w:rStyle w:val="FootnoteAnchor"/>
          <w:rtl w:val="true"/>
        </w:rPr>
        <w:footnoteReference w:id="283"/>
      </w:r>
      <w:r>
        <w:rPr>
          <w:rFonts w:ascii="IRNazanin" w:hAnsi="IRNazanin" w:eastAsia="IRNazanin"/>
          <w:color w:val="111111"/>
          <w:sz w:val="28"/>
          <w:sz w:val="28"/>
          <w:szCs w:val="28"/>
          <w:rtl w:val="true"/>
          <w:lang w:bidi="fa-IR"/>
        </w:rPr>
        <w:t>و إن کان وجها صحیحا کما یظهر من ملاحظة الأخبار و 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إجماع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ما نقل من الأعمش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الصوم من طلوع الشمس إلی غروبها</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بأنّ الآیة تدلّ علی انتهاء شرب الصائم إلی الصبح،و کلّ من قال بانتهائه إلیه قال بانتهاء الأکل إلیه أیضا،فالقول بانتهاء الشرب فقط إلیه 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اختلال الإجماع الغیر المرکّب بقول الأعمش،إمّا لظهور بطلانه أو لتحقّقه قبل الأعمش و بعده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ما یدلّ علی الغسل لیلا علی الإستحباب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9" w:name="pg12937_139106"/>
    </w:p>
    <w:p>
      <w:pPr>
        <w:pStyle w:val="BookText"/>
        <w:rPr/>
      </w:pPr>
      <w:bookmarkEnd w:id="129"/>
      <w:r>
        <w:rPr>
          <w:rFonts w:ascii="IRNazanin" w:hAnsi="IRNazanin" w:eastAsia="IRNazanin"/>
          <w:color w:val="111111"/>
          <w:sz w:val="28"/>
          <w:sz w:val="28"/>
          <w:szCs w:val="28"/>
          <w:rtl w:val="true"/>
          <w:lang w:bidi="fa-IR"/>
        </w:rPr>
        <w:t xml:space="preserve">یظهر من بعض الأخبار المذمّة بتأخیر الغسل بحیث لا تناسب الکراهة،و من بعضها وجوب الکفّارة بحیث یبعد حمله علی الإستحباب،و من بعضها تکریر رسول اللّه صلّی اللّه علیه و آله تأخیر الغسل عمدا،و هو لا یناسب شیئا من الصنفین المذکورین،فتخصیص عموم </w:t>
      </w:r>
      <w:r>
        <w:rPr>
          <w:rStyle w:val="FootnoteAnchor"/>
          <w:rtl w:val="true"/>
        </w:rPr>
        <w:footnoteReference w:id="285"/>
      </w:r>
      <w:r>
        <w:rPr>
          <w:rFonts w:ascii="IRNazanin" w:hAnsi="IRNazanin" w:eastAsia="IRNazanin"/>
          <w:color w:val="111111"/>
          <w:sz w:val="28"/>
          <w:sz w:val="28"/>
          <w:szCs w:val="28"/>
          <w:rtl w:val="true"/>
          <w:lang w:bidi="fa-IR"/>
        </w:rPr>
        <w:t>ظاهر الآیة المستنبط من الإطلاق لعدم ظهور کون حَتّٰی غایة للمباشرة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المصنّف قدّس سرّه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تلک الأخبار و الشهرة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القوّة مع الجماعة لا الإحتیاط فقط،و الروایة محمولة علی التقیّة</w:t>
      </w:r>
      <w:r>
        <w:rPr>
          <w:rFonts w:eastAsia="IRNazanin" w:cs="IRNazanin"/>
          <w:color w:val="111111"/>
          <w:sz w:val="28"/>
          <w:szCs w:val="28"/>
          <w:rtl w:val="true"/>
          <w:lang w:bidi="fa-IR"/>
        </w:rPr>
        <w:t>.</w:t>
      </w:r>
    </w:p>
    <w:p>
      <w:pPr>
        <w:pStyle w:val="Heading3"/>
        <w:numPr>
          <w:ilvl w:val="2"/>
          <w:numId w:val="1"/>
        </w:numPr>
        <w:rPr/>
      </w:pPr>
      <w:bookmarkStart w:id="130" w:name="__RefHeading___Toc4066865_3224264995"/>
      <w:bookmarkStart w:id="131" w:name="_Toc46"/>
      <w:bookmarkEnd w:id="130"/>
      <w:r>
        <w:rPr>
          <w:rtl w:val="true"/>
        </w:rPr>
        <w:t>کتاب الزکاة</w:t>
      </w:r>
      <w:bookmarkEnd w:id="131"/>
    </w:p>
    <w:p>
      <w:pPr>
        <w:pStyle w:val="Heading4"/>
        <w:numPr>
          <w:ilvl w:val="3"/>
          <w:numId w:val="1"/>
        </w:numPr>
        <w:rPr/>
      </w:pPr>
      <w:bookmarkStart w:id="132" w:name="__RefHeading___Toc4066867_3224264995"/>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و فیه أبحاث</w:t>
      </w:r>
      <w:r>
        <w:rPr>
          <w:rFonts w:eastAsia="IRNazanin" w:cs="IRNazanin"/>
          <w:color w:val="111111"/>
          <w:sz w:val="28"/>
          <w:szCs w:val="28"/>
          <w:rtl w:val="true"/>
          <w:lang w:bidi="fa-IR"/>
        </w:rPr>
        <w:t>:</w:t>
      </w:r>
    </w:p>
    <w:p>
      <w:pPr>
        <w:pStyle w:val="Heading4"/>
        <w:numPr>
          <w:ilvl w:val="3"/>
          <w:numId w:val="1"/>
        </w:numPr>
        <w:rPr/>
      </w:pPr>
      <w:bookmarkStart w:id="134" w:name="__RefHeading___Toc4066869_3224264995"/>
      <w:bookmarkStart w:id="135" w:name="_Toc48"/>
      <w:bookmarkEnd w:id="134"/>
      <w:r>
        <w:rPr>
          <w:rtl w:val="true"/>
        </w:rPr>
        <w:t>[</w:t>
      </w:r>
      <w:r>
        <w:rPr>
          <w:rtl w:val="true"/>
        </w:rPr>
        <w:t>البحث</w:t>
      </w:r>
      <w:r>
        <w:rPr>
          <w:rtl w:val="true"/>
        </w:rPr>
        <w:t xml:space="preserve">] </w:t>
      </w:r>
      <w:r>
        <w:rPr>
          <w:rtl w:val="true"/>
        </w:rPr>
        <w:t>الأوّل فی وجوبها و محلّها</w:t>
      </w:r>
      <w:bookmarkEnd w:id="135"/>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الآیة علی کون الأعمال من کمال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w:t>
      </w:r>
      <w:r>
        <w:rPr>
          <w:rStyle w:val="FootnoteAnchor"/>
          <w:rtl w:val="true"/>
        </w:rPr>
        <w:footnoteReference w:id="288"/>
      </w:r>
      <w:r>
        <w:rPr>
          <w:rFonts w:ascii="IRNazanin" w:hAnsi="IRNazanin" w:eastAsia="IRNazanin"/>
          <w:color w:val="111111"/>
          <w:sz w:val="28"/>
          <w:sz w:val="28"/>
          <w:szCs w:val="28"/>
          <w:rtl w:val="true"/>
          <w:lang w:bidi="fa-IR"/>
        </w:rPr>
        <w:t>یحتمل أن یکون ظرفا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یوم العذاب ظرفا للبشارة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جواز تکلیفه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 قویّ مع عدم اعترافه بخلوّ عبادته عن القربة و إلاّ فالظاهر جواز تکلیفه و حسنه</w:t>
      </w:r>
      <w:r>
        <w:rPr>
          <w:rFonts w:eastAsia="IRNazanin" w:cs="IRNazanin"/>
          <w:color w:val="111111"/>
          <w:sz w:val="28"/>
          <w:szCs w:val="28"/>
          <w:rtl w:val="true"/>
          <w:lang w:bidi="fa-IR"/>
        </w:rPr>
        <w:t>.</w:t>
      </w:r>
    </w:p>
    <w:p>
      <w:pPr>
        <w:pStyle w:val="Heading4"/>
        <w:numPr>
          <w:ilvl w:val="3"/>
          <w:numId w:val="1"/>
        </w:numPr>
        <w:rPr/>
      </w:pPr>
      <w:bookmarkStart w:id="136" w:name="__RefHeading___Toc4066871_3224264995"/>
      <w:bookmarkStart w:id="137" w:name="_Toc49"/>
      <w:bookmarkEnd w:id="136"/>
      <w:r>
        <w:rPr>
          <w:rtl w:val="true"/>
        </w:rPr>
        <w:t>[</w:t>
      </w:r>
      <w:r>
        <w:rPr>
          <w:rtl w:val="true"/>
        </w:rPr>
        <w:t>البحث</w:t>
      </w:r>
      <w:r>
        <w:rPr>
          <w:rtl w:val="true"/>
        </w:rPr>
        <w:t xml:space="preserve">] </w:t>
      </w:r>
      <w:r>
        <w:rPr>
          <w:rtl w:val="true"/>
        </w:rPr>
        <w:t>الثانی</w:t>
      </w:r>
      <w:r>
        <w:rPr>
          <w:rtl w:val="true"/>
        </w:rPr>
        <w:t xml:space="preserve">: </w:t>
      </w:r>
      <w:r>
        <w:rPr>
          <w:rtl w:val="true"/>
        </w:rPr>
        <w:t>فی قبض الزکاة و إعطائها المستحق و فیه آیات</w:t>
      </w:r>
      <w:r>
        <w:rPr>
          <w:rtl w:val="true"/>
        </w:rPr>
        <w:t>:</w:t>
      </w:r>
      <w:bookmarkEnd w:id="1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الکشاف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جواز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المراد من القیاس هاهنا لیس قیاسا فقهیّا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الزّکاة تطهیر للمال و تنمیة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ینسب تطهیر الصدقة و تزکیتها فی الآیة إلی المال حتّی یظهرا من الآیة،بل نسب تطهیرها و تزکیتها إلی المزکّین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تُطَهِّرُهُمْ وَ تُزَکِّیهِمْ </w:t>
      </w:r>
      <w:r>
        <w:rPr>
          <w:rStyle w:val="FootnoteAnchor"/>
          <w:rtl w:val="true"/>
        </w:rPr>
        <w:footnoteReference w:id="292"/>
      </w:r>
      <w:r>
        <w:rPr>
          <w:rFonts w:ascii="IRNazanin" w:hAnsi="IRNazanin" w:eastAsia="IRNazanin"/>
          <w:color w:val="111111"/>
          <w:sz w:val="28"/>
          <w:sz w:val="28"/>
          <w:szCs w:val="28"/>
          <w:rtl w:val="true"/>
          <w:lang w:bidi="fa-IR"/>
        </w:rPr>
        <w:t>و إن جوّز إرادة تطهیر المال و تزکیته من التطهیر و التزکیة المنسوبین إلی المزکّین،فهو تأویل یصار إلیه للدلیل إن کان،فلا یناسب تعبیره بالدلالة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قبول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قبول التوبة،و کذا الزکاة،بدلالة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وجوب العلم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معطوف علی وجوب،فلذلک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المعطوف،لعدم انسحاب الوجوب علی المعطوف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وجه الدلالة أنّ إنکار عدم العلم الذی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w:t>
      </w:r>
      <w:r>
        <w:rPr>
          <w:rStyle w:val="FootnoteAnchor"/>
          <w:rtl w:val="true"/>
        </w:rPr>
        <w:footnoteReference w:id="293"/>
      </w:r>
      <w:r>
        <w:rPr>
          <w:rFonts w:ascii="IRNazanin" w:hAnsi="IRNazanin" w:eastAsia="IRNazanin"/>
          <w:color w:val="111111"/>
          <w:sz w:val="28"/>
          <w:sz w:val="28"/>
          <w:szCs w:val="28"/>
          <w:rtl w:val="true"/>
          <w:lang w:bidi="fa-IR"/>
        </w:rPr>
        <w:t>یدلّ علی أنّ ما ذکر بعده ظاهر لهم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الظهور أنّ کمال جوده تعالی المعلوم لهم بألطافه العمیمة و نعمه الجسیمة یدلّ علی ما ذکر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یَعْلَمُوا من قبول التوبة و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یذکر من العبادات مشترک مع ما ذکر فی سبب ظهور القبول،فثبت وجوب العلم بمعنی العلم بتحقّقه بعد التوبة بشرائطها باستقراء أفعاله و ألطافه لا بمعنی الوجوب العقلیّ المحض،فلا یرد أنّ العقل لا یحکم بوجوب العفو بعد المعصیة و استحقاق العقاب،فکما لا ینفع التوبة و الندامة عند موافاة المعصیة الوفات مع تحقّق الندامة بعد المعصیة،فلم لا یجوز عدم الإنتفاع بها عند الندامة فی الحیاة؟</w:t>
      </w:r>
      <w:r>
        <w:rPr>
          <w:rFonts w:eastAsia="IRNazanin" w:cs="IRNazanin"/>
          <w:color w:val="111111"/>
          <w:sz w:val="28"/>
          <w:szCs w:val="28"/>
          <w:rtl w:val="true"/>
          <w:lang w:bidi="fa-IR"/>
        </w:rPr>
        <w:t xml:space="preserve">. </w:t>
      </w:r>
      <w:bookmarkStart w:id="138" w:name="pg12937_139108"/>
    </w:p>
    <w:p>
      <w:pPr>
        <w:pStyle w:val="BookText"/>
        <w:rPr/>
      </w:pPr>
      <w:bookmarkEnd w:id="138"/>
      <w:r>
        <w:rPr>
          <w:rFonts w:ascii="IRNazanin" w:hAnsi="IRNazanin" w:eastAsia="IRNazanin"/>
          <w:color w:val="111111"/>
          <w:sz w:val="28"/>
          <w:sz w:val="28"/>
          <w:szCs w:val="28"/>
          <w:rtl w:val="true"/>
          <w:lang w:bidi="fa-IR"/>
        </w:rPr>
        <w:t>و لإنکار عدم العلم هاهنا احتمال آخر،و هو ظهور قبول التوبة و الزکاة بما بلغ و شاع، لا بمحض العقل،و لا باستقراء الألطاف،و حینئذ لا یمکن الحکم بوجوب قبول سائر العبادات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تأیید هذا الإحتمال بظاهر العموم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یَعْلَمُوا لعدم کون استنباط القبول بما ذکرته سابقا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وجوب العلم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المبالغة فی إنکار عدم العلم التی یظهر من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 لیست تبعیضیّة، و الأظهر عدم لفظ بعض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Heading4"/>
        <w:numPr>
          <w:ilvl w:val="3"/>
          <w:numId w:val="1"/>
        </w:numPr>
        <w:rPr/>
      </w:pPr>
      <w:bookmarkStart w:id="139" w:name="__RefHeading___Toc4066873_3224264995"/>
      <w:bookmarkStart w:id="140" w:name="_Toc50"/>
      <w:bookmarkEnd w:id="139"/>
      <w:r>
        <w:rPr>
          <w:rtl w:val="true"/>
        </w:rPr>
        <w:t>البحث الثالث</w:t>
      </w:r>
      <w:r>
        <w:rPr>
          <w:rtl w:val="true"/>
        </w:rPr>
        <w:t>:</w:t>
      </w:r>
      <w:r>
        <w:rPr>
          <w:rtl w:val="true"/>
        </w:rPr>
        <w:t>فی امور تتبع الإخراج و فیه آیات</w:t>
      </w:r>
      <w:r>
        <w:rPr>
          <w:rtl w:val="true"/>
        </w:rPr>
        <w:t>:</w:t>
      </w:r>
      <w:bookmarkEnd w:id="140"/>
    </w:p>
    <w:p>
      <w:pPr>
        <w:pStyle w:val="BookText"/>
        <w:rPr/>
      </w:pPr>
      <w:r>
        <w:rPr>
          <w:rFonts w:ascii="Amiri" w:hAnsi="Amiri" w:eastAsia="Amiri" w:cs="Amiri"/>
          <w:color w:val="111111"/>
          <w:sz w:val="28"/>
          <w:sz w:val="28"/>
          <w:szCs w:val="28"/>
          <w:rtl w:val="true"/>
          <w:lang w:bidi="ar-SA"/>
        </w:rPr>
        <w:t>الأولی وَ مٰا تُنْفِقُوا مِنْ خَیْرٍ فَلِأَنْفُسِکُمْ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أنّ المراد بالنفی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تُنْفِقُونَ </w:t>
      </w:r>
      <w:r>
        <w:rPr>
          <w:rStyle w:val="FootnoteAnchor"/>
          <w:rtl w:val="true"/>
        </w:rPr>
        <w:footnoteReference w:id="296"/>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المقصود نفی الإنفاق الخالی عن القربة بانتفاء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أحصروا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أُحْصِرُوا بصیغة البناء للفاعل،و المعروف هو البناء للمفعول،فلعلّ مقصوده رحمه اللّه بیان ما یستفاد من الآیة من غیر أن یقصد تفسیر الآیة علی وفق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مقصوده أنّ فاعل إحصار الفقراء المذکورین هاهنا لیس غیرهم، بل هم فاعل الإحصار لتهیّئ الجهاد أو الأعمّ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کراهة فی أخذ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؛الإستدلال </w:t>
      </w:r>
      <w:bookmarkStart w:id="141" w:name="pg12937_139109"/>
    </w:p>
    <w:p>
      <w:pPr>
        <w:pStyle w:val="BookText"/>
        <w:rPr/>
      </w:pPr>
      <w:bookmarkEnd w:id="141"/>
      <w:r>
        <w:rPr>
          <w:rFonts w:ascii="IRNazanin" w:hAnsi="IRNazanin" w:eastAsia="IRNazanin"/>
          <w:color w:val="111111"/>
          <w:sz w:val="28"/>
          <w:sz w:val="28"/>
          <w:szCs w:val="28"/>
          <w:rtl w:val="true"/>
          <w:lang w:bidi="fa-IR"/>
        </w:rPr>
        <w:t>علی عدم کراهة أخذ الزکاة و ترک الکسب لمطلق العبادة مشکل؛لأنّه یمکن أن یکون لدوام تهیّئ الجهاد الذی یفوت بالسفر مدخل فی عدم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ثبت قدرتهم علی الکسب المقارن لدوام التهیّئ للقتال فهی کما ذکره رحمه اللّه و کذلک طلب العلم لبعض الناس إذا کان معارضا للکسب اللایق،فلا کراهة فی أخذ الزکاة و ترک الکسب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یُنْفِقُونَ أَمْوٰالَهُمُ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جاءت ثمرتها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إلیه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ساقه </w:t>
      </w:r>
      <w:r>
        <w:rPr>
          <w:rStyle w:val="FootnoteAnchor"/>
          <w:rtl w:val="true"/>
        </w:rPr>
        <w:footnoteReference w:id="300"/>
      </w:r>
      <w:r>
        <w:rPr>
          <w:rFonts w:ascii="IRNazanin" w:hAnsi="IRNazanin" w:eastAsia="IRNazanin"/>
          <w:color w:val="111111"/>
          <w:sz w:val="28"/>
          <w:sz w:val="28"/>
          <w:szCs w:val="28"/>
          <w:rtl w:val="true"/>
          <w:lang w:bidi="fa-IR"/>
        </w:rPr>
        <w:t>و فلانا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إیّاه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فظاهر ما قاله و نصب أُکُلَهٰا </w:t>
      </w:r>
      <w:r>
        <w:rPr>
          <w:rStyle w:val="FootnoteAnchor"/>
          <w:rtl w:val="true"/>
        </w:rPr>
        <w:footnoteReference w:id="302"/>
      </w:r>
      <w:r>
        <w:rPr>
          <w:rFonts w:ascii="IRNazanin" w:hAnsi="IRNazanin" w:eastAsia="IRNazanin"/>
          <w:color w:val="111111"/>
          <w:sz w:val="28"/>
          <w:sz w:val="28"/>
          <w:szCs w:val="28"/>
          <w:rtl w:val="true"/>
          <w:lang w:bidi="fa-IR"/>
        </w:rPr>
        <w:t>أن یقول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أعطت،فلعلّ أحد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محذوف،و مقصود المصنّف طاب ثراه بیان الحاصل،من غیر تعرّض لتفسیر اللفظ علی وجه ینطبق علی الإعراب</w:t>
      </w:r>
      <w:r>
        <w:rPr>
          <w:rFonts w:eastAsia="IRNazanin" w:cs="IRNazanin"/>
          <w:color w:val="111111"/>
          <w:sz w:val="28"/>
          <w:szCs w:val="28"/>
          <w:rtl w:val="true"/>
          <w:lang w:bidi="fa-IR"/>
        </w:rPr>
        <w:t>.</w:t>
      </w:r>
    </w:p>
    <w:p>
      <w:pPr>
        <w:pStyle w:val="Heading3"/>
        <w:numPr>
          <w:ilvl w:val="2"/>
          <w:numId w:val="1"/>
        </w:numPr>
        <w:rPr/>
      </w:pPr>
      <w:bookmarkStart w:id="142" w:name="__RefHeading___Toc4066875_3224264995"/>
      <w:bookmarkStart w:id="143" w:name="_Toc51"/>
      <w:bookmarkEnd w:id="142"/>
      <w:r>
        <w:rPr>
          <w:rtl w:val="true"/>
        </w:rPr>
        <w:t>کتاب الخمس</w:t>
      </w:r>
      <w:bookmarkEnd w:id="143"/>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سهم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کلامه نورّ مرقده علی کون السهام الثلاثة له صلّی اللّه علیه و آله و هو خلاف ظاهر الآیة و الروایات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المتبادر من الغنیمة هنا هی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w:t>
      </w:r>
      <w:bookmarkStart w:id="144" w:name="pg12937_139110"/>
    </w:p>
    <w:p>
      <w:pPr>
        <w:pStyle w:val="BookText"/>
        <w:rPr/>
      </w:pPr>
      <w:bookmarkEnd w:id="144"/>
      <w:r>
        <w:rPr>
          <w:rFonts w:ascii="IRNazanin" w:hAnsi="IRNazanin" w:eastAsia="IRNazanin"/>
          <w:color w:val="111111"/>
          <w:sz w:val="28"/>
          <w:sz w:val="28"/>
          <w:szCs w:val="28"/>
          <w:rtl w:val="true"/>
          <w:lang w:bidi="fa-IR"/>
        </w:rPr>
        <w:t>وجه تقیید التبادر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ما قبل الآیة و ما بعدها فی الحرب،فالمناسب جعل کون الإثنین فی الحرب دلیلا علی التبادر لا جعله مؤیّدا للتبادر کما یظهر من کلامه رحمه اللّه</w:t>
      </w:r>
      <w:r>
        <w:rPr>
          <w:rFonts w:eastAsia="IRNazanin" w:cs="IRNazanin"/>
          <w:color w:val="111111"/>
          <w:sz w:val="28"/>
          <w:szCs w:val="28"/>
          <w:rtl w:val="true"/>
          <w:lang w:bidi="fa-IR"/>
        </w:rPr>
        <w:t>.</w:t>
      </w:r>
    </w:p>
    <w:p>
      <w:pPr>
        <w:pStyle w:val="Heading3"/>
        <w:numPr>
          <w:ilvl w:val="2"/>
          <w:numId w:val="1"/>
        </w:numPr>
        <w:rPr/>
      </w:pPr>
      <w:bookmarkStart w:id="145" w:name="__RefHeading___Toc4066877_3224264995"/>
      <w:bookmarkStart w:id="146" w:name="_Toc52"/>
      <w:bookmarkEnd w:id="145"/>
      <w:r>
        <w:rPr>
          <w:rtl w:val="true"/>
        </w:rPr>
        <w:t>کتاب الحج</w:t>
      </w:r>
      <w:bookmarkEnd w:id="146"/>
    </w:p>
    <w:p>
      <w:pPr>
        <w:pStyle w:val="Heading4"/>
        <w:numPr>
          <w:ilvl w:val="3"/>
          <w:numId w:val="1"/>
        </w:numPr>
        <w:rPr/>
      </w:pPr>
      <w:bookmarkStart w:id="147" w:name="__RefHeading___Toc4066879_3224264995"/>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و البحث فیه علی أنواع</w:t>
      </w:r>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149" w:name="__RefHeading___Toc4066881_3224264995"/>
      <w:bookmarkStart w:id="150" w:name="_Toc54"/>
      <w:bookmarkEnd w:id="149"/>
      <w:r>
        <w:rPr>
          <w:rtl w:val="true"/>
        </w:rPr>
        <w:t>[</w:t>
      </w:r>
      <w:r>
        <w:rPr>
          <w:rtl w:val="true"/>
        </w:rPr>
        <w:t>النوع</w:t>
      </w:r>
      <w:r>
        <w:rPr>
          <w:rtl w:val="true"/>
        </w:rPr>
        <w:t xml:space="preserve">] </w:t>
      </w:r>
      <w:r>
        <w:rPr>
          <w:rtl w:val="true"/>
        </w:rPr>
        <w:t>الأوّل</w:t>
      </w:r>
      <w:r>
        <w:rPr>
          <w:rtl w:val="true"/>
        </w:rPr>
        <w:t>:</w:t>
      </w:r>
      <w:r>
        <w:rPr>
          <w:rtl w:val="true"/>
        </w:rPr>
        <w:t>فی وجوبه</w:t>
      </w:r>
      <w:bookmarkEnd w:id="150"/>
    </w:p>
    <w:p>
      <w:pPr>
        <w:pStyle w:val="BookText"/>
        <w:rPr/>
      </w:pPr>
      <w:r>
        <w:rPr>
          <w:rFonts w:ascii="IRNazanin" w:hAnsi="IRNazanin" w:eastAsia="IRNazanin"/>
          <w:color w:val="111111"/>
          <w:sz w:val="28"/>
          <w:sz w:val="28"/>
          <w:szCs w:val="28"/>
          <w:rtl w:val="true"/>
          <w:lang w:bidi="fa-IR"/>
        </w:rPr>
        <w:t>،و فیه آیتان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رجوعهما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التفریع لا یتفرع علی ما فّرعه،و مع عدم صحة التفریع إرجاع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إلی البیت و بکّة بعید،و إن وجّه بکلّ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الإرجاع بالتوزیع،و هو مع صحّة التفریع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استجابة دعاء ابراهیم علیه السّلام</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 فلا یرجع الضمیر إلی البیت،بل إلی بکة بالتأویل الذی ذکره أو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إذا کان مراد إبراهیم من الدعاء بجعل البلد آمنا جعله علی نحو لا یحدّ الجانی فیه مثلا،و أمّا إذا کان المراد منه من التخریب أو الآفات کما أشار إلیه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کٰانَ آمِناً </w:t>
      </w:r>
      <w:r>
        <w:rPr>
          <w:rStyle w:val="FootnoteAnchor"/>
          <w:rtl w:val="true"/>
        </w:rPr>
        <w:footnoteReference w:id="306"/>
      </w:r>
      <w:r>
        <w:rPr>
          <w:rFonts w:ascii="IRNazanin" w:hAnsi="IRNazanin" w:eastAsia="IRNazanin"/>
          <w:color w:val="111111"/>
          <w:sz w:val="28"/>
          <w:sz w:val="28"/>
          <w:szCs w:val="28"/>
          <w:rtl w:val="true"/>
          <w:lang w:bidi="fa-IR"/>
        </w:rPr>
        <w:t>لیس إشارة إلی استجابة دعائه علیه السّلام بناء علی الإحتمال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احتمال الأمن من الآفات فیمکن أن یکون إشارة إلی استجابة دعائه،کما لا یخفی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إرادة الحرم هنا من مقام إبراهیم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 إرادة المقام المعروف من المقام و إرجاع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بکّة یظهر ظرفیّة مرجع </w:t>
      </w:r>
    </w:p>
    <w:p>
      <w:pPr>
        <w:pStyle w:val="BookText"/>
        <w:rPr/>
      </w:pPr>
      <w:r>
        <w:rPr>
          <w:rFonts w:ascii="IRNazanin" w:hAnsi="IRNazanin" w:eastAsia="IRNazanin"/>
          <w:color w:val="111111"/>
          <w:sz w:val="28"/>
          <w:sz w:val="28"/>
          <w:szCs w:val="28"/>
          <w:rtl w:val="true"/>
          <w:lang w:bidi="fa-IR"/>
        </w:rPr>
        <w:t>الضمیر بالنسبة إلی المقام،و کذلک عند إرجاعه إلی البیت إن ارید به المسجد الحرام،و إن ارید به الکعبة أیضا الظرفیّة غیر بعیدة،لمجاورته إیّاها فکأنّه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إرادة الحرم من المقام فلیس لمرجع الضمیر ظرفیّة بالنسبة إلی المقام،کما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فی هذا الحکم و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الحکم بمنع السوق و غیره ممّا هو مذکور فی الروایة و دلیله علی وجوب الإجتناب عن الفاسق مطلقا إشکال،بل الظاهر أنّ سبب الإجتناب هناک أن یضطرّ إلی الخروج حتّی یمکن إقامة الحدّ علیه،و هذا الدلیل لا یجری فی غیر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یَصُدُّونَ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کراء دور مکّة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جواز البیع و الإجارة باعتبار الإشتمال علی الأعیان المحدثة،لاحتمال تعلّق حکمهم بحرمة کراء دور مکّة بالدور التی کانت عند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الکلّ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استعمال الأمر الذی ظاهره طلب الطبیعة فی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استعمال ما ظاهره الوجوب فی الوجوب و الإستحباب معا،الوجوب باعتبار طواف الزیارة و النساء،و الإستحباب باعتبار طواف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استعمال الأمر فی الرجحان المطلق الذی یتحقّق فی ضمن الواجب و المستحبّ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أحد الأخیرین،لعدم اختصاص الوجه الأوّل للمجازیّة بإرادة الکلّ من الأمر،فظاهر أنّ مجازیّة الأمر بناء علی أحد الإحتمالین الأخیرین إنّما هی لاشتمال الکلّ علی طواف الوداع الذی استعمال الأمر فیه مجاز،و أنّ تخصیص ذکر المجازیّة فی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لتخصیص هذا الإحتمال بالمجازیّة</w:t>
      </w:r>
      <w:r>
        <w:rPr>
          <w:rFonts w:eastAsia="IRNazanin" w:cs="IRNazanin"/>
          <w:color w:val="111111"/>
          <w:sz w:val="28"/>
          <w:szCs w:val="28"/>
          <w:rtl w:val="true"/>
          <w:lang w:bidi="fa-IR"/>
        </w:rPr>
        <w:t xml:space="preserve">. </w:t>
      </w:r>
      <w:bookmarkStart w:id="151" w:name="pg12937_139112"/>
    </w:p>
    <w:p>
      <w:pPr>
        <w:pStyle w:val="Heading4"/>
        <w:numPr>
          <w:ilvl w:val="3"/>
          <w:numId w:val="1"/>
        </w:numPr>
        <w:rPr/>
      </w:pPr>
      <w:bookmarkStart w:id="152" w:name="__RefHeading___Toc4066883_3224264995"/>
      <w:bookmarkStart w:id="153" w:name="_Toc55"/>
      <w:bookmarkEnd w:id="151"/>
      <w:bookmarkEnd w:id="152"/>
      <w:r>
        <w:rPr>
          <w:rtl w:val="true"/>
        </w:rPr>
        <w:t>[</w:t>
      </w:r>
      <w:r>
        <w:rPr>
          <w:rtl w:val="true"/>
        </w:rPr>
        <w:t>النوع</w:t>
      </w:r>
      <w:r>
        <w:rPr>
          <w:rtl w:val="true"/>
        </w:rPr>
        <w:t xml:space="preserve">] </w:t>
      </w:r>
      <w:r>
        <w:rPr>
          <w:rtl w:val="true"/>
        </w:rPr>
        <w:t>الثانی</w:t>
      </w:r>
      <w:r>
        <w:rPr>
          <w:rtl w:val="true"/>
        </w:rPr>
        <w:t>:</w:t>
      </w:r>
      <w:r>
        <w:rPr>
          <w:rtl w:val="true"/>
        </w:rPr>
        <w:t>فی أنواعه و أفعاله و شیء من أحکامه</w:t>
      </w:r>
      <w:bookmarkEnd w:id="153"/>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یفوت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القبل مع کون حکم البعد أیضا ذلک لدفع توهّم لزوم انتظار فوات الحجّ لهدی التحلّل،فذکر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یفوت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کونه مندرجا فی زمان هدی التحلّل،و اندراج الزمان الذی بعد فوات الحجّ فی زمان هدی التحلّل یظهر بالأولویّة،و الظاهر فی إفادة هذا المعنی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زمانه زمان إرادة التحلّل و إن کانت قبل أن یفوت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الرجوع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مقصوده علیه السّلام أنّه إن أراد الرجوع إلی أهله نحر بدنة للتحلّل،لمشقّة بقائه محرما إلی أن یعتمر لطول المدّة حینئذ،و إن أقام مکانه حتّی یبرأ و یعتمر فلا احتیاج إلی نحر البدنة للتحلّل،و لعلّ هذا باعتبار الغالب لأنّ الغالب فی الراجع إلی البلد طول المدّة إلی أن یعتمر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التحلّل بنحر البدنة عند مشقّة البعث،أو الصبر إلی یوم المواعدة، و الظاهر حصول التحلّل بنحر البدنة حینئذ لا کونه مستحبّا،و حصول التحلّل بحضور یوم المواعدة بعد البعث،لظاهر المقابلة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أقام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و نحر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 علیه السّلام ببدنة فنحرها</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أنّه فعل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رفاعة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الحسین علیه السّلام معتمرا و قد ساق بدنة حتّی انتهی إلی السقیا فبرسم،فحلق شعر رأسه و نحرها مکانه،ثمّ أقبل حتّی جاء فضرب </w:t>
      </w:r>
    </w:p>
    <w:p>
      <w:pPr>
        <w:pStyle w:val="BookText"/>
        <w:rPr/>
      </w:pPr>
      <w:r>
        <w:rPr>
          <w:rFonts w:ascii="IRNazanin" w:hAnsi="IRNazanin" w:eastAsia="IRNazanin"/>
          <w:color w:val="111111"/>
          <w:sz w:val="28"/>
          <w:sz w:val="28"/>
          <w:szCs w:val="28"/>
          <w:rtl w:val="true"/>
          <w:lang w:bidi="fa-IR"/>
        </w:rPr>
        <w:t>الباب،فقال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و ربّ الکعبة افتحوا له،و کانوا قد حملوا له الماء،فأکبّ فی شرب </w:t>
      </w:r>
      <w:r>
        <w:rPr>
          <w:rStyle w:val="FootnoteAnchor"/>
          <w:rtl w:val="true"/>
        </w:rPr>
        <w:footnoteReference w:id="310"/>
      </w:r>
      <w:r>
        <w:rPr>
          <w:rFonts w:ascii="IRNazanin" w:hAnsi="IRNazanin" w:eastAsia="IRNazanin"/>
          <w:color w:val="111111"/>
          <w:sz w:val="28"/>
          <w:sz w:val="28"/>
          <w:szCs w:val="28"/>
          <w:rtl w:val="true"/>
          <w:lang w:bidi="fa-IR"/>
        </w:rPr>
        <w:t>ثمّ اعتمر بعد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نسبة النحر فی روایة معاویة إلی علی علیه السّلام و فی هذا الروایة إلی الحسین علیه السّلام لیستا متنافیتین،لإمکان النسبة إلیهما بکونهما أمرین،و یمکن نسبته إلی الحسین علیه السّلام إلی المدینة لبعض الأغراض المتعلّق بوصوله إلیها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الإحتمال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کانوا حملوا له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أنّه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یبعث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کونه محلاّ،و علی کون الإمساک بعد البعث لا قبله،و حمل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فعل أفعال المحلّ لیس بعیدا،لکن محلّ الإستدلال لیس هذا اللفظ حتّی یختلّ بهذا الإحتمال،و مفهوم إذا بعث فی الروایة الغیر الصحیحة مؤیّد لما ذکرته،و تأیید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ذکره لو سلّم لا یعارض دلالة المفهوم فی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بعض الفقرات عمدا لدم تعلّق الغرض بخصوصه فی الباب الذی نقلوا الحدیث،و إسقاطه سهوا و إن تعلّق الغرض به غیر عزیز،و إن کان ظاهر ما نحن فیه من القسم الثانی،و ضمّ أمثال تلک الفقرات من غیر أن تکون من الروایة لا یجری فیه السهو،و نسبة التعمّد إلی العدول و الثقات لا وجه له،فظهر أنّ انفراد التهذیب بالزیادة لا یکون سببا للاتهام فی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لک بعد ما ذکره قدّس سرّه بمحض الخبرین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التصریح قبله بالبعث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یؤیّد عدم المنافاة </w:t>
      </w:r>
    </w:p>
    <w:p>
      <w:pPr>
        <w:pStyle w:val="BookText"/>
        <w:rPr/>
      </w:pPr>
      <w:r>
        <w:rPr>
          <w:rFonts w:ascii="IRNazanin" w:hAnsi="IRNazanin" w:eastAsia="IRNazanin"/>
          <w:color w:val="111111"/>
          <w:sz w:val="28"/>
          <w:sz w:val="28"/>
          <w:szCs w:val="28"/>
          <w:rtl w:val="true"/>
          <w:lang w:bidi="fa-IR"/>
        </w:rPr>
        <w:t>بین أوّل الروایة و آخرها بأنّه لیس فی الروایة ما یدلّ علی توقّف الإحلال علی البعث، بل بعد أن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علیه السّلام حکمه من المواعدة و غیرها،و لیس الأمر بالبعث فی کلامه علیه السّلام فی هذه الروایة،فیظهر من تقریره علیه السّلام فی أوّل الروایة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و نحر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فعل أمیر المؤمنین علیه السّلام فی آخرها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نحر البدنة علی الإستحباب بعد تحقّق البعث و إن اشتمل علی تکلّف،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الأصل،لکن کتب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الحاشیة، </w:t>
      </w:r>
      <w:r>
        <w:rPr>
          <w:rStyle w:val="FootnoteAnchor"/>
          <w:rtl w:val="true"/>
        </w:rPr>
        <w:footnoteReference w:id="312"/>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استفادته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 بأنّ الأمر بشیء بعد النهی عنه إنّما یدلّ علی جوازه،مثل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313"/>
      </w:r>
      <w:r>
        <w:rPr>
          <w:rFonts w:ascii="IRNazanin" w:hAnsi="IRNazanin" w:eastAsia="IRNazanin"/>
          <w:color w:val="111111"/>
          <w:sz w:val="28"/>
          <w:sz w:val="28"/>
          <w:szCs w:val="28"/>
          <w:rtl w:val="true"/>
          <w:lang w:bidi="fa-IR"/>
        </w:rPr>
        <w:t>و الحقّ معهم،و أمّا استفادة وجوب فعل المنهیّ عنه بمحض ظنّ دلالة الغایة علیه فهی فی غایة البعد،بل حمل اللفظ علیه یحتاج إلی دلیل خارج،و لیس وجوبه ممّا یفهم من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ضعف قوله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فیفهم من الغایة حینئذ وجوب فعل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التقدیر فاحلقوا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الظاهر أنّه طواف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قوله 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النساء حتّی یطّوّف بالبیت و بالصفا و المروة</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و إن کان حصول التحلّل بطواف الزیارة و السعی،لکن ینبغی حمل الطواف علی الطواف المعتبر فی العمرة، فیندرج فیه طواف النساء،و لعلّ الإجمال إنّما هو لکفایة اشتهار لزوم طواف النساء أیضا، </w:t>
      </w:r>
    </w:p>
    <w:p>
      <w:pPr>
        <w:pStyle w:val="BookText"/>
        <w:rPr/>
      </w:pPr>
      <w:r>
        <w:rPr>
          <w:rFonts w:ascii="IRNazanin" w:hAnsi="IRNazanin" w:eastAsia="IRNazanin"/>
          <w:color w:val="111111"/>
          <w:sz w:val="28"/>
          <w:sz w:val="28"/>
          <w:szCs w:val="28"/>
          <w:rtl w:val="true"/>
          <w:lang w:bidi="fa-IR"/>
        </w:rPr>
        <w:t>أو علم الراوی به فی فهم المقصود،و إنّما حملنا الروایة علی خلاف ظاهرها لکون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معتمرا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العمرة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المذکور فی صحیحة معاویة هل هو شرط؟،أی علی تقدیر اشتراطه فی التحلّل من النساء فی العمرة المفردة عند تحقّق الحصر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صحیحة معاویة بن عمّار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الصحیحة هی التی نقلها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صحیحة معاویة بن عمّار </w:t>
      </w:r>
      <w:r>
        <w:rPr>
          <w:rStyle w:val="FootnoteAnchor"/>
          <w:rtl w:val="true"/>
        </w:rPr>
        <w:footnoteReference w:id="315"/>
      </w:r>
      <w:r>
        <w:rPr>
          <w:rFonts w:ascii="IRNazanin" w:hAnsi="IRNazanin" w:eastAsia="IRNazanin"/>
          <w:color w:val="111111"/>
          <w:sz w:val="28"/>
          <w:sz w:val="28"/>
          <w:szCs w:val="28"/>
          <w:rtl w:val="true"/>
          <w:lang w:bidi="fa-IR"/>
        </w:rPr>
        <w:t xml:space="preserve">و حسنته عن أبی عبد اللّه علیه السّلام </w:t>
      </w:r>
      <w:r>
        <w:rPr>
          <w:rStyle w:val="FootnoteAnchor"/>
          <w:rtl w:val="true"/>
        </w:rPr>
        <w:footnoteReference w:id="316"/>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المحصور لا یحلّ له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اختلاف یختلف به المعنی، و لم ینقل فی الفقیه تتمّة ما نقله المصنف رحمه اللّه بل قال فی موضع التتمّة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قرن الحجّ فی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فی آخر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اختلفوا فی المیعاد لم یضرّه إن شاء اللّه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لا یبعد کون ما ذکره الصدوق رحمه اللّه فی موضع التتمّة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یکتفی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باعتبار الظنّ بالبلوغ من الأخبار مشکل،بل الظاهر من الأخبار إنّما هو الإکتفاء بحصول یوم المواعدة،أو الیوم العاشر من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الحسنة تدلّ علی جواز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معاویة بن عمّار عن أبی عبد اللّه علیه السّلام فی المحصور و لم یسق الهدی،قال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ینسک 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هدیا؟قال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المحصور و لم یسق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بعض الحضّار،و الظاهر أنّ تخصیص السؤال باستعلام حکم غیر السابق إمّا لعلمه بحکمه فلا یحتاج إلی استعلام حکمه،و إمّا لتعلّق الغرض بعلمه بحکم غیر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التقدیرین لا دلالة فی کلامه علیه السّلام علی إجزاء هدی السیاق عن هدی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بعدم فواته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یقیّد معه،و بعدم احتمال إدراک الحجّ عادة بلا مشقّة لا تتحمّل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و أخبار الحصر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أکثر الأخبار أنّ الحصر هو کون المحرم باعتبار العلل و الأمراض ممنوعا عن دخول مکّة و الإتیان بالأفعال المخصوصة،و أمّا اندراج الممنوع عن الحجّ بمنع المرض أو عذر آخر عن الأفعال المخصوصة فی وقت مخصوص مع إمکان أفعال العمرة بعده بلا مشقّة فی ظاهر الأخبار غیر ظاهر،بل اندراجه فی عموم فَإِنْ أُحْصِرْتُمْ </w:t>
      </w:r>
      <w:r>
        <w:rPr>
          <w:rStyle w:val="FootnoteAnchor"/>
          <w:rtl w:val="true"/>
        </w:rPr>
        <w:footnoteReference w:id="319"/>
      </w:r>
      <w:r>
        <w:rPr>
          <w:rFonts w:ascii="IRNazanin" w:hAnsi="IRNazanin" w:eastAsia="IRNazanin"/>
          <w:color w:val="111111"/>
          <w:sz w:val="28"/>
          <w:sz w:val="28"/>
          <w:szCs w:val="28"/>
          <w:rtl w:val="true"/>
          <w:lang w:bidi="fa-IR"/>
        </w:rPr>
        <w:t xml:space="preserve">أیضا غیر ظاهر،لعدم بعد إرادة الممنوعیّة من الأفعال المخصوصّة بلا مشقّة عادیة </w:t>
      </w:r>
      <w:r>
        <w:rPr>
          <w:rStyle w:val="FootnoteAnchor"/>
          <w:rtl w:val="true"/>
        </w:rPr>
        <w:footnoteReference w:id="320"/>
      </w:r>
      <w:r>
        <w:rPr>
          <w:rFonts w:ascii="IRNazanin" w:hAnsi="IRNazanin" w:eastAsia="IRNazanin"/>
          <w:color w:val="111111"/>
          <w:sz w:val="28"/>
          <w:sz w:val="28"/>
          <w:szCs w:val="28"/>
          <w:rtl w:val="true"/>
          <w:lang w:bidi="fa-IR"/>
        </w:rPr>
        <w:t>من الإحصار،فأدنی صارف عن مقتضی ظاهر الإطلاق کاف فی الصرف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تأیید ما ذکره علیه السّلام بصحیحة زرارة الآتیة بعد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فهمت من شرط تخصیص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المذکور فی المخصّص جار هاهنا إن کانت الآیة ظاهرة فی العموم،و قد عرفت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أیّما قارن أو مفرد</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عموم اللفظ شامل لمن کان سبب تأخیر القدوم الحصر أو الصدّ أو غیرهما،و لکن لا یدلّ علی وجوب الإحلال بعمرة للمحصور أو المصدود الذی لم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الحجّ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الجمع بین هذه الروایة و صحیحة داود الآتیة باستقرار الحجّ و عدمه،و بالإستحباب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یهریق</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الروایة علی تحقّق </w:t>
      </w:r>
    </w:p>
    <w:p>
      <w:pPr>
        <w:pStyle w:val="BookText"/>
        <w:rPr/>
      </w:pPr>
      <w:r>
        <w:rPr>
          <w:rFonts w:ascii="IRNazanin" w:hAnsi="IRNazanin" w:eastAsia="IRNazanin"/>
          <w:color w:val="111111"/>
          <w:sz w:val="28"/>
          <w:sz w:val="28"/>
          <w:szCs w:val="28"/>
          <w:rtl w:val="true"/>
          <w:lang w:bidi="fa-IR"/>
        </w:rPr>
        <w:t>الإحلال بالذبح و الحلق،و علی وجوب الحجّ من قابل علی تقدیر الإنصراف و الإکتفاء بالإحلال بهما،و علی سقوط الحجّ إن أقاموا و اعتمروا علی وجه الذی ذکره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التقیید بصورة عدم الإستقرار،و حینئذ ینبغی حمل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الحجّ من قابل إن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هذه الصورة،و الظاهر أنّ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للدلالة علی أنّهم إن أقاموا یسقط الحجّ و إن لم یعتمروا،بل یظهر من مقابلته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أقاموا حتّی یمضی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مقتضاه سقوط الحجّ بالإقامة و الإعتماد علی الوجه الذی ذکر أنّ عدم الإعتماد علی الوجه المذکور إنّما هو علی تقدیر انصرافهم إلی بلادهم،و مقتضاه وجوب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حملها علی المحصور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المحصور فی غایة البعد،لظاهر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یحمل المحصور علی المعنی الأعمّ الشامل للمحصور بالعرض،و حینئذ أیضا محض الإمکان و الإحتمال بلا ظهور، بل یحتمل أنّ سبب کون التأخیر صدّا فی الجملة أو قلّة الماء و الکلاء، </w:t>
      </w:r>
      <w:r>
        <w:rPr>
          <w:rStyle w:val="FootnoteAnchor"/>
          <w:rtl w:val="true"/>
        </w:rPr>
        <w:footnoteReference w:id="323"/>
      </w:r>
      <w:r>
        <w:rPr>
          <w:rFonts w:ascii="IRNazanin" w:hAnsi="IRNazanin" w:eastAsia="IRNazanin"/>
          <w:color w:val="111111"/>
          <w:sz w:val="28"/>
          <w:sz w:val="28"/>
          <w:szCs w:val="28"/>
          <w:rtl w:val="true"/>
          <w:lang w:bidi="fa-IR"/>
        </w:rPr>
        <w:t>أو أحدهما،أو عدمهما،أو عدم أحدهما فی الطریق الذی یمکن الوصول علی تقدیر السلوک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بالجملة،الذی یظهر من الروایة کون قدومهم بعد فوت الحج،و لا یظهر منها سبب التأخیر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فلیطف بالبیت اسبوعا</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تدلّ علی کون المصدود فی الصورة المذکورة مأمورا بالعمرة،و لم یذکر لها بدلا،فظاهرها التعیین،و إذا لم یکن فرق بینه و بین المحصور کما یذکره طاب ثراه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عدم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تعیّن العمرة علی المحصور أیضا علی تقدیر وروده مکّة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الحصر عن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w:t>
      </w:r>
    </w:p>
    <w:p>
      <w:pPr>
        <w:pStyle w:val="BookText"/>
        <w:rPr/>
      </w:pPr>
      <w:r>
        <w:rPr>
          <w:rFonts w:ascii="Amiri" w:hAnsi="Amiri" w:eastAsia="Amiri" w:cs="Amiri"/>
          <w:color w:val="111111"/>
          <w:sz w:val="28"/>
          <w:sz w:val="28"/>
          <w:szCs w:val="28"/>
          <w:rtl w:val="true"/>
          <w:lang w:bidi="ar-SA"/>
        </w:rPr>
        <w:t>علیه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w:t>
      </w:r>
      <w:r>
        <w:rPr>
          <w:rStyle w:val="FootnoteAnchor"/>
          <w:rtl w:val="true"/>
        </w:rPr>
        <w:footnoteReference w:id="325"/>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هذا هو الظاهر،لکن هذا مناف لما ذکره رحمه اللّه فی البحث الثالث عشر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الآیة و أخبار الحصر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تمسّک بمفهوم کلام الراوی،و لا یخفی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قبل أن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من کلام الراوی یمکن عرضه من التقیید کون الواقعة کذلک لا حکمه بصحّة الحجّ علی تقدیر کون الصدّ بعد الوقوف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 علی المصدود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المحصور أشدّ من أمر المصدود،لتحلّل المصدود عن جمیع ما أحرم بغیر إتیانه بأفعال العمرة،بخلاف المحصور،فلا ینبغی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القیاس المنفی عند أهل الحقّ،بل الظاهر أنّ مراده طاب ثراه هو القیاس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بهما یتحقّق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الحصر الذی مفاده تحقّق الحجّ بمحض الموقفین و إن فات طواف الزیارة و السعی،فإن کان دلیل الحصر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الظاهر من قوله حَتّٰی یَبْلُغَ</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غیره ممّا هو مذکور هاهنا فالمناسب الإکتفاء به،و إن کان للحصر دلیل بخصوصه فالمناسب ذکره و 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بفواتهما معا یبطل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بهما یتحقّق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یقصد منهما الحصر،فلا انتفاع بهما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 هدی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بکون شیء خلاف الأصل فی أمثال تلک الامور غیر نافع،و التمسّک بالشریعة السمحة مع تحقّق مثله لا یخلو من ضعف،و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الظاهر المتبادر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فوات الآخر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؛الضمیر المجرور للحصر، </w:t>
      </w:r>
    </w:p>
    <w:p>
      <w:pPr>
        <w:pStyle w:val="BookText"/>
        <w:rPr/>
      </w:pPr>
      <w:r>
        <w:rPr>
          <w:rFonts w:ascii="IRNazanin" w:hAnsi="IRNazanin" w:eastAsia="IRNazanin"/>
          <w:color w:val="111111"/>
          <w:sz w:val="28"/>
          <w:sz w:val="28"/>
          <w:szCs w:val="28"/>
          <w:rtl w:val="true"/>
          <w:lang w:bidi="fa-IR"/>
        </w:rPr>
        <w:t>و حینئذ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أحدهما مع فوات الآخر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الحصر عن الموقفین،فلا فرق بین المعطوف و المعطوف علیه،فالصواب عدم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یذکره زین الملّة والدین رحمه اللّه </w:t>
      </w:r>
      <w:r>
        <w:rPr>
          <w:rStyle w:val="FootnoteAnchor"/>
          <w:rtl w:val="true"/>
        </w:rPr>
        <w:footnoteReference w:id="327"/>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یکن فی ذیل السؤال،مثل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خَبِیراً </w:t>
      </w:r>
      <w:r>
        <w:rPr>
          <w:rStyle w:val="FootnoteAnchor"/>
          <w:rtl w:val="true"/>
        </w:rPr>
        <w:footnoteReference w:id="328"/>
      </w:r>
      <w:r>
        <w:rPr>
          <w:rFonts w:ascii="Amiri" w:hAnsi="Amiri" w:eastAsia="Amiri" w:cs="Amiri"/>
          <w:color w:val="111111"/>
          <w:sz w:val="28"/>
          <w:sz w:val="28"/>
          <w:szCs w:val="28"/>
          <w:rtl w:val="true"/>
          <w:lang w:bidi="ar-SA"/>
        </w:rPr>
        <w:t>کما جوّزه بعضهم و قال به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w:t>
      </w:r>
      <w:r>
        <w:rPr>
          <w:rStyle w:val="FootnoteAnchor"/>
          <w:rtl w:val="true"/>
        </w:rPr>
        <w:footnoteReference w:id="329"/>
      </w:r>
      <w:r>
        <w:rPr>
          <w:rFonts w:ascii="IRNazanin" w:hAnsi="IRNazanin" w:eastAsia="IRNazanin"/>
          <w:color w:val="111111"/>
          <w:sz w:val="28"/>
          <w:sz w:val="28"/>
          <w:szCs w:val="28"/>
          <w:rtl w:val="true"/>
          <w:lang w:bidi="fa-IR"/>
        </w:rPr>
        <w:t>و إرجاع الضمیر المجرور إلی الحاجّ المفهوم من المقام بعید،لکن یمکن ذکره فی مقام توجیه مثل المصنّف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باندراجه فیها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مناف لما ذکره فی الفائدة العاشرة من فوائد صحیحة الفضل بن یونس،و عدم العلم بالتحلّل إلاّ بالذبح لا یضرّ إذا کان التحلّل بدونه مستفادا من الروایة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ذکره هاهنا هو مختاره رحمه اللّه،و ما ذکره فی الفائدة هو بیان أمر یستفاد من الروایة المذکورة؛و لعلّ ما استفید من ظاهر هذه الروایة لم یکن معتمدا عنده،لعدم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العدول عن ظاهر مذهب الأصحاب و التأسّی به إنّما یصحّ إن علم بالتحلّل بغیر الذبح،و الإعتبار فی الجملة لا یکفی عنده طاب ثراه عند معارضة الروایة مثل الأمرین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ذکر المصدود فی الروایة المذکورة إلاّ فی آخرها لم حیث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سواء النبی صلّی اللّه علیه و آله کان مصدودا،و حسین کان محصورا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الدلالة غیر ظاهرة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الراوی بعد تحقّق الذبح و الحلق فی الحسین علیه السّلام لمّا سمع من أبی </w:t>
      </w:r>
    </w:p>
    <w:p>
      <w:pPr>
        <w:pStyle w:val="BookText"/>
        <w:rPr/>
      </w:pPr>
      <w:r>
        <w:rPr>
          <w:rFonts w:ascii="IRNazanin" w:hAnsi="IRNazanin" w:eastAsia="IRNazanin"/>
          <w:color w:val="111111"/>
          <w:sz w:val="28"/>
          <w:sz w:val="28"/>
          <w:szCs w:val="28"/>
          <w:rtl w:val="true"/>
          <w:lang w:bidi="fa-IR"/>
        </w:rPr>
        <w:t>عبد اللّه علیه السّلام عدم تحلّله من النساء سأل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الفرق،و ظاهر أنّ هذا السؤال إنّما نشأ من تحلّل رسول اللّه صلّی اللّه علیه و آله بمحض الذبح و الحلق و عدم الحاجة فیه إلی الطواف،فقوله علیه السّلام بعد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الحاجة إلی الطواف و عدم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تخطئة السائل فی منشأ السؤال الذی هو تحلّله صلّی اللّه علیه و آله بمحض الذبح و الحلق فی قوّة تصدیقه فی کونهما محلّلین له صلّی اللّه علیه و آله و لا یخلو من تکلّف،و مع هذا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الحلق أو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عن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دلالة الأخیرة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التأمّل أنّ من ظاهر لفظ قصر و حلّ و نحر لم یظهر أکثر من فعلها رسول اللّه صلّی اللّه علیه و آله،و أمّا کون فعل کلّها أو بعضها بعنوان الوجوب لم یظهر من ظاهر هذا اللفظ،کما یدلّ علیه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صریحة فی أنّه علی سبیل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فیها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 علی عدم الترتیب غیر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یدلّ علی الترتیب،و بین دلالته علی عدم الترتیب و عدم الدلالة علی الترتیب فرق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ظاهرها علی تقدیر اندراج المصدود فیها کفایة ما استیسر من الهدی،و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رُؤُسَکُمْ حَتّٰی یَبْلُغَ الْهَدْیُ مَحِلَّهُ </w:t>
      </w:r>
      <w:r>
        <w:rPr>
          <w:rStyle w:val="FootnoteAnchor"/>
          <w:rtl w:val="true"/>
        </w:rPr>
        <w:footnoteReference w:id="331"/>
      </w:r>
      <w:r>
        <w:rPr>
          <w:rFonts w:ascii="Amiri" w:hAnsi="Amiri" w:eastAsia="Amiri" w:cs="Amiri"/>
          <w:color w:val="111111"/>
          <w:sz w:val="28"/>
          <w:sz w:val="28"/>
          <w:szCs w:val="28"/>
          <w:rtl w:val="true"/>
          <w:lang w:bidi="ar-SA"/>
        </w:rPr>
        <w:t>علی تقدیر دلالته علی وجوب الحلق بعد بلوغ الهدی محلّه بوجه ما و إن کان تخییریّا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المصنّف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مخصوص بالمحصور،بدلیل حَتّٰی یَبْلُغَ الْهَدْیُ مَحِلَّهُ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رفع ظاهر الآیة حکم أصالة بقاء الإحرام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أنّها هی الصحیحة المذکورة،و لیس فیها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 صحیحة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 من الصحیحة،و لعلّ قوله بالظهور من واقعة الحسین باعتبار اشتراک الصدّ مع الحصر فی الأحکام و صحّة الذبح مکان النحر،و فیه عدم ظهور کون النحر بعنوان الوجوب،و علی تقدیر القول به ینبغی القول بوجوب الحلق أیضا،لاشتمال الواقعة المذکورة علیه أیضا، و لم یقل به،کما ظهر من قوله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 من صحیحة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مرض فی الطریق فأراد الرجوع إلی أهله رجع و نحر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الواو لا یدلّ علی الترتیب،فیدلّ علی تحقّق الأمرین من مرید الرجوع،و أمّا علی جواز الذبح بعد رجوعه إلی منزله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الإستدلال بالإطلاق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ظاهر صحیحة معاویة و روایة زرارة وجوبه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فی هذا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یمکن أن یترک أحد بعض الأفعال المتعلّقة بالحجّ و العمرة الذی یفوت به الحجّ و لا یحلّ عن الإحرام عمدا أو جهلا،و بعد رجوعه إلی موضع یتوب عن الخطیئة التی صدر منه علی تقدیر،و یحصل العلم بالإحلال علی تقدیر،و یرید الإحلال بالعمرة،فیمنعه قطّاع الطریق منعا لا یمکن الوصول إلی مکّة إمّا بعدم الإکتفاء بأخذ المال،أو بعدم إمکان الوصول بعد أخذه،أو عدم حصول الرفعة و عدم إمکان السیر بدونها،و إن لم یکن قطّاع الطریق مانعة بالفعل لکن کان الخوف من حصولهم أو من السباع بحیث یکون السیر مع عدم الرفقة إلقاء للأنفس إلی التهلکة أو عدم اللیل،لاستلزامه فی بعض الصور الخوف عن أحد الأمرین أو کلیهما مع مزید هو خوف انجرار السیر إلی طریق یفقد الماء و الکلاء الضروریّین،بل الزاد و الراحلة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بعدم إمکان الإنحلال فی الصور المذکورة خروج عن رعایة مقتضی نفی الحرج و الضیق،و مقتضی السمحة السهلاء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عرفت ما ذکرته یظهر لک ضعف الإیرادات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 انکشاف العدوّ تربّص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بندبیّة التربّص علی تقدیر العلم أو الظنّ بانکشاف العدوّ بعد یومین مثلا،و یمکن إدراک الحجّ بعد الإنکشاف فی غایة البعد،لعدم ظهور اندراج مثل هذه الصورة فی الآیة علی تقدیر العموم،و لا فی روایات الصدّ،فلا یزول أصالة بقاء الإحرام قبل الإتیان بالمناسک،لا بالآیة و لا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یبعد الحکم بندبیّة التربّص إلی انکشاف العدوّ،و إذا کان التربّص إلی انکشاف العدوّ و الإتیان بالمناسک مشتملا علی مشقّة لا یتحمّل عادة،و ظاهر کلامه؛ندبیّة التربّص مطلقا،و لم یظهر لی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الحاجّ الذی فعل ما یبطل حجّه،کما تقدّم </w:t>
      </w:r>
      <w:r>
        <w:rPr>
          <w:rStyle w:val="FootnoteAnchor"/>
          <w:rtl w:val="true"/>
        </w:rPr>
        <w:footnoteReference w:id="332"/>
      </w:r>
      <w:r>
        <w:rPr>
          <w:rFonts w:ascii="IRNazanin" w:hAnsi="IRNazanin" w:eastAsia="IRNazanin"/>
          <w:color w:val="111111"/>
          <w:sz w:val="28"/>
          <w:sz w:val="28"/>
          <w:szCs w:val="28"/>
          <w:rtl w:val="true"/>
          <w:lang w:bidi="fa-IR"/>
        </w:rPr>
        <w:t>من کلام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إلحاقه بالمصدود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إلحاقه به،کما أشار إلیه فی 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فی هذا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یلحق بالمصدود عن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عدم إلحاقه بالمصدود،کما أومأ إلیه فی ذیل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 إلحاقه </w:t>
      </w:r>
      <w:r>
        <w:rPr>
          <w:rStyle w:val="FootnoteAnchor"/>
          <w:rtl w:val="true"/>
        </w:rPr>
        <w:footnoteReference w:id="333"/>
      </w:r>
      <w:r>
        <w:rPr>
          <w:rFonts w:ascii="IRNazanin" w:hAnsi="IRNazanin" w:eastAsia="IRNazanin"/>
          <w:color w:val="111111"/>
          <w:sz w:val="28"/>
          <w:sz w:val="28"/>
          <w:szCs w:val="28"/>
          <w:rtl w:val="true"/>
          <w:lang w:bidi="fa-IR"/>
        </w:rPr>
        <w:t>به إنّما یلحق بالمصدود عن العمرة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کلام الشهید الثانی لا یحتمله،لدلالته علی عدم الإنتقال إلی العمرة،ما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یقدر علی الذهاب إلی الحجّ للمنع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ما نجد له عزما و صدّا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اتّحاد کلام الشهیدین،و فیه أنّه لا یلزم اتّحاد الکلام مع مأخذه، و لعلّ مقصوده هذا القدر،و هذا 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خبر آخر صحیح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غیر صحیحة فضل بن یونس المذکورة أخبار متعدّدة،لکن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جمعا فقد أدرک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معاویة لا یدلّ علیه،لأنّ المتبادر من إدراک الجمع هو إدراک إختیاری منه لا الأعمّ،و لو سلّم تساوی احتمال الأعمّ لاحتمال الإختیاری لا یمکن الإستدلال بالاحتمال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بسبب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السبب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سببیّته للمرض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هذا بعنوان المثال، الإمکان عدم سببیّة الإحرام و تابعه الذی هو عدم الحلق هاهنا للمرض،بل سببیّته للمشقّة التی لا یتحمّلها المریض عادة،لأنّ المریض قد یضعف عن تحمّل ترک بعض العادات و إن لم یشتمل علی أذی الرأس عرفا،أو سببیته لترک بعض المعالجات مثل تعسّر الحجامة أو تعذّرها،و هذا أیضا مشقّة عظیمة،و ظاهر إنّ إحدی هاتین المشقّتین کافیة لجواز الحلق و إن لم یکن عدم الحلق سببا للمرض بأحد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یجعل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المرض المذکور بل للإشارة إلی الضرر المطلق الذی یترتّب علی عدم حلق المریض،فهو موافق للتعمیم الذی ذکرته، و إن کان بعیدا بحسب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الصورة المفروضة أوّلا داخلة عند المصنّف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أَذیً مِنْ رَأْسِهِ </w:t>
      </w:r>
      <w:r>
        <w:rPr>
          <w:rStyle w:val="FootnoteAnchor"/>
          <w:rtl w:val="true"/>
        </w:rPr>
        <w:footnoteReference w:id="334"/>
      </w:r>
      <w:r>
        <w:rPr>
          <w:rFonts w:ascii="IRNazanin" w:hAnsi="IRNazanin" w:eastAsia="IRNazanin"/>
          <w:color w:val="111111"/>
          <w:sz w:val="28"/>
          <w:sz w:val="28"/>
          <w:szCs w:val="28"/>
          <w:rtl w:val="true"/>
          <w:lang w:bidi="fa-IR"/>
        </w:rPr>
        <w:t>لأنّه لم یظهر اعتبار المشقّة التی لا یتحمّلها الأصحّاء فی حلق أذی الرأس حتّی یخرج الصورة المفروضة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 الحاجة إلی حلق الرأس المریض للحجامة داخلة فی سببیّة الإحرام لزیادة المرض کیفا أو کمّا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الکشّاف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به مرض یحوجه إلی الحلق</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هذا الإطلاق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لیس فیها لکلّ واحد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قدر الشبع الذی ظهر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أکثر من المدّ،و لم یقل أحد بالأقلّ إذا کانت الصدقة بعین الطعام لا بالإطعام،و الظاهر أنّ من قال بنصف الصاع لم یکتف بما یشبع به الستّة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فی الأوّل زیادة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ما ذکره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الظاهر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رجحان الأوّل الذی هو إطعام ستّة مساکین، و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یمکن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رجحانه،فالظاهر أنّ هذا القول أیضا فی بیان رجحانه،و لا دلالة للإشتمال علی زیادة الفائدة علی الرجحان،و حمل الکلام علی بیان بعض ما یشتمل علیه الروایة من غیر إرادة بیان رجحان القول الأوّل به فی غایة البعد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شبع عشرة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إطعام عشرة فهو محمول علی هذه الصورة،فالقول بالستّة هو الأصل،و العشرة محمولة علی صورة خاصّة،و فیه أنّ حمل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علی عشرة مساکین یشبعهم من الطعام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علی خصوص هذه الصورة التی فی غایة الندرة فی غایة البعد،لو لم نقل بعدم احتمال حمل هذا المطلق علی هذا الخاص،فتأمّل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الذی هو عدم وجوب إعطاء العشرة،و الإحتیاط الذی هو إعطاء إثنی عشر مدّا،کما هو مقتضی العمل بالأوّل مع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معارضة الأصل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لا وقع له فی أمثال هذا المقام، و کونه احتیاطا باعتبار اشتماله علی القدر الزائد أیضا غیر ظاهر،فالصواب الإکتفاء بکثرة الروایة و الصحّة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التعلیل غیر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المناسب أن </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اسْتَیْسَرَ مِنَ الْهَدْیِ </w:t>
      </w:r>
      <w:r>
        <w:rPr>
          <w:rStyle w:val="FootnoteAnchor"/>
          <w:rtl w:val="true"/>
        </w:rPr>
        <w:footnoteReference w:id="337"/>
      </w:r>
      <w:r>
        <w:rPr>
          <w:rFonts w:ascii="IRNazanin" w:hAnsi="IRNazanin" w:eastAsia="IRNazanin"/>
          <w:color w:val="111111"/>
          <w:sz w:val="28"/>
          <w:sz w:val="28"/>
          <w:szCs w:val="28"/>
          <w:rtl w:val="true"/>
          <w:lang w:bidi="fa-IR"/>
        </w:rPr>
        <w:t>عموم وجوب الهدی لمن تمتّع،علی ما هو ظاهر ترتّب الجزاء علی الشرط،و لم یسقط عن غیر الواجد بلا بدل، بل أوجب علیه الصوم بدلا عن الهدی،و هذا یدلّ علی تأکید الوجوب،ثمّ بیّن تعالی عدم نقصان البدل حینئذ کما هو مرویّ أبی جعفر علیه السّلام و فی هذا أیضا نوع تأکید،و کذا علی ما فسّره القائل أیضا یشتمل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ما ظهر من التأکید فی لزوم الهدی لمن تمتّع،إخراج من تمتّع من حاضری المسجد الحرام عن لزوم الهدی مع التیسّر بجعل ذلک إشارة إلی الهدی أو الصوم إذا عجز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رأی للشافعی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بعید عن ظاهر الآیة،لأنّ ظاهر ما ذکر من التأکید لزوم هدی التمتّع مع التیسّر،و أمّا إذا جعل ذلک إشارة إلی من تمتّع فلا یکون تخصیصا لظاهر الآیة لأنّ ظاهرها لیس عموم وجوب التمتّع حتّی تکون الإشارة تخصیصا له،بل ظاهرها عموم وجوب ما استیسر من الهدی علی الواجد،و الصیام علی الفاقد،و لم یخصّص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ذکرته ظهر 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 بغیر أهل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قوله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 بغیر أهل مکّة بعید من سوق 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إشارة إلی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الکلام فی المتمتّع لا یأبی عن بیان اختلاف حکم متمتّع و متمتّع، فالظاهر هو ما ذکرته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کون الأشهر ثلاثة،ظاهر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 ظاهر الجمع لأنّ ظاهر ما ذکره کون هذا الکلام أوّل الإستدلال علی المدّعی،و استدلّ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یکتفی بما ذکرته،لأنّ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الأفعال فی الکلّ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یصحّ الإحرام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الأفعال فی الکلّ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الغرض دخول ذی الحجة فی أشهر الحجّ و إن کان باعتبار بعض أجزائه،سواء کان ذلک البعض هو تسعا أو أزید منها،و یدلّ علیه الروایتان اللتان ینقلهما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صحّة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الدلیل الثالث علی کون الأشهر ثلاثة یدلّ علی عدم الإکتفاء بالبعض المذکور فی ذی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زرارة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338"/>
      </w:r>
      <w:r>
        <w:rPr>
          <w:rFonts w:ascii="IRNazanin" w:hAnsi="IRNazanin" w:eastAsia="IRNazanin"/>
          <w:color w:val="111111"/>
          <w:sz w:val="28"/>
          <w:sz w:val="28"/>
          <w:szCs w:val="28"/>
          <w:rtl w:val="true"/>
          <w:lang w:bidi="fa-IR"/>
        </w:rPr>
        <w:t>شوّال و ذو القعدة و ذو الحجّة،لیس لأحد أن یحرم بالحجّ فی سواهنّ، و لیس لأحد أن یحرم دون الوقت الذی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ظاهر أنّ هذه الروایة إنّما تدلّ علی دخول ذی الحجّة فی أشهر الحجّ باعتبار بعض أجزائه الذی یصحّ إحرام الحجّ فیه،و لا یدلّ علی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 إذ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طاب ثراه سابقا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یصحّان مع الإضطرار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قوله بکون کلّ ذی الحجّة زمان الحجّ و إن لم یقل بجواز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من قال بکون کلّ ذی الحجّة زمان الحجّ یقول بجواز التأخیر،و ظاهر هذه العبارة دعوی الإتّفاق علیه من القائلین بکون کلّ ذی الحجّة زمان الحجّ</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علم عدمه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مؤیّد لهذه الدعوی،و لعلّ الإجماع الذی حجّة عند الأصحاب لم یثبت عنده </w:t>
      </w:r>
      <w:r>
        <w:rPr>
          <w:rStyle w:val="FootnoteAnchor"/>
          <w:rtl w:val="true"/>
        </w:rPr>
        <w:footnoteReference w:id="340"/>
      </w:r>
      <w:r>
        <w:rPr>
          <w:rFonts w:ascii="IRNazanin" w:hAnsi="IRNazanin" w:eastAsia="IRNazanin"/>
          <w:color w:val="111111"/>
          <w:sz w:val="28"/>
          <w:sz w:val="28"/>
          <w:szCs w:val="28"/>
          <w:rtl w:val="true"/>
          <w:lang w:bidi="fa-IR"/>
        </w:rPr>
        <w:t xml:space="preserve">رحمه اللّه و عدم </w:t>
      </w:r>
    </w:p>
    <w:p>
      <w:pPr>
        <w:pStyle w:val="BookText"/>
        <w:rPr/>
      </w:pPr>
      <w:r>
        <w:rPr>
          <w:rFonts w:ascii="IRNazanin" w:hAnsi="IRNazanin" w:eastAsia="IRNazanin"/>
          <w:color w:val="111111"/>
          <w:sz w:val="28"/>
          <w:sz w:val="28"/>
          <w:szCs w:val="28"/>
          <w:rtl w:val="true"/>
          <w:lang w:bidi="fa-IR"/>
        </w:rPr>
        <w:t>ظهور العلم بعدم القول بجواز التأخیر منهم کما هو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ظهور العلم بالعدم الذی هو العلم بالإتّفاق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علی رکنیّة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فدلّت الآیة بعد التفسیر،و وجه إرجاع الضمیر إلی الآیة بعض العبارات الآتیة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یبعد إرجاع الضمیر فی بعض المواقع </w:t>
      </w:r>
      <w:r>
        <w:rPr>
          <w:rStyle w:val="FootnoteAnchor"/>
          <w:rtl w:val="true"/>
        </w:rPr>
        <w:footnoteReference w:id="341"/>
      </w:r>
      <w:r>
        <w:rPr>
          <w:rFonts w:ascii="IRNazanin" w:hAnsi="IRNazanin" w:eastAsia="IRNazanin"/>
          <w:color w:val="111111"/>
          <w:sz w:val="28"/>
          <w:sz w:val="28"/>
          <w:szCs w:val="28"/>
          <w:rtl w:val="true"/>
          <w:lang w:bidi="fa-IR"/>
        </w:rPr>
        <w:t>إلی الروایة،و فی بعضها إلی الآیة، و المخصّص هو القرینة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w:t>
      </w:r>
      <w:r>
        <w:rPr>
          <w:rStyle w:val="FootnoteAnchor"/>
          <w:rtl w:val="true"/>
        </w:rPr>
        <w:footnoteReference w:id="342"/>
      </w:r>
      <w:r>
        <w:rPr>
          <w:rFonts w:ascii="IRNazanin" w:hAnsi="IRNazanin" w:eastAsia="IRNazanin"/>
          <w:color w:val="111111"/>
          <w:sz w:val="28"/>
          <w:sz w:val="28"/>
          <w:szCs w:val="28"/>
          <w:rtl w:val="true"/>
          <w:lang w:bidi="fa-IR"/>
        </w:rPr>
        <w:t>أی من فرضه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ذکر اللّه تعالی حجّ التمتّع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ینبغی تفسیره بمن فرض التمتّع،لا بمن فرض الحجّ مطلقا کما ذکره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Style w:val="FootnoteAnchor"/>
          <w:rtl w:val="true"/>
        </w:rPr>
        <w:footnoteReference w:id="343"/>
      </w:r>
      <w:r>
        <w:rPr>
          <w:rFonts w:ascii="IRNazanin" w:hAnsi="IRNazanin" w:eastAsia="IRNazanin"/>
          <w:color w:val="111111"/>
          <w:sz w:val="28"/>
          <w:sz w:val="28"/>
          <w:szCs w:val="28"/>
          <w:rtl w:val="true"/>
          <w:lang w:bidi="fa-IR"/>
        </w:rPr>
        <w:t>یدلّ علی اختصاص التمتّع بالنائی،فبه و ظهور عدم اختصاص التکلیف بالحجّ المطلق بالنائی یظهر کون الحاضرین مکلّفین بحجّ آخر غیر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فینبغی تعمیم الحجّ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فِیهِنَّ الْحَجَّ فیندرج التمتّع،فیظهر حینئذ وجه تعمیم الحجّ هاهنا 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علیه 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ذکره بعد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الرفث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یدلّ ذکر الفعل بعد النهی عن الامور الثلاثة علی إطلاق الفعل علی ترک القبیح أی علی جواز إطلاقه علیه بمعنی عدم اختصاصه بفعل حسن،فکلّ واحد من الفعل الحسن و ترک القبیح بمنزلة جزئیّ من جزئیّات الفعل المذکور هاهنا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إرادة العموم بعد اندراج ترک القبیح فی الفعل لفظة مٰا بضمیمة تنکیر خَیْرٍ ،فلو کان بدل من خَیْرٍ ما یختصّ بفعل حسن لکان عموم ما بالنسبة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علیه ذکره بعد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ذکره علی الوجه المذکور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تَفْعَلُوا </w:t>
      </w:r>
      <w:r>
        <w:rPr>
          <w:rStyle w:val="FootnoteAnchor"/>
          <w:rtl w:val="true"/>
        </w:rPr>
        <w:footnoteReference w:id="344"/>
      </w:r>
      <w:r>
        <w:rPr>
          <w:rFonts w:ascii="IRNazanin" w:hAnsi="IRNazanin" w:eastAsia="IRNazanin"/>
          <w:color w:val="111111"/>
          <w:sz w:val="28"/>
          <w:sz w:val="28"/>
          <w:szCs w:val="28"/>
          <w:rtl w:val="true"/>
          <w:lang w:bidi="fa-IR"/>
        </w:rPr>
        <w:t>بالکلمة الدالّة علی العموم،و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تنکیر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ذکره قبل الحکم بالعموم،فقوله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علی مجموع المعطوف علیه و المعطوف،لا علی کلّ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حصول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 فی النیّة مشکل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المعتبرة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القربة الخالصة،و المراد بکون حصولها مشکلا لیس الإشکال الذی هو التعسّر،بل المراد سلب الیسر و إن کان تحقّقه فی ضمن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محذور بعد ثبوته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عدم الخلط بشیء فی القربة المعتبرة هاهنا،فیتفرّع علیه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القربة یکون غیر الذی اعتبره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لا یکون المقصود من الفعل غیر تحصیل مرضات اللّه أو امتثال أمره أمر آخر لا منفردا و لا منضمّا،و هاهنا الأمر الآخر الذی هو حصول المعینة عن مثل الخدمة، أو الذخیرة،أو کلاهما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أیضا علی وجوب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وجوب الذکر هاهنا مع ظهوره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یذکر هناک بعنوان کونه من مدلولات الآیة،بل لإثبات دلالة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هاهنا مع ظهوره هناک إنّما هو لعدم بیان الإختلاف فی الوجوب و الإستحباب هناک،و لم یکن مناسبا أیضا؛لأنّه لم یکن مقصودا بالذکر هناک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عبادة مع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بأنّ </w:t>
      </w:r>
    </w:p>
    <w:p>
      <w:pPr>
        <w:pStyle w:val="BookText"/>
        <w:rPr/>
      </w:pPr>
      <w:r>
        <w:rPr>
          <w:rFonts w:ascii="IRNazanin" w:hAnsi="IRNazanin" w:eastAsia="IRNazanin"/>
          <w:color w:val="111111"/>
          <w:sz w:val="28"/>
          <w:sz w:val="28"/>
          <w:szCs w:val="28"/>
          <w:rtl w:val="true"/>
          <w:lang w:bidi="fa-IR"/>
        </w:rPr>
        <w:t>المراد من الذکر هو الوقوف مع النیّة فقط فی غایة البعد،و إرادة المغرب و العشاء بخصوصهما أو العشاء بخصوصها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إرادة مطلق الدعاء سواء کان تحقّقهما ضمن الصلاة أو لا،و یؤیّد هذا الإحتمال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یمتنع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الذکر بظاهر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سلب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الإمتناع عن القول بوجوب الذکر مع کون ظاهر الآیة ذلک و کون العمل بظاهر القرآن واجبا عنده أنّ شهرة عدم الوجوب بین الأصحاب معارضة لظاهر الآیة عنده،فلا یبقی الوثوق بإرادة الظاهر منها،و حینئذ ظهر أنّه لا یمکن الحکم بکون ظاهر قول السیّد هو وجوب الذکر بهذا الکلام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ذلک لو قدّر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التقدیر بلا ضرورة إن قدّر ما هو فی حکم الأمر أو صریحه أیضا لا یمکن الحکم بدلالة أحدهما علی وجوب الکون بعد حمل الأمر بالذکر علی الإستحباب،و ظاهر أنّ تقدیر الفرض أو الوجوب هاهنا غیر مناسب،فالظاهر هو القول بوجوب الذکر بظاهر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یذکره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بوجوب الکون الذی یستلزمه الذکر،لا القول باستحباب الذکر، و بوجوب الکون بتقدیر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یخفی أنّ الأمر بالإفاضة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ذکر الإفاضة من عرفات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w:t>
      </w:r>
      <w:r>
        <w:rPr>
          <w:rStyle w:val="FootnoteAnchor"/>
          <w:rtl w:val="true"/>
        </w:rPr>
        <w:footnoteReference w:id="348"/>
      </w:r>
      <w:r>
        <w:rPr>
          <w:rFonts w:ascii="IRNazanin" w:hAnsi="IRNazanin" w:eastAsia="IRNazanin"/>
          <w:color w:val="111111"/>
          <w:sz w:val="28"/>
          <w:sz w:val="28"/>
          <w:szCs w:val="28"/>
          <w:rtl w:val="true"/>
          <w:lang w:bidi="fa-IR"/>
        </w:rPr>
        <w:t>و إن لم یکن بظاهر الأمر لکنّ المراد هو الأمر بالإفاضة عنها،و وجوبها بعنوان العموم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أمر لخصوص القریش بالإفاضة من عرفات بعد أمرهم بها </w:t>
      </w:r>
    </w:p>
    <w:p>
      <w:pPr>
        <w:pStyle w:val="BookText"/>
        <w:rPr/>
      </w:pPr>
      <w:r>
        <w:rPr>
          <w:rFonts w:ascii="IRNazanin" w:hAnsi="IRNazanin" w:eastAsia="IRNazanin"/>
          <w:color w:val="111111"/>
          <w:sz w:val="28"/>
          <w:sz w:val="28"/>
          <w:szCs w:val="28"/>
          <w:rtl w:val="true"/>
          <w:lang w:bidi="fa-IR"/>
        </w:rPr>
        <w:t>فی ضمن أمر غیرهم بها،و حینئذ لا یرد ما أورده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ما نقل رحمه اللّه عن الکشّاف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الإفاضة من المشعر کما هی طریقة القریش المعلومة حرام،و الإفاضة من عرفات واجبة،فالمرتبتان اللتان اشتملتا علی التفاوت هما الإفاضة المعروفة من قریش،و المرتبة المأمور بها بقوله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أَفِیضُوا لا بین المعطوف و المعطوف علیه،فلا یرد ما أورده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التفاوت بین المعطوف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مقصوده رحمه اللّه أنّ هذا المعنی لمّا لم یکن مناسبا بحسب ظاهر عقولنا،فینبغی تفسیر الکلام بوجه آخر،و إلیه یشیر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المناسب لمعنی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عرفت بما عرفته فی حاشیة اخری ضعف عدم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هذا لا التفات إلی عدم إدراکنا المناسبة بعد ما ذکره فی مجمع البیان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یذکره المصنّف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الأوّل صحیحة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مقصوده رحمه اللّه لمّا لم یکن مناسبا بحسب عقولنا لا ینبغی تفسیر الکلام بهذا الوجه لو لم یدلّ علی هذا التفسیر کلام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المعطوف لیس بحرام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المعطوف الذی هو الإفاضة من عرفات التی أمر بها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لیس بحرام،و الحال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تلک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علی حرمته کما هو مقتضی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إلی البعید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للإشارة إلی الإفاضة من المشعر التی کانت طریقة القریش السابقة،فالإشارة بتلک للبعید بحسب الزمان،لا بحسب اللفظ فی هذه العبارة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تغییر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w:t>
      </w:r>
      <w:r>
        <w:rPr>
          <w:rStyle w:val="FootnoteAnchor"/>
          <w:rtl w:val="true"/>
        </w:rPr>
        <w:footnoteReference w:id="350"/>
      </w:r>
      <w:r>
        <w:rPr>
          <w:rFonts w:ascii="IRNazanin" w:hAnsi="IRNazanin" w:eastAsia="IRNazanin"/>
          <w:color w:val="111111"/>
          <w:sz w:val="28"/>
          <w:sz w:val="28"/>
          <w:szCs w:val="28"/>
          <w:rtl w:val="true"/>
          <w:lang w:bidi="fa-IR"/>
        </w:rPr>
        <w:t>أن یکون إشارة إلی التغییر الذی هو الإفاضة من المشعر،و فعل المحرّمات یندرج فیها الإفاضة من المشعر و غیرها،و ترک الواجبات یندرج فیها الإفاضة من عرفات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بالندم علی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اختصاص الندم و العزم بالامور المتعلّقة بالحجّ،و لا یبعد حینئذ حمل الأمر بالإستغفار فی خصوص هذا الوقت علی الإستحباب و إن کانت التوبة واجبة مطلقة،لکونه فی هذا الوقت من مظانّ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حمل الأمر علی الطلب المطلق من غیر أن یؤخذ خصوص الإستحباب و </w:t>
      </w:r>
      <w:r>
        <w:rPr>
          <w:rStyle w:val="FootnoteAnchor"/>
          <w:rtl w:val="true"/>
        </w:rPr>
        <w:footnoteReference w:id="351"/>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بالمشعر حینئذ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سبب حکمه رحمه اللّه بکون الإستغفار فی المشعر علی الإحتمال الثانی بعیدا مع عدم الحکم بالبعد بکونه فی عرفة علی الإحتمال الأوّل هو تأیید کونه فی عرفة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علی ما هو المشهور من عدم دلالة الواو علی الترتیب </w:t>
      </w:r>
      <w:r>
        <w:rPr>
          <w:rStyle w:val="FootnoteAnchor"/>
          <w:rtl w:val="true"/>
        </w:rPr>
        <w:footnoteReference w:id="352"/>
      </w:r>
      <w:r>
        <w:rPr>
          <w:rFonts w:ascii="IRNazanin" w:hAnsi="IRNazanin" w:eastAsia="IRNazanin"/>
          <w:color w:val="111111"/>
          <w:sz w:val="28"/>
          <w:sz w:val="28"/>
          <w:szCs w:val="28"/>
          <w:rtl w:val="true"/>
          <w:lang w:bidi="fa-IR"/>
        </w:rPr>
        <w:t>لا بعد فی کون الإستغفار فی المشعر فی الثانی،و فی عرفة فی الأوّل،و إن فرض عدم التأیید بالروایة، و لو فرض دلالة الواو علی الترتیب أیضا لا بعد فی کون الذکر بالمشعر علی الإحتمال الثانی،کما یحتمل کونه بعرفة علی الإحتمال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المسافة بین المشعر و منی بالنسبة إلی المسافة التی بین عرفة و مشعر لا یؤثّر فی بعد هذا الاحتمال هاهنا و عدم بعد الذکر فی عرفة علی الأوّل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الدعاء و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فی غایة البعد،لأنّ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أَفِیضُوا فی ذیل ثُمَّ و لا یجب الإفاضة قبل طلوع الشمس،و بعد طلوعها لا یجب الذکر فی المشعر،لأنّ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عِنْدَ </w:t>
      </w:r>
    </w:p>
    <w:p>
      <w:pPr>
        <w:pStyle w:val="BookText"/>
        <w:rPr/>
      </w:pPr>
      <w:r>
        <w:rPr>
          <w:rFonts w:ascii="Amiri" w:hAnsi="Amiri" w:eastAsia="Amiri" w:cs="Amiri"/>
          <w:color w:val="111111"/>
          <w:sz w:val="28"/>
          <w:sz w:val="28"/>
          <w:szCs w:val="28"/>
          <w:rtl w:val="true"/>
          <w:lang w:bidi="ar-SA"/>
        </w:rPr>
        <w:t xml:space="preserve">اَلْمَشْعَرِ الْحَرٰامِ </w:t>
      </w:r>
      <w:r>
        <w:rPr>
          <w:rStyle w:val="FootnoteAnchor"/>
          <w:rtl w:val="true"/>
        </w:rPr>
        <w:footnoteReference w:id="353"/>
      </w:r>
      <w:r>
        <w:rPr>
          <w:rFonts w:ascii="IRNazanin" w:hAnsi="IRNazanin" w:eastAsia="IRNazanin"/>
          <w:color w:val="111111"/>
          <w:sz w:val="28"/>
          <w:sz w:val="28"/>
          <w:szCs w:val="28"/>
          <w:rtl w:val="true"/>
          <w:lang w:bidi="fa-IR"/>
        </w:rPr>
        <w:t>هو وجوب الذکر فیه فی الزمان الذی یجب الوقوف فیه لا وجوبه فیه أیّ زمان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وجوب التوبة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غیر اعتبار خصوصیّة المکان أیضا بعید؛لأنّ ظاهر العطف کونه فی ذیل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المصدر علی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یتعلّق به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بعضه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الأمر بذکر اللّه ذکرا مثل ذکر أشدّ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مذکوریّة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الآباء کما هو مقتضی هذا الإحتمال یقتضی تحقّق الذکر الأشدّ و طلب مثله للّه،لا فرضه و طلب مثله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أنّ هاهنا لا یتحقّق الذکر </w:t>
      </w:r>
      <w:r>
        <w:rPr>
          <w:rStyle w:val="FootnoteAnchor"/>
          <w:rtl w:val="true"/>
        </w:rPr>
        <w:footnoteReference w:id="355"/>
      </w:r>
      <w:r>
        <w:rPr>
          <w:rFonts w:ascii="IRNazanin" w:hAnsi="IRNazanin" w:eastAsia="IRNazanin"/>
          <w:color w:val="111111"/>
          <w:sz w:val="28"/>
          <w:sz w:val="28"/>
          <w:szCs w:val="28"/>
          <w:rtl w:val="true"/>
          <w:lang w:bidi="fa-IR"/>
        </w:rPr>
        <w:t>الأشدّ،و أنّه لا یناسب طلب مثل المفروض، و لا ینساق إلی ذهن أحد،بخلاف الإحتمال الأوّل من الإحتمالات الضعیفة،لأنّ معناه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مثل ذاکرکم آباءکم أو مثل أشدّ فی الذاکریّة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فی تحقّق أشدّ ذاکریّة من ذاکر المخاطبین،و کذلک الإحتمال الثانی منها، لإمکان تحقّق قوم أشدّ ذکرا من ذکر المخاطبین آباءهم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أکدّ بما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أن یکون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کَذِکْرِکُمْ آبٰاءَکُمْ </w:t>
      </w:r>
      <w:r>
        <w:rPr>
          <w:rStyle w:val="FootnoteAnchor"/>
          <w:rtl w:val="true"/>
        </w:rPr>
        <w:footnoteReference w:id="356"/>
      </w:r>
      <w:r>
        <w:rPr>
          <w:rFonts w:ascii="IRNazanin" w:hAnsi="IRNazanin" w:eastAsia="IRNazanin"/>
          <w:color w:val="111111"/>
          <w:sz w:val="28"/>
          <w:sz w:val="28"/>
          <w:szCs w:val="28"/>
          <w:rtl w:val="true"/>
          <w:lang w:bidi="fa-IR"/>
        </w:rPr>
        <w:t>و إن لم یکن تأکیدا اصطلاحیّا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الإشارة إلی استحباب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Style w:val="FootnoteAnchor"/>
          <w:rtl w:val="true"/>
        </w:rPr>
        <w:footnoteReference w:id="357"/>
      </w:r>
      <w:r>
        <w:rPr>
          <w:rFonts w:ascii="Amiri" w:hAnsi="Amiri" w:eastAsia="Amiri" w:cs="Amiri"/>
          <w:color w:val="111111"/>
          <w:sz w:val="28"/>
          <w:sz w:val="28"/>
          <w:szCs w:val="28"/>
          <w:rtl w:val="true"/>
          <w:lang w:bidi="ar-SA"/>
        </w:rPr>
        <w:t>هذا أظهر،لیکون وَ اذْکُرُوا اللّٰهَ فِی أَیّٰامٍ مَعْدُودٰاتٍ تأسیسا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الشیخ الأوّل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مراد الشیخ من الجواز لیس هو الإباحة بل المشروعیّة المتحقّقة فی الواجب و المستحبّ علی قول،و فی المؤکّد و غیر المؤکّد علی قول آخر،و حینئذ لیس فی هذا الحمل البعد الذی ذکره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دلیل القول بالإستحباب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بعد فی جعل هذه الروایة دلیل الإستحباب،لأنّ الأمر خصوصا الأمر القرآنی و إن کان ظاهرا فی الوجوب لکن استعماله فی الإستحباب شایع،و کثیر من الروایات یشتمل علی بیان التکبیر المأمور به من الآیة،و لا یدلّ علی کونه واجبا زایدا علی کون التکبیر مقصودا من الآیة، و فی الروایة السابقة المشتملة علی وجوب التکبیر فی النافلة أیضا تأیید ما </w:t>
      </w:r>
      <w:r>
        <w:rPr>
          <w:rStyle w:val="FootnoteAnchor"/>
          <w:rtl w:val="true"/>
        </w:rPr>
        <w:footnoteReference w:id="359"/>
      </w:r>
      <w:r>
        <w:rPr>
          <w:rFonts w:ascii="IRNazanin" w:hAnsi="IRNazanin" w:eastAsia="IRNazanin"/>
          <w:color w:val="111111"/>
          <w:sz w:val="28"/>
          <w:sz w:val="28"/>
          <w:szCs w:val="28"/>
          <w:rtl w:val="true"/>
          <w:lang w:bidi="fa-IR"/>
        </w:rPr>
        <w:t>للاستحباب،و یؤیّده صحیحة محمّد بن مسلم الآتیة،فالقول بالإستحباب لا یخلو من قوّة،و لا ینبغی ترک الإحتیاط فی أمثال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عقیب کم صلاة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السائل الذی سأل عن التکبیر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صلاة</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،یجب حمله علی المعنی الأوّل،لا علی أحد الإحتمالات الباقیة،فالروایة مؤیدّة للاستحباب کما ذکرته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علیه السّلام یقول</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من شاء رمی الجمار ارتفاع النهار ثمّ ینفر</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هذه الروایة جواز النفر قبل الزوال،لعدم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تحدید التأخیر بالزوال،فالظاهر هاهنا أنّها للتعقیب بدون أخذ </w:t>
      </w:r>
      <w:r>
        <w:rPr>
          <w:rStyle w:val="FootnoteAnchor"/>
          <w:rtl w:val="true"/>
        </w:rPr>
        <w:footnoteReference w:id="363"/>
      </w:r>
      <w:r>
        <w:rPr>
          <w:rFonts w:ascii="IRNazanin" w:hAnsi="IRNazanin" w:eastAsia="IRNazanin"/>
          <w:color w:val="111111"/>
          <w:sz w:val="28"/>
          <w:sz w:val="28"/>
          <w:szCs w:val="28"/>
          <w:rtl w:val="true"/>
          <w:lang w:bidi="fa-IR"/>
        </w:rPr>
        <w:t xml:space="preserve">التراخی للصحّة،عدمها </w:t>
      </w:r>
    </w:p>
    <w:p>
      <w:pPr>
        <w:pStyle w:val="BookText"/>
        <w:rPr/>
      </w:pPr>
      <w:r>
        <w:rPr>
          <w:rFonts w:ascii="IRNazanin" w:hAnsi="IRNazanin" w:eastAsia="IRNazanin"/>
          <w:color w:val="111111"/>
          <w:sz w:val="28"/>
          <w:sz w:val="28"/>
          <w:szCs w:val="28"/>
          <w:rtl w:val="true"/>
          <w:lang w:bidi="fa-IR"/>
        </w:rPr>
        <w:t>صحیحة جمیل دالّة علی عدم اعتبار کون النفر الأوّل بعد الزوال مؤیّدة بالخبرین المذکورین و بظاهر الآیة،و حمل ما یدلّ علی عدم جواز النفر قبل الزوال علی الکراهة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عدم جواز النفر قبل الزوال عند بعض العامّة </w:t>
      </w:r>
      <w:r>
        <w:rPr>
          <w:rStyle w:val="FootnoteAnchor"/>
          <w:rtl w:val="true"/>
        </w:rPr>
        <w:footnoteReference w:id="364"/>
      </w:r>
      <w:r>
        <w:rPr>
          <w:rFonts w:ascii="IRNazanin" w:hAnsi="IRNazanin" w:eastAsia="IRNazanin"/>
          <w:color w:val="111111"/>
          <w:sz w:val="28"/>
          <w:sz w:val="28"/>
          <w:szCs w:val="28"/>
          <w:rtl w:val="true"/>
          <w:lang w:bidi="fa-IR"/>
        </w:rPr>
        <w:t xml:space="preserve">یؤیّد حمل الأخبار الموافقة لطریقتهم علی التقیّة و إن کان النفر قبل الزوال عند بعض آخر جایزا </w:t>
      </w:r>
      <w:r>
        <w:rPr>
          <w:rStyle w:val="FootnoteAnchor"/>
          <w:rtl w:val="true"/>
        </w:rPr>
        <w:footnoteReference w:id="365"/>
      </w:r>
      <w:r>
        <w:rPr>
          <w:rFonts w:ascii="IRNazanin" w:hAnsi="IRNazanin" w:eastAsia="IRNazanin"/>
          <w:color w:val="111111"/>
          <w:sz w:val="28"/>
          <w:sz w:val="28"/>
          <w:szCs w:val="28"/>
          <w:rtl w:val="true"/>
          <w:lang w:bidi="fa-IR"/>
        </w:rPr>
        <w:t>،رعایة لقرب الجمع و ظاهر الآیة هذا علی تقدیر عدم تحقّق الإجماع الذی هو حجّة و إلاّ فهو المتعیّن بالعمل،و الإحتیاط فی أمثال هذا واضح لا ینبغی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أعلنت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المناسب لظاهر قانون العطف تقدیم الإسرار هاهنا و تقدیم الأفضل فی النفر إلاّ أن یؤیّد خلاف ظاهر القانون المشهور أمر آخر،و هو هاهنا الترتیب الوجودی،لکن یمکن رعایة ترتیب الوجود مع مخالفتها لظاهر قانون العطف إن کان الدلیل الخارج داعیا علیها،و لا یمکن الإستدلال علیها هاهنا بمحض الترتیب،لاحتمال موافقة الترتیب الوجودی لظاهر القانون،و کان الداعی علی هذا التنزیل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الإستدلال علی أفضلیّة النفر الأخیر بما رواه الشیخ فی الصحیح عن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ینفر الرجل فی النفر الأوّل،ثمّ یقیم بمکّة</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لأنّ الظاهر من سلب البأس عن الأوّل مع عدم ظهور القائل به هو رجحان الثانی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حینئذ 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الإشعار إنّما هو علی الإحتمال الثانی الذی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علی الأوّل الذی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التخییر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صلّی اللّه علیه و آله اسعوا فإنّ اللّه کتب علیکم السعی</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الأمر بالسعی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کتب علیکم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حَجَّ الْبَیْتَ أَوِ اعْتَمَرَ فَلاٰ جُنٰاحَ عَلَیْهِ أَنْ یَطَّوَّفَ بِهِمٰا </w:t>
      </w:r>
      <w:r>
        <w:rPr>
          <w:rStyle w:val="FootnoteAnchor"/>
          <w:rtl w:val="true"/>
        </w:rPr>
        <w:footnoteReference w:id="369"/>
      </w:r>
      <w:r>
        <w:rPr>
          <w:rFonts w:ascii="IRNazanin" w:hAnsi="IRNazanin" w:eastAsia="IRNazanin"/>
          <w:color w:val="111111"/>
          <w:sz w:val="28"/>
          <w:sz w:val="28"/>
          <w:szCs w:val="28"/>
          <w:rtl w:val="true"/>
          <w:lang w:bidi="fa-IR"/>
        </w:rPr>
        <w:t>لیس دلیلا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أنّه</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لم یدلّ علی سوی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وجوبه کونه من الأجزاء الواجبة للحجّ لا کونه واجبا خارجا عنه کوجوب الإجتناب عن الصید،فإذا کان من الأجزاء الواجبة له بقوله صلّی اللّه علیه و آله فالظاهر منه عدم تحقّق الحجّ الذی طلبه الشارع بدونه،و هو المقصود من الدلالة علی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عدم دلالة التخییر علی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کما یمکن تحقّق التخییر فی رجحان الفعل علی الترک الذی هو السنّة کذلک یمکن تحقّقه فی مرجوحیّة الفعل الذی هی الکراهة،و تساوی الفعل و الترک الذی هو الإباحة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ما یرد علی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أنت تعلم أنّه لا یرد علی الإحتجاج ما أورده القاضی، و فیه بعد،لکون المعطوف علیه اعتراضا علی الإحتجاج علی کون السعی سنّة،و هذا دفع إیراد عنه،و ظاهر العطف هنا کون کلّ واحد من المعطوف و المعطوف علیه دفع إیراد عن الإحتجاج 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و أنت تعلم </w:t>
      </w:r>
      <w:r>
        <w:rPr>
          <w:rStyle w:val="FootnoteAnchor"/>
          <w:rtl w:val="true"/>
        </w:rPr>
        <w:footnoteReference w:id="373"/>
      </w:r>
      <w:r>
        <w:rPr>
          <w:rFonts w:ascii="IRNazanin" w:hAnsi="IRNazanin" w:eastAsia="IRNazanin"/>
          <w:color w:val="111111"/>
          <w:sz w:val="28"/>
          <w:sz w:val="28"/>
          <w:szCs w:val="28"/>
          <w:rtl w:val="true"/>
          <w:lang w:bidi="fa-IR"/>
        </w:rPr>
        <w:t xml:space="preserve">اندفاع الإیراد المذکور أوّلا علی الإحتجاج،و أنّه لا یرد علیه إیراد </w:t>
      </w:r>
      <w:bookmarkStart w:id="154" w:name="pg12937_139136"/>
    </w:p>
    <w:p>
      <w:pPr>
        <w:pStyle w:val="BookText"/>
        <w:rPr/>
      </w:pPr>
      <w:bookmarkEnd w:id="154"/>
      <w:r>
        <w:rPr>
          <w:rFonts w:ascii="IRNazanin" w:hAnsi="IRNazanin" w:eastAsia="IRNazanin"/>
          <w:color w:val="111111"/>
          <w:sz w:val="28"/>
          <w:sz w:val="28"/>
          <w:szCs w:val="28"/>
          <w:rtl w:val="true"/>
          <w:lang w:bidi="fa-IR"/>
        </w:rPr>
        <w:t>القاضی،فالمعطوف علیه بحسب المعنی 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کلّ واحد من المعطوف و المعطوف علیه دفع إیراد عن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ورود إیراد القاضی علی احتجاجهم ظاهر،لظهور أنّ نفی الجناح المفهوم من الآیة أخصّ من الجواز الداخل فی الوجوب،و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فهم عدم الورود ممّا أثبت رحمه اللّه به کون السعی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الوجهین اللذین بعد هذا الوجه،و لا قصور فی کون الظهور الذی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 فی الوجه الأوّل الذی ذکره رحمه اللّه</w:t>
      </w:r>
      <w:r>
        <w:rPr>
          <w:rFonts w:eastAsia="IRNazanin" w:cs="IRNazanin"/>
          <w:color w:val="111111"/>
          <w:sz w:val="28"/>
          <w:szCs w:val="28"/>
          <w:rtl w:val="true"/>
          <w:lang w:bidi="fa-IR"/>
        </w:rPr>
        <w:t>.</w:t>
      </w:r>
    </w:p>
    <w:p>
      <w:pPr>
        <w:pStyle w:val="Heading4"/>
        <w:numPr>
          <w:ilvl w:val="3"/>
          <w:numId w:val="1"/>
        </w:numPr>
        <w:rPr/>
      </w:pPr>
      <w:bookmarkStart w:id="155" w:name="__RefHeading___Toc4066885_3224264995"/>
      <w:bookmarkStart w:id="156" w:name="_Toc56"/>
      <w:bookmarkEnd w:id="155"/>
      <w:r>
        <w:rPr>
          <w:rtl w:val="true"/>
        </w:rPr>
        <w:t>النوع الثالث</w:t>
      </w:r>
      <w:r>
        <w:rPr>
          <w:rtl w:val="true"/>
        </w:rPr>
        <w:t>:</w:t>
      </w:r>
      <w:r>
        <w:rPr>
          <w:rtl w:val="true"/>
        </w:rPr>
        <w:t>فی أشیاء من أحکام الحجّ و توابعه</w:t>
      </w:r>
      <w:bookmarkEnd w:id="156"/>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تَقْتُلُوا الصَّیْدَ وَ أَنْتُمْ حُرُمٌ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إدخالها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الخمسة المذکورة،و لعلّ وجه الإدخال إمّا حمل النهی عن القتل علی النهی علی قتله و ما ربّما یکون سببا له،فالإغلاق و الإشارة و الدلالة تدخل فی القتل بالمعنی العامّ أو استنباط احترام صید الحرم من النهی عن قتله،و الإحترام المستنبط یقتضی ترک الامور المذکورة عن الصید لئلاّ تنجرّ إلی القتل و الأذیّة اللذین لا یناسبان الإحترام،و مع غایة البعد فی کلّ منهما لا احتیاج إلی شیء منهما،و لا انتفاع فیهما،فالوجه ترک أمثال تلک الإحتمالات فی الآیات،و الإکتفاء بما یدلّ علی تلک الامور من الروایات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تنبیه علی عدم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مع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قدّس سرّه بالتنبیه هو الإشارة التی تبلغ إلی مرتبة الظنّ و الحجیّة،بقرینة تفریع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إنّما تدلّ علی اعتبار حکمهما فی جزاء صید خاصّ،و استنباط اعتبار </w:t>
      </w:r>
    </w:p>
    <w:p>
      <w:pPr>
        <w:pStyle w:val="BookText"/>
        <w:rPr/>
      </w:pPr>
      <w:r>
        <w:rPr>
          <w:rFonts w:ascii="IRNazanin" w:hAnsi="IRNazanin" w:eastAsia="IRNazanin"/>
          <w:color w:val="111111"/>
          <w:sz w:val="28"/>
          <w:sz w:val="28"/>
          <w:szCs w:val="28"/>
          <w:rtl w:val="true"/>
          <w:lang w:bidi="fa-IR"/>
        </w:rPr>
        <w:t>حکمهما فی غیره هو القیاس المنفیّ،فلا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مفادّه تخصیص الآیة بدلیل فی مواضع یعتبر حکم الحاکم مع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أنّ الصید هو صید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المراد من الصید الذی نهی عن قتله أوّلا هو صید البرّ،و الدلیل علیه مفهوم التقیید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w:t>
      </w:r>
      <w:r>
        <w:rPr>
          <w:rStyle w:val="FootnoteAnchor"/>
          <w:rtl w:val="true"/>
        </w:rPr>
        <w:footnoteReference w:id="375"/>
      </w:r>
      <w:r>
        <w:rPr>
          <w:rFonts w:ascii="IRNazanin" w:hAnsi="IRNazanin" w:eastAsia="IRNazanin"/>
          <w:color w:val="111111"/>
          <w:sz w:val="28"/>
          <w:sz w:val="28"/>
          <w:szCs w:val="28"/>
          <w:rtl w:val="true"/>
          <w:lang w:bidi="fa-IR"/>
        </w:rPr>
        <w:t>لأنّ مقتضی التقیید إنّما هو تحریم صید البرّ و منطوق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 عَلَیْکُمْ صَیْدُ الْبَرِّ </w:t>
      </w:r>
      <w:r>
        <w:rPr>
          <w:rStyle w:val="FootnoteAnchor"/>
          <w:rtl w:val="true"/>
        </w:rPr>
        <w:footnoteReference w:id="376"/>
      </w:r>
      <w:r>
        <w:rPr>
          <w:rFonts w:ascii="IRNazanin" w:hAnsi="IRNazanin" w:eastAsia="IRNazanin"/>
          <w:color w:val="111111"/>
          <w:sz w:val="28"/>
          <w:sz w:val="28"/>
          <w:szCs w:val="28"/>
          <w:rtl w:val="true"/>
          <w:lang w:bidi="fa-IR"/>
        </w:rPr>
        <w:t>و هو ظاهر،فوجه ترک المصنّف طاب ثراه المفهوم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صَیْدُ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بمفهوم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ظاهر،فالصواب هو العکس کما ذکرته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مقصوده رحمه اللّه أنّ الظاهر من ضمیر الفصل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صید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الحصر،أی الصید المحرّم هو صید البرّ فقط و لیس غیره،فالمقصود هو بیان ما یظهر من الحصر الذی هو عدم کون صید غیر البرّ محرّما فحینئذ یدلّ منطوق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صَیْدُ الْبَحْرِ علی هذا المدّعا،و مفهوم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عَلَیْکُمْ صَیْدُ الْبَرِّ لأنّ کل واحد من منطوق الأوّل و مفهوم الثانی یدلّ علی حلّیّة صید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 یٰا أَیُّهَا الَّذِینَ آمَنُوا لاٰ تُحِلُّوا شَعٰائِرَ اللّٰهِ</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الأخیر أوضح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صَدُّوکُمْ عَنِ الْمَسْجِدِ الْحَرٰامِ </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الإضافة إلی الفاعل کان المعنی لا یحملنّکم کون قوم عدوّین لأنّ صدّوکم أن تقتدوا،فاللام حینئذ إمّا التعلیل کونهم عدوّین فی الواقع،و إمّا للکشف و البیان،و الأوّل غیر صحیح،بل الأمر فی العلّیّة هو العکس،و الثانی خلاف الظاهر و أیضا لا یناسب علی تقدیر الإضافة إلی الفاعل تعدیة لاٰ یَجْرِمَنَّکُمْ </w:t>
      </w:r>
      <w:r>
        <w:rPr>
          <w:rStyle w:val="FootnoteAnchor"/>
          <w:rtl w:val="true"/>
        </w:rPr>
        <w:footnoteReference w:id="379"/>
      </w:r>
      <w:r>
        <w:rPr>
          <w:rFonts w:ascii="IRNazanin" w:hAnsi="IRNazanin" w:eastAsia="IRNazanin"/>
          <w:color w:val="111111"/>
          <w:sz w:val="28"/>
          <w:sz w:val="28"/>
          <w:szCs w:val="28"/>
          <w:rtl w:val="true"/>
          <w:lang w:bidi="fa-IR"/>
        </w:rPr>
        <w:t xml:space="preserve">إلی </w:t>
      </w:r>
    </w:p>
    <w:p>
      <w:pPr>
        <w:pStyle w:val="BookText"/>
        <w:rPr/>
      </w:pPr>
      <w:r>
        <w:rPr>
          <w:rFonts w:ascii="Amiri" w:hAnsi="Amiri" w:eastAsia="Amiri" w:cs="Amiri"/>
          <w:color w:val="111111"/>
          <w:sz w:val="28"/>
          <w:sz w:val="28"/>
          <w:szCs w:val="28"/>
          <w:rtl w:val="true"/>
          <w:lang w:bidi="ar-SA"/>
        </w:rPr>
        <w:t xml:space="preserve">المفعول الثانی الذی هو أَنْ تَعْتَدُوا </w:t>
      </w:r>
      <w:r>
        <w:rPr>
          <w:rStyle w:val="FootnoteAnchor"/>
          <w:rtl w:val="true"/>
        </w:rPr>
        <w:footnoteReference w:id="380"/>
      </w:r>
      <w:r>
        <w:rPr>
          <w:rFonts w:ascii="IRNazanin" w:hAnsi="IRNazanin" w:eastAsia="IRNazanin"/>
          <w:color w:val="111111"/>
          <w:sz w:val="28"/>
          <w:sz w:val="28"/>
          <w:szCs w:val="28"/>
          <w:rtl w:val="true"/>
          <w:lang w:bidi="fa-IR"/>
        </w:rPr>
        <w:t>لأنّه لا یحمل کون قوم عدوّین إن خلا عن کون المؤمنین عدوّین إلی الإعتداء حتّی ینهوا عنه،و إن کان المسلمون عدوّین فی حمل العداوة إلی الإعتداء،فناسب النهی عنه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دلّت علی أنّ المعاون علی الشیء کالفاعل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مراده طاب ثراه من دلالة الآیة علی أنّ المعاون علی الشیء کفاعله هو کونه مثله فی أصل الحسن و ما یناسبه فی الخیر،و فی أصل القبح و ما یناسبه فی الشرّ،لکون الحسن و استحقاق الثواب فی الجملة مقتضی الأمر فی تَعٰاوَنُوا </w:t>
      </w:r>
      <w:r>
        <w:rPr>
          <w:rStyle w:val="FootnoteAnchor"/>
          <w:rtl w:val="true"/>
        </w:rPr>
        <w:footnoteReference w:id="381"/>
      </w:r>
      <w:r>
        <w:rPr>
          <w:rFonts w:ascii="Amiri" w:hAnsi="Amiri" w:eastAsia="Amiri" w:cs="Amiri"/>
          <w:color w:val="111111"/>
          <w:sz w:val="28"/>
          <w:sz w:val="28"/>
          <w:szCs w:val="28"/>
          <w:rtl w:val="true"/>
          <w:lang w:bidi="ar-SA"/>
        </w:rPr>
        <w:t xml:space="preserve">و القبح و استحقاق المذمّة مثلا مقتضی النهی فی وَ لاٰ تَعٰاوَنُوا </w:t>
      </w:r>
      <w:r>
        <w:rPr>
          <w:rStyle w:val="FootnoteAnchor"/>
          <w:rtl w:val="true"/>
        </w:rPr>
        <w:footnoteReference w:id="382"/>
      </w:r>
      <w:r>
        <w:rPr>
          <w:rFonts w:ascii="IRNazanin" w:hAnsi="IRNazanin" w:eastAsia="IRNazanin"/>
          <w:color w:val="111111"/>
          <w:sz w:val="28"/>
          <w:sz w:val="28"/>
          <w:szCs w:val="28"/>
          <w:rtl w:val="true"/>
          <w:lang w:bidi="fa-IR"/>
        </w:rPr>
        <w:t>لا دلالتها علی کون المعاون علی الشیء کفاعله فی الدرجه التی له،لا حقیقة و لا مبالغة،لعدم دلالة الأمر و النهی المذکورین علی هذا،و ظاهر الخبر هو المعنی الثانی،فقوله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إراده المعنی الثانی،و حینئذ دلالة الآیة علی ما ذکره غیر ظاهرة،فلو قال بدل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الآیة إشارة إلی أنّ المعاون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ما یفهم من ظاهر الکلام صحیحا،لأنّ عدم دلالة الآیة علی أمر لا ینافی إمکان کونها إشارة إلیه الذی یظهر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ذکره،و لعلّ مراده رحمه اللّه من الدلالة هی الإشارة،و التعبیر عن الإشارة بالدلالة من المصنّف رحمه اللّه غیر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طلبه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هاهنا هو المعنی العام الذی </w:t>
      </w:r>
      <w:r>
        <w:rPr>
          <w:rStyle w:val="FootnoteAnchor"/>
          <w:rtl w:val="true"/>
        </w:rPr>
        <w:footnoteReference w:id="384"/>
      </w:r>
      <w:r>
        <w:rPr>
          <w:rFonts w:ascii="IRNazanin" w:hAnsi="IRNazanin" w:eastAsia="IRNazanin"/>
          <w:color w:val="111111"/>
          <w:sz w:val="28"/>
          <w:sz w:val="28"/>
          <w:szCs w:val="28"/>
          <w:rtl w:val="true"/>
          <w:lang w:bidi="fa-IR"/>
        </w:rPr>
        <w:t>یکون تحقّقه فی الراجح،حتّی یحسن تفریعه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إشعار بعدم حسن التخصیص</w:t>
      </w:r>
      <w:r>
        <w:rPr>
          <w:rFonts w:eastAsia="IRNazanin" w:cs="IRNazanin"/>
          <w:color w:val="111111"/>
          <w:sz w:val="28"/>
          <w:szCs w:val="28"/>
          <w:rtl w:val="true"/>
          <w:lang w:bidi="fa-IR"/>
        </w:rPr>
        <w:t xml:space="preserve">...». </w:t>
      </w:r>
      <w:bookmarkStart w:id="157" w:name="pg12937_139139"/>
    </w:p>
    <w:p>
      <w:pPr>
        <w:pStyle w:val="BookText"/>
        <w:rPr/>
      </w:pPr>
      <w:bookmarkEnd w:id="157"/>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کان مظنّة أن یتوهّم عدم جواز طلب الرزق للکفّار أزال رحمه اللّه هذا التوهّم </w:t>
      </w:r>
      <w:r>
        <w:rPr>
          <w:rStyle w:val="FootnoteAnchor"/>
          <w:rtl w:val="true"/>
        </w:rPr>
        <w:footnoteReference w:id="385"/>
      </w:r>
      <w:r>
        <w:rPr>
          <w:rFonts w:ascii="IRNazanin" w:hAnsi="IRNazanin" w:eastAsia="IRNazanin"/>
          <w:color w:val="111111"/>
          <w:sz w:val="28"/>
          <w:sz w:val="28"/>
          <w:szCs w:val="28"/>
          <w:rtl w:val="true"/>
          <w:lang w:bidi="fa-IR"/>
        </w:rPr>
        <w:t>بعد إثبات رجحان التعمیم فی طلب الرزق بإشعار الآیة بعدم حسن التخصیص بتفریع الجواز العامّ علی ما سبق،و هذا هو الظاهر لکن استنباط جواز طلب الرزق للکفّار من الآیة لا یخلو من إشکال،لاحتمال أن لا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إشارة إلی رجحان طلب التعمیم،بل إشارة إلی تعمیمه تعالی فی الرزق، و تعمیمه تعالی إنّما یکون لمصلحة یعلمها،و لا یدلّ علی جواز طلب التعمیم کما أنّ تخلیة اللّه تعالی بین کثیر من الکفرة و ما أرادوا من ظلمهم بل قتلهم الأنبیاء و الأئمة علیهم السّلام کانت واقعة لمصلحة یعلمها،و لم یجز طلب هذه التخلیة،و کما لا یدلّ تعمیمه تعالی علی جواز طلب التعمیم کذلک اسلوب الکلام أیضا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مرغوبا عند الفراغ من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إنّما تدلّ علی اشتغالهما بالدعاء عند العمل الخاصّ لا عند الفراغ عنه،فلا یتفرّع علی هذه الدلالة ما فرّعه علیها</w:t>
      </w:r>
      <w:r>
        <w:rPr>
          <w:rFonts w:eastAsia="IRNazanin" w:cs="IRNazanin"/>
          <w:color w:val="111111"/>
          <w:sz w:val="28"/>
          <w:szCs w:val="28"/>
          <w:rtl w:val="true"/>
          <w:lang w:bidi="fa-IR"/>
        </w:rPr>
        <w:t>.</w:t>
      </w:r>
    </w:p>
    <w:p>
      <w:pPr>
        <w:pStyle w:val="Heading3"/>
        <w:numPr>
          <w:ilvl w:val="2"/>
          <w:numId w:val="1"/>
        </w:numPr>
        <w:rPr/>
      </w:pPr>
      <w:bookmarkStart w:id="158" w:name="__RefHeading___Toc4066887_3224264995"/>
      <w:bookmarkStart w:id="159" w:name="_Toc57"/>
      <w:bookmarkEnd w:id="158"/>
      <w:r>
        <w:rPr>
          <w:rtl w:val="true"/>
        </w:rPr>
        <w:t>کتاب الجهاد</w:t>
      </w:r>
      <w:bookmarkEnd w:id="159"/>
    </w:p>
    <w:p>
      <w:pPr>
        <w:pStyle w:val="Heading4"/>
        <w:numPr>
          <w:ilvl w:val="3"/>
          <w:numId w:val="1"/>
        </w:numPr>
        <w:rPr/>
      </w:pPr>
      <w:bookmarkStart w:id="160" w:name="__RefHeading___Toc4066889_3224264995"/>
      <w:bookmarkStart w:id="161" w:name="_Toc58"/>
      <w:bookmarkEnd w:id="160"/>
      <w:r>
        <w:rPr>
          <w:rtl w:val="true"/>
        </w:rPr>
        <w:t>و الآیات</w:t>
      </w:r>
      <w:r>
        <w:rPr>
          <w:rtl w:val="true"/>
        </w:rPr>
        <w:t>:</w:t>
      </w:r>
      <w:r>
        <w:rPr>
          <w:rtl w:val="true"/>
        </w:rPr>
        <w:t>المتعلّقة بها علی أنواع</w:t>
      </w:r>
      <w:r>
        <w:rPr>
          <w:rtl w:val="true"/>
        </w:rPr>
        <w:t>:</w:t>
      </w:r>
      <w:bookmarkEnd w:id="161"/>
    </w:p>
    <w:p>
      <w:pPr>
        <w:pStyle w:val="Heading5"/>
        <w:numPr>
          <w:ilvl w:val="4"/>
          <w:numId w:val="1"/>
        </w:numPr>
        <w:rPr/>
      </w:pPr>
      <w:bookmarkStart w:id="162" w:name="__RefHeading___Toc4066891_3224264995"/>
      <w:bookmarkStart w:id="163" w:name="_Toc59"/>
      <w:bookmarkEnd w:id="162"/>
      <w:r>
        <w:rPr>
          <w:rtl w:val="true"/>
        </w:rPr>
        <w:t>الأوّل</w:t>
      </w:r>
      <w:r>
        <w:rPr>
          <w:rtl w:val="true"/>
        </w:rPr>
        <w:t>:</w:t>
      </w:r>
      <w:r>
        <w:rPr>
          <w:rtl w:val="true"/>
        </w:rPr>
        <w:t>فی وجوبه</w:t>
      </w:r>
      <w:bookmarkEnd w:id="163"/>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التحریص و الترغیب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هذه الآیة علی التحریص و الترغیب غیر ظاهرة،نعم تدلّ الآیة السابقة علیهما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حَیْثُ ثَقِفْتُمُوهُمْ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 معطوف علی وجوب إخراجهم من مکّة أی بل دلّت الآیة علی وجوب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الآیة علی وجوب الأعمّ،و لعلّه طاب ثراه لمّا ذکر أنّه دلّت الآیة علی وجوب إخراجهم من مکّة و ظهر منه أنّه یجب إخراجهم منها أشار إلی وجوب الأعمّ،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ظهر و حینئذ لا یلزم انسحاب الدلالة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السبی و غیره بعد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؛لوجدان العقل أنّ السبی و غیره بالنسبة إلی التائب عن الکفر عدوان فی الآیة نفی العدوان علی غیر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نتمه بآیات لها فوائد کثیرة و مناسبة ما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ضَرَبْتُمْ فِی سَبِیلِ اللّٰهِ فَتَبَیَّنُوا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توبتکم</w:t>
      </w:r>
      <w:r>
        <w:rPr>
          <w:rFonts w:eastAsia="IRNazanin" w:cs="IRNazanin"/>
          <w:color w:val="111111"/>
          <w:sz w:val="28"/>
          <w:szCs w:val="28"/>
          <w:rtl w:val="true"/>
          <w:lang w:bidi="fa-IR"/>
        </w:rPr>
        <w:t xml:space="preserve">»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زعم طاب ثراه کون الآیة مشتملة علی فَتٰابَ عَلَیْکُمْ </w:t>
      </w:r>
      <w:r>
        <w:rPr>
          <w:rStyle w:val="FootnoteAnchor"/>
          <w:rtl w:val="true"/>
        </w:rPr>
        <w:footnoteReference w:id="391"/>
      </w:r>
      <w:r>
        <w:rPr>
          <w:rFonts w:ascii="IRNazanin" w:hAnsi="IRNazanin" w:eastAsia="IRNazanin"/>
          <w:color w:val="111111"/>
          <w:sz w:val="28"/>
          <w:sz w:val="28"/>
          <w:szCs w:val="28"/>
          <w:rtl w:val="true"/>
          <w:lang w:bidi="fa-IR"/>
        </w:rPr>
        <w:t>فذکره و فسّره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الزعم ما یجیئ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تدلّ علی عدم اعتبار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عدم علمه بالدلیل علی ما یتعلّق بالشهادتین،و لعلّ الدلیل الذی کان دالاّ علی الأمرین کان منتشرا معلوما لأکثر من کان فی الأمکنة القریبة من رسول اللّه صلّی اللّه علیه و آله لو لم نقل بظهوره لکلّهم،و عدم اسلامهم إنّما کان للدواعی الباطلة لا لعدم ظهور الآیة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قال باعتبار العمل فی الإیمان لا یقول بجواز قتل مظهر الشهادتین بمحض عدم ظهور العمل،بل و لا بظهور عدم العمل،فعدم جواز القتل الذی ظهر من الآیة لا یدلّ علی </w:t>
      </w:r>
    </w:p>
    <w:p>
      <w:pPr>
        <w:pStyle w:val="BookText"/>
        <w:rPr/>
      </w:pPr>
      <w:r>
        <w:rPr>
          <w:rFonts w:ascii="IRNazanin" w:hAnsi="IRNazanin" w:eastAsia="IRNazanin"/>
          <w:color w:val="111111"/>
          <w:sz w:val="28"/>
          <w:sz w:val="28"/>
          <w:szCs w:val="28"/>
          <w:rtl w:val="true"/>
          <w:lang w:bidi="fa-IR"/>
        </w:rPr>
        <w:t>عدم اعتبار العمل فی الإیمان و إن کان قویّا بدلیل یدلّ علیه،و الإستدلال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مُؤْمِناً </w:t>
      </w:r>
      <w:r>
        <w:rPr>
          <w:rStyle w:val="FootnoteAnchor"/>
          <w:rtl w:val="true"/>
        </w:rPr>
        <w:footnoteReference w:id="392"/>
      </w:r>
      <w:r>
        <w:rPr>
          <w:rFonts w:ascii="IRNazanin" w:hAnsi="IRNazanin" w:eastAsia="IRNazanin"/>
          <w:color w:val="111111"/>
          <w:sz w:val="28"/>
          <w:sz w:val="28"/>
          <w:szCs w:val="28"/>
          <w:rtl w:val="true"/>
          <w:lang w:bidi="fa-IR"/>
        </w:rPr>
        <w:t>ضعیف بما ذکرته فی حاشیة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أنّه یکفی 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صدق الإیمان بمجرّدهما،بل علی عدم جواز القتل و الحکم بکفر مظهر الشهادتین؛ لأنّ جواز القتل موقوف علی الحکم بالکفر فإذا لم یحکم بکفر مظهرهما لا یجوز قتله،بل الظاهر عدم جواز قتل المنافقین الذین علم کفرهم باطنا بمحض إظهار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القول بأنّه لیس بمؤمن منهی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کون هذا القول منهیّا،لأنّ الحکم بکفر من لا یظهر کفره و القول بکونه کافرا قول بغیر علم،فکیف القول بکفر من یظهر الشهادتین؟لکنّ الإستدلال بهذه الآیة لا یخلو من ضعف،لاحتمال کون النهی مقیّدا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تدلّ علی عدم المؤاخذة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الدلالة بسبب عدم اشتمالها علی المؤاخذة الدنیویّة فهی ضعیفة؛لأنّ عدم الإشتمال لا یدلّ علی العدم،و مع ظهوره یؤیّده ما نقله صاحب الکشّاف من قول رسول اللّه صلّی اللّه علیه و آله لاسامة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إن کانت بسبب أمر خفی ظهر له طاب ثراه کان بیانه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سبب حکمه بالدلالة إنّما هو ما هو فی ذهنه من اشتمالها علی فَتٰابَ عَلَیْکُمْ کما أو مأت إلیه آنفا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امتناع المسلمین عن القتل 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یرید قدّس سرّه الإمتناع عن قتال المصرّین علی الکفر أو مظهری الشهادتین،أو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الأوّل و الثالث لا یلزم،و الثانی مطلوب بحسب الشرع،کما یدلّ علیه الأمر بالتثبّت و النهی عن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 لمن ألقی السلام المعلومین من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الکلام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نقله القاضی فی سبب النزول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قتله فقال</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وجه دلالة السوق هو قول الشهادتین عند إرادة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یؤمن 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المسلمین قتل الکفّار ما لم یؤمنوا لکن هذا لا یدلّ علی کون الرجل مجبورا بالإیمان،لأنّ الجبر بالإیمان لا یدلّ علی أنّ کلّ من أظهر الإیمان فهو مجبور،لإمکان الإیمان بمحض الاعتقاد،و إن کان إظهاره للمؤمنین</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مقارنا لزمان 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قادرین علی الهجرة لعدم المؤنة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فیه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أَرْضُ اللّٰهِ وٰاسِعَةً </w:t>
      </w:r>
      <w:r>
        <w:rPr>
          <w:rStyle w:val="FootnoteAnchor"/>
          <w:rtl w:val="true"/>
        </w:rPr>
        <w:footnoteReference w:id="397"/>
      </w:r>
      <w:r>
        <w:rPr>
          <w:rFonts w:ascii="IRNazanin" w:hAnsi="IRNazanin" w:eastAsia="IRNazanin"/>
          <w:color w:val="111111"/>
          <w:sz w:val="28"/>
          <w:sz w:val="28"/>
          <w:szCs w:val="28"/>
          <w:rtl w:val="true"/>
          <w:lang w:bidi="fa-IR"/>
        </w:rPr>
        <w:t xml:space="preserve">لیس ظاهر الإنطباق علی هذا الإحتمال، لأنّ معذرتهم إنّما هی بعدم المؤنة علی السفر،لا بضیق الأرض،و لا بما یناسبه حتّی یجاب بعدم الضیق،فالظاهر بحسب فهمنا عند هذه المعذرة ردّ قولهم بإثبات المؤنة علی السفر لا بما ردّ،و هو ظاهر الإنطباق علی التوجیه الثانی،لأنّ معذرتهم حینئذ إنّما هو عدم قدرتهم علی إظهار الإیمان فی مکانهم،فحینئذ یناسب ردّ قولهم بأنّه لا ضیق فی الأرض حتی یصحّ العذر بما اعتذرتم به </w:t>
      </w:r>
      <w:r>
        <w:rPr>
          <w:rStyle w:val="FootnoteAnchor"/>
          <w:rtl w:val="true"/>
        </w:rPr>
        <w:footnoteReference w:id="398"/>
      </w:r>
      <w:r>
        <w:rPr>
          <w:rFonts w:ascii="IRNazanin" w:hAnsi="IRNazanin" w:eastAsia="IRNazanin"/>
          <w:color w:val="111111"/>
          <w:sz w:val="28"/>
          <w:sz w:val="28"/>
          <w:szCs w:val="28"/>
          <w:rtl w:val="true"/>
          <w:lang w:bidi="fa-IR"/>
        </w:rPr>
        <w:t>،فالظاهر هو الإکتفاء بهذا التوجیه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بلفظ 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 ترک المهاجرة و ما ذکر معه موجبا للعقاب مع عدم القدرة؛ و عدم التکلیف مناف لطریقة المصنّف طاب ثراه و لما یحکم به العقل و یدلّ علیه النقل، فالوجه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المستضعفین إلی عدم مناسبة الأمن لهم عن </w:t>
      </w:r>
    </w:p>
    <w:p>
      <w:pPr>
        <w:pStyle w:val="BookText"/>
        <w:rPr/>
      </w:pPr>
      <w:r>
        <w:rPr>
          <w:rFonts w:ascii="IRNazanin" w:hAnsi="IRNazanin" w:eastAsia="IRNazanin"/>
          <w:color w:val="111111"/>
          <w:sz w:val="28"/>
          <w:sz w:val="28"/>
          <w:szCs w:val="28"/>
          <w:rtl w:val="true"/>
          <w:lang w:bidi="fa-IR"/>
        </w:rPr>
        <w:t xml:space="preserve">العقاب بمحض کونهم مستضعفین بل یجب علیهم الخوف باحتمال صدور التقصیر عنهم بحسب ما أمکن لهم من السعی و العزم علی الفعل علی تقدیر تحقّق الإستطاعة بلا تأخیر،و رجاء العفو عن </w:t>
      </w:r>
      <w:r>
        <w:rPr>
          <w:rStyle w:val="FootnoteAnchor"/>
          <w:rtl w:val="true"/>
        </w:rPr>
        <w:footnoteReference w:id="399"/>
      </w:r>
      <w:r>
        <w:rPr>
          <w:rFonts w:ascii="IRNazanin" w:hAnsi="IRNazanin" w:eastAsia="IRNazanin"/>
          <w:color w:val="111111"/>
          <w:sz w:val="28"/>
          <w:sz w:val="28"/>
          <w:szCs w:val="28"/>
          <w:rtl w:val="true"/>
          <w:lang w:bidi="fa-IR"/>
        </w:rPr>
        <w:t>تقصیر جوّزوا صدوره منهم،أو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کلمة الإطماع للدلالة علی غایة المبالغة فی الأمر بالهجرة و قباحة ترکها حتّی أنّ المناسب بحال الخارجین عن التکلیف بها أن یقولوا کلمة الإطماع،و إلی هذا أشار صاحب الکشّاف فی جواب السؤال عن ذکر کلمة الإطماع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ترک الهجرة أمر مضیّق لا توسعة فیه حتّی أنّ المضطرّ البیّن الإضطرار من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یعفو عنّی،فکیف بغیره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یمکن أن یقال فی توجیه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مقصوده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بکونه موجبا للعقاب مع عدم التکلیف،بل هذا من تتمّة ما یذکره بعنوان المبالغة،فحاصله أنّ المبالغة فی الأمر بالهجرة وصلت إلی مرتبة یلیق المبالغة بأنّ ترکها یوجب العقاب علی غیر المأمورین بها فکیف حال المأمورین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رحمه اللّه قریب ممّا ذکره صاحب الکشّاف و أمر اللفظ سهل عند ظهور المقصود،و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یری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اللفظ ظاهرا فی المقصود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التخصیص أهون من النسخ کما بیّن فی الاصول،فیمکن تخصیص الآیة بغیر المتواتر من الأخبار، و فیه أنّ هذه الروایة لا تدلّ علی خروج بعض الأفراد فی زمان وجوب الهجرة عن هذا التکلیف حتّی یکون تخصیصا اصطلاحیّا،بل تدلّ علی تخصیص وجوب الهجرة بقبل الفتح و ارتفاعه بعده،و هذا هو النسخ بحسب اصطلاح الأصولیّین،فإن قیل بجواز النسخ بمثل هذا الخبر فهو المطلوب و إلاّ فتسمیته تخصیصا لا ینفع کیف و کلّ نسخ تخصیص کما ظهر فی الاصول</w:t>
      </w:r>
      <w:r>
        <w:rPr>
          <w:rFonts w:eastAsia="IRNazanin" w:cs="IRNazanin"/>
          <w:color w:val="111111"/>
          <w:sz w:val="28"/>
          <w:szCs w:val="28"/>
          <w:rtl w:val="true"/>
          <w:lang w:bidi="fa-IR"/>
        </w:rPr>
        <w:t xml:space="preserve">. </w:t>
      </w:r>
      <w:bookmarkStart w:id="164" w:name="pg12937_139144"/>
    </w:p>
    <w:p>
      <w:pPr>
        <w:pStyle w:val="BookText"/>
        <w:rPr/>
      </w:pPr>
      <w:bookmarkEnd w:id="16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اعتقاد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عبارة اخری تناسب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لیس إلا فیما 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الحصر نظر، لوقوع الوعید بالنار للکبائر التی لیست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النقل هو ما نقل من طرق الخاصّة رحمهم اللّه لا من طرق العامّة،بدلیل السیاق،و ضمّ النقل إلی العقل، فالمقصود من القیاس الذی یقول رحمه اللّه بإمکان الفهم من الآیة به لیس هو القیاس الذی یتمسّک به العامّة،بل هو القیاس بالطریق الاولی الذی یستنبط من ملامة ترک الهجرة أو ترک إظهار شعائر الإسلام بأنّ الملامة إذا کانت بترک أحدهما فبترک ما ذکر هاهنا بطریق أولی،لکونه أقبح و أشنع ممّا لؤم به فی الآیة و کونه مشتملا علی ما لؤم به فی الآیة غیر مقصود علی هذا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إثبات استحقاق الملامة لو آل الأمر إلی ما ذکره رحمه اللّه الی القیاس المذکور لأنّه لو آل الأمر إلی ما ذکره و لم یفرّ المسلم عن مثل هذا المکان لتحقّق کلّ واحد من ترک الهجرة و ترک إظهار شعائر الإسلام و حینئذ لم یخرج ما لؤم به فی الآیة عمّا ذکر حتّی یحتاج إثبات استحقاق الملامة بما ذکر هاهنا إلی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المقصود من القیاس المقصود منه الأولویّة هو الإشارة إلی هذا بأنّه إذا کانت الملامة المذکورة فی الآیة بأحدهما فبکلیهما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الملامة الظاهرة من الآیة مرتفعة،سواء کان الإرتفاع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رحمه اللّه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للقیاس لا بمعنی الأولویّة التی ذکرته،و لا بمعنی آخر</w:t>
      </w:r>
      <w:r>
        <w:rPr>
          <w:rFonts w:eastAsia="IRNazanin" w:cs="IRNazanin"/>
          <w:color w:val="111111"/>
          <w:sz w:val="28"/>
          <w:szCs w:val="28"/>
          <w:rtl w:val="true"/>
          <w:lang w:bidi="fa-IR"/>
        </w:rPr>
        <w:t>.</w:t>
      </w:r>
    </w:p>
    <w:p>
      <w:pPr>
        <w:pStyle w:val="Heading3"/>
        <w:numPr>
          <w:ilvl w:val="2"/>
          <w:numId w:val="1"/>
        </w:numPr>
        <w:rPr/>
      </w:pPr>
      <w:bookmarkStart w:id="165" w:name="__RefHeading___Toc4066893_3224264995"/>
      <w:bookmarkStart w:id="166" w:name="_Toc60"/>
      <w:bookmarkEnd w:id="165"/>
      <w:r>
        <w:rPr>
          <w:rtl w:val="true"/>
        </w:rPr>
        <w:t>کتاب الأمر بالمعروف و النهی عن المنکر</w:t>
      </w:r>
      <w:bookmarkEnd w:id="1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یکون للرجحان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الأمر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w:t>
      </w:r>
      <w:r>
        <w:rPr>
          <w:rStyle w:val="FootnoteAnchor"/>
          <w:rtl w:val="true"/>
        </w:rPr>
        <w:footnoteReference w:id="402"/>
      </w:r>
      <w:r>
        <w:rPr>
          <w:rFonts w:ascii="Amiri" w:hAnsi="Amiri" w:eastAsia="Amiri" w:cs="Amiri"/>
          <w:color w:val="111111"/>
          <w:sz w:val="28"/>
          <w:sz w:val="28"/>
          <w:szCs w:val="28"/>
          <w:rtl w:val="true"/>
          <w:lang w:bidi="ar-SA"/>
        </w:rPr>
        <w:t>للرجحان المطلق،لا الأمر المذکور فی وَ لْتَکُنْ بقرینة ما ذکره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یَنْهَوْنَ عَنِ الْمُنْکَرِ </w:t>
      </w:r>
      <w:r>
        <w:rPr>
          <w:rStyle w:val="FootnoteAnchor"/>
          <w:rtl w:val="true"/>
        </w:rPr>
        <w:footnoteReference w:id="403"/>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خلاف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للرجحان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مکروها و حراما أی 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الندب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ما ذکره فی ذیل النهی متعلّق بالنهی المفهوم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یَنْهَوْنَ کذلک ما ذکره فی ذیل الأمر متعلّق بالنهی المفهوم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یَنْهَوْنَ کذلک ما ذکره فی ذیل الأمر متعلّق بالأمر الذی فی مقابل هذا النهی،و هو الأمر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 و الأمر فی قوله طاب ثراه یستفاد من الأمر لما لم یکن الأمر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یکون للرجحان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لتکن،و حاصل و یکون الوجوب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ظاهر صیغة الأمر،و ظاهر حصر الفلاح</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الذی هو ظاهر فی حصر أصل الفلاح لا حصر المرتبة الکاملة الذی یکون لفظ وَ أُولٰئِکَ هُمُ الْمُفْلِحُونَ </w:t>
      </w:r>
      <w:r>
        <w:rPr>
          <w:rStyle w:val="FootnoteAnchor"/>
          <w:rtl w:val="true"/>
        </w:rPr>
        <w:footnoteReference w:id="405"/>
      </w:r>
      <w:r>
        <w:rPr>
          <w:rFonts w:ascii="IRNazanin" w:hAnsi="IRNazanin" w:eastAsia="IRNazanin"/>
          <w:color w:val="111111"/>
          <w:sz w:val="28"/>
          <w:sz w:val="28"/>
          <w:szCs w:val="28"/>
          <w:rtl w:val="true"/>
          <w:lang w:bidi="fa-IR"/>
        </w:rPr>
        <w:t>ظاهرا فیه عند إرادة الرجحان المطلق من لفظ وَ لْتَکُنْ و هذا الوجوب باعتبار اشتمال المعروف علی الواجبات،و المنکر علی المحرّمات،فالمراد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اشتمال المجموع،لا ما هو ظاهر اللفظ،لأنّ المجموع المؤلّف من الواجب و المستحبّ لیس واجبا،فلعلّه لذلک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منه بعض الأفراد الذی هو الواجب و المحرّم،و حینئذ لعلّ المقصود من الآیة أنّه یجب أن یکون منکم امّة یدعون إلی الخیر،و یأمرون بالامور التی یندرج فیها الواجبات،و ینهون عن الامور التی یندرج فیها المحرّمات،و اندراج غیر الواجبات فی المعروف و غیر المحرّمات فی المنکر </w:t>
      </w:r>
    </w:p>
    <w:p>
      <w:pPr>
        <w:pStyle w:val="BookText"/>
        <w:rPr/>
      </w:pPr>
      <w:r>
        <w:rPr>
          <w:rFonts w:ascii="IRNazanin" w:hAnsi="IRNazanin" w:eastAsia="IRNazanin"/>
          <w:color w:val="111111"/>
          <w:sz w:val="28"/>
          <w:sz w:val="28"/>
          <w:szCs w:val="28"/>
          <w:rtl w:val="true"/>
          <w:lang w:bidi="fa-IR"/>
        </w:rPr>
        <w:t>لا ینافی وجوب أن یکون امّة یدعون إلی مطلق المعروف و مطلق المنکر،و الأمر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تخصیص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المفهوم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یَأْمُرُونَ بِالْمَعْرُوفِ و القرینة ظاهرة،و حینئذ الأمر فی وَ لْتَکُنْ أیضا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صریحا فی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وَ لْتَکُنْ مِنْکُمْ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w:t>
      </w:r>
      <w:r>
        <w:rPr>
          <w:rStyle w:val="FootnoteAnchor"/>
          <w:rtl w:val="true"/>
        </w:rPr>
        <w:footnoteReference w:id="407"/>
      </w:r>
      <w:r>
        <w:rPr>
          <w:rFonts w:ascii="IRNazanin" w:hAnsi="IRNazanin" w:eastAsia="IRNazanin"/>
          <w:color w:val="111111"/>
          <w:sz w:val="28"/>
          <w:sz w:val="28"/>
          <w:szCs w:val="28"/>
          <w:rtl w:val="true"/>
          <w:lang w:bidi="fa-IR"/>
        </w:rPr>
        <w:t>و هو صفة للمتّقین،فالمناسب عدم ذکر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منها أنّ الغرض الأصلی من بناء الجنّة دخول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هنا توصیف المتّقین بالمنفقین،لأنّ مفاد الآیة هو هذا لا دخول المتّقین من غیر اعتبار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فوق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أبوابها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أبواب الجنّة فی السماء إنّما یکون بکونها فوقها،فکیف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فوق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أبوابها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بأو،و لعلّه 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السماء هو السبعة،و المراد بکون الجنّة فی السماء و کون أبوابها فیها بأن یکون الأبواب فی أواخر السبعة الجنة بعدها بلا فصل،و المراد بفوق الکلّ کون أبوابها فی الفوق،و حینئذ یکون الجنّة فی السماء کما یدلّ قوله طاب ثراه کونها مع ذلک فی السماء إنّما هو بعدم تخصیص السماء بالسبعة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المراد بکون الجنّة فی السّماء حینئذ یکون طریقها فیها و إن ارید من السماء السبعة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أبعد؛لعدم اختصاص الطریق بالسماء،و عدم ظهور کون طریق جنّة سماء مصحّحا لنسبة الظرفیّة إلیها کما یظهر من تتبّع الطرق إلی المطالب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ترک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ترک الفاء،و ثمّ إلی ذکر النکتة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معنی ذَکَرُوا اللّٰهَ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عقاب اللّه و وعیده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یحتمل أن یکون معنی ذَکَرُوا اللّٰهَ ذکروا عظمته،و قباحة ترک مقتضی أوامره و نواهیه،و مقابلة الإحسان بالکفران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الإستغفار حینئذ کما یمکن أن یکون لخوف العقاب یمکن أن یکون لرفع الحالة الردیّة التی حصلت له بما فعل،و یمکن أن یکون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ترک ما أوجب علی المکلّف،و فعل ما حرّم علیه،بل ترک کثیر من الآداب و المستحبّات،و فعل کثیر من الامور الغیر اللائقة و المکروهات،یورث للعاقل البصیر و الیقظان الخبیر خجالة عظیمة،و ندامة شدیدة،توجبان الإستغفار عن صنیعه مع الخوف عن عدم القبول،و إن فرض إخبار الصادق عن اللّه إیّاه بحسن العاقبة،و عدم الخوف عن العقاب،یعتذر العبد الذی فرّط فی خدمة </w:t>
      </w:r>
      <w:r>
        <w:rPr>
          <w:rStyle w:val="FootnoteAnchor"/>
          <w:rtl w:val="true"/>
        </w:rPr>
        <w:footnoteReference w:id="409"/>
      </w:r>
      <w:r>
        <w:rPr>
          <w:rFonts w:ascii="IRNazanin" w:hAnsi="IRNazanin" w:eastAsia="IRNazanin"/>
          <w:color w:val="111111"/>
          <w:sz w:val="28"/>
          <w:sz w:val="28"/>
          <w:szCs w:val="28"/>
          <w:rtl w:val="true"/>
          <w:lang w:bidi="fa-IR"/>
        </w:rPr>
        <w:t>مولاه،و لا یحصل له خجالة عند علمه بعدم ضربه و شتمه،فلعلّ ما ذکره طاب ثراه إشارة إلی موارد الإستغفار بالنسبة إلی عامّة المستغفرین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للإشعار بأنّ اللّه 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تعلیلا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یَغْفِرُ الذُّنُوبَ </w:t>
      </w:r>
      <w:r>
        <w:rPr>
          <w:rStyle w:val="FootnoteAnchor"/>
          <w:rtl w:val="true"/>
        </w:rPr>
        <w:footnoteReference w:id="410"/>
      </w:r>
      <w:r>
        <w:rPr>
          <w:rFonts w:ascii="IRNazanin" w:hAnsi="IRNazanin" w:eastAsia="IRNazanin"/>
          <w:color w:val="111111"/>
          <w:sz w:val="28"/>
          <w:sz w:val="28"/>
          <w:szCs w:val="28"/>
          <w:rtl w:val="true"/>
          <w:lang w:bidi="fa-IR"/>
        </w:rPr>
        <w:t>أی ذکر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یَغْفِرُ الذُّنُوبَ للإشعار بأنّ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،فالتعلیل و إن کان مناسبا للمعلّل لکن مع عدم مناسبة الفضل بین التعلیل و المعلّل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 بین المعطوف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تقدیر کما أومات إلیه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تعلیلا لقوله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 بین المعطوف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فصحّة تعلیله به غیر ظاهرة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المراد هو الثانی،فالمقصود حینئذ أنّه کون المعطوف و المعطوف علیه بحکم شیء واحد فصل أحدهما عن الآخر بما یدلّ علی حصر الغافر،و لم یؤخّره عن المعطوف لئلاّ یقع بین الدالّ علی الحصر و ما یناسبه أمر آخر و إن کان بمنزلة بعض شیء واحد، فمعنی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القول وقع فاصلا بین المتعاطفین للإشعار بحصر الغافر مقارنا للمعطوف علیه الذی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طاب ثراه لمّا کان همّته مصروفة إلی المعنی لا یبالی بکون کلامه محتاجا إلی التکلّف،أو کان عنده رحمه اللّه کلامه ظاهرا فزعم ظهوره علی الناظرین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إشارة 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إمّا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حَوْلِکَ </w:t>
      </w:r>
      <w:r>
        <w:rPr>
          <w:rStyle w:val="FootnoteAnchor"/>
          <w:rtl w:val="true"/>
        </w:rPr>
        <w:footnoteReference w:id="411"/>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w:t>
      </w:r>
      <w:r>
        <w:rPr>
          <w:rStyle w:val="FootnoteAnchor"/>
          <w:rtl w:val="true"/>
        </w:rPr>
        <w:footnoteReference w:id="412"/>
      </w:r>
      <w:r>
        <w:rPr>
          <w:rFonts w:ascii="IRNazanin" w:hAnsi="IRNazanin" w:eastAsia="IRNazanin"/>
          <w:color w:val="111111"/>
          <w:sz w:val="28"/>
          <w:sz w:val="28"/>
          <w:szCs w:val="28"/>
          <w:rtl w:val="true"/>
          <w:lang w:bidi="fa-IR"/>
        </w:rPr>
        <w:t>إلی مِنْ حَوْلِکَ و علی التقدیرین عظم الفائدة ظاهر،لکن مراده رحمه اللّه هو الإحتمال الثانی کما سیظهر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الإحتمال الأوّل لعلّ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w:t>
      </w:r>
      <w:r>
        <w:rPr>
          <w:rStyle w:val="FootnoteAnchor"/>
          <w:rtl w:val="true"/>
        </w:rPr>
        <w:footnoteReference w:id="413"/>
      </w:r>
      <w:r>
        <w:rPr>
          <w:rFonts w:ascii="IRNazanin" w:hAnsi="IRNazanin" w:eastAsia="IRNazanin"/>
          <w:color w:val="111111"/>
          <w:sz w:val="28"/>
          <w:sz w:val="28"/>
          <w:szCs w:val="28"/>
          <w:rtl w:val="true"/>
          <w:lang w:bidi="fa-IR"/>
        </w:rPr>
        <w:t>إشارة إلی أنّ ما ظهر من عظم منفعة ما ذکر من اللین و عدم الفظاظة یقتضی العفو عنهم و الإستغفار لهم،لکونهما من آثارهما و ممّا یدلّ علی کمالهما،و علیه فقس الإحتمال الثانی الذی هو مراد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ذکرته من البیان علی الإحتمال الثانی لمّا کان ظاهرا للمصنّف طاب ثراه بما ذکر من کلامه لم یفصله و عطف علی البیان المعلوم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أن یکون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یحتمل أن یکون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فَظًّا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،و من ذلک اللین الذی ذکر قبله أن تعفو عنهم،إلی آخر ما ذکره،و یدلّ علی ما ذکرته من کون مراده هو الثانی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بالتوکّل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هذا </w:t>
      </w:r>
    </w:p>
    <w:p>
      <w:pPr>
        <w:pStyle w:val="BookText"/>
        <w:rPr/>
      </w:pPr>
      <w:r>
        <w:rPr>
          <w:rFonts w:ascii="IRNazanin" w:hAnsi="IRNazanin" w:eastAsia="IRNazanin"/>
          <w:color w:val="111111"/>
          <w:sz w:val="28"/>
          <w:sz w:val="28"/>
          <w:szCs w:val="28"/>
          <w:rtl w:val="true"/>
          <w:lang w:bidi="fa-IR"/>
        </w:rPr>
        <w:t>الإحتمال بعد ذکر الإحتمال الأوّل فی تفسیر الآیة صریح فی کونه غیره،و لا یحتمل التوکّل بالمعنی الثانی،لکونه محرّما کما ذکره رحمه اللّه سابقا،و اعتبار ترک العمل فی الثانی و فعله فی هذا،فهذا احتمال ثالث یکون الفرق بینه و بین الأوّل باختصاص هذا بالکمال الزائد الذی لم یعتبر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مغایرته للأوّل بقوله رحمه اللّه بوجوب التوکّل بالمعنی الأوّل عند نفی کون التوکّل بالمعنی الثانی مطلوبا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و السعی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واجب فی بعض الاوقات کالتوکّل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بعدم الوجوب فی التوکّل بهذا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صریحة فی تحریم المجالسة معهم حین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رحمه اللّه للآیة احتمالین،و علی الثانی لا تدلّ علی تحریم المجالسة حین الکفر و الإستهزا مطلقا،بل تدلّ علی تحریمها مع الرضا بفعلهم،و لعلّه رحمه اللّه حکم بکون النهی صریحا فی التحریم بالقرینة و إن کان ظاهرا فیه عند عدمها،و لم یقیّد النهی بشیء، بل قیّد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إِذاً مِثْلُهُمْ </w:t>
      </w:r>
      <w:r>
        <w:rPr>
          <w:rStyle w:val="FootnoteAnchor"/>
          <w:rtl w:val="true"/>
        </w:rPr>
        <w:footnoteReference w:id="416"/>
      </w:r>
      <w:r>
        <w:rPr>
          <w:rFonts w:ascii="IRNazanin" w:hAnsi="IRNazanin" w:eastAsia="IRNazanin"/>
          <w:color w:val="111111"/>
          <w:sz w:val="28"/>
          <w:sz w:val="28"/>
          <w:szCs w:val="28"/>
          <w:rtl w:val="true"/>
          <w:lang w:bidi="fa-IR"/>
        </w:rPr>
        <w:t>بما قیّد،للاحتیاج إلیه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القرینة هاهنا إنّما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إِذاً مِثْلُهُمْ فإذا قیّد بالرضا فلا یمکن الحکم بصراحة النهی فی تحریم المجالسة حین الکفر و الإستهزاء مطلقا،بل بظهوره فیه أیضا،فلعلّ التحریم أیضا مع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المجالسة مع الرضا فی هذه المرتبة الشدیدة من التحریم التی عبّر عنها بالمثلیّة یفهم من الآیة أصل التحریم مطلقا،و الصراحة المذکورة إنّما هی فی أصل التحریم،لا فی هذه المرتبة،و لیست من النهی،بل من الآیة باعتبار ذکر المثلیّة،فلهذا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صریحة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استنباط تحریم المجالسة حین الکفر و الإستهزاء مطلقا محلّ کلام،فلعلّ أصل </w:t>
      </w:r>
    </w:p>
    <w:p>
      <w:pPr>
        <w:pStyle w:val="BookText"/>
        <w:rPr/>
      </w:pPr>
      <w:r>
        <w:rPr>
          <w:rFonts w:ascii="IRNazanin" w:hAnsi="IRNazanin" w:eastAsia="IRNazanin"/>
          <w:color w:val="111111"/>
          <w:sz w:val="28"/>
          <w:sz w:val="28"/>
          <w:szCs w:val="28"/>
          <w:rtl w:val="true"/>
          <w:lang w:bidi="fa-IR"/>
        </w:rPr>
        <w:t>التحریم مترتّب علی التقیید کالمرتبة المذکورة،و علی تقدیر صحّة الإستنباط لیست الآیة صریحة فیه،فالظاهر حمل المثلیّة علی المثلیّة فی الإثم،و التقیید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بعیدا،لظهور کون التکلیف مع القدرة عقلا و نقلا بحیث لا یفهم أحد من أرباب التمیز تحریم المجالسة مع عدم القدرة 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فهم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لنا إلی فهم تحریم مجالسة فاسق حین فسقه من تلک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دلالة علی وجوب إنکار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وجوب إنکار المنکر مع القدرة و زوال المانع،لکن لا دلالة لهذه الآیة علی وجوبه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أیضا دلالة علی تحریم مجالسة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العیّاشی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لا تنافی ما ذکرته من عدم دلالة الآیة علی حرمة الجلوس فی مجلس الفسق بحسب عقولنا،لأنّ فهمهم علیهم السّلام إنّما هو بإعلام اللّه تعالی إیّاهم،و بجودة أذهانهم الشریفة التی ربّما یحصل لهم العلم بدوران الحکم علی السبب فی المساوی و الأدون أیضا،و لعلّ الحکم هاهنا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ظاهر الآیة جواز مجالستهم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جواز المجالسة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للغایة،و الآخر مفهوم الشرط هاهنا،و کان ینبغی أن یذکره أیضا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موجبا لسبّ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مقصود المصنّف طاب ثراه أنّ ظاهر سیاق الآیة یدلّ علی أنّ نهی سبّ الکفّار إنّما هو لانجراره إلی فعلهم المحرّم،و هو کما یتحقّق عند انجراره إلی سبّ اللّه تعالی یتحقّق عند انجراره إلی </w:t>
      </w:r>
    </w:p>
    <w:p>
      <w:pPr>
        <w:pStyle w:val="BookText"/>
        <w:rPr/>
      </w:pPr>
      <w:r>
        <w:rPr>
          <w:rFonts w:ascii="IRNazanin" w:hAnsi="IRNazanin" w:eastAsia="IRNazanin"/>
          <w:color w:val="111111"/>
          <w:sz w:val="28"/>
          <w:sz w:val="28"/>
          <w:szCs w:val="28"/>
          <w:rtl w:val="true"/>
          <w:lang w:bidi="fa-IR"/>
        </w:rPr>
        <w:t xml:space="preserve">سبّ النبی صلّی اللّه علیه و آله و الأئمّة المعصومین علیهم السّلام و المؤمنین،و فی </w:t>
      </w:r>
      <w:r>
        <w:rPr>
          <w:rStyle w:val="FootnoteAnchor"/>
          <w:rtl w:val="true"/>
        </w:rPr>
        <w:footnoteReference w:id="418"/>
      </w:r>
      <w:r>
        <w:rPr>
          <w:rFonts w:ascii="IRNazanin" w:hAnsi="IRNazanin" w:eastAsia="IRNazanin"/>
          <w:color w:val="111111"/>
          <w:sz w:val="28"/>
          <w:sz w:val="28"/>
          <w:szCs w:val="28"/>
          <w:rtl w:val="true"/>
          <w:lang w:bidi="fa-IR"/>
        </w:rPr>
        <w:t>دلالة هذه الآیة علی ما ذکره بحیث تظهر لنا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حَتّٰی </w:t>
      </w:r>
      <w:r>
        <w:rPr>
          <w:rStyle w:val="FootnoteAnchor"/>
          <w:rtl w:val="true"/>
        </w:rPr>
        <w:footnoteReference w:id="419"/>
      </w:r>
      <w:r>
        <w:rPr>
          <w:rFonts w:ascii="IRNazanin" w:hAnsi="IRNazanin" w:eastAsia="IRNazanin"/>
          <w:color w:val="111111"/>
          <w:sz w:val="28"/>
          <w:sz w:val="28"/>
          <w:szCs w:val="28"/>
          <w:rtl w:val="true"/>
          <w:lang w:bidi="fa-IR"/>
        </w:rPr>
        <w:t>هاهنا أیضا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الشرط هاهنا یدلّ علی عدم وجوب الإعراض عند عدم الخوض فی آیات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کونها صفة اخری للأشیاء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طاب ثراه فی عَفَا اللّٰهُ عَنْهٰا </w:t>
      </w:r>
      <w:r>
        <w:rPr>
          <w:rStyle w:val="FootnoteAnchor"/>
          <w:rtl w:val="true"/>
        </w:rPr>
        <w:footnoteReference w:id="420"/>
      </w:r>
      <w:r>
        <w:rPr>
          <w:rFonts w:ascii="IRNazanin" w:hAnsi="IRNazanin" w:eastAsia="IRNazanin"/>
          <w:color w:val="111111"/>
          <w:sz w:val="28"/>
          <w:sz w:val="28"/>
          <w:szCs w:val="28"/>
          <w:rtl w:val="true"/>
          <w:lang w:bidi="fa-IR"/>
        </w:rPr>
        <w:t>احتمالین،حاصلهما أنّه لا تسئلوا عن أشیاء لم تکلّفوا بها،و عن الأشیاء التی یظنّ أنّ ظهورها یسؤهم،و ظاهر أنّ السؤال المنهیّ عنه هاهنا إنّما هو السؤال الذی لا ضرورة إلیه فی العمل بما کلّفوا به و إلاّ لم ینه عنه،فمن هذه الآیة لا یظهر معذوریّة الجاهل عمّا کلّف به،و لا کون عقاب العالم أعظم کما یذکره رحمه اللّه و إن دلّ العقل و النقل علی أعظمیّة عقاب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للکراهة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جعل استنباط الإستحباب من الشرطیّتین معارضا لدلالة واحد </w:t>
      </w:r>
      <w:r>
        <w:rPr>
          <w:rStyle w:val="FootnoteAnchor"/>
          <w:rtl w:val="true"/>
        </w:rPr>
        <w:footnoteReference w:id="421"/>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عَنْهٰا و وَ اللّٰهُ غَفُورٌ حَلِیمٌ </w:t>
      </w:r>
      <w:r>
        <w:rPr>
          <w:rStyle w:val="FootnoteAnchor"/>
          <w:rtl w:val="true"/>
        </w:rPr>
        <w:footnoteReference w:id="422"/>
      </w:r>
      <w:r>
        <w:rPr>
          <w:rFonts w:ascii="Amiri" w:hAnsi="Amiri" w:eastAsia="Amiri" w:cs="Amiri"/>
          <w:color w:val="111111"/>
          <w:sz w:val="28"/>
          <w:sz w:val="28"/>
          <w:szCs w:val="28"/>
          <w:rtl w:val="true"/>
          <w:lang w:bidi="ar-SA"/>
        </w:rPr>
        <w:t>و قَدْ سَأَلَهٰا قَوْمٌ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،فکیف یجعل معارضا للمجموع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یسمعون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رحمه اللّه و لا یسمعون المعقول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لاٰ یَعْقِلُونَ </w:t>
      </w:r>
      <w:r>
        <w:rPr>
          <w:rStyle w:val="FootnoteAnchor"/>
          <w:rtl w:val="true"/>
        </w:rPr>
        <w:footnoteReference w:id="424"/>
      </w:r>
      <w:r>
        <w:rPr>
          <w:rFonts w:ascii="IRNazanin" w:hAnsi="IRNazanin" w:eastAsia="IRNazanin"/>
          <w:color w:val="111111"/>
          <w:sz w:val="28"/>
          <w:sz w:val="28"/>
          <w:szCs w:val="28"/>
          <w:rtl w:val="true"/>
          <w:lang w:bidi="fa-IR"/>
        </w:rPr>
        <w:t>إشارة إلی أنّ هذه المذمّة لم تتعلّق بالنقص الخلقی،بل بالأمر التکلیفی،فلا تغفل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الفروع یکفی مطلق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دلّ الدلیل القطعی علی حجیّة هذا الظنّ مثل الظنّ الحاصل بظاهر الآیات و الأخبار المعتبرة،أم لم یدلّ الدلیل المعتبر علیها مثل الظنّ الحاصل عن القیاس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مراده بالظنّ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یفید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هذا المعنی المطلق،و لهذا قال باشکال تمام جواز التقلید فی الفروع،و مع ظهور </w:t>
      </w:r>
      <w:r>
        <w:rPr>
          <w:rStyle w:val="FootnoteAnchor"/>
          <w:rtl w:val="true"/>
        </w:rPr>
        <w:footnoteReference w:id="425"/>
      </w:r>
      <w:r>
        <w:rPr>
          <w:rFonts w:ascii="IRNazanin" w:hAnsi="IRNazanin" w:eastAsia="IRNazanin"/>
          <w:color w:val="111111"/>
          <w:sz w:val="28"/>
          <w:sz w:val="28"/>
          <w:szCs w:val="28"/>
          <w:rtl w:val="true"/>
          <w:lang w:bidi="fa-IR"/>
        </w:rPr>
        <w:t>إرادته رحمه اللّه هذا المعنی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بعض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أفتی به المفتی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بکون کلّ ما أفتی به المفتی حقّا ما هو ظاهره،کیف و تنافی الفتاوی أظهر من أن یخفی،بل مراده بکونه حقّا وجوب العمل به عند اجتماع الشرائط،فلهذا عطف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ثابتة بالدلیل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آیة فَلَوْ لاٰ نَفَرَ</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ظهور کون الناس مکلّفین بالفروع،و تعذّر الدلیل التفصیلی بالنسبه إلی أکثر الناس باعتبار عدم وفاء ذهنهم بإحاطة الدلائل التفصیلیّة بل بمقدّماتها،و منع تحصیل المعیشة الضروریّة کثیرا من القادرین باعتبار جودة الذهن عن تحصیل التفصیل و منع الأمراض و الأسقام و الشواغل الضروریّة و العادیّة بعضا آخر من تحصیل المقدّمات و المطالب، فلا یکون العالم بالتفصیل فی المسائل الفروعیّة بالقوّة القریبة من الفعل إلاّ جماعة قلیلة، فیجب الرجوع إلی العالم بالتفصیل إن استجمع شرایط جواز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له وجه هاهنا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تقدیم الأفضل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الهدایة إلی الحقّ و الإهتداء إنّما هو العلم و المعرفة،فالأحقّیّة بالمتبوعة إنّما هی فی العلم و المعرفة،فلا یدلّ علی عدم جواز تقدیم المفضول فی الصلاة،بل و لا علی مرجوحیّة تقدیمه،نعم یدلّ علی رجحان تقدیم الأعلم بعض الروایات،إلاّ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یظهر من هذه الآیة رجحان الأعلم،و وضوحه للعقل،و العقل یحکم بأولویّة إرجاع عرض المطالب العظیمة علی جناب الأحدیّة إلی الأقرب،و الظاهر أنّه الأعلم إن لم یخرجه عن </w:t>
      </w:r>
    </w:p>
    <w:p>
      <w:pPr>
        <w:pStyle w:val="BookText"/>
        <w:rPr/>
      </w:pPr>
      <w:r>
        <w:rPr>
          <w:rFonts w:ascii="IRNazanin" w:hAnsi="IRNazanin" w:eastAsia="IRNazanin"/>
          <w:color w:val="111111"/>
          <w:sz w:val="28"/>
          <w:sz w:val="28"/>
          <w:szCs w:val="28"/>
          <w:rtl w:val="true"/>
          <w:lang w:bidi="fa-IR"/>
        </w:rPr>
        <w:t>هذه المرتبة الجلیلة أعماله الخسیسة،و بعد کون أحد أعلم إنّما یناسب للناس تقدیمه بعد علمهم به،و لا یناسبه المناقشة و المنازعة علی تقدیر عدم ظهور أعلمیّته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أولویّه قبول روایة الأعلم و شهادته من الآیة المذکوره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 بالتقلید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المکتفی بالتقلید قد یتبع من یقلّده بمحض عادة أمثاله و إن لم یحصل له الظنّ بما یقوله،و لا بجواز تقلیده، و قد یحصل لبعض الناس الظنّ،و لبعض آخر الجزم بما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مراد البیضاوی هو القسم الأوّل کما یؤمی إلیه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بالتقلید الصرف</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یحتمل أن یکون مراده من التقلید الصرف ما لا یکون منشاء قولهم به الأقیسة الباطلة، و الأقیسة الباطلة التی منشاء قولهم لیست مستقلّة فیه بل تبعیّة الآباء لها مدخل فی الإکتفاء بتلک الأقیسة،فیناسب التعبیر بالتقلید الصرف فیما لا مدخل للأقیسة الباطلة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للموجّه أن یحمل کلامه علی ما ذکرته أوّلا و حینئذ لا یرد علیه ما ذکره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للکلّ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اختصاص المذمّة حینئذ بمن ینتمی إلی التمیزّ إنّما هو بسبب اکتفائهم بالظنّ مع تحقّق التمیّز،و الباقون لا یستحقّون المذمّة بتبعیّة الظنّ و إن کانوا مستحقّین </w:t>
      </w:r>
      <w:r>
        <w:rPr>
          <w:rStyle w:val="FootnoteAnchor"/>
          <w:rtl w:val="true"/>
        </w:rPr>
        <w:footnoteReference w:id="428"/>
      </w:r>
      <w:r>
        <w:rPr>
          <w:rFonts w:ascii="IRNazanin" w:hAnsi="IRNazanin" w:eastAsia="IRNazanin"/>
          <w:color w:val="111111"/>
          <w:sz w:val="28"/>
          <w:sz w:val="28"/>
          <w:szCs w:val="28"/>
          <w:rtl w:val="true"/>
          <w:lang w:bidi="fa-IR"/>
        </w:rPr>
        <w:t>لها بالتبعیّة بمحض العادة و تبعیّة سایر الجهّال الذین یتبعون الکبرآء بلا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للکلّ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الظن للکلّ ممنوع لما أومأت إلیه من کون حالات المقلّد ثلاثا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جمیع الکفار المذکورین غیر النادر الذی بمنزلة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الجزم بمعلوم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الأقبحیّة بأنّ الجزم بمعلوم البطلان مثلا باطل ضعیف،لاشتراک البطلان بین تبعیّة الظنّ و الجزم بمعلوم البطلان،فلو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الجزم بظاهر البطلان أقبح من الظنّ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توجیه کلام صاحب الکشّاف و البیضاوی </w:t>
      </w:r>
      <w:r>
        <w:rPr>
          <w:rStyle w:val="FootnoteAnchor"/>
          <w:rtl w:val="true"/>
        </w:rPr>
        <w:footnoteReference w:id="429"/>
      </w:r>
      <w:r>
        <w:rPr>
          <w:rFonts w:ascii="IRNazanin" w:hAnsi="IRNazanin" w:eastAsia="IRNazanin"/>
          <w:color w:val="111111"/>
          <w:sz w:val="28"/>
          <w:sz w:val="28"/>
          <w:szCs w:val="28"/>
          <w:rtl w:val="true"/>
          <w:lang w:bidi="fa-IR"/>
        </w:rPr>
        <w:t>بما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 ظاهر البعد وجّه الآیة بما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کلامهما کما یظهر من التأمّل فی کلامه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تقدیره بالکلمة التی هِیَ أَحْسَنُ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بالطریقة التی هی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ففیها دلالة علی جواز الممارات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بِالَّتِی هِیَ أَحْسَنُ </w:t>
      </w:r>
      <w:r>
        <w:rPr>
          <w:rStyle w:val="FootnoteAnchor"/>
          <w:rtl w:val="true"/>
        </w:rPr>
        <w:footnoteReference w:id="431"/>
      </w:r>
      <w:r>
        <w:rPr>
          <w:rFonts w:ascii="IRNazanin" w:hAnsi="IRNazanin" w:eastAsia="IRNazanin"/>
          <w:color w:val="111111"/>
          <w:sz w:val="28"/>
          <w:sz w:val="28"/>
          <w:szCs w:val="28"/>
          <w:rtl w:val="true"/>
          <w:lang w:bidi="fa-IR"/>
        </w:rPr>
        <w:t>و لعلّه رحمه اللّه یقول بأنّ الأمر بالشیء نهی عن ضدّه الخاصّ،فتدلّ الآیة علی نهی الممارات الباطلة و إنّ ما یظهر من الآیة لیس من خصایصه صلّی اللّه علیه و آله و دلالة آیة سورة الکهف لا یحتاج إلی ضمّ أنّ الأمر بالشیء نهی عن ضدّه الخاصّ،و الخبر المنقول لا یحتاج إلی التمسّک بعدم الاختصاص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فیها دلالة علی کونهما 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الآیة علی شیء من المذهبین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عدم کون الحسن و القبح عقلیّین فلأنه یمکن أن یصحّ التعذیب علی ترک بعض الأشیاء و فعل بعض آخر،بسبب حکم العقل،و وجدانه قباحة ترک الأوّل و فعل الثانی قبل بعثة الرسول،لکن لا یعذّب اللّه تعالی بأحدهما و لا بکلیهما قبل بعثة الرسول بمحض لطفه،و یکون هذه الآیة إخبار بهذا اللطف،و ما استدلّ به لا یدلّ علی دلالة الآیة علی عدم جواز العقاب قبل البعثة،بل ما ذکره إن تمّ فهو دلیل برأسه،لا دلیل علی دلالة الآیة،و مع ذلک لا یدلّ علی عدم جواز العقاب فی فعل یستقلّ العقل بقبحه قبل بعثة </w:t>
      </w:r>
    </w:p>
    <w:p>
      <w:pPr>
        <w:pStyle w:val="BookText"/>
        <w:rPr/>
      </w:pPr>
      <w:r>
        <w:rPr>
          <w:rFonts w:ascii="IRNazanin" w:hAnsi="IRNazanin" w:eastAsia="IRNazanin"/>
          <w:color w:val="111111"/>
          <w:sz w:val="28"/>
          <w:sz w:val="28"/>
          <w:szCs w:val="28"/>
          <w:rtl w:val="true"/>
          <w:lang w:bidi="fa-IR"/>
        </w:rPr>
        <w:t>الرسول،بل لا یبعد القول بجواز العقاب فی فعل الامور التی تجد العقل قباحة فعلها مثل قتل النفوس و نهب الأموال و أمثالهما،و هذا و إن کان عین القول بالحسن و القبح العقلیّین لکن غیر ما یقوله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عدم دلالتها علی عدم کونهما شرعیّین فلأنّ عدم التعذیب قبل البعثة الذی هو مفاد الآیة لا یدلّ علی عدم جوازه مطلقا،فکیف فی ما یمکن القول باستقلال العقل فی الوجوب أو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أَرْسَلْتَ إِلَیْنٰا رَسُولاً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القول بالنسبة إلی الأفعال التی لا سبیل للعقل إلی إدراک صفتها أو بالنسبة إلی مرتبة عذاب لا یعلمون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معنی للحساب و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نظر،لأنّ بعد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 یحسن المیزان علی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دلیل علی جواز الإجتهاد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قولهم لَبِثْنٰا یَوْماً أَوْ بَعْضَ یَوْمٍ </w:t>
      </w:r>
      <w:r>
        <w:rPr>
          <w:rStyle w:val="FootnoteAnchor"/>
          <w:rtl w:val="true"/>
        </w:rPr>
        <w:footnoteReference w:id="433"/>
      </w:r>
      <w:r>
        <w:rPr>
          <w:rFonts w:ascii="IRNazanin" w:hAnsi="IRNazanin" w:eastAsia="IRNazanin"/>
          <w:color w:val="111111"/>
          <w:sz w:val="28"/>
          <w:sz w:val="28"/>
          <w:szCs w:val="28"/>
          <w:rtl w:val="true"/>
          <w:lang w:bidi="fa-IR"/>
        </w:rPr>
        <w:t>علی الإجتهاد إنّما تتمّ لو علم أنّ حکمهم بأحدهما صدر عنهم بسبب الظنّ،و هو ممنوع،فلعلّ هذا الحکم إنّما کان باعتبار عدم تجویزهم غیرهما، فلا یدلّ علی جواز الإجتهاد و القول بالظنّ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یمکن أن یکون المقصود من السؤال فی قول القائل فی قٰالَ قٰائِلٌ مِنْهُمْ کَمْ لَبِثْتُمْ </w:t>
      </w:r>
      <w:r>
        <w:rPr>
          <w:rStyle w:val="FootnoteAnchor"/>
          <w:rtl w:val="true"/>
        </w:rPr>
        <w:footnoteReference w:id="434"/>
      </w:r>
      <w:r>
        <w:rPr>
          <w:rFonts w:ascii="IRNazanin" w:hAnsi="IRNazanin" w:eastAsia="IRNazanin"/>
          <w:color w:val="111111"/>
          <w:sz w:val="28"/>
          <w:sz w:val="28"/>
          <w:szCs w:val="28"/>
          <w:rtl w:val="true"/>
          <w:lang w:bidi="fa-IR"/>
        </w:rPr>
        <w:t>هو السؤال عمّا یظنّون مدّة اللبث فحینئذ جوابهم بالظنّ لا یدلّ علی جواز الإجتهاد و الحکم بالظنّ مطلقا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علی تقدیر جواز الإجتهاد فی مدّة اللبث لا یدلّ علی جوازه فی الامور الشرعیّة،و الظاهر أنّ مراد صاحب الکشّاف </w:t>
      </w:r>
      <w:r>
        <w:rPr>
          <w:rStyle w:val="FootnoteAnchor"/>
          <w:rtl w:val="true"/>
        </w:rPr>
        <w:footnoteReference w:id="435"/>
      </w:r>
      <w:r>
        <w:rPr>
          <w:rFonts w:ascii="IRNazanin" w:hAnsi="IRNazanin" w:eastAsia="IRNazanin"/>
          <w:color w:val="111111"/>
          <w:sz w:val="28"/>
          <w:sz w:val="28"/>
          <w:szCs w:val="28"/>
          <w:rtl w:val="true"/>
          <w:lang w:bidi="fa-IR"/>
        </w:rPr>
        <w:t xml:space="preserve">من جواز الإجتهاد جوازه فیها لعدم الفائدة فی جواز الإجتهاد فی کون زمان قلیلا أو کثیرا إذا لم یترتّب علی أحدهما حکم شرعیّ </w:t>
      </w:r>
    </w:p>
    <w:p>
      <w:pPr>
        <w:pStyle w:val="BookText"/>
        <w:rPr/>
      </w:pPr>
      <w:r>
        <w:rPr>
          <w:rFonts w:ascii="IRNazanin" w:hAnsi="IRNazanin" w:eastAsia="IRNazanin"/>
          <w:color w:val="111111"/>
          <w:sz w:val="28"/>
          <w:sz w:val="28"/>
          <w:szCs w:val="28"/>
          <w:rtl w:val="true"/>
          <w:lang w:bidi="fa-IR"/>
        </w:rPr>
        <w:t>کما هو الواقع فی حکمهم حتّی یبیّن جواز الإجتهاد فیه،و لعلّ قوله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بعض 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دلالة الآیة علی جواز الإجتهاد فی ذلک الزمان لا یدلّ علی جوازه فی هذا الزمان،و ذکر أصحاب الکهف بعنوان التعظیم إنّما یدلّ علی جواز ما نسب إلیهم فی ذلک الزمان لا فی هذا الزمان أیضا،و یمکن أن یکون وجه التأمّل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یکون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مراده بالکذب هو الکذب المنهیّ أو مراده هو معنی غیر مشهور،لظهور کذب کون لبثهم یوما أو بعض یوم باعتبار المعنی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بالإستدعاء دون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غایة البعد کما یظهر بأدنی تأمّل،و لا یبعد أن یکون المراد بالفلاح هاهنا هو الفلاح الدنیوی الذی هو الخلاص من أیدیهم لغایة الإهتمام فی محافظتهم عن الفرار بعد ما صدر منهم الفرار و کانوا متّهمین بإرادته عند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تُفْلِحُوا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أنّه إن لم یرجموکم و دخلتم فی ظاهر ملّتهم و فی ظاهر ما یظنّون موافقتکم إیّاهم لن یخلصوا من أیدیهم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باختیارکم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تقیید إن صرتم إلی ملّتهم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تصریح صاحب الکشّاف </w:t>
      </w:r>
      <w:r>
        <w:rPr>
          <w:rStyle w:val="FootnoteAnchor"/>
          <w:rtl w:val="true"/>
        </w:rPr>
        <w:footnoteReference w:id="437"/>
      </w:r>
      <w:r>
        <w:rPr>
          <w:rFonts w:ascii="IRNazanin" w:hAnsi="IRNazanin" w:eastAsia="IRNazanin"/>
          <w:color w:val="111111"/>
          <w:sz w:val="28"/>
          <w:sz w:val="28"/>
          <w:szCs w:val="28"/>
          <w:rtl w:val="true"/>
          <w:lang w:bidi="fa-IR"/>
        </w:rPr>
        <w:t>باعتبار الإکراه فی یعیدوکم الظاهر فی اعتباره هاهنا أیضا أنّ تأثیر الإکراه إنّما هو فی الجوارح لا فی القلوب،و تأثیره فی الجوارح لا یصیر سببا لعدم الفلاح أبدا،فلا بدّ من التقیید بالإختیار حتّی یترتّب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تُفْلِحُوا إِذاً أَبَداً و إن کان للإکراه مدخل فی هذا</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الإختیار،و لا منافاة بین </w:t>
      </w:r>
    </w:p>
    <w:p>
      <w:pPr>
        <w:pStyle w:val="BookText"/>
        <w:rPr/>
      </w:pPr>
      <w:r>
        <w:rPr>
          <w:rFonts w:ascii="IRNazanin" w:hAnsi="IRNazanin" w:eastAsia="IRNazanin"/>
          <w:color w:val="111111"/>
          <w:sz w:val="28"/>
          <w:sz w:val="28"/>
          <w:szCs w:val="28"/>
          <w:rtl w:val="true"/>
          <w:lang w:bidi="fa-IR"/>
        </w:rPr>
        <w:t xml:space="preserve">الإکراه المذکور سابقا و الإختیار المذکور هاهنا،و لا یخفی بعده فالظاهر هو </w:t>
      </w:r>
      <w:r>
        <w:rPr>
          <w:rStyle w:val="FootnoteAnchor"/>
          <w:rtl w:val="true"/>
        </w:rPr>
        <w:footnoteReference w:id="439"/>
      </w:r>
      <w:r>
        <w:rPr>
          <w:rFonts w:ascii="IRNazanin" w:hAnsi="IRNazanin" w:eastAsia="IRNazanin"/>
          <w:color w:val="111111"/>
          <w:sz w:val="28"/>
          <w:sz w:val="28"/>
          <w:szCs w:val="28"/>
          <w:rtl w:val="true"/>
          <w:lang w:bidi="fa-IR"/>
        </w:rPr>
        <w:t>ما ذکرته من کون الفلاح هو الفلاح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التقیید بما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فی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بما دمتم فی دینهم،أو بما کنتم فی دینهم،من غیر جمع بین اللفظین،و علی تقدیر الجمع فالظاهر عدم الإختلاف بینهما فی الإفراد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القول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هذا القول علی وجوب الرفق فی الدعاء إلی اللّه تعالی مطلقا غیر ظاهرة،و لعلّ لخصوص العظمة أو لظاهر حقّ التربیة،أو لهما مدخلا فی مناسبة القول اللیّن نعم،یدلّ التجربة علی أنّ تأثیر </w:t>
      </w:r>
      <w:r>
        <w:rPr>
          <w:rStyle w:val="FootnoteAnchor"/>
          <w:rtl w:val="true"/>
        </w:rPr>
        <w:footnoteReference w:id="440"/>
      </w:r>
      <w:r>
        <w:rPr>
          <w:rFonts w:ascii="IRNazanin" w:hAnsi="IRNazanin" w:eastAsia="IRNazanin"/>
          <w:color w:val="111111"/>
          <w:sz w:val="28"/>
          <w:sz w:val="28"/>
          <w:szCs w:val="28"/>
          <w:rtl w:val="true"/>
          <w:lang w:bidi="fa-IR"/>
        </w:rPr>
        <w:t>القول اللیّن فی کثیر من المواضع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w:t>
      </w:r>
      <w:r>
        <w:rPr>
          <w:rStyle w:val="FootnoteAnchor"/>
          <w:rtl w:val="true"/>
        </w:rPr>
        <w:footnoteReference w:id="441"/>
      </w:r>
      <w:r>
        <w:rPr>
          <w:rFonts w:ascii="Amiri" w:hAnsi="Amiri" w:eastAsia="Amiri" w:cs="Amiri"/>
          <w:color w:val="111111"/>
          <w:sz w:val="28"/>
          <w:sz w:val="28"/>
          <w:szCs w:val="28"/>
          <w:rtl w:val="true"/>
          <w:lang w:bidi="ar-SA"/>
        </w:rPr>
        <w:t>و تلک المبالغة ما أشار إلیها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من هذا الاسلوب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إرجاع الضمیر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أَهْلَکْنٰاهُمْ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المنقول هاهنا بتقریب </w:t>
      </w:r>
      <w:r>
        <w:rPr>
          <w:rStyle w:val="FootnoteAnchor"/>
          <w:rtl w:val="true"/>
        </w:rPr>
        <w:footnoteReference w:id="443"/>
      </w:r>
      <w:r>
        <w:rPr>
          <w:rFonts w:ascii="IRNazanin" w:hAnsi="IRNazanin" w:eastAsia="IRNazanin"/>
          <w:color w:val="111111"/>
          <w:sz w:val="28"/>
          <w:sz w:val="28"/>
          <w:szCs w:val="28"/>
          <w:rtl w:val="true"/>
          <w:lang w:bidi="fa-IR"/>
        </w:rPr>
        <w:t>بعید،لأنّ طریقه رحمه اللّه ذکر ما یظهر من الآیات بعد الفراغ عن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علی الإحتمال الثانی یکون المبالغة إشارة إلی ما ذکر سابقا بعد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44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للمعاقب اعتراض معقول لا دفع له 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أَرْسَلْتَ إِلَیْنٰا رَسُولاً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هذا مبالغة یظهر من الآیة،بل هذا هو بیان مقتضی الآیة فی موضع مناسب، بخلاف ما إذا جعلت المبالغة إشارة إلی ما ذکرته أوّلا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أیضا أنّ فی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تنظر أو لا تنظر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أنّ العقل یحکم بوجوب قبول النبیّ معارضة المعارض إذا ادّعی أنّ ما ادّعی النبیّ کونه معجزا سحر،و أنّ غیر النبیّ قادر بإتیان مثله، فقبول موسی علیه السّلام معارضة فرعون وقع علی وفق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القول بکونهما شرعیّین أنّ النبیّ لا یفعل و لا یأمر مثلا بما یحکم عقل القائلین بالحسن العقلی بحسنه،کیف و هم قائلون بأنّ الشّارع أرشد الی معرفة المبدأ و المعاد،و آمر بإطاعة اللّه و رسوله،و بکثیر من الامور التی یقول القائلون بالحسن و القبح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عقولنا تجد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یقولون بأنّ قولکم بأنّ عقولنا تجد حسن بعض المأمورات مع قطع النظر عن أمر الشارع و حسن کلّ المأمورات بمعنی أنّ فیها جهة حسن مع قطع النظر عن أمره داعیة إلی الأمر و إن لم یصل عقولنا إلیها بخصوصها اقتراح منکم بلا ظهور و بیّنة،بل لیس الحسن إلاّ بفعله علیه السّلام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افعل،و قس علیه ما یقول الطائفتان فی القبح،فظهر أنّ الآیة لا تدلّ علی کون الحسن و القبح عقلیّین،و إن کانا عقلیّین بما یدلّ علیه،و أنّ الآیة إنّما تدلّ علی أنّ موسی علیه السّلام لم یفحم،و لا تدلّ علی بطلان إفحام الأنبیاء و إن کان بطلانه ظاهرا، و أنّه لم </w:t>
      </w:r>
      <w:r>
        <w:rPr>
          <w:rStyle w:val="FootnoteAnchor"/>
          <w:rtl w:val="true"/>
        </w:rPr>
        <w:footnoteReference w:id="446"/>
      </w:r>
      <w:r>
        <w:rPr>
          <w:rFonts w:ascii="IRNazanin" w:hAnsi="IRNazanin" w:eastAsia="IRNazanin"/>
          <w:color w:val="111111"/>
          <w:sz w:val="28"/>
          <w:sz w:val="28"/>
          <w:szCs w:val="28"/>
          <w:rtl w:val="true"/>
          <w:lang w:bidi="fa-IR"/>
        </w:rPr>
        <w:t>یجب علیه السّلام بأنّه یجب علیک النظر،و لا یلزم من عدم الجواب بهذا عدم صحّة الجواب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لعلّ فی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المبالغة بحسب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اعلم أنّ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 لَهُ قَوْلاً لَیِّناً </w:t>
      </w:r>
      <w:r>
        <w:rPr>
          <w:rStyle w:val="FootnoteAnchor"/>
          <w:rtl w:val="true"/>
        </w:rPr>
        <w:footnoteReference w:id="447"/>
      </w:r>
      <w:r>
        <w:rPr>
          <w:rFonts w:ascii="IRNazanin" w:hAnsi="IRNazanin" w:eastAsia="IRNazanin"/>
          <w:color w:val="111111"/>
          <w:sz w:val="28"/>
          <w:sz w:val="28"/>
          <w:szCs w:val="28"/>
          <w:rtl w:val="true"/>
          <w:lang w:bidi="fa-IR"/>
        </w:rPr>
        <w:t>المبالغه المذکورة،و فی قبول موسی المعارضة دلالة علی الحسن و 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موعدکم یوم الزینة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شرط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لیس معطوفا </w:t>
      </w:r>
    </w:p>
    <w:p>
      <w:pPr>
        <w:pStyle w:val="BookText"/>
        <w:rPr/>
      </w:pPr>
      <w:r>
        <w:rPr>
          <w:rFonts w:ascii="IRNazanin" w:hAnsi="IRNazanin" w:eastAsia="IRNazanin"/>
          <w:color w:val="111111"/>
          <w:sz w:val="28"/>
          <w:sz w:val="28"/>
          <w:szCs w:val="28"/>
          <w:rtl w:val="true"/>
          <w:lang w:bidi="fa-IR"/>
        </w:rPr>
        <w:t>علی کون الحسن و القبح عقلیّین،و لا علی عدم صحّة الجواب،لأنّ هذا لیس من الامور التی یلیق أن یقال بتفرّعه علی قبول موسی علیه السّلام معارضة فرعون،و أیضا ظاهر أنّه لم یجعل دلیله هذا القبول،بل استدلّ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کلام مستأنف مناسب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معطوف علی السابق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Style w:val="FootnoteAnchor"/>
          <w:rtl w:val="true"/>
        </w:rPr>
        <w:footnoteReference w:id="448"/>
      </w:r>
      <w:r>
        <w:rPr>
          <w:rFonts w:ascii="IRNazanin" w:hAnsi="IRNazanin" w:eastAsia="IRNazanin"/>
          <w:color w:val="111111"/>
          <w:sz w:val="28"/>
          <w:sz w:val="28"/>
          <w:szCs w:val="28"/>
          <w:rtl w:val="true"/>
          <w:lang w:bidi="fa-IR"/>
        </w:rPr>
        <w:t>رحمه اللّه فی قبول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قوّة أنّ فی الآیة المشتملة علی قبول موسی علیه السّلام دلالة علی الامور </w:t>
      </w:r>
      <w:r>
        <w:rPr>
          <w:rStyle w:val="FootnoteAnchor"/>
          <w:rtl w:val="true"/>
        </w:rPr>
        <w:footnoteReference w:id="449"/>
      </w:r>
      <w:r>
        <w:rPr>
          <w:rFonts w:ascii="IRNazanin" w:hAnsi="IRNazanin" w:eastAsia="IRNazanin"/>
          <w:color w:val="111111"/>
          <w:sz w:val="28"/>
          <w:sz w:val="28"/>
          <w:szCs w:val="28"/>
          <w:rtl w:val="true"/>
          <w:lang w:bidi="fa-IR"/>
        </w:rPr>
        <w:t>المذکورة،و علی أنّ شرط التکلیف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الدلالة علیه أنّ کون فرعون مکلّفا ظاهر بهذه الآیة لدلالتها علی ملامته بما قال و فعل،و إنّما حصل لفرعون حینئذ العقل و إمکان المعرفة،لا العلم بما 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إشارة إلی دلیل آخر لم یظهر من الآیة،و هذا و إن کان بعیدا بحسب ظاهر اللفظ لکنّ الإستیناف أیضا بعید،و المصنّف طاب ثراه لا یهتمّ بأمر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أنّه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قبول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شرط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لا یحتاج إلی تکلّف،غیر أنّ الظاهر المناسب هاهنا هو ذکر الامور التی یظهر من الآیة،لا ذکر ما یظهر بدلیل آخر یدلّ علیه،و هو أسهل بالنسبة إلی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ظلمات بطنین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ظلمة بطنین،فلعلّه نقل عبارة الکشّاف </w:t>
      </w:r>
      <w:r>
        <w:rPr>
          <w:rStyle w:val="FootnoteAnchor"/>
          <w:rtl w:val="true"/>
        </w:rPr>
        <w:footnoteReference w:id="450"/>
      </w:r>
      <w:r>
        <w:rPr>
          <w:rFonts w:ascii="IRNazanin" w:hAnsi="IRNazanin" w:eastAsia="IRNazanin"/>
          <w:color w:val="111111"/>
          <w:sz w:val="28"/>
          <w:sz w:val="28"/>
          <w:szCs w:val="28"/>
          <w:rtl w:val="true"/>
          <w:lang w:bidi="fa-IR"/>
        </w:rPr>
        <w:t>بحسب المعنی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ظنّ عدم التأثیر 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w:t>
      </w:r>
    </w:p>
    <w:p>
      <w:pPr>
        <w:pStyle w:val="BookText"/>
        <w:rPr/>
      </w:pPr>
      <w:r>
        <w:rPr>
          <w:rFonts w:ascii="IRNazanin" w:hAnsi="IRNazanin" w:eastAsia="IRNazanin"/>
          <w:color w:val="111111"/>
          <w:sz w:val="28"/>
          <w:sz w:val="28"/>
          <w:szCs w:val="28"/>
          <w:rtl w:val="true"/>
          <w:lang w:bidi="fa-IR"/>
        </w:rPr>
        <w:t>الشهرة دلالة الروایات علی سقوط حینئذ و عدم سقوط أولویّة الأمر بالمعروف و أولویّة انتظار الإذن بالنسبة إلی ذی النون لا یدلّ علی کون الحکم بالنسبة إلینا کذلک فی ما یمکن فی شأننا و هو الأوّل عند غیبة الامام علیه السّلام،لاختلافنا فی الامور المتعلّقة بالأمر بالمعروف و النهی عن المنکر مع الأنبیاء و الأئمّة علیهم السّلام بل اختلاف بعضهم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أن یکون تأدیبه علیه السّلام باعتبار الإکتفاء بالظنّ مع إمکان تحصیل العلم،فلا یدلّ علی عدم لیاقة الإکتفاء بالظنّ بالنسبة إلی من انسدّ علیه طریق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یحتمل إصابة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رحمه اللّه بالعذاب و العقاب هو التأدیب الدنیویّ فیصحّ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بذی النون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ظهوره یدلّ علیه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فیخلّینا و أنفسنا</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فعله ترک الاولی مع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یقول رحمه اللّه إنّه کان الأولی به علیه السّلام عدم الإکتفاء بهذا الظنّ،لإمکان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تکرار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التکرّر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تحریم الإفتراء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فِی جَهَنَّمَ مَثْویً لِلْکٰافِرِینَ </w:t>
      </w:r>
      <w:r>
        <w:rPr>
          <w:rStyle w:val="FootnoteAnchor"/>
          <w:rtl w:val="true"/>
        </w:rPr>
        <w:footnoteReference w:id="452"/>
      </w:r>
      <w:r>
        <w:rPr>
          <w:rFonts w:ascii="IRNazanin" w:hAnsi="IRNazanin" w:eastAsia="IRNazanin"/>
          <w:color w:val="111111"/>
          <w:sz w:val="28"/>
          <w:sz w:val="28"/>
          <w:szCs w:val="28"/>
          <w:rtl w:val="true"/>
          <w:lang w:bidi="fa-IR"/>
        </w:rPr>
        <w:t xml:space="preserve">کون من کذّب بالحقّ کافرا کما أنّ من افتری علی اللّه کذبا کافرا،فلعلّه لذلک فسرّ صاحب الکشّاف </w:t>
      </w:r>
      <w:r>
        <w:rPr>
          <w:rStyle w:val="FootnoteAnchor"/>
          <w:rtl w:val="true"/>
        </w:rPr>
        <w:footnoteReference w:id="453"/>
      </w:r>
      <w:r>
        <w:rPr>
          <w:rFonts w:ascii="IRNazanin" w:hAnsi="IRNazanin" w:eastAsia="IRNazanin"/>
          <w:color w:val="111111"/>
          <w:sz w:val="28"/>
          <w:sz w:val="28"/>
          <w:szCs w:val="28"/>
          <w:rtl w:val="true"/>
          <w:lang w:bidi="fa-IR"/>
        </w:rPr>
        <w:t>التکذیب بالحقّ بتکذیب الرسول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الحقّ فی الآیة عامّا کما هو ظاهر اللفظ،و کفر من کذّب به الذی یظهر من الآیة باعتبار اشتمال التکذیب علی الکفر،و حینئذ ظاهر الآیة عموم الحرمة و إن لم یکن الکفر باعتبار جمیع </w:t>
      </w:r>
      <w:r>
        <w:rPr>
          <w:rStyle w:val="FootnoteAnchor"/>
          <w:rtl w:val="true"/>
        </w:rPr>
        <w:footnoteReference w:id="454"/>
      </w:r>
      <w:r>
        <w:rPr>
          <w:rFonts w:ascii="IRNazanin" w:hAnsi="IRNazanin" w:eastAsia="IRNazanin"/>
          <w:color w:val="111111"/>
          <w:sz w:val="28"/>
          <w:sz w:val="28"/>
          <w:szCs w:val="28"/>
          <w:rtl w:val="true"/>
          <w:lang w:bidi="fa-IR"/>
        </w:rPr>
        <w:t>الأفراد،فلعلّ تعمیمه طاب ثراه الحقّ کما یظهر من قوله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تحریم انکار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یذکره ناظر إلی ما ذکرته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معناه اجتهدوا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 هذا المعنی فی المجاهدة و الجهاد بعید،و إرادته بخصوصه کما هو ظاهر القول المنقول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الاحتیاط فی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فِصٰالُهُ فِی عٰامَیْنِ </w:t>
      </w:r>
      <w:r>
        <w:rPr>
          <w:rStyle w:val="FootnoteAnchor"/>
          <w:rtl w:val="true"/>
        </w:rPr>
        <w:footnoteReference w:id="455"/>
      </w:r>
      <w:r>
        <w:rPr>
          <w:rFonts w:ascii="IRNazanin" w:hAnsi="IRNazanin" w:eastAsia="IRNazanin"/>
          <w:color w:val="111111"/>
          <w:sz w:val="28"/>
          <w:sz w:val="28"/>
          <w:szCs w:val="28"/>
          <w:rtl w:val="true"/>
          <w:lang w:bidi="fa-IR"/>
        </w:rPr>
        <w:t>لبیان حقّ الامّ مثل السابق،فالظاهر کونهما شائعین کثیرین فی الرضاع،لا عدم جواز الأکثر،لأنّ الظاهر فی بیان الحقوق ذکر الأقلّ أو الشایع لیکون مشترکا بین الامّهات إلاّ من ندر منها الذی لا یضرّ خروجه من أمثال تلک العمومات،فالأخبار الدالّة علی جواز رضاع شهر أو شهرین بعدهما لیست منافیة لمقتضی ظاهر الآیة حتّی یقتضی الاحتیاط الاکتفاء بالعامین،و الضرورة لا یتقیّد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عرفت ما ذکرته ظهر لک أنّه لا یتفرّع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فِی عٰامَیْنِ قوله رحمه اللّه فلا یکون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نعم،ثبت کونه بعد الحولین غیر محرّم بما یدلّ علیه من الأخبار 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الآیة من الفروع الوجوب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قوله رحمه اللّه وجوب الرضاع فی عامین یدلّ علی أنّ مراده من قوله الأکثر،لا وجوب الأکثر، لکنّ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یثبت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نقل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الأصحاب رضاع شهر و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جواز رضاع أکثر،و حینئذ و إن أمکن إرادة هذا المعنی من اللفظ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w:t>
      </w:r>
      <w:r>
        <w:rPr>
          <w:rStyle w:val="FootnoteAnchor"/>
          <w:rtl w:val="true"/>
        </w:rPr>
        <w:footnoteReference w:id="456"/>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عرفت ممّا ذکرته فی بیان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فِی عٰامَیْنِ أنّه لیس مقتضاه عدم جواز الأکثر،و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لا وجوب رضاع أکثر إلاّ أن یثبت ذلک الوجوب بالضرورة الداعیة إلیه،فی غایة البعد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کون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استنباط هذا من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أَنْ یُتِمَّ الرَّضٰاعَةَ </w:t>
      </w:r>
      <w:r>
        <w:rPr>
          <w:rStyle w:val="FootnoteAnchor"/>
          <w:rtl w:val="true"/>
        </w:rPr>
        <w:footnoteReference w:id="457"/>
      </w:r>
      <w:r>
        <w:rPr>
          <w:rFonts w:ascii="IRNazanin" w:hAnsi="IRNazanin" w:eastAsia="IRNazanin"/>
          <w:color w:val="111111"/>
          <w:sz w:val="28"/>
          <w:sz w:val="28"/>
          <w:szCs w:val="28"/>
          <w:rtl w:val="true"/>
          <w:lang w:bidi="fa-IR"/>
        </w:rPr>
        <w:t>لکنّ الظاهر أنّ مقصوده رحمه اللّه استنباطه من آیة لقمان، و 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المیّتین الذین لا حرکة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التفسیر لیس من کلام الکشّاف و الظاهر أنّ مراده من المتماوتین هو جمع المتماوت بمعنی الناسک المرائی،کما ذکر هذا المعنی صاحب القاموس </w:t>
      </w:r>
      <w:r>
        <w:rPr>
          <w:rStyle w:val="FootnoteAnchor"/>
          <w:rtl w:val="true"/>
        </w:rPr>
        <w:footnoteReference w:id="458"/>
      </w:r>
      <w:r>
        <w:rPr>
          <w:rFonts w:ascii="IRNazanin" w:hAnsi="IRNazanin" w:eastAsia="IRNazanin"/>
          <w:color w:val="111111"/>
          <w:sz w:val="28"/>
          <w:sz w:val="28"/>
          <w:szCs w:val="28"/>
          <w:rtl w:val="true"/>
          <w:lang w:bidi="fa-IR"/>
        </w:rPr>
        <w:t>،و أمّا المعنی الذی ذکره رحمه اللّه فهو فی غایة البعد،کما لا یخفی</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الواعظ متّعظا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کونه کذلک فی نفس الأمر،و هو ظاهر،و لا وجوب کونه کذلک؛لأنّ خلاف هذا الوجوب لیس مشهورا،فلو کان مراده هذا لم یصحّ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 نسبة الخلاف إلی الشهرة،بل الظاهر أنّ مراده رحمه اللّه أنّ کونه متّعظا واجب،بمعنی أنّ غیر المتّعظ لا یجوز له الوعظ،فشارب الخمر لا یجوز له النهی عن شربها،فلهذا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أنّ الشارب الناهی عن الشرب إنّما هو عاص لشربه،لا لنهیه غیره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ینقله عن بعض السلف یدلّ علی أنّ هذا البعض فهم من الآیة أشدّیّة عصیان القائل بما لم یفعل،سواء کان بانضمام القول إلی عدم الفعل،أم باعتبار کون عدم فعل القائل بما لم یفعل أقبح و 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کون الشناعة الباعثة إلی الإنکار و المنع مخصوصة بالقول،و لا أقلّ من کون القول داخلا فی الممنوع بهذه الآیة،فالقول بأنّ الممنوع هاهنا هو العمل فی غایة البعد،لکون الإنکار واردا علی قولهم،فکیف یجعل مخصوصا بالعمل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تحریم خلف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الآیة حینئذ علی تحریم خلف الوعد غیر ظاهرة کما یظهر بأدنی تأمّل،و إن کان حرمته ظاهرة بما یدلّ علیها</w:t>
      </w:r>
      <w:r>
        <w:rPr>
          <w:rFonts w:eastAsia="IRNazanin" w:cs="IRNazanin"/>
          <w:color w:val="111111"/>
          <w:sz w:val="28"/>
          <w:szCs w:val="28"/>
          <w:rtl w:val="true"/>
          <w:lang w:bidi="fa-IR"/>
        </w:rPr>
        <w:t xml:space="preserve">. </w:t>
      </w:r>
      <w:bookmarkStart w:id="167" w:name="pg12937_139163"/>
    </w:p>
    <w:p>
      <w:pPr>
        <w:pStyle w:val="Heading3"/>
        <w:numPr>
          <w:ilvl w:val="2"/>
          <w:numId w:val="1"/>
        </w:numPr>
        <w:rPr/>
      </w:pPr>
      <w:bookmarkStart w:id="168" w:name="__RefHeading___Toc4066895_3224264995"/>
      <w:bookmarkStart w:id="169" w:name="_Toc61"/>
      <w:bookmarkEnd w:id="167"/>
      <w:bookmarkEnd w:id="168"/>
      <w:r>
        <w:rPr>
          <w:rtl w:val="true"/>
        </w:rPr>
        <w:t>کتاب المکاسب</w:t>
      </w:r>
      <w:bookmarkEnd w:id="169"/>
    </w:p>
    <w:p>
      <w:pPr>
        <w:pStyle w:val="Heading4"/>
        <w:numPr>
          <w:ilvl w:val="3"/>
          <w:numId w:val="1"/>
        </w:numPr>
        <w:rPr/>
      </w:pPr>
      <w:bookmarkStart w:id="170" w:name="__RefHeading___Toc4066897_3224264995"/>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و البحث فیه علی قسمین</w:t>
      </w:r>
      <w:r>
        <w:rPr>
          <w:rFonts w:eastAsia="IRNazanin" w:cs="IRNazanin"/>
          <w:color w:val="111111"/>
          <w:sz w:val="28"/>
          <w:szCs w:val="28"/>
          <w:rtl w:val="true"/>
          <w:lang w:bidi="fa-IR"/>
        </w:rPr>
        <w:t>:</w:t>
      </w:r>
    </w:p>
    <w:p>
      <w:pPr>
        <w:pStyle w:val="Heading4"/>
        <w:numPr>
          <w:ilvl w:val="3"/>
          <w:numId w:val="1"/>
        </w:numPr>
        <w:rPr/>
      </w:pPr>
      <w:bookmarkStart w:id="172" w:name="__RefHeading___Toc4066899_3224264995"/>
      <w:bookmarkStart w:id="173" w:name="_Toc63"/>
      <w:bookmarkEnd w:id="172"/>
      <w:r>
        <w:rPr>
          <w:rtl w:val="true"/>
        </w:rPr>
        <w:t>الأوّل</w:t>
      </w:r>
      <w:r>
        <w:rPr>
          <w:rtl w:val="true"/>
        </w:rPr>
        <w:t>:</w:t>
      </w:r>
      <w:r>
        <w:rPr>
          <w:rtl w:val="true"/>
        </w:rPr>
        <w:t>فی البحث عن الإکتساب بقول مطلق</w:t>
      </w:r>
      <w:bookmarkEnd w:id="173"/>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 معطوفا علی 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لکم ما تعیشون به و الأهل و الأولاد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حینئذ التأمّل الثانی الذی هو </w:t>
      </w:r>
      <w:r>
        <w:rPr>
          <w:rStyle w:val="FootnoteAnchor"/>
          <w:rtl w:val="true"/>
        </w:rPr>
        <w:footnoteReference w:id="461"/>
      </w:r>
      <w:r>
        <w:rPr>
          <w:rFonts w:ascii="Amiri" w:hAnsi="Amiri" w:eastAsia="Amiri" w:cs="Amiri"/>
          <w:color w:val="111111"/>
          <w:sz w:val="28"/>
          <w:sz w:val="28"/>
          <w:szCs w:val="28"/>
          <w:rtl w:val="true"/>
          <w:lang w:bidi="ar-SA"/>
        </w:rPr>
        <w:t xml:space="preserve">دخول مَنْ لَسْتُمْ </w:t>
      </w:r>
      <w:r>
        <w:rPr>
          <w:rStyle w:val="FootnoteAnchor"/>
          <w:rtl w:val="true"/>
        </w:rPr>
        <w:footnoteReference w:id="462"/>
      </w:r>
      <w:r>
        <w:rPr>
          <w:rFonts w:ascii="Amiri" w:hAnsi="Amiri" w:eastAsia="Amiri" w:cs="Amiri"/>
          <w:color w:val="111111"/>
          <w:sz w:val="28"/>
          <w:sz w:val="28"/>
          <w:szCs w:val="28"/>
          <w:rtl w:val="true"/>
          <w:lang w:bidi="ar-SA"/>
        </w:rPr>
        <w:t>فی لَکُمْ إلاّ أن یخصّص الخطاب بغیرهم،و بعده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تعمیم الخطاب و جعل ذکر مَنْ لَسْتُمْ بعده إشارة إلی دفع توهّم کونهم رازقین إنّما یحسن إن کان فی المعطوف جعل المعایش لهم حتّی یدفع توهّم الخلاف،و علی هذا الإحتمال لیس کذلک،بل بعد الإمتنان بجعل المعایش لهم امتنان بجعل نعمة اخری و هی الأهل و الأولاد و غیرهما لهم،فلا یظهر حسن دفع توهّم عدم کون المخاطبین رازقین هاهنا،و لا </w:t>
      </w:r>
      <w:r>
        <w:rPr>
          <w:rStyle w:val="FootnoteAnchor"/>
          <w:rtl w:val="true"/>
        </w:rPr>
        <w:footnoteReference w:id="463"/>
      </w:r>
      <w:r>
        <w:rPr>
          <w:rFonts w:ascii="IRNazanin" w:hAnsi="IRNazanin" w:eastAsia="IRNazanin"/>
          <w:color w:val="111111"/>
          <w:sz w:val="28"/>
          <w:sz w:val="28"/>
          <w:szCs w:val="28"/>
          <w:rtl w:val="true"/>
          <w:lang w:bidi="fa-IR"/>
        </w:rPr>
        <w:t>نکتة أخری فی ذکر الخاص بعد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المقصود من قوله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جریان النکتة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النکتة بالنسبة إلی مثل أصحاب الأولاد الذین یستعین الآباء بهم فی المعیشة،فهم یدخلون فی معایش،و ذکروا بخصوصهم فی ضمن وَ مَنْ لَسْتُمْ لَهُ بِرٰازِقِینَ لاختصاصهم بهم، و کونهم من نعمة اللّه تعالی علیهم،مع قطع النظر من کونهم ممّن یستعان به فی المعیشة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إباحة کلّ ما خلق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بخلق فالظاهر إباحة کلّ ما خلق لهم،لکن لا بکلّ جهة بل بجهة خلق لهم،و لا یبعد أن یکون لشیء جهتان محرّمة و محللّة،و کان خلقه للإنسان باعتبار الجهة المحللّة لا بکلّ جهة، و مع ذلک ما لم یعلم أنّ الشیء الفلانی خلق للإنسان لا یعلم إباحته لهم بهذه 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فی مقام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فِیهٰا مِنْ کُلِّ شَیْءٍ مَوْزُونٍ </w:t>
      </w:r>
      <w:r>
        <w:rPr>
          <w:rStyle w:val="FootnoteAnchor"/>
          <w:rtl w:val="true"/>
        </w:rPr>
        <w:footnoteReference w:id="46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w:t>
      </w:r>
      <w:r>
        <w:rPr>
          <w:rStyle w:val="FootnoteAnchor"/>
          <w:rtl w:val="true"/>
        </w:rPr>
        <w:footnoteReference w:id="465"/>
      </w:r>
      <w:r>
        <w:rPr>
          <w:rFonts w:ascii="IRNazanin" w:hAnsi="IRNazanin" w:eastAsia="IRNazanin"/>
          <w:color w:val="111111"/>
          <w:sz w:val="28"/>
          <w:sz w:val="28"/>
          <w:szCs w:val="28"/>
          <w:rtl w:val="true"/>
          <w:lang w:bidi="fa-IR"/>
        </w:rPr>
        <w:t>و الإمتنان یدلّ علی کون خلق الامور المذکورة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بأنّ مقام الإمتنان یدلّ علی خلق اللّه تعالی للإنسان من النبات و المعایش ما ینتفعون به و ما ابیح لهم،و أمّا علی عدم اشتمال مخلوقه تعالی علی ما هو محرّم علیهم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الإمتنان واقع فی موقعه علی تقدیر اشتمال المخلوق علی المحلّل و المحرّم إذا کان للإنسان طریق إلی العلم بما یجوز الإنتفاع به،سواء کان الغالب محلّلا أو محرّما، فبهذه الآیة لا یصحّ الإستدلال بغلبة المحلّل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بالإباحة کما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یحرم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لا تدلّ علی أنّ کلّ ما خلق مباح لهم کما ظهر ممّا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 العقل علی إباحة کلّ ما خلق لما یصحّ تخصیص بعض بما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مراده طاب ثراه أنّ اللّه تعالی خلق الإنسان راغبا إلی الإنتفاع بما یشتهیه و یرغب إلیه،فالمؤاخذة علیه بفعل ما لم یدلّ عقله علی عدم جوازه،و لم یبیّن الکامل عدم جوازه له قبیح علی قانون أهل العدل،فمراده رحمه اللّه بإباحة کلّ ما خلق إباحته ما لم یظهر بأحد الأمرین المذکورین حرمته کما یدلّ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یحرم بعضه لدلیل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هذا هو القول بکون الأصل فی الأشیاء هو الإباحة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کون خلق بعض الأشیاء الذی لم یبیّن الشارع حکمه أو بیّن و لم یصل إلی الطالب المفتّش،و لا یکون للعقل طریق إلیه للابتلاء و الإمتحان ممّا لا یجوّزه العقل السلیم،و هذا الدلیل مؤیّد ببعض الآیات و الأخبار</w:t>
      </w:r>
      <w:r>
        <w:rPr>
          <w:rFonts w:eastAsia="IRNazanin" w:cs="IRNazanin"/>
          <w:color w:val="111111"/>
          <w:sz w:val="28"/>
          <w:szCs w:val="28"/>
          <w:rtl w:val="true"/>
          <w:lang w:bidi="fa-IR"/>
        </w:rPr>
        <w:t xml:space="preserve">. </w:t>
      </w:r>
      <w:bookmarkStart w:id="174" w:name="pg12937_139165"/>
    </w:p>
    <w:p>
      <w:pPr>
        <w:pStyle w:val="Heading4"/>
        <w:numPr>
          <w:ilvl w:val="3"/>
          <w:numId w:val="1"/>
        </w:numPr>
        <w:rPr/>
      </w:pPr>
      <w:bookmarkStart w:id="175" w:name="__RefHeading___Toc4066901_3224264995"/>
      <w:bookmarkStart w:id="176" w:name="_Toc64"/>
      <w:bookmarkEnd w:id="174"/>
      <w:bookmarkEnd w:id="175"/>
      <w:r>
        <w:rPr>
          <w:rtl w:val="true"/>
        </w:rPr>
        <w:t>الثانی</w:t>
      </w:r>
      <w:r>
        <w:rPr>
          <w:rtl w:val="true"/>
        </w:rPr>
        <w:t>:</w:t>
      </w:r>
      <w:r>
        <w:rPr>
          <w:rtl w:val="true"/>
        </w:rPr>
        <w:t>البحث عن أشیاء یحرم التکسّب بها</w:t>
      </w:r>
      <w:bookmarkEnd w:id="176"/>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تحریم الإکراه علی الزنا بل علی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لم یکن حراما لم یکن الإکراه علیه حراما،لأنّ إکراه المملوک علی الکسب الحلال لیس حراما،فهو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مع إرادة التحصّن و عدمها،و هذا باعتبار عدم إرادة مفهوم المخالف من القید،و جعل سبب التقیید هو سبب النزول و الواقع،کما یؤمی إلیه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هذه الإحتمال عنده أظهر،فلهذا قدّمه،و سیظهر أظهریّة هذا الإحتمال عنده بما یذکره بعد نقل کلام صاحب الکشّاف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خلاف الظاهر؛فإنّ المتبادر نفی الإکراه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المتبادر نفی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النهی بدل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المؤاخذة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یأبی العقل المؤاخذة بارتکاب الزنا و إن انجرّ الإباء عنه إلی ما یعدّ عرفا إکراها و جبرا،بل إلی القتل أیضا کالقتل الذی یستحقّ المؤاخذة و إن انجرّ الإباء عنه إلی ما انجرّ إلیه،فمن ألطافه تعالی علی عباده و إمائه تجویز الزنا عند انجرار الإجتناب إلی الأمر الذی یعدّ بحسب العرف إکراها و 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الغفران حینئذ </w:t>
      </w:r>
      <w:r>
        <w:rPr>
          <w:rStyle w:val="FootnoteAnchor"/>
          <w:rtl w:val="true"/>
        </w:rPr>
        <w:footnoteReference w:id="467"/>
      </w:r>
      <w:r>
        <w:rPr>
          <w:rFonts w:ascii="IRNazanin" w:hAnsi="IRNazanin" w:eastAsia="IRNazanin"/>
          <w:color w:val="111111"/>
          <w:sz w:val="28"/>
          <w:sz w:val="28"/>
          <w:szCs w:val="28"/>
          <w:rtl w:val="true"/>
          <w:lang w:bidi="fa-IR"/>
        </w:rPr>
        <w:t>إشارة إلی براءتهنّ من الإثم عند الإکراه،فإن أراد هذا المعنی فلا یرد علیه ما یورد علیه طاب ثراه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بعدم الإستحقاق غیر ظاهر کما أومأت إلیه،و تسلیم عدم الإثم لا ینافی الغفران بالمعنی الذی ذکرته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ظهر ضعف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یندفع بعدم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أومأت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تجاوز عن عقاب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مراده بالتجاوز تجاوز ما استحقّ من العقاب،بل إذن اللّه تعالی فعل ما اکره علیه،فقوله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عن عقاب المکره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مراده طاب ثراه بالتجاوز و التجویز محض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رَحِیمٌ و إن لم یصحّ العقاب بحسب العقل علی المکرهات،بل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مِنْ بَعْدِ إِکْرٰاهِهِنَّ غَفُورٌ رَحِیمٌ </w:t>
      </w:r>
      <w:r>
        <w:rPr>
          <w:rStyle w:val="FootnoteAnchor"/>
          <w:rtl w:val="true"/>
        </w:rPr>
        <w:footnoteReference w:id="468"/>
      </w:r>
      <w:r>
        <w:rPr>
          <w:rFonts w:ascii="IRNazanin" w:hAnsi="IRNazanin" w:eastAsia="IRNazanin"/>
          <w:color w:val="111111"/>
          <w:sz w:val="28"/>
          <w:sz w:val="28"/>
          <w:szCs w:val="28"/>
          <w:rtl w:val="true"/>
          <w:lang w:bidi="fa-IR"/>
        </w:rPr>
        <w:t>بیان ما یحکم به العقل من عدم استحقاق العقاب فهو فی غایة البعد فی نفسه،و بعید عن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بهما التجاوز و التجویز المذکورین بعد احتمال المؤاخذة بحسب العقل،و جوازه عنده فهو و إن کان جیّدا فی نفسه و یناسب کلامه هاهنا لکن حینئذ بین کلامه هاهنا و القول بحکم العقل بعدم تجویز العقل بکون المکرهة آثمة منافرة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بالجائع و لا بالحائط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التقیید لکن ذکر الحائط بعنوان المثال،کما هو ظاهر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أنّه یمکن فهم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تجویز الأکل لقلّة المالیّة فی المأکول فما ظهر کونه أدنی من الأکل یمکن استنباط جوازه بالأولویّة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تجویز الأکل لشیوع عدم مضایقة المذکورین فی الآیة فی الأکل، و عدم شیوع المضایقة فی الأکل لا یستلزم عدمها فی ما هو أدنی منه،بل یظهر بالتتبّع أنّ کثیرا من الناس لا یرضی بلبس لباسه ساعة و إن لم ینقص من قیمته عشر قیمة ما یرضی أکله،و یسرّ به أو لمصلحة مختصّة بالأکل لا یکون لنا اطّلاع علیها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ذلک فی إِنّٰا فَتَحْنٰا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إلیه فی ذلک هو ما ذکر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w:t>
      </w:r>
      <w:r>
        <w:rPr>
          <w:rStyle w:val="FootnoteAnchor"/>
          <w:rtl w:val="true"/>
        </w:rPr>
        <w:footnoteReference w:id="471"/>
      </w:r>
      <w:r>
        <w:rPr>
          <w:rFonts w:ascii="IRNazanin" w:hAnsi="IRNazanin" w:eastAsia="IRNazanin"/>
          <w:color w:val="111111"/>
          <w:sz w:val="28"/>
          <w:sz w:val="28"/>
          <w:szCs w:val="28"/>
          <w:rtl w:val="true"/>
          <w:lang w:bidi="fa-IR"/>
        </w:rPr>
        <w:t>و ظاهر المثلیّة التی ذکرها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کون المعنی سلب الحرج المطلق ظاهر فی إِنّٰا فَتَحْنٰا و یمکن أن یکون هاهنا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الکلام فی سورة الفتح کالصریح فی نفی الحرج عن ترک الجهاد؛ لوقوعه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Style w:val="FootnoteAnchor"/>
          <w:rtl w:val="true"/>
        </w:rPr>
        <w:footnoteReference w:id="472"/>
      </w:r>
      <w:r>
        <w:rPr>
          <w:rFonts w:ascii="IRNazanin" w:hAnsi="IRNazanin" w:eastAsia="IRNazanin"/>
          <w:color w:val="111111"/>
          <w:sz w:val="28"/>
          <w:sz w:val="28"/>
          <w:szCs w:val="28"/>
          <w:rtl w:val="true"/>
          <w:lang w:bidi="fa-IR"/>
        </w:rPr>
        <w:t>و ظاهر أنّ فی هذه الآیة ملامة جماعة بسبب ترک الجهاد،و ترغیبا إلیه عند الحاجة،فمعنی لَیْسَ عَلَی الْأَعْمیٰ هاهنا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فی ترک الجهاد حرج،و تعلّقه بالسابق علی وجه یصیر المعنی صحیحا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تحیّة حیّاکم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؛تفسیره رحمه اللّه یدلّ علی کون تَحِیَّةً </w:t>
      </w:r>
      <w:r>
        <w:rPr>
          <w:rStyle w:val="FootnoteAnchor"/>
          <w:rtl w:val="true"/>
        </w:rPr>
        <w:footnoteReference w:id="473"/>
      </w:r>
      <w:r>
        <w:rPr>
          <w:rFonts w:ascii="IRNazanin" w:hAnsi="IRNazanin" w:eastAsia="IRNazanin"/>
          <w:color w:val="111111"/>
          <w:sz w:val="28"/>
          <w:sz w:val="28"/>
          <w:szCs w:val="28"/>
          <w:rtl w:val="true"/>
          <w:lang w:bidi="fa-IR"/>
        </w:rPr>
        <w:t>مرفوعة،و القراءة المتعارفة هی النصب و لعلّ نصبها للمصدریّة من 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الإحتمال الأوّل أشار صاحب الکشّاف </w:t>
      </w:r>
      <w:r>
        <w:rPr>
          <w:rStyle w:val="FootnoteAnchor"/>
          <w:rtl w:val="true"/>
        </w:rPr>
        <w:footnoteReference w:id="474"/>
      </w:r>
      <w:r>
        <w:rPr>
          <w:rFonts w:ascii="IRNazanin" w:hAnsi="IRNazanin" w:eastAsia="IRNazanin"/>
          <w:color w:val="111111"/>
          <w:sz w:val="28"/>
          <w:sz w:val="28"/>
          <w:szCs w:val="28"/>
          <w:rtl w:val="true"/>
          <w:lang w:bidi="fa-IR"/>
        </w:rPr>
        <w:t xml:space="preserve">کما یجیء بعد نقل کلام ابن عبّاس، و المصنّف رحمه اللّه مع نقل کلامه لم </w:t>
      </w:r>
      <w:r>
        <w:rPr>
          <w:rStyle w:val="FootnoteAnchor"/>
          <w:rtl w:val="true"/>
        </w:rPr>
        <w:footnoteReference w:id="475"/>
      </w:r>
      <w:r>
        <w:rPr>
          <w:rFonts w:ascii="IRNazanin" w:hAnsi="IRNazanin" w:eastAsia="IRNazanin"/>
          <w:color w:val="111111"/>
          <w:sz w:val="28"/>
          <w:sz w:val="28"/>
          <w:szCs w:val="28"/>
          <w:rtl w:val="true"/>
          <w:lang w:bidi="fa-IR"/>
        </w:rPr>
        <w:t>یتعرّض هاهنا لنصبها،مع أنّ صاحب الکشّاف لم یتعرّض لغیر النصب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الجاهل معذورا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؛المتبادر من کون الجاهل معذورا هو عدم المؤاخذة بما صدر منه جاهلا،فلا احتیاج فیه إلی التوبة،و ما ظهر من الآیة هو غفران ما صدر من المکلّف جاهلا بعد التوبة،و لا اختصاص للغفران بعدها </w:t>
      </w:r>
    </w:p>
    <w:p>
      <w:pPr>
        <w:pStyle w:val="BookText"/>
        <w:rPr/>
      </w:pPr>
      <w:r>
        <w:rPr>
          <w:rFonts w:ascii="IRNazanin" w:hAnsi="IRNazanin" w:eastAsia="IRNazanin"/>
          <w:color w:val="111111"/>
          <w:sz w:val="28"/>
          <w:sz w:val="28"/>
          <w:szCs w:val="28"/>
          <w:rtl w:val="true"/>
          <w:lang w:bidi="fa-IR"/>
        </w:rPr>
        <w:t xml:space="preserve">بالجاهل بالمعنی الذی مناسب لعدم المؤاخذة بسببه،بل الغفران </w:t>
      </w:r>
      <w:r>
        <w:rPr>
          <w:rStyle w:val="FootnoteAnchor"/>
          <w:rtl w:val="true"/>
        </w:rPr>
        <w:footnoteReference w:id="476"/>
      </w:r>
      <w:r>
        <w:rPr>
          <w:rFonts w:ascii="IRNazanin" w:hAnsi="IRNazanin" w:eastAsia="IRNazanin"/>
          <w:color w:val="111111"/>
          <w:sz w:val="28"/>
          <w:sz w:val="28"/>
          <w:szCs w:val="28"/>
          <w:rtl w:val="true"/>
          <w:lang w:bidi="fa-IR"/>
        </w:rPr>
        <w:t>بالتوبة یکون بالنسبة إلی العالم المقابل للجاهل بالمعنی الأوّل،فالجهل المذکور فی الآیة غیر الجهل الذی یقال بکون الجاهل بذلک الجهل معذورا فی أمر و غیر معذور فی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بناء کلامه طاب ثراه علی المعنی الأوّل و إن لم یکن مناسبا للمقام،فحینئذ الظاهر أنّ مقصوده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فی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أن یکون تارک الفروع جاهلا غیر مؤاخذ بترکها،و لا ینافی هذا وجوب تدارک بعض ما فعله بعد علمه،لأنّ هذا بتکلیف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یمکن أن یکون تارک بعض الاصول أیضا غیر مؤاخذ کما یظهر من أخبار بعض الأئمّة علیهم السّلام کون إمراة خاصّة من أهل الجنّة و إن لم تعلم ما تعلمون</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أنّه لیس هذا عفوا بل عدم مؤاخذتها بضعف عقلها،لا بکون الجاهل معذورا،بل هی خارجة عن التکلیف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حقّ الناس الذی یحتاج إلی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التدارک تکلیف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إشارة إلی غیر ضعفاء العقول،و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شهادة التائب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قبول التوبة،و یمکن أن یکون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بعض ما ذکرته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یجعل لذلّه جناحا خفیضا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یقول </w:t>
      </w:r>
      <w:r>
        <w:rPr>
          <w:rStyle w:val="FootnoteAnchor"/>
          <w:rtl w:val="true"/>
        </w:rPr>
        <w:footnoteReference w:id="478"/>
      </w:r>
      <w:r>
        <w:rPr>
          <w:rFonts w:ascii="IRNazanin" w:hAnsi="IRNazanin" w:eastAsia="IRNazanin"/>
          <w:color w:val="111111"/>
          <w:sz w:val="28"/>
          <w:sz w:val="28"/>
          <w:szCs w:val="28"/>
          <w:rtl w:val="true"/>
          <w:lang w:bidi="fa-IR"/>
        </w:rPr>
        <w:t>یدلّ خفیضا و أمر بخفضه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برّ الوالدین علی الإسلام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مخالفتهما فی الأمر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من المعصیة جنسها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لا تدلّ علی مخالفتهما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الإشارة إلی المعصیة المذکورة التی هی الشرک فهی و إن دلّت علیها لکنّ التشبیه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تخصیص الشرک إنّما هو لخصوص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الإطاعة فی ما دون الشرک حتی ینافی ظاهر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منع من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أنّ النهی فی وَ لاٰ تَعْضُلُوهُنَّ </w:t>
      </w:r>
      <w:r>
        <w:rPr>
          <w:rStyle w:val="FootnoteAnchor"/>
          <w:rtl w:val="true"/>
        </w:rPr>
        <w:footnoteReference w:id="480"/>
      </w:r>
      <w:r>
        <w:rPr>
          <w:rFonts w:ascii="IRNazanin" w:hAnsi="IRNazanin" w:eastAsia="IRNazanin"/>
          <w:color w:val="111111"/>
          <w:sz w:val="28"/>
          <w:sz w:val="28"/>
          <w:szCs w:val="28"/>
          <w:rtl w:val="true"/>
          <w:lang w:bidi="fa-IR"/>
        </w:rPr>
        <w:t>إمّا نهی عن المنع من النکاح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اللغة</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أو نهی عن المنع عنه لکونه مستحبّا،و المستحب لا یجوز منعه، فحینئذ یتفرّع علیه ما فرّعه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طاعته فی ترک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 الآباء للأبناء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بالأبناء هو الأولاد بعنوان التغلیب،فلو عبّر بها لکان أولی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لطلب </w:t>
      </w:r>
      <w:r>
        <w:rPr>
          <w:rStyle w:val="FootnoteAnchor"/>
          <w:rtl w:val="true"/>
        </w:rPr>
        <w:footnoteReference w:id="482"/>
      </w:r>
      <w:r>
        <w:rPr>
          <w:rFonts w:ascii="Amiri" w:hAnsi="Amiri" w:eastAsia="Amiri" w:cs="Amiri"/>
          <w:color w:val="111111"/>
          <w:sz w:val="28"/>
          <w:sz w:val="28"/>
          <w:szCs w:val="28"/>
          <w:rtl w:val="true"/>
          <w:lang w:bidi="ar-SA"/>
        </w:rPr>
        <w:t>وجه اللّه یرجوها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صاحب الکشّاف الشرط و الجزاء،ثمّ تعرّض لبیان تعلّق اِبْتِغٰاءَ رَحْمَةٍ</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بالجزاء و الشرط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یتعلّق بجواب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هذا المعنی بالوجه الذی قریب ممّا ذکره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یتعلّق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أیضا بما هو قریب ممّا ذکره المصنّف مع بعض الزیادات،و ما ذکره هو الظاهر</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 ظاهر ما ذکره المصنّف رحمه اللّه أنّ هذین الإحتمالین ثان و ثالث لما ذکره أوّلا،و لیس کذلک،بل ما ذکر أوّلا هو الإحتمال الأخیر الذی هو بیان التعلّق بالشرط،و لا فرق بینهما إلاّ ببعض الألفاظ،تدبّر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عودهم فی 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کون إِلاّٰ أَنْ یَشٰاءَ اللّٰهُ کلمة تأبید عدم استفادته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یَکُونُ لَنٰا أَنْ نَعُودَ فِیهٰا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ظاهرا فی التأبید فربّما یتوهّم الکفّار احتمال عدم التأبید،لکن ظهر لهم أنّ رسول اللّه صلّی اللّه علیه و آله لا یدرج جواز عوده صلّی اللّه علیه و آله فی ملّتهم بوجه فی مشیّة اللّه،فتعلیق العود إلی المشیّة تعلیق بالمحال،و هو یدلّ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الأوّل من الوجوه الثلاثة المذکورة لیس فیه مقارنة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معنی کلامه تعالی علی الإحتمال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أفعله فی المستقبل إلاّ أن یأذن اللّه لک،و لا مدخل لمقارنة لفظ إن شاء اللّه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علی الإحتمال الثالث أیضا،لأنّه </w:t>
      </w:r>
      <w:r>
        <w:rPr>
          <w:rStyle w:val="FootnoteAnchor"/>
          <w:rtl w:val="true"/>
        </w:rPr>
        <w:footnoteReference w:id="486"/>
      </w:r>
      <w:r>
        <w:rPr>
          <w:rFonts w:ascii="IRNazanin" w:hAnsi="IRNazanin" w:eastAsia="IRNazanin"/>
          <w:color w:val="111111"/>
          <w:sz w:val="28"/>
          <w:sz w:val="28"/>
          <w:szCs w:val="28"/>
          <w:rtl w:val="true"/>
          <w:lang w:bidi="fa-IR"/>
        </w:rPr>
        <w:t xml:space="preserve">حینئذ </w:t>
      </w:r>
      <w:r>
        <w:rPr>
          <w:rStyle w:val="FootnoteAnchor"/>
          <w:rtl w:val="true"/>
        </w:rPr>
        <w:footnoteReference w:id="487"/>
      </w:r>
      <w:r>
        <w:rPr>
          <w:rFonts w:ascii="IRNazanin" w:hAnsi="IRNazanin" w:eastAsia="IRNazanin"/>
          <w:color w:val="111111"/>
          <w:sz w:val="28"/>
          <w:sz w:val="28"/>
          <w:szCs w:val="28"/>
          <w:rtl w:val="true"/>
          <w:lang w:bidi="fa-IR"/>
        </w:rPr>
        <w:t>یصیر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أفعله بعد إلاّ أن یقارنه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اللّه،و الحال أنّ المعنی الثالث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أفعل کذا أبدا،فأیّ معنی حینئذ لمقارنة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رحمه اللّه أراد بأحد الوجوه الواحد المعیّن الذی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دلالة علی تحریم القصد إلی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لا المطلق و إن کان ظاهر کلامه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بالأوّل هو العلوّ أی تفسیره الذی نقل عن مجمع البیان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قوله زَوَّجْنٰاکَهٰا </w:t>
      </w:r>
      <w:r>
        <w:rPr>
          <w:rStyle w:val="FootnoteAnchor"/>
          <w:rtl w:val="true"/>
        </w:rPr>
        <w:footnoteReference w:id="489"/>
      </w:r>
      <w:r>
        <w:rPr>
          <w:rFonts w:ascii="Amiri" w:hAnsi="Amiri" w:eastAsia="Amiri" w:cs="Amiri"/>
          <w:color w:val="111111"/>
          <w:sz w:val="28"/>
          <w:sz w:val="28"/>
          <w:szCs w:val="28"/>
          <w:rtl w:val="true"/>
          <w:lang w:bidi="ar-SA"/>
        </w:rPr>
        <w:t>الآیة دلالة علی أنّ فعله صلّی اللّه علیه و آله یدلّ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من تعلیله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زَوَّجْنٰاکَهٰا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لاٰ یَکُونَ عَلَی الْمُؤْمِنِینَ حَرَجٌ فِی أَزْوٰاجِ أَدْعِیٰائِهِمْ </w:t>
      </w:r>
      <w:r>
        <w:rPr>
          <w:rStyle w:val="FootnoteAnchor"/>
          <w:rtl w:val="true"/>
        </w:rPr>
        <w:footnoteReference w:id="490"/>
      </w:r>
      <w:r>
        <w:rPr>
          <w:rFonts w:ascii="IRNazanin" w:hAnsi="IRNazanin" w:eastAsia="IRNazanin"/>
          <w:color w:val="111111"/>
          <w:sz w:val="28"/>
          <w:sz w:val="28"/>
          <w:szCs w:val="28"/>
          <w:rtl w:val="true"/>
          <w:lang w:bidi="fa-IR"/>
        </w:rPr>
        <w:t>دلالة فعله صلّی اللّه علیه و آله علی الجواز،و رفع الجرح بالنسبة إلی الامّة،فما یظهر کونه من خصایصه یخصّص عن مقتضی ظاهر هذه الآیة بما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نفی الحرج عنه صلّی اللّه علیه و آله فلم یظهر من هذه الآیة،کما هو ظاهر کلامه رحمه اللّه،بل ذکر فی الآیة التالیة لهذه الآیة،و مع ذلک لا یدلّ علی أنّ نفی الحرج عنه صلّی اللّه علیه و آله یستلزم نفی الحرج عن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معطوفا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ما أورد علی المعطوف علیه،و إن کان معطوفا علی الجواز،فیرد علیه أنّه لا وجه لذکره هاهنا،بل موضعه بعد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بحسب المعنی هذا و إن کان بعیدا بحسب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مثل هذه التصرّفات بالطریق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الأولویّة ممنوعة،فلعلّ إذن الأکل لبعض المصالح المختصّة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مکیلا و لا موزونا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جعل هذه دلیل وجوب 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الوجوب لکن لا بظاهر هذه الآیة،لأنّ هذه الآیة إنّما تدلّ علی مدح جماعة بإیفاء العهد و عدم نقض المیثاق،و المدح کما یکون بفعل الواجبات کذلک یکون بفعل المستحبّات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اشتمال المدایح علی معلوم الوجوب أیضا لا یدلّ علی کون کلّ ما </w:t>
      </w:r>
      <w:r>
        <w:rPr>
          <w:rStyle w:val="FootnoteAnchor"/>
          <w:rtl w:val="true"/>
        </w:rPr>
        <w:footnoteReference w:id="491"/>
      </w:r>
      <w:r>
        <w:rPr>
          <w:rFonts w:ascii="IRNazanin" w:hAnsi="IRNazanin" w:eastAsia="IRNazanin"/>
          <w:color w:val="111111"/>
          <w:sz w:val="28"/>
          <w:sz w:val="28"/>
          <w:szCs w:val="28"/>
          <w:rtl w:val="true"/>
          <w:lang w:bidi="fa-IR"/>
        </w:rPr>
        <w:t>مدح به واجبا و إن ضمّ إلی المدح بهما وعید فعل مقابلهما منضمّا بمقابل غیرهما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w:t>
      </w:r>
    </w:p>
    <w:p>
      <w:pPr>
        <w:pStyle w:val="BookText"/>
        <w:rPr/>
      </w:pPr>
      <w:r>
        <w:rPr>
          <w:rFonts w:ascii="Amiri" w:hAnsi="Amiri" w:eastAsia="Amiri" w:cs="Amiri"/>
          <w:color w:val="111111"/>
          <w:sz w:val="28"/>
          <w:sz w:val="28"/>
          <w:szCs w:val="28"/>
          <w:rtl w:val="true"/>
          <w:lang w:bidi="ar-SA"/>
        </w:rPr>
        <w:t xml:space="preserve">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492"/>
      </w:r>
      <w:r>
        <w:rPr>
          <w:rFonts w:ascii="IRNazanin" w:hAnsi="IRNazanin" w:eastAsia="IRNazanin"/>
          <w:color w:val="111111"/>
          <w:sz w:val="28"/>
          <w:sz w:val="28"/>
          <w:szCs w:val="28"/>
          <w:rtl w:val="true"/>
          <w:lang w:bidi="fa-IR"/>
        </w:rPr>
        <w:t>یقوّی الدلالة،لبعد حلّیّة کلّ واحد من الامور المذکورة و تعلّق الوعید بالمجموع،أو حلّیّة بعض منها و تعلّق الوعید بالباقی أو المجموع عن ظاهر الاسلوب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وجوب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؛الإستدلال علی الوجوب بالمدح و بعض المقارنات لا یخلو من إشکال کما أومأت إلیه،و تعمیمه رحمه اللّه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أَنْفَقُوا </w:t>
      </w:r>
      <w:r>
        <w:rPr>
          <w:rStyle w:val="FootnoteAnchor"/>
          <w:rtl w:val="true"/>
        </w:rPr>
        <w:footnoteReference w:id="49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و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یؤیّد ما ذکرته،و تخصیص الصلاة فی وَ أَقٰامُوا الصَّلاٰةَ </w:t>
      </w:r>
      <w:r>
        <w:rPr>
          <w:rStyle w:val="FootnoteAnchor"/>
          <w:rtl w:val="true"/>
        </w:rPr>
        <w:footnoteReference w:id="494"/>
      </w:r>
      <w:r>
        <w:rPr>
          <w:rFonts w:ascii="IRNazanin" w:hAnsi="IRNazanin" w:eastAsia="IRNazanin"/>
          <w:color w:val="111111"/>
          <w:sz w:val="28"/>
          <w:sz w:val="28"/>
          <w:szCs w:val="28"/>
          <w:rtl w:val="true"/>
          <w:lang w:bidi="fa-IR"/>
        </w:rPr>
        <w:t>بالفرائض غیر ظاهر،و علی تقدیر احتمال التعمیم یضعف استدلاله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التّعمیم ألیق بسیاق المدح،و لا یبعد أن یقال القائل الذی فسّر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أَقٰامُوا الصَّلاٰةَ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مقتضی ظاهر السیاق الذی أومأت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الحکم بالإبهام </w:t>
      </w:r>
      <w:r>
        <w:rPr>
          <w:rStyle w:val="FootnoteAnchor"/>
          <w:rtl w:val="true"/>
        </w:rPr>
        <w:footnoteReference w:id="495"/>
      </w:r>
      <w:r>
        <w:rPr>
          <w:rFonts w:ascii="Amiri" w:hAnsi="Amiri" w:eastAsia="Amiri" w:cs="Amiri"/>
          <w:color w:val="111111"/>
          <w:sz w:val="28"/>
          <w:sz w:val="28"/>
          <w:szCs w:val="28"/>
          <w:rtl w:val="true"/>
          <w:lang w:bidi="ar-SA"/>
        </w:rPr>
        <w:t>مع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شیئا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بسبب بعد عموم المدح الذی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Style w:val="FootnoteAnchor"/>
          <w:rtl w:val="true"/>
        </w:rPr>
        <w:footnoteReference w:id="496"/>
      </w:r>
      <w:r>
        <w:rPr>
          <w:rFonts w:ascii="IRNazanin" w:hAnsi="IRNazanin" w:eastAsia="IRNazanin"/>
          <w:color w:val="111111"/>
          <w:sz w:val="28"/>
          <w:sz w:val="28"/>
          <w:szCs w:val="28"/>
          <w:rtl w:val="true"/>
          <w:lang w:bidi="fa-IR"/>
        </w:rPr>
        <w:t>علی وجه یصدق علی کلّ من صلّی صلاة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ظاهر اللفظ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جوّز التخصیص فی شیئا من القرآن أو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لا یظهر المقصود،فیحصل فیه الإبهام و البعد الظاهر،و إن کان الإحتمال الأوّل أبعد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فی الصحیح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 الخبر إنّما یصحّ </w:t>
      </w:r>
    </w:p>
    <w:p>
      <w:pPr>
        <w:pStyle w:val="BookText"/>
        <w:rPr/>
      </w:pPr>
      <w:r>
        <w:rPr>
          <w:rFonts w:ascii="IRNazanin" w:hAnsi="IRNazanin" w:eastAsia="IRNazanin"/>
          <w:color w:val="111111"/>
          <w:sz w:val="28"/>
          <w:sz w:val="28"/>
          <w:szCs w:val="28"/>
          <w:rtl w:val="true"/>
          <w:lang w:bidi="fa-IR"/>
        </w:rPr>
        <w:t>إن کان معنی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الصدقة زایدا عن الحدّ اللایق،بحیث یحکم بالإسراف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خروجه عن عرض الإعتدال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تسرف واقعا،لأنّه لا إسراف فی الصدقة و الخیر مطلقا،و هو بعید،بل الظاهر أنّ المطلوب هو أمر بین الرذیلتین اللتین هما الإسراف و التقتیر،و رعایة الوسط الحقیقی متعسّر أو متعذّر،فالخروج عن الوسط حتّی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مطلوب،لا الخروج و الإسراف حقیقة،بل بعنوان المجاز باعتبار القرب إلیه بحیث لم ینته إلی الإسراف،و لعلّ هذا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قَوٰاماً </w:t>
      </w:r>
      <w:r>
        <w:rPr>
          <w:rStyle w:val="FootnoteAnchor"/>
          <w:rtl w:val="true"/>
        </w:rPr>
        <w:footnoteReference w:id="498"/>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بکون قواما مستقرّا کونه ظرفا مستقرّا،لانتفاء الظرفیّة عنه،و مع ظهوره فی نفسه یدلّ قوله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قَوٰاماً حالا بعد التعبیر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بالظرف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الظرف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إرادة الظرف المستقرّ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المراد بالمستقرّ هو متعلّق الظرف، لاستقرار الضمیر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لیستا بمتساویتین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من کلامه رحمه اللّه و من الکشّاف منفعة جعل مراتب السیّئة متفاوتة هاهنا،فلعلّهما لم یتعرّضا لبیانها،لعدم ظهورها،فلا یبعد جعله مؤیّدا لاحتمال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الفاء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؛تأییده إنّما یصحّ لو کان علی الأوّل التفریع أظهر من الإستیناف،و هو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إرادة تفاوت مراتب الحسنة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تَسْتَوِی الْحَسَنَةُ </w:t>
      </w:r>
      <w:r>
        <w:rPr>
          <w:rStyle w:val="FootnoteAnchor"/>
          <w:rtl w:val="true"/>
        </w:rPr>
        <w:footnoteReference w:id="499"/>
      </w:r>
      <w:r>
        <w:rPr>
          <w:rFonts w:ascii="IRNazanin" w:hAnsi="IRNazanin" w:eastAsia="IRNazanin"/>
          <w:color w:val="111111"/>
          <w:sz w:val="28"/>
          <w:sz w:val="28"/>
          <w:szCs w:val="28"/>
          <w:rtl w:val="true"/>
          <w:lang w:bidi="fa-IR"/>
        </w:rPr>
        <w:t>کان التفریع المناسب بحسب عقولنا عند ترک الإستیناف فادفع بها أی بالحسنة التی لها مراتب السیّئة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المراد بالظنّ هاهنا معناه المشهور،و هو رجحان صدور راجح الصدور عنه تعالی مع تجویز ترکه،لأنّ هذا التجویز لا معنی له أصلا،لأنّ ما علم أنّ فی صدوره عنه تعالی رجحان بحسب نفس الأمر سواء </w:t>
      </w:r>
    </w:p>
    <w:p>
      <w:p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500"/>
      </w:r>
      <w:r>
        <w:rPr>
          <w:rFonts w:ascii="IRNazanin" w:hAnsi="IRNazanin" w:eastAsia="IRNazanin"/>
          <w:color w:val="111111"/>
          <w:sz w:val="28"/>
          <w:sz w:val="28"/>
          <w:szCs w:val="28"/>
          <w:rtl w:val="true"/>
          <w:lang w:bidi="fa-IR"/>
        </w:rPr>
        <w:t xml:space="preserve">باستقلال العقل فی الرجحان أو بإعلام من علم صدقه یعلم وجوب صدوره عنه تعالی،بل معناه العلم،أی یجب العلم </w:t>
      </w:r>
      <w:r>
        <w:rPr>
          <w:rStyle w:val="FootnoteAnchor"/>
          <w:rtl w:val="true"/>
        </w:rPr>
        <w:footnoteReference w:id="501"/>
      </w:r>
      <w:r>
        <w:rPr>
          <w:rFonts w:ascii="IRNazanin" w:hAnsi="IRNazanin" w:eastAsia="IRNazanin"/>
          <w:color w:val="111111"/>
          <w:sz w:val="28"/>
          <w:sz w:val="28"/>
          <w:szCs w:val="28"/>
          <w:rtl w:val="true"/>
          <w:lang w:bidi="fa-IR"/>
        </w:rPr>
        <w:t>بصدور أمر بخصوصه عن اللّه تعالی إن علم خیریّة صدوره عنه بخصوصه،و بصدور أمر ما تحقّق الخیریّة فی صدوره عنه تعالی بحسب نفس الأمر و لم یعلم مفصّلا،و قس علیه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الظنّ فی الآیة معناه المتعارف،لا ما یطلق علیه الظنّ،فلیس تقیید الأمر بالإجتناب عن الظنّ بالکثیر لإخراج حسن الظنّ باللّه،لعدم اندراجه فی الظنّ المقصود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یخالفه قاطع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یخالفه قاطع إمّا عن الغفلة عن أصل القاطع،أو عن کونه قاطعا،و منشأ کلّ منهما هو التقصیر من الظانّ،فلا یرد أنّ حصول الظنّ فی ما فیه قاطع متعذّر،لأنّ التعذّر إنّما هو عند العلم بأصل القاطع و بکونه قاطعا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إمّا للاستغراق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ظاهر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للعهد إلی المؤمنین الذین تحقّق فیهم الإمارة الدالّة علی اتّصافهم ببعض الامور الغیر اللایقة دلالة ظنیّة،لعدم مناسبة الحقیقة و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فی غایة البعد،لعدم حصول سوء </w:t>
      </w:r>
      <w:r>
        <w:rPr>
          <w:rStyle w:val="FootnoteAnchor"/>
          <w:rtl w:val="true"/>
        </w:rPr>
        <w:footnoteReference w:id="502"/>
      </w:r>
      <w:r>
        <w:rPr>
          <w:rFonts w:ascii="IRNazanin" w:hAnsi="IRNazanin" w:eastAsia="IRNazanin"/>
          <w:color w:val="111111"/>
          <w:sz w:val="28"/>
          <w:sz w:val="28"/>
          <w:szCs w:val="28"/>
          <w:rtl w:val="true"/>
          <w:lang w:bidi="fa-IR"/>
        </w:rPr>
        <w:t>الظنّ بالنسبة إلی جمیع المؤمنین لمؤمن حتّی یحتاج إلی الحکم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فالثانی هو الظاهر و فیه إشکال،لأنّه بعد تحقّق الإمارة الظنیّة الدّالة علی أمر و الاطّلاع علیها یحصل الظنّ بما تدلّ علیه بلا اختیار،فکیف یحرم؟فلعلّ المقصود عدم الحکم بما هو مقتضی ظاهر الإمارات،و توجیه ما قابل التوجیه بعنوان الإحتمال،لا الحکم بعدم الإتّصاف،بل و لا الظنّ به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أن یکون المقصود النهی عن حمل أفعال المؤمنین علی المحامل الفاسدة و إن </w:t>
      </w:r>
    </w:p>
    <w:p>
      <w:pPr>
        <w:pStyle w:val="BookText"/>
        <w:rPr/>
      </w:pPr>
      <w:r>
        <w:rPr>
          <w:rFonts w:ascii="IRNazanin" w:hAnsi="IRNazanin" w:eastAsia="IRNazanin"/>
          <w:color w:val="111111"/>
          <w:sz w:val="28"/>
          <w:sz w:val="28"/>
          <w:szCs w:val="28"/>
          <w:rtl w:val="true"/>
          <w:lang w:bidi="fa-IR"/>
        </w:rPr>
        <w:t>کان بعنوان الظنّ و الرجحان مع عدم دلالة الإمارة علیها أو دلالة الإمارة علی خلافها کما هو دأب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مبالغات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الإستفهام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التقریر تقریر ادّعائی بأنّ الفعل الإختیاری یدلّ علی محبّة الفاعل هذا الفعل،و محبّته مناسب لمحبّة مثله،ففعلکم الغیبة یدلّ علی محبّتکم إیّاه،و محبّته مناسب لمحبّة مثله الذی هو أکل اللحم المذکور،و تحبّون الأوّل فتحبّون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الإستفهام انکاریّا و یکون المقصود أنّ ما تنالون من عرض المغتاب بمنزلة أکل لحمه میتا و لا تحبّون أکله،فلم تفعلون ما هو مثله؟و ظاهر أنّ الإنکار واقع فی موقعه بخلاف التقریر کما عرفت؛فالإحتمال الثانی أظهر،و ما ذکره رحمه اللّه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إن 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یمکنکم إنکار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مناسب للاحتمال الذی ذکرته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وجه التأمّل أنّ الأخ فی لَحْمَ أَخِیهِ </w:t>
      </w:r>
      <w:r>
        <w:rPr>
          <w:rStyle w:val="FootnoteAnchor"/>
          <w:rtl w:val="true"/>
        </w:rPr>
        <w:footnoteReference w:id="503"/>
      </w:r>
      <w:r>
        <w:rPr>
          <w:rFonts w:ascii="IRNazanin" w:hAnsi="IRNazanin" w:eastAsia="IRNazanin"/>
          <w:color w:val="111111"/>
          <w:sz w:val="28"/>
          <w:sz w:val="28"/>
          <w:szCs w:val="28"/>
          <w:rtl w:val="true"/>
          <w:lang w:bidi="fa-IR"/>
        </w:rPr>
        <w:t>أعمّ من الفاجر لأنّ المراد به هو الفرقة الإمامیّة الإثنی عشریّة،فغیبته منهیّة فی الآیة، فالحکم بجوازها بهذه الروایة خارج عن القانون،فوجّه بما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جواز غیبة الفاجر إذا کان الغرض منها حذر الناس بل رجحانه حینئذ مطلقا و الحکم بجواز غیبة المستخفی بالفجور للغرض المذکور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یحمل الفاجر علی من ظهر فجوره و اشتهر به و حینئذ الأمر بذکره لا اشکال لأنّ ذکره بالحقارة و النقص قد ینفع السامعین کما هو مقتضی یحذره الناس و قد ینتفع هو أیضا بلا مفسدة خوف کونه منهیّا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حمل کلامه رحمه اللّه علی هذا و حینئذ لعلّ تقیید قوله رحمه اللّه مع الحاجة للرجحان الذی یظهر من الأمر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أصل الجواز</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نعم،ینافیه مؤاخذة العاقلة فی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یفسّر الذر </w:t>
      </w:r>
    </w:p>
    <w:p>
      <w:pPr>
        <w:pStyle w:val="BookText"/>
        <w:rPr/>
      </w:pPr>
      <w:r>
        <w:rPr>
          <w:rFonts w:ascii="IRNazanin" w:hAnsi="IRNazanin" w:eastAsia="IRNazanin"/>
          <w:color w:val="111111"/>
          <w:sz w:val="28"/>
          <w:sz w:val="28"/>
          <w:szCs w:val="28"/>
          <w:rtl w:val="true"/>
          <w:lang w:bidi="fa-IR"/>
        </w:rPr>
        <w:t>بالإثم و قد یفسّر بالثقل و قد فسّره رحمه اللّه بالمعنی الأوّل 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 أحد بذنب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عرفت أنّه لا یصحّ قوله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لیس فعل الخطا سببا للإثم أصلا لا بالنسبة إلی فاعل الخطأ و لا بالنسبة إلی عاقلته و لعلّه رحمه اللّه حکم بالمنافاة باعتبار معنی آخر للوزر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إمّا أن یکون هذا المعنی مرادا من اللفظ مع المعنی الأوّل أو بانفراده،و ینافی الثانی تفسیره،و لو قطعنا النظر عنه کون المقصود من اللفظ هو المعنی الثانی غیر ظاهر حتّی ینافی حکم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أیضا خلاف ظاهر تفسیره،و لو لم یقل بکونه خلافه لکان الإحتمال الأوّل فی غایة البعد لو جوّزنا هاهنا بلا قرینة دالّة علیه،فکیف یحمل علیه حتّی ینافی حکم العاقلة؟</w:t>
      </w:r>
    </w:p>
    <w:p>
      <w:pPr>
        <w:pStyle w:val="BookText"/>
        <w:rPr/>
      </w:pPr>
      <w:r>
        <w:rPr>
          <w:rFonts w:ascii="IRNazanin" w:hAnsi="IRNazanin" w:eastAsia="IRNazanin"/>
          <w:color w:val="111111"/>
          <w:sz w:val="28"/>
          <w:sz w:val="28"/>
          <w:szCs w:val="28"/>
          <w:rtl w:val="true"/>
          <w:lang w:bidi="fa-IR"/>
        </w:rPr>
        <w:t>و أیضا علی هذا الإحتمال ظنّ المنافاة إنّما هو باشتماله علی الثقل،و حمل العاقلة ثقل المخطیء إنّما یصحّ لو وجب علی المخطیء الثقل الذی هو وجوب الدیة،و الثقل منه إلی العاقلة،و لیس کذلک؛و کونه مترتّبا علی فعل المخطیء لا یدلّ علی کون هذا الثقل ثقل المخطیء،و هذا الإعتراض وارد علی فرض إرادة المعنی الثانی بانفراده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الإحتمال فی غایة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أنّ المزایا الکاملة و الإنتفاع التامّ إنّما یکونان بفعل نفسه،و ما یصل إلی أحد بفعل غیره و إن کان عظیما فهو فی جنب ما یکتسب المؤمن بنفسه حقیر کانّه لیس شیئا، فلا یبعد أن یکون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Style w:val="FootnoteAnchor"/>
          <w:rtl w:val="true"/>
        </w:rPr>
        <w:footnoteReference w:id="505"/>
      </w:r>
      <w:r>
        <w:rPr>
          <w:rFonts w:ascii="IRNazanin" w:hAnsi="IRNazanin" w:eastAsia="IRNazanin"/>
          <w:color w:val="111111"/>
          <w:sz w:val="28"/>
          <w:sz w:val="28"/>
          <w:szCs w:val="28"/>
          <w:rtl w:val="true"/>
          <w:lang w:bidi="fa-IR"/>
        </w:rPr>
        <w:t>إشارة إلی حقارة فعل الغیر بالنسبة إلی فعله حتّی لا یتساهل المؤمن فی السعی،و لا یکل ما یقدر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نهیا عن الإستغزار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؛للاستغزار صورتان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المواهبة بین اثنین بزیادة إحدیهما بإرادة من المتواهبین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یهب أحد أحدا شیئا لتوقّع هبة أزید ممّا وهبه،و هذا نوع طلب فعلی شایع من بعض الناس،و الجایز بلا کراهة إنّما هو القسم الأوّل،و عدم کراهة القسم الثانی بعید،کیف و هو فعل یدلّ علی دناءة الهمّة و خسّة النفس،بل لا یبعد حرمته فی بعض الصور مثل أن یعلم أحد یهب أنّ الآخر لا یرضی بهذه الهبة،لأنّ رعایة العرض مانعة له عن الرد و عن المکافاة بالمثل،بل تلجئه رعایة العرض و الخوف من الألسنة إلی إعطاء الزائد من غیر رضا به،و ما ینقله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معلوم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الإحتمال الأوّل،و الظاهر أنّ من حمل النهی علی النهی عن الاستغزار مراده النهی علی الاستغزار بالمعنی الثانی،فالنهی علی هذا الإحتمال یمکن أن یکون تنزیهیّا و أن یکون تحریمیّا کما أومأت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الحرمة لا یلزم أن یکون من خصایصه صلّی اللّه علیه و آله کما أومأت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أبطل البدلیّة بما أبطله قال رحمه اللّه فیحتمل أن یکون سبب الجزم أحد الأمرین الآتیین،و یحتمل أن یکون مراد من قال بالبدلیّة بدلیّة الفعل عن الفعل،لا الجملة التی هی الفعل مع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بلا طعام مع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بالعموم مطلقا مشکل،کیف و الروایة تدلّ علی الإبتداء بمن یعدل،فإن لم یکن المعطی لقوته کلّ واحد منهم بعد أمیر المؤمنین علیهم السّلام کان إعطاؤه علیه السّلام الکلّ بعلمه علیه السّلام برضاهم علیهم السّلام به و رغبتهم فیه،و إلاّ لم یعط سهامهم السائل مع احتیاجهم التامّ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رحمه اللّه قصد ما یوافق الفرض المذکور فی رضا الأهل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ظاهر الروایة إطعامهم علیهم السّلام لا خصوص أمیر المؤمنین علیه السّلام و أنّ طلب السائل أیضا لم یختصّ به علیه السّلام حیث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أطعمونی</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فی السؤال،و آثروه فی الإطعام، و کلامه رحمه اللّه هاهنا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بلا طعام مع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 هناک حیث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أعظم المرغّبات فی الإطعام ما فعله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الإطعام به علیه السّلام و لعلّ مراده رحمه اللّه لیس 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و ما ورد من الروایة فی تفسیرها مع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 من فعل أمیر المؤمنین و فاطمة و الحسنین علیهم السّلام من بذل قوت لیال لا یدلّ علی جواز أن یجعل الغنی نفسه فقیرا بفعل الخیرات و المبرّات، و کیف الرجحان و الروایة الدالّة علی عدم استجابة دعاء مثله فی طلب الرزق مؤیّدة لما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یبعد استنباط حسن </w:t>
      </w:r>
      <w:r>
        <w:rPr>
          <w:rStyle w:val="FootnoteAnchor"/>
          <w:rtl w:val="true"/>
        </w:rPr>
        <w:footnoteReference w:id="507"/>
      </w:r>
      <w:r>
        <w:rPr>
          <w:rFonts w:ascii="IRNazanin" w:hAnsi="IRNazanin" w:eastAsia="IRNazanin"/>
          <w:color w:val="111111"/>
          <w:sz w:val="28"/>
          <w:sz w:val="28"/>
          <w:szCs w:val="28"/>
          <w:rtl w:val="true"/>
          <w:lang w:bidi="fa-IR"/>
        </w:rPr>
        <w:t>إعطاء قوت نفسه،و تحمّل مشقّة الجوع التی یترتّب علیه،مع القدرة علی تحمّل مشقّة الجوع،و عدم حصول الإضطراب فی النفس،کما هو الواقع فی حقّه علیه السّلام و حسن جعل الغنی ببذل کلّ المال فی وجوه البرّ نفسه فقیرا لا یظهر من هذه الآیة،و الدلیل الشرعی یدلّ علی عدم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یفهم من سوق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ترکه موجب للعقاب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اللّه تعالی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کلام </w:t>
      </w:r>
      <w:r>
        <w:rPr>
          <w:rStyle w:val="FootnoteAnchor"/>
          <w:rtl w:val="true"/>
        </w:rPr>
        <w:footnoteReference w:id="509"/>
      </w:r>
      <w:r>
        <w:rPr>
          <w:rFonts w:ascii="IRNazanin" w:hAnsi="IRNazanin" w:eastAsia="IRNazanin"/>
          <w:color w:val="111111"/>
          <w:sz w:val="28"/>
          <w:sz w:val="28"/>
          <w:szCs w:val="28"/>
          <w:rtl w:val="true"/>
          <w:lang w:bidi="fa-IR"/>
        </w:rPr>
        <w:t>فی وجوب الإیفاء بالنذر،لکن دلالة سوق الآیة علیه غیر ظاهرة، لأنّه لم یدلّ الآیة علی أنّ إیفاء النذر للخوف المذکور،بل یدلّ علی اتّصافهم بالصفتین الشریفتین،و ظاهر أنّ الاتّصاف بهاتین الصفتین موجب للمدح و إن لم یکن الاتصاف بالأوّل،بل و لا شیء منهما واجبا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سبب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 أیضا نوع من العبادة،فالظاهر أنّ أمیر المؤمنین علیه السّلام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عبدتک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یطعم </w:t>
      </w:r>
      <w:bookmarkStart w:id="177" w:name="pg12937_139179"/>
    </w:p>
    <w:p>
      <w:pPr>
        <w:pStyle w:val="BookText"/>
        <w:rPr/>
      </w:pPr>
      <w:bookmarkEnd w:id="177"/>
      <w:r>
        <w:rPr>
          <w:rFonts w:ascii="IRNazanin" w:hAnsi="IRNazanin" w:eastAsia="IRNazanin"/>
          <w:color w:val="111111"/>
          <w:sz w:val="28"/>
          <w:sz w:val="28"/>
          <w:szCs w:val="28"/>
          <w:rtl w:val="true"/>
          <w:lang w:bidi="fa-IR"/>
        </w:rPr>
        <w:t>إلاّ لوجه اللّه و امتثال أمره،لا لخوف النار،فالظاهر هو الوجه الأوّل الذی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نخاف بقصد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لا یدلّ علی أنّ الإطعام للخوف،بل یدلّ علی أنّه یخاف من قصد غیر الربّ و إن کان الداعی علی الإطعام هو محض الإمتثال لا الخوف</w:t>
      </w:r>
      <w:r>
        <w:rPr>
          <w:rFonts w:eastAsia="IRNazanin" w:cs="IRNazanin"/>
          <w:color w:val="111111"/>
          <w:sz w:val="28"/>
          <w:szCs w:val="28"/>
          <w:rtl w:val="true"/>
          <w:lang w:bidi="fa-IR"/>
        </w:rPr>
        <w:t>.</w:t>
      </w:r>
    </w:p>
    <w:p>
      <w:pPr>
        <w:pStyle w:val="Heading3"/>
        <w:numPr>
          <w:ilvl w:val="2"/>
          <w:numId w:val="1"/>
        </w:numPr>
        <w:rPr/>
      </w:pPr>
      <w:bookmarkStart w:id="178" w:name="__RefHeading___Toc4066903_3224264995"/>
      <w:bookmarkStart w:id="179" w:name="_Toc65"/>
      <w:bookmarkEnd w:id="178"/>
      <w:r>
        <w:rPr>
          <w:rtl w:val="true"/>
        </w:rPr>
        <w:t>کتاب البیع</w:t>
      </w:r>
      <w:bookmarkEnd w:id="179"/>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لو کان الإستثناء متّصلا لزم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التکلّف فی جعل الإستثناء متّصلا بأنّ التصرّف فی الأموال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التجارة،و غیرها، و المباح منه إنّما هو التجارة،و المراد أنّه لا تأکلوا أموالکم بوجه من الوجوه إلاّ أن تکون تجارة،فعبّر بدل وجه من الوجوه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w:t>
      </w:r>
      <w:r>
        <w:rPr>
          <w:rStyle w:val="FootnoteAnchor"/>
          <w:rtl w:val="true"/>
        </w:rPr>
        <w:footnoteReference w:id="512"/>
      </w:r>
      <w:r>
        <w:rPr>
          <w:rFonts w:ascii="IRNazanin" w:hAnsi="IRNazanin" w:eastAsia="IRNazanin"/>
          <w:color w:val="111111"/>
          <w:sz w:val="28"/>
          <w:sz w:val="28"/>
          <w:szCs w:val="28"/>
          <w:rtl w:val="true"/>
          <w:lang w:bidi="fa-IR"/>
        </w:rPr>
        <w:t>،لأنّ الباقی بعد استثناء التجارة هو الباطل،و إن کان المقصود هاهنا هو الأعمّ لیدخل التجارة أیضا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هذا التکلّف البعید لو لم نقل بعدم صحّته لزم التأویل فی جعل غیر التجارة حراما بأنّ التصرّف المحلّل الشایع فی أموال الناس عند نزولها إنّما کان هو التجارة،و الصواب ترک التکلّفات الباردة، و جعل الإستثناء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یقال فی توجیه کون الإستثناء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بِالْبٰاطِلِ و یستثنی التجارة من المجموع،و التأویل المذکور بحاله،و هذا أیضا لیس بشیء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ضمیر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لم تذکر صریحة، و لا غیرها،لأنّ النهی عن أکل الأموال بالباطل لا یدلّ علی التجارة،و إرجاع الضمیر إلی التجارة الآتیة خارج عن القانون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تدلّ علی عدم جواز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 الأکل بالباطل فی مقابل التجارة الظاهر فی کون غیر التجارة منهیّا و أکلا بالباطل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 </w:t>
      </w:r>
      <w:r>
        <w:rPr>
          <w:rStyle w:val="FootnoteAnchor"/>
          <w:rtl w:val="true"/>
        </w:rPr>
        <w:footnoteReference w:id="51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النهی و أعتقد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لإبقاء الخلود علی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حکایة عن الحال الماضیة أی کانوا یقولون بحلّیّة الربا قبل نزول الآیة فوعید الخلود باعتبار العود إلی الربا و أخذه بعد العلم بحرمته،و المناسب حینئذ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w:t>
      </w:r>
      <w:r>
        <w:rPr>
          <w:rStyle w:val="FootnoteAnchor"/>
          <w:rtl w:val="true"/>
        </w:rPr>
        <w:footnoteReference w:id="516"/>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فَانْتَهیٰ و حمل اللفظین علی ظاهرهما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أنّهم یقولون بحلّیّة الربا بعد نزول الآیة و علمهم به فهو کفر و موجب لخلود النار و إن لم یعودوا فی أکل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مدخلیّة العود فی سببیّة الخلود إن لم نقل بکونه ظاهرا فی استقلاله بها،فالظاهر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و تفسیرهما بما هما ظاهران فیه،و التأویل فی الخلود بما یذکره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مسامحة فی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شیء،لأنّ من لم یقبل تحریمه و إن لم یأکل الربا مخلّد فی النار،و لیس داخلا فی الحصر کما هو ظاهر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بالعود الرجوع إلی أکل الربا و عدم قبول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 عن الحصر بناء علی تفسیره فی غایة البعد</w:t>
      </w:r>
      <w:r>
        <w:rPr>
          <w:rFonts w:eastAsia="IRNazanin" w:cs="IRNazanin"/>
          <w:color w:val="111111"/>
          <w:sz w:val="28"/>
          <w:szCs w:val="28"/>
          <w:rtl w:val="true"/>
          <w:lang w:bidi="fa-IR"/>
        </w:rPr>
        <w:t xml:space="preserve">. </w:t>
      </w:r>
      <w:bookmarkStart w:id="180" w:name="pg12937_139181"/>
    </w:p>
    <w:p>
      <w:pPr>
        <w:pStyle w:val="BookText"/>
        <w:rPr/>
      </w:pPr>
      <w:bookmarkEnd w:id="18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کان کذلک لما ساغ الدم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إِنَّمَا الْبَیْعُ مِثْلُ الرِّبٰا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یَجْعَلَ اللّٰهُ لِلْکٰافِرِینَ عَلَی الْمُؤْمِنِینَ سَبِیلاً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انتفی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انتفی السبیل کما هو مقتضی استدلال أصحابه علی فساد شری الکافر المسلم فما بقی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ثان علی العجب من القاضی،و لیس بین الدلیلین فرق یناسب جعلهما به دلیلین،لأنّ مآل ما ذکره فی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انتفی السبیل فما بقی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مآل ما ذکره فی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سلّم زواله،لأنّه سبیل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وضع المقدّم فی الأوّل مقصود أی لکن انتفی السبیل عنده کما یدلّ علیه نسبته الإستدلال إلی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تتمّة الدلیل الأوّل المبالغة فی إنکار عود الزوجیّة کما هو مقتضی التعبیر بکیف،و من تتمّة الدلیل الثانی علی العجب زیادة تفصیل،و أمثال هذه المخالفة لا تکفی فی جعلهما دلیلین</w:t>
      </w:r>
      <w:r>
        <w:rPr>
          <w:rFonts w:eastAsia="IRNazanin" w:cs="IRNazanin"/>
          <w:color w:val="111111"/>
          <w:sz w:val="28"/>
          <w:szCs w:val="28"/>
          <w:rtl w:val="true"/>
          <w:lang w:bidi="fa-IR"/>
        </w:rPr>
        <w:t>.</w:t>
      </w:r>
    </w:p>
    <w:p>
      <w:pPr>
        <w:pStyle w:val="Heading3"/>
        <w:numPr>
          <w:ilvl w:val="2"/>
          <w:numId w:val="1"/>
        </w:numPr>
        <w:rPr/>
      </w:pPr>
      <w:bookmarkStart w:id="181" w:name="__RefHeading___Toc4066905_3224264995"/>
      <w:bookmarkStart w:id="182" w:name="_Toc66"/>
      <w:bookmarkEnd w:id="181"/>
      <w:r>
        <w:rPr>
          <w:rtl w:val="true"/>
        </w:rPr>
        <w:t>کتاب الدین و توابعه</w:t>
      </w:r>
      <w:bookmarkEnd w:id="182"/>
    </w:p>
    <w:p>
      <w:pPr>
        <w:pStyle w:val="Heading4"/>
        <w:numPr>
          <w:ilvl w:val="3"/>
          <w:numId w:val="1"/>
        </w:numPr>
        <w:rPr/>
      </w:pPr>
      <w:bookmarkStart w:id="183" w:name="__RefHeading___Toc4066907_3224264995"/>
      <w:bookmarkStart w:id="184" w:name="_Toc67"/>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تَدٰایَنْتُمْ بِدَیْنٍ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قد یمنع حصر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هذه المادّة لازم،و الثانی فیها متعدّ،و هذا کاف له هاهنا،و یمکن حمل اللام فی التفاعل و المفاعلة علی العهد،و حینئذ یرجع إلی ما ذکرته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إرجاع الضمیر إلی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تداینتم بدین إلی أجل مسمّی و أیّ حاجة إلی ذکر الدین کما قاله داینت أروی،و لم یقل بدین؟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لیرجع الضمیر إلیه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فَاکْتُبُوهُ </w:t>
      </w:r>
      <w:r>
        <w:rPr>
          <w:rStyle w:val="FootnoteAnchor"/>
          <w:rtl w:val="true"/>
        </w:rPr>
        <w:footnoteReference w:id="520"/>
      </w:r>
      <w:r>
        <w:rPr>
          <w:rFonts w:ascii="IRNazanin" w:hAnsi="IRNazanin" w:eastAsia="IRNazanin"/>
          <w:color w:val="111111"/>
          <w:sz w:val="28"/>
          <w:sz w:val="28"/>
          <w:szCs w:val="28"/>
          <w:rtl w:val="true"/>
          <w:lang w:bidi="fa-IR"/>
        </w:rPr>
        <w:t>إذ لو لم یذکر لوجب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فاکتبوا الدین،فلم یکن النظم بذلک الحسن،و لأنّه أبین لتنویع الدین إلی مؤجّل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ظاهر ما ذکره صاحب الکشّاف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یذکر لوجب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عن هذا التوجیه،لأنّه لو لم یذکر بدین کان المستحسن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فاکتبوا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وجّهه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الواجب،علی ما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فی مقام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صاحب الکشّاف من الوجوب هو الحسن الذی یجب رعایته فی الکلام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هذا،فیه أنّ حسن الذکر بالنسبة إلی إرجاع الضمیر إلی المصدر غیر مسلّم إلاّ أن یکون للذکر نکتة مثل الإشارة إلی تنویع الدین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فالوجه هو النکتة،لا إرجاع الضمیر،فإیراد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موقعه</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لمجرد التأکید کما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یَطِیرُ بِجَنٰاحَیْهِ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لمجرّد التأکید،بل یترتّب علیه التعمیم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ذکر بِدَیْنٍ </w:t>
      </w:r>
      <w:r>
        <w:rPr>
          <w:rStyle w:val="FootnoteAnchor"/>
          <w:rtl w:val="true"/>
        </w:rPr>
        <w:footnoteReference w:id="524"/>
      </w:r>
      <w:r>
        <w:rPr>
          <w:rFonts w:ascii="IRNazanin" w:hAnsi="IRNazanin" w:eastAsia="IRNazanin"/>
          <w:color w:val="111111"/>
          <w:sz w:val="28"/>
          <w:sz w:val="28"/>
          <w:szCs w:val="28"/>
          <w:rtl w:val="true"/>
          <w:lang w:bidi="fa-IR"/>
        </w:rPr>
        <w:t xml:space="preserve">لیس لمجرّد التأکید،بل بیان التنویع الذی فی الکشّاف </w:t>
      </w:r>
      <w:r>
        <w:rPr>
          <w:rStyle w:val="FootnoteAnchor"/>
          <w:rtl w:val="true"/>
        </w:rPr>
        <w:footnoteReference w:id="525"/>
      </w:r>
      <w:r>
        <w:rPr>
          <w:rFonts w:ascii="IRNazanin" w:hAnsi="IRNazanin" w:eastAsia="IRNazanin"/>
          <w:color w:val="111111"/>
          <w:sz w:val="28"/>
          <w:sz w:val="28"/>
          <w:szCs w:val="28"/>
          <w:rtl w:val="true"/>
          <w:lang w:bidi="fa-IR"/>
        </w:rPr>
        <w:t>من منافعه،فالصواب ترک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بما بعده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وجه التأمّل أنّ کون ظاهر الأمر هو الوجوب إنّما هو لکونه مفهوما منه فی العرف،و هذا الفهم مفقودا إذا کان کون الغرض حفظ مالهم و صلاح حالهم الذین یجوز لهم ترکهما ظاهرا بحسب المقام،فلا یجری دلیل </w:t>
      </w:r>
    </w:p>
    <w:p>
      <w:pPr>
        <w:pStyle w:val="BookText"/>
        <w:rPr/>
      </w:pPr>
      <w:r>
        <w:rPr>
          <w:rFonts w:ascii="IRNazanin" w:hAnsi="IRNazanin" w:eastAsia="IRNazanin"/>
          <w:color w:val="111111"/>
          <w:sz w:val="28"/>
          <w:sz w:val="28"/>
          <w:szCs w:val="28"/>
          <w:rtl w:val="true"/>
          <w:lang w:bidi="fa-IR"/>
        </w:rPr>
        <w:t>الوجوب فی مثل هذا الأمر،فلیس القول بعدم دلالة هذا الأمر علی الوجوب خروجا عن الدلیل الدالّ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قوله رحمه اللّه هذا عدول عن عموم الوجوب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من یقدر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علی الوجوب الکفائی علی الإحتمال الثانی ضعیف،لأنّه تعالی حینئذ نهی عن إباء الکتابة بعنوان العموم،کما هو مقتضی وقوع النکرة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النهی، و بعد النهی عن الإباء أمر بأن یکتب کما علّمه اللّه،و إذا دلّ کلام علی وجوب شیء بلا قرینة فالظاهر هو العینی،فکیف یحمل علی الکفائی مع وجود قرینة دالّة علی العینی 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یمکن الإستدلال بالآیة علی الوجوب العینی،لعدم انحصار الإحتمال فی الثانی و لا 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ما ذکره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الفرض هو الکتابة من أیّ شخص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 هذا یجب أن لا یحمل الآیة علی الإحتمال الثانی إلاّ أن یحمل علی الوجوب الکفائی بعد حملها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 من تفسیرها،و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من إملائه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خصّص الحکم بدین الربا کما هو ظاهر الآیة و نقله رحمه اللّه عن القائل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الحکم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تخصیص الکافر بأهل الذمة حتّی یمکن اندراجه فی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85" w:name="pg12937_139184"/>
    </w:p>
    <w:p>
      <w:pPr>
        <w:pStyle w:val="BookText"/>
        <w:rPr/>
      </w:pPr>
      <w:bookmarkEnd w:id="185"/>
      <w:r>
        <w:rPr>
          <w:rFonts w:ascii="IRNazanin" w:hAnsi="IRNazanin" w:eastAsia="IRNazanin"/>
          <w:color w:val="111111"/>
          <w:sz w:val="28"/>
          <w:sz w:val="28"/>
          <w:szCs w:val="28"/>
          <w:rtl w:val="true"/>
          <w:lang w:bidi="fa-IR"/>
        </w:rPr>
        <w:t>و إنّما قلنا بوجوب التخصیص لعدم ظهور الخلاف فی جواز أخذ الربا من الکفّار غیر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یثبت الإجماع علی جواز أخذ الربا منهم علی المصنّف،و ظاهر آیة الربا و الأخبار هو العموم،و عدم روایة صالحة للتخصیص،و الإطمینان بالإجماع الذی هو حجّة شرعیّة فی المسألة لا یخلو من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p>
    <w:p>
      <w:pPr>
        <w:pStyle w:val="Heading4"/>
        <w:numPr>
          <w:ilvl w:val="3"/>
          <w:numId w:val="1"/>
        </w:numPr>
        <w:rPr/>
      </w:pPr>
      <w:bookmarkStart w:id="186" w:name="__RefHeading___Toc4066909_3224264995"/>
      <w:bookmarkStart w:id="187" w:name="_Toc68"/>
      <w:bookmarkEnd w:id="186"/>
      <w:r>
        <w:rPr>
          <w:rtl w:val="true"/>
        </w:rPr>
        <w:t>توابع الدین فهی أنواع</w:t>
      </w:r>
      <w:r>
        <w:rPr>
          <w:rtl w:val="true"/>
        </w:rPr>
        <w:t>:</w:t>
      </w:r>
      <w:bookmarkEnd w:id="187"/>
    </w:p>
    <w:p>
      <w:pPr>
        <w:pStyle w:val="Heading5"/>
        <w:numPr>
          <w:ilvl w:val="4"/>
          <w:numId w:val="1"/>
        </w:numPr>
        <w:rPr/>
      </w:pPr>
      <w:bookmarkStart w:id="188" w:name="__RefHeading___Toc4066911_3224264995"/>
      <w:bookmarkStart w:id="189" w:name="_Toc69"/>
      <w:bookmarkEnd w:id="188"/>
      <w:r>
        <w:rPr>
          <w:rtl w:val="true"/>
        </w:rPr>
        <w:t>الأوّل</w:t>
      </w:r>
      <w:r>
        <w:rPr>
          <w:rtl w:val="true"/>
        </w:rPr>
        <w:t>:</w:t>
      </w:r>
      <w:r>
        <w:rPr>
          <w:rtl w:val="true"/>
        </w:rPr>
        <w:t>الرهن</w:t>
      </w:r>
      <w:bookmarkEnd w:id="189"/>
    </w:p>
    <w:p>
      <w:pPr>
        <w:pStyle w:val="BookText"/>
        <w:rPr/>
      </w:pPr>
      <w:r>
        <w:rPr>
          <w:rFonts w:ascii="Amiri" w:hAnsi="Amiri" w:eastAsia="Amiri" w:cs="Amiri"/>
          <w:color w:val="111111"/>
          <w:sz w:val="28"/>
          <w:sz w:val="28"/>
          <w:szCs w:val="28"/>
          <w:rtl w:val="true"/>
          <w:lang w:bidi="ar-SA"/>
        </w:rPr>
        <w:t>و فیه آیة واحدة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عَلیٰ سَفَرٍ وَ لَمْ تَجِدُوا کٰاتِباً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أنواع الدین فإنّه لو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بهذا التعمیم هو ردّ التخصیص بالمتتابعین الذی ظهر من مجمع البیان </w:t>
      </w:r>
      <w:r>
        <w:rPr>
          <w:rStyle w:val="FootnoteAnchor"/>
          <w:rtl w:val="true"/>
        </w:rPr>
        <w:footnoteReference w:id="529"/>
      </w:r>
      <w:r>
        <w:rPr>
          <w:rFonts w:ascii="IRNazanin" w:hAnsi="IRNazanin" w:eastAsia="IRNazanin"/>
          <w:color w:val="111111"/>
          <w:sz w:val="28"/>
          <w:sz w:val="28"/>
          <w:szCs w:val="28"/>
          <w:rtl w:val="true"/>
          <w:lang w:bidi="fa-IR"/>
        </w:rPr>
        <w:t>،و إلاّ فالتخصیص بالدین المؤجّل مراد،فلا ینافی ما سبق منه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أیّها المتعاملون بالدین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التعلیل الذی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وجد لم یحتجّ فی المؤجّل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صحّة الطریق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طریق الشیخ رحمه اللّه إلیه صحیحا،لکن قوله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المذهب إلاّ أنّه جیّد التصانیف،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الإنتفاء</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یدلّ علی ثبوت کون التصانیف</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المنسوبة إلیه منه علی الشیخ رحمه اللّه،و الظاهر أنّ ابن عبدون </w:t>
      </w:r>
      <w:r>
        <w:rPr>
          <w:rStyle w:val="FootnoteAnchor"/>
          <w:rtl w:val="true"/>
        </w:rPr>
        <w:footnoteReference w:id="532"/>
      </w:r>
      <w:r>
        <w:rPr>
          <w:rFonts w:ascii="IRNazanin" w:hAnsi="IRNazanin" w:eastAsia="IRNazanin"/>
          <w:color w:val="111111"/>
          <w:sz w:val="28"/>
          <w:sz w:val="28"/>
          <w:szCs w:val="28"/>
          <w:rtl w:val="true"/>
          <w:lang w:bidi="fa-IR"/>
        </w:rPr>
        <w:t>من مشایخ الإجازة و لیس له کتاب،فلا یضرّ جهالته،فسند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موثّق،و الدلیل فی غایة القوّة فی جواز العمل بالروایة الموثّقة،فاندفع الإیرادان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الأعمّ أو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الفاسد من العقد غیر محتمل بوجه،فلا وجه لذکره هاهنا،و علی تقدیر إرادة الفاسد أو الأعمّ إذا أمر بإیفاء العقود یجب الوفاء بالعقد بمعنی العمل بما یدلّ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حمل الوفاء </w:t>
      </w:r>
    </w:p>
    <w:p>
      <w:pPr>
        <w:pStyle w:val="BookText"/>
        <w:rPr/>
      </w:pPr>
      <w:r>
        <w:rPr>
          <w:rFonts w:ascii="IRNazanin" w:hAnsi="IRNazanin" w:eastAsia="IRNazanin"/>
          <w:color w:val="111111"/>
          <w:sz w:val="28"/>
          <w:sz w:val="28"/>
          <w:szCs w:val="28"/>
          <w:rtl w:val="true"/>
          <w:lang w:bidi="fa-IR"/>
        </w:rPr>
        <w:t>بمقتضی عقد الفاسد ترک العمل بما یدلّ علیه ظاهر العقد بمعنی عدم وجوب العمل به فهو بعید من اللفظ،فما ینقله عن القائل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الإستدلال المناسب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الوفاء بما یصدق علیه العقد کما هو ظاهر الأمر بالجمع المحلّی باللام فلا یخصّص إلاّ بدلیل یصلح تخصیص الآیة به،و هو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هذا الإستدلال،کما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فمسامحته أقلّ و ألصق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المخاطبین ب لاٰ تَکْتُمُوا </w:t>
      </w:r>
      <w:r>
        <w:rPr>
          <w:rStyle w:val="FootnoteAnchor"/>
          <w:rtl w:val="true"/>
        </w:rPr>
        <w:footnoteReference w:id="533"/>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إرادة الشهود فقط؛و إرادتها مع من علیه الحقّ؛ و إرادة من علیه </w:t>
      </w:r>
      <w:r>
        <w:rPr>
          <w:rStyle w:val="FootnoteAnchor"/>
          <w:rtl w:val="true"/>
        </w:rPr>
        <w:footnoteReference w:id="534"/>
      </w:r>
      <w:r>
        <w:rPr>
          <w:rFonts w:ascii="Amiri" w:hAnsi="Amiri" w:eastAsia="Amiri" w:cs="Amiri"/>
          <w:color w:val="111111"/>
          <w:sz w:val="28"/>
          <w:sz w:val="28"/>
          <w:szCs w:val="28"/>
          <w:rtl w:val="true"/>
          <w:lang w:bidi="ar-SA"/>
        </w:rPr>
        <w:t>الحقّ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هو الإحتمال الأخیر،لأنّ الظاهر أنّ النهی متعلّق بکتمان الشهادة فی السفر عند الإیتمان الظاهر فی عدم الإشهاد و الرهن،فالشهادة هی الشهادة علی النفس، و المسامحة حینئذ إنّما هی فی التعبیر بالشهادة عن الشهادة علی النفس،و لیس فیه بعد زاید خصوصا مع قرینة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إرادة الإحتمال الأوّل فهی بعیدة؛لأنّ حضور من کان صالحا للشهادة فی الفرض المذکور غیر ظاهر،و علی تقدیر الحضور إشهادهم خلاف ظاهر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أَمِنَ بَعْضُکُمْ بَعْضاً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تَکْتُمُوا علی نهی کتمان الشهادة علی تقدیر الحضور و الإشهاد بعید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تعمیم النهی بحیث یندرج غیر السفر بعید،و ظاهر أنّ البعد الذی فی هذا الإحتمال أزید من البعد الذی فی الإحتمال الثالث،و فی الإحتمال الثانی یجمع ما فی الأوّل و الثالث مع زیادة بعد استعمال الشهادة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تغییر </w:t>
      </w:r>
      <w:bookmarkStart w:id="190" w:name="pg12937_139186"/>
    </w:p>
    <w:p>
      <w:pPr>
        <w:pStyle w:val="BookText"/>
        <w:rPr/>
      </w:pPr>
      <w:bookmarkEnd w:id="190"/>
      <w:r>
        <w:rPr>
          <w:rFonts w:ascii="Amiri" w:hAnsi="Amiri" w:eastAsia="Amiri" w:cs="Amiri"/>
          <w:color w:val="111111"/>
          <w:sz w:val="28"/>
          <w:sz w:val="28"/>
          <w:szCs w:val="28"/>
          <w:rtl w:val="true"/>
          <w:lang w:bidi="ar-SA"/>
        </w:rPr>
        <w:t xml:space="preserve">اسلوب الغایب المذکور فی فَلْیُؤَدِّ </w:t>
      </w:r>
      <w:r>
        <w:rPr>
          <w:rStyle w:val="FootnoteAnchor"/>
          <w:rtl w:val="true"/>
        </w:rPr>
        <w:footnoteReference w:id="536"/>
      </w:r>
      <w:r>
        <w:rPr>
          <w:rFonts w:ascii="Amiri" w:hAnsi="Amiri" w:eastAsia="Amiri" w:cs="Amiri"/>
          <w:color w:val="111111"/>
          <w:sz w:val="28"/>
          <w:sz w:val="28"/>
          <w:szCs w:val="28"/>
          <w:rtl w:val="true"/>
          <w:lang w:bidi="ar-SA"/>
        </w:rPr>
        <w:t xml:space="preserve">، وَ لْیَتَّقِ </w:t>
      </w:r>
      <w:r>
        <w:rPr>
          <w:rStyle w:val="FootnoteAnchor"/>
          <w:rtl w:val="true"/>
        </w:rPr>
        <w:footnoteReference w:id="537"/>
      </w:r>
      <w:r>
        <w:rPr>
          <w:rFonts w:ascii="Amiri" w:hAnsi="Amiri" w:eastAsia="Amiri" w:cs="Amiri"/>
          <w:color w:val="111111"/>
          <w:sz w:val="28"/>
          <w:sz w:val="28"/>
          <w:szCs w:val="28"/>
          <w:rtl w:val="true"/>
          <w:lang w:bidi="ar-SA"/>
        </w:rPr>
        <w:t xml:space="preserve">إلی خطاب الجمع فی وَ لاٰ تَکْتُمُوا نوع </w:t>
      </w:r>
      <w:r>
        <w:rPr>
          <w:rStyle w:val="FootnoteAnchor"/>
          <w:rtl w:val="true"/>
        </w:rPr>
        <w:footnoteReference w:id="538"/>
      </w:r>
      <w:r>
        <w:rPr>
          <w:rFonts w:ascii="IRNazanin" w:hAnsi="IRNazanin" w:eastAsia="IRNazanin"/>
          <w:color w:val="111111"/>
          <w:sz w:val="28"/>
          <w:sz w:val="28"/>
          <w:szCs w:val="28"/>
          <w:rtl w:val="true"/>
          <w:lang w:bidi="fa-IR"/>
        </w:rPr>
        <w:t>إیماء إلی الإحتمال الأوّل أی لا تکتموا أیّها الشهود،سواء کان علی تقدیر حضورهم فی السفر و کونهم شاهدین علی المعاملة أو الأعمّ الذی یندرج فیه الشهود المذکورون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 المصنّف أیضا ترجیح الإحتمال الأوّل،و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الإحتمال الثانی،و حینئذ أقلّیّة مسامحة الإحتمال الثالث بالنسبة إلیه،و کونه ألصق بما سبق منه ظاهران،و إن کان ألصق بالنسبة إلی الإحتمال الأوّل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رحمه اللّه فی آخر کلام یتعلّق بالآیة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تحریم کتمان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ترجیحه الإحتمال الأوّل،و علی تعمیمه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تَکْتُمُوا الشَّهٰادَةَ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استفادة أنّ مجازاة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بالأحسان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عرفا و لا لغة علی محض أداء الدین الخالی عن الرهن أو عن الرهن و الشهود إحسانا حتّی یستفاد من الأمر بالأداء حسن مجازاة المحسن بالإحسان</w:t>
      </w:r>
      <w:r>
        <w:rPr>
          <w:rFonts w:eastAsia="IRNazanin" w:cs="IRNazanin"/>
          <w:color w:val="111111"/>
          <w:sz w:val="28"/>
          <w:szCs w:val="28"/>
          <w:rtl w:val="true"/>
          <w:lang w:bidi="fa-IR"/>
        </w:rPr>
        <w:t>.</w:t>
      </w:r>
    </w:p>
    <w:p>
      <w:pPr>
        <w:pStyle w:val="Heading5"/>
        <w:numPr>
          <w:ilvl w:val="4"/>
          <w:numId w:val="1"/>
        </w:numPr>
        <w:rPr/>
      </w:pPr>
      <w:bookmarkStart w:id="191" w:name="__RefHeading___Toc4066913_3224264995"/>
      <w:bookmarkStart w:id="192" w:name="_Toc70"/>
      <w:bookmarkEnd w:id="191"/>
      <w:r>
        <w:rPr>
          <w:rtl w:val="true"/>
        </w:rPr>
        <w:t>الثالث</w:t>
      </w:r>
      <w:r>
        <w:rPr>
          <w:rtl w:val="true"/>
        </w:rPr>
        <w:t>:</w:t>
      </w:r>
      <w:r>
        <w:rPr>
          <w:rtl w:val="true"/>
        </w:rPr>
        <w:t>الصلح</w:t>
      </w:r>
      <w:bookmarkEnd w:id="192"/>
    </w:p>
    <w:p>
      <w:pPr>
        <w:pStyle w:val="BookText"/>
        <w:rPr/>
      </w:pPr>
      <w:r>
        <w:rPr>
          <w:rFonts w:ascii="IRNazanin" w:hAnsi="IRNazanin" w:eastAsia="IRNazanin"/>
          <w:color w:val="111111"/>
          <w:sz w:val="28"/>
          <w:sz w:val="28"/>
          <w:szCs w:val="28"/>
          <w:rtl w:val="true"/>
          <w:lang w:bidi="fa-IR"/>
        </w:rPr>
        <w:t>و نقل فیه ست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أبی،رفعه إلی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خالیة عن التأیید</w:t>
      </w:r>
      <w:r>
        <w:rPr>
          <w:rFonts w:eastAsia="IRNazanin" w:cs="IRNazanin"/>
          <w:color w:val="111111"/>
          <w:sz w:val="28"/>
          <w:szCs w:val="28"/>
          <w:rtl w:val="true"/>
          <w:lang w:bidi="fa-IR"/>
        </w:rPr>
        <w:t>.</w:t>
      </w:r>
    </w:p>
    <w:p>
      <w:pPr>
        <w:pStyle w:val="Heading3"/>
        <w:numPr>
          <w:ilvl w:val="2"/>
          <w:numId w:val="1"/>
        </w:numPr>
        <w:rPr/>
      </w:pPr>
      <w:bookmarkStart w:id="193" w:name="__RefHeading___Toc4066915_3224264995"/>
      <w:bookmarkStart w:id="194" w:name="_Toc71"/>
      <w:bookmarkEnd w:id="193"/>
      <w:r>
        <w:rPr>
          <w:rtl w:val="true"/>
        </w:rPr>
        <w:t>کتاب فیه جملة من العقود</w:t>
      </w:r>
      <w:bookmarkEnd w:id="194"/>
    </w:p>
    <w:p>
      <w:pPr>
        <w:pStyle w:val="Heading4"/>
        <w:numPr>
          <w:ilvl w:val="3"/>
          <w:numId w:val="1"/>
        </w:numPr>
        <w:rPr/>
      </w:pPr>
      <w:bookmarkStart w:id="195" w:name="__RefHeading___Toc4066917_3224264995"/>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و فیه مقدّمة و أبحاث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4066919_3224264995"/>
      <w:bookmarkStart w:id="198" w:name="_Toc73"/>
      <w:bookmarkEnd w:id="197"/>
      <w:r>
        <w:rPr>
          <w:rtl w:val="true"/>
        </w:rPr>
        <w:t>أمّا المقدمة ففیها آیة واحدة مشتملة علی أحکام کلیّة</w:t>
      </w:r>
      <w:r>
        <w:rPr>
          <w:rtl w:val="true"/>
        </w:rPr>
        <w:t>:</w:t>
      </w:r>
      <w:bookmarkEnd w:id="198"/>
    </w:p>
    <w:p>
      <w:pPr>
        <w:pStyle w:val="BookText"/>
        <w:rPr/>
      </w:pP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یحتمل أن یکون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أکل لحمها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لَکُمْ بَهِیمَةُ الْأَنْعٰامِ </w:t>
      </w:r>
      <w:r>
        <w:rPr>
          <w:rStyle w:val="FootnoteAnchor"/>
          <w:rtl w:val="true"/>
        </w:rPr>
        <w:footnoteReference w:id="542"/>
      </w:r>
      <w:r>
        <w:rPr>
          <w:rFonts w:ascii="IRNazanin" w:hAnsi="IRNazanin" w:eastAsia="IRNazanin"/>
          <w:color w:val="111111"/>
          <w:sz w:val="28"/>
          <w:sz w:val="28"/>
          <w:szCs w:val="28"/>
          <w:rtl w:val="true"/>
          <w:lang w:bidi="fa-IR"/>
        </w:rPr>
        <w:t>هو إباحة أکل لحمها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الإحتمال ظاهر،لکن لیس وجوب الأکل مع الحاجة مندرجا فی الآیة کما هو ظاهر تفسیر الإیفاء بمثله الواجب بما فسّره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اعتقاد حلّ أکلها و وجوبه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وجوبه،سواء کان مرفوعا بعطفه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مجرورا بعطفه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وجه ذکره هاهنا،لأنّه علی التقدیر الأوّل یکون معنی کلامه هو أنّ الإیفاء بمثله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حلّ أکلها،و وجوب أکلها علی تقدیر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وجوب أکلها ظاهرا من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الثانی یکون معنی کلامه هو أنّ الإیفاء بمثله الواجب</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اعتقادان،هما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حلّ أکلها،و اعتقاد وجوبه 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أکلها حینئذ لا یظهر من الآیة حتّی یکون الإیفاء بمقتضی الآیة هو وجوب أکلها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محافظة النفس عن التلف ظاهر عقلا أیضا إلاّ ما أخرجه الدلیل،فلمّا دلّت الآیة علی حلّیّة البهیمة الأنعام ظهر وجوب أکلها عند الحاجة و إن أمکن سدّ الخلّة بالمیتة مثلا،و حینئذ یصحّ عطفه علی الأوّل و الثانی،و الأوّل أظهر، فتأمّل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إباحة أکل لحمها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المراد من الآیة هذه الإباحة من دون وجوب الأکل عند الحاجة و إن کان واجبا بدلیل آخر</w:t>
      </w:r>
      <w:r>
        <w:rPr>
          <w:rFonts w:eastAsia="IRNazanin" w:cs="IRNazanin"/>
          <w:color w:val="111111"/>
          <w:sz w:val="28"/>
          <w:szCs w:val="28"/>
          <w:rtl w:val="true"/>
          <w:lang w:bidi="fa-IR"/>
        </w:rPr>
        <w:t xml:space="preserve">. </w:t>
      </w:r>
      <w:bookmarkStart w:id="199" w:name="pg12937_139188"/>
    </w:p>
    <w:p>
      <w:pPr>
        <w:pStyle w:val="Heading4"/>
        <w:numPr>
          <w:ilvl w:val="3"/>
          <w:numId w:val="1"/>
        </w:numPr>
        <w:rPr/>
      </w:pPr>
      <w:bookmarkStart w:id="200" w:name="__RefHeading___Toc4066921_3224264995"/>
      <w:bookmarkStart w:id="201" w:name="_Toc74"/>
      <w:bookmarkEnd w:id="199"/>
      <w:bookmarkEnd w:id="200"/>
      <w:r>
        <w:rPr>
          <w:rtl w:val="true"/>
        </w:rPr>
        <w:t>الأوّل</w:t>
      </w:r>
      <w:r>
        <w:rPr>
          <w:rtl w:val="true"/>
        </w:rPr>
        <w:t>:</w:t>
      </w:r>
      <w:r>
        <w:rPr>
          <w:rtl w:val="true"/>
        </w:rPr>
        <w:t>الإجارة</w:t>
      </w:r>
      <w:bookmarkEnd w:id="201"/>
    </w:p>
    <w:p>
      <w:pPr>
        <w:pStyle w:val="BookText"/>
        <w:rPr/>
      </w:pPr>
      <w:r>
        <w:rPr>
          <w:rFonts w:ascii="IRNazanin" w:hAnsi="IRNazanin" w:eastAsia="IRNazanin"/>
          <w:color w:val="111111"/>
          <w:sz w:val="28"/>
          <w:sz w:val="28"/>
          <w:szCs w:val="28"/>
          <w:rtl w:val="true"/>
          <w:lang w:bidi="fa-IR"/>
        </w:rPr>
        <w:t>و فیه آیتان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اسْتَأْجِرْهُ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أُنْکِحَکَ إِحْدَی ابْنَتَیَّ هٰاتَیْنِ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الثانیة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ظهر من کلامه طاب ثراه اشتراک الآیتین فی الدلالة علی مشروعیّة الإجارة فی الجملة،و جریان الإشکال علی تقدیر إرادة التعمیم،و اختصاص الثانیة بالدلالة التی أشار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الأخیرة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 فی شرعنا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النظر الذی أورده علی الدلالة المشترکة،و یرد علی الدلالة المختصّة بالأخیرة أنّ الآیة لیست صریحة و لا ظاهرة فی أنّ المهر هو عمل </w:t>
      </w:r>
      <w:r>
        <w:rPr>
          <w:rStyle w:val="FootnoteAnchor"/>
          <w:rtl w:val="true"/>
        </w:rPr>
        <w:footnoteReference w:id="546"/>
      </w:r>
      <w:r>
        <w:rPr>
          <w:rFonts w:ascii="IRNazanin" w:hAnsi="IRNazanin" w:eastAsia="IRNazanin"/>
          <w:color w:val="111111"/>
          <w:sz w:val="28"/>
          <w:sz w:val="28"/>
          <w:szCs w:val="28"/>
          <w:rtl w:val="true"/>
          <w:lang w:bidi="fa-IR"/>
        </w:rPr>
        <w:t>موسی علیه السّلام فی السنین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غرض شعیب علیه السّلام إجارة موسی علیه السّلام نفسه للعمل المعلوم بالاجرة تناسبه،و إنکاحه إحدی ابنتیه بمهر یناسبها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یقول أحد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ازوّجک بنتی علی أن تبنی لی دارا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به المعاملتین باجرة و مهر یناسبهما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لا إشکال فی جعل المهر عملا خاصّا لأب البنتین،و لا الإبهام فی إِحْدَی ابْنَتَیَّ إن فرض جریان حکم الآیة فی شرعنا أیضا، </w:t>
      </w:r>
      <w:r>
        <w:rPr>
          <w:rStyle w:val="FootnoteAnchor"/>
          <w:rtl w:val="true"/>
        </w:rPr>
        <w:footnoteReference w:id="547"/>
      </w:r>
      <w:r>
        <w:rPr>
          <w:rFonts w:ascii="IRNazanin" w:hAnsi="IRNazanin" w:eastAsia="IRNazanin"/>
          <w:color w:val="111111"/>
          <w:sz w:val="28"/>
          <w:sz w:val="28"/>
          <w:szCs w:val="28"/>
          <w:rtl w:val="true"/>
          <w:lang w:bidi="fa-IR"/>
        </w:rPr>
        <w:t>فالدلالة المختصّة بالأخیرة مختصّة بمزید إشکال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الثانیة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ما ذکرته،و حینئذ لا یرید أنّ کون الثانیة أخفی غیر صحیح لا بالنسبة إلی الدلالة علی مشروعیّة الإجارة لتساویهما فیها، </w:t>
      </w:r>
      <w:bookmarkStart w:id="202" w:name="pg12937_139189"/>
    </w:p>
    <w:p>
      <w:pPr>
        <w:pStyle w:val="BookText"/>
        <w:rPr/>
      </w:pPr>
      <w:bookmarkEnd w:id="202"/>
      <w:r>
        <w:rPr>
          <w:rFonts w:ascii="IRNazanin" w:hAnsi="IRNazanin" w:eastAsia="IRNazanin"/>
          <w:color w:val="111111"/>
          <w:sz w:val="28"/>
          <w:sz w:val="28"/>
          <w:szCs w:val="28"/>
          <w:rtl w:val="true"/>
          <w:lang w:bidi="fa-IR"/>
        </w:rPr>
        <w:t>و لا بالنسبة إلی الدلالة المختصّة بالأخیرة لعدم تحقّق هذه الدلالة فی الاولی أصلا؛لأنّ لنا أن نختار الشقّ الثالث،و هو أنّ دلالة الثانیة علی مدلولها الذی هو المجموع أخفی من دلالة الاولی علی مدلولها</w:t>
      </w:r>
      <w:r>
        <w:rPr>
          <w:rFonts w:eastAsia="IRNazanin" w:cs="IRNazanin"/>
          <w:color w:val="111111"/>
          <w:sz w:val="28"/>
          <w:szCs w:val="28"/>
          <w:rtl w:val="true"/>
          <w:lang w:bidi="fa-IR"/>
        </w:rPr>
        <w:t>.</w:t>
      </w:r>
    </w:p>
    <w:p>
      <w:pPr>
        <w:pStyle w:val="Heading4"/>
        <w:numPr>
          <w:ilvl w:val="3"/>
          <w:numId w:val="1"/>
        </w:numPr>
        <w:rPr/>
      </w:pPr>
      <w:bookmarkStart w:id="203" w:name="__RefHeading___Toc4066923_3224264995"/>
      <w:bookmarkStart w:id="204" w:name="_Toc75"/>
      <w:bookmarkEnd w:id="203"/>
      <w:r>
        <w:rPr>
          <w:rtl w:val="true"/>
        </w:rPr>
        <w:t>الثانی عشر</w:t>
      </w:r>
      <w:r>
        <w:rPr>
          <w:rtl w:val="true"/>
        </w:rPr>
        <w:t>:</w:t>
      </w:r>
      <w:r>
        <w:rPr>
          <w:rtl w:val="true"/>
        </w:rPr>
        <w:t>الوصیّة</w:t>
      </w:r>
      <w:bookmarkEnd w:id="204"/>
    </w:p>
    <w:p>
      <w:pPr>
        <w:pStyle w:val="Heading5"/>
        <w:numPr>
          <w:ilvl w:val="4"/>
          <w:numId w:val="1"/>
        </w:numPr>
        <w:rPr/>
      </w:pPr>
      <w:bookmarkStart w:id="205" w:name="__RefHeading___Toc4066925_3224264995"/>
      <w:bookmarkStart w:id="206" w:name="_Toc76"/>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و فیها ثلاث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راجع أیضا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هذا الإحتمال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أفرط فی الوصیّة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من کان مکلّفا بأداء زکاة أو دین مثلا بحلول الأجل و طلب القرض و إمکان الأداء من المقترض لا یجوز له ترک الأداء و الإکتفاء بالإیصاء،فإن تهاون فی أداء ما یجب التعجیل فیه و اکتفی بالوصیّة فهو عاص فیه و إن لم یقصر الوصیّ فیما یتعلّق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الحصر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Style w:val="FootnoteAnchor"/>
          <w:rtl w:val="true"/>
        </w:rPr>
        <w:footnoteReference w:id="549"/>
      </w:r>
      <w:r>
        <w:rPr>
          <w:rFonts w:ascii="IRNazanin" w:hAnsi="IRNazanin" w:eastAsia="IRNazanin"/>
          <w:color w:val="111111"/>
          <w:sz w:val="28"/>
          <w:sz w:val="28"/>
          <w:szCs w:val="28"/>
          <w:rtl w:val="true"/>
          <w:lang w:bidi="fa-IR"/>
        </w:rPr>
        <w:t>إنّما یدلّ علی انحصار إثم التبدیل بالمبدّل،لا علی عدم کون الموصی آثما بفعل ما لا یجوز له فعله،و بتأخیر ما یجب علیه تعجیله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 کلام مجمع البیان </w:t>
      </w:r>
      <w:r>
        <w:rPr>
          <w:rStyle w:val="FootnoteAnchor"/>
          <w:rtl w:val="true"/>
        </w:rPr>
        <w:footnoteReference w:id="550"/>
      </w:r>
      <w:r>
        <w:rPr>
          <w:rFonts w:ascii="IRNazanin" w:hAnsi="IRNazanin" w:eastAsia="IRNazanin"/>
          <w:color w:val="111111"/>
          <w:sz w:val="28"/>
          <w:sz w:val="28"/>
          <w:szCs w:val="28"/>
          <w:rtl w:val="true"/>
          <w:lang w:bidi="fa-IR"/>
        </w:rPr>
        <w:t>علی ما هو مقتضی ظاهر الآیة و أشرت إلیه إن لم نقل بظهوره فیه،فلا یرد علیه أکثر ما یورده المصنّف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بعید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یسقط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؛أشرت إلی ما هو ظاهر کلامه آنفا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الإحتیاج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الذی نقله رحمه اللّه لا یدلّ علیه</w:t>
      </w:r>
      <w:r>
        <w:rPr>
          <w:rFonts w:eastAsia="IRNazanin" w:cs="IRNazanin"/>
          <w:color w:val="111111"/>
          <w:sz w:val="28"/>
          <w:szCs w:val="28"/>
          <w:rtl w:val="true"/>
          <w:lang w:bidi="fa-IR"/>
        </w:rPr>
        <w:t xml:space="preserve">. </w:t>
      </w:r>
      <w:bookmarkStart w:id="207" w:name="pg12937_139190"/>
    </w:p>
    <w:p>
      <w:pPr>
        <w:pStyle w:val="BookText"/>
        <w:rPr/>
      </w:pPr>
      <w:bookmarkEnd w:id="20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عقاب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العقاب علیه لیس من مقتضی الآیة،و العقل یحکم باستحقاق العقاب علی تقدیر التهاون لا بالعقاب،فالروایات الدالّة علی البراءة بأداء الغیر لا تدلّ علی عدم الإستحقاق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شَهٰادَةُ بَیْنِکُمْ</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بسبب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یدلّ سبب النزول علی کون غیرکم بعیدا خاصّا،فلا ینافی اعتبار مطلق البعد فیه،فالصواب عدم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الظاهر من الآیة کون الإشهاد علی الوجه المذکور فیها،و أمّا وجوبه فلا یظهر منها،و هذا 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جعفر کذا،فهو لا یدلّ علی وجوب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ظاهر الآیة کون الإشهاد علی الوجه المذکور فیها فلا یجوز الإشهاد بغیر هذا الوجه و إن لم یظهر منها وجوب أصل الإشهاد،فقول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الوصیّة ینبغی</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لیس علی وفق ظاهر الآیة،لأنّ ظاهرها هو تعیّن العدلین أو آخرین،لا رجحانهما کما هو مقتضی قول البیضاوی هاهنا</w:t>
      </w:r>
      <w:r>
        <w:rPr>
          <w:rFonts w:eastAsia="IRNazanin" w:cs="IRNazanin"/>
          <w:color w:val="111111"/>
          <w:sz w:val="28"/>
          <w:szCs w:val="28"/>
          <w:rtl w:val="true"/>
          <w:lang w:bidi="fa-IR"/>
        </w:rPr>
        <w:t>.</w:t>
      </w:r>
    </w:p>
    <w:p>
      <w:pPr>
        <w:pStyle w:val="Heading5"/>
        <w:numPr>
          <w:ilvl w:val="4"/>
          <w:numId w:val="1"/>
        </w:numPr>
        <w:rPr/>
      </w:pPr>
      <w:bookmarkStart w:id="208" w:name="__RefHeading___Toc4066927_3224264995"/>
      <w:bookmarkStart w:id="209" w:name="_Toc77"/>
      <w:bookmarkEnd w:id="208"/>
      <w:r>
        <w:rPr>
          <w:rtl w:val="true"/>
        </w:rPr>
        <w:t>البحث عن الیتامی</w:t>
      </w:r>
      <w:bookmarkEnd w:id="209"/>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الْیَتٰامیٰ أَمْوٰالَهُمْ</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 العقلی و النقلی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الدلیل العقلی علی عدم کفایة الرشد و الإحتیاج إلی ضمیمة البلوغ،فالصواب الإکتفاء بالدلیل النقلی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w:t>
      </w:r>
      <w:r>
        <w:rPr>
          <w:rStyle w:val="FootnoteAnchor"/>
          <w:rtl w:val="true"/>
        </w:rPr>
        <w:footnoteReference w:id="55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الامتحان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الإبتلاء هو من حال الیتیم إلی البلوغ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بَلَغُوا النِّکٰاحَ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الأمر بالدفع فی ظرف آخر بشرط إیناس الرشد،فلعلّ عدم جواز الإیتاء قبل لکونه ظرف الابتلاء لا ظرف الإیتاء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الدور الموهوم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اعتبار الدم الذی قبل التسع،فیلزم العلم بالتسع لاعتبار الدم،فلو اعتبر الدم یعلم التسع به،و هو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 أنّ الدم الذی جمع صفة الحیض یحکم بکونه دم حیض إذا لم یعلم کون سنّها أقلّ من التسع،و لا یتوقّف علی العلم بکون سنّها تسعا،فلا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کونه لمن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هذا هو الظاهر من الآیة،لبعد اختلاف المخاطبین فی فَادْفَعُوا </w:t>
      </w:r>
      <w:r>
        <w:rPr>
          <w:rStyle w:val="FootnoteAnchor"/>
          <w:rtl w:val="true"/>
        </w:rPr>
        <w:footnoteReference w:id="556"/>
      </w:r>
      <w:r>
        <w:rPr>
          <w:rFonts w:ascii="Amiri" w:hAnsi="Amiri" w:eastAsia="Amiri" w:cs="Amiri"/>
          <w:color w:val="111111"/>
          <w:sz w:val="28"/>
          <w:sz w:val="28"/>
          <w:szCs w:val="28"/>
          <w:rtl w:val="true"/>
          <w:lang w:bidi="ar-SA"/>
        </w:rPr>
        <w:t xml:space="preserve">مع المخاطبین فی وَ ابْتَلُوا و فی آنَسْتُمْ </w:t>
      </w:r>
      <w:r>
        <w:rPr>
          <w:rStyle w:val="FootnoteAnchor"/>
          <w:rtl w:val="true"/>
        </w:rPr>
        <w:footnoteReference w:id="557"/>
      </w:r>
      <w:r>
        <w:rPr>
          <w:rFonts w:ascii="IRNazanin" w:hAnsi="IRNazanin" w:eastAsia="IRNazanin"/>
          <w:color w:val="111111"/>
          <w:sz w:val="28"/>
          <w:sz w:val="28"/>
          <w:szCs w:val="28"/>
          <w:rtl w:val="true"/>
          <w:lang w:bidi="fa-IR"/>
        </w:rPr>
        <w:t>،و سیحکم بهذا الإحتمال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الرشد علی من بیده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جزم منه رحمه اللّه عمّا سلب البعد عنه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یدلّ الخبر المعمول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الخبر بالمعمول إشارة إلی أنّه لو دلّ علی خلافه لم یکن معمولا کما هو دأب الفقهاء فی خبر الواحد إذا کان مخالفا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اونس منه الرشد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أبی حنیفة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اونس منه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اونس منه بغیر دلالة الآیة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ما أورده رحمه اللّه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بأنّ مراده الحکم بالرشد عند ظهوره؛و عند الإشتباه،و عند ظهور عدم الرشد مخصّص عن مقتضی ظاهر الخبر بدلیل آخر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کلام أبی حنیفة أفضح من أن یقبل الإصلاح</w:t>
      </w:r>
      <w:r>
        <w:rPr>
          <w:rFonts w:eastAsia="IRNazanin" w:cs="IRNazanin"/>
          <w:color w:val="111111"/>
          <w:sz w:val="28"/>
          <w:szCs w:val="28"/>
          <w:rtl w:val="true"/>
          <w:lang w:bidi="fa-IR"/>
        </w:rPr>
        <w:t xml:space="preserve">. </w:t>
      </w:r>
      <w:bookmarkStart w:id="210" w:name="pg12937_139192"/>
    </w:p>
    <w:p>
      <w:pPr>
        <w:pStyle w:val="Heading5"/>
        <w:numPr>
          <w:ilvl w:val="4"/>
          <w:numId w:val="1"/>
        </w:numPr>
        <w:rPr/>
      </w:pPr>
      <w:bookmarkStart w:id="211" w:name="__RefHeading___Toc4066929_3224264995"/>
      <w:bookmarkStart w:id="212" w:name="_Toc78"/>
      <w:bookmarkEnd w:id="210"/>
      <w:bookmarkEnd w:id="211"/>
      <w:r>
        <w:rPr>
          <w:rtl w:val="true"/>
        </w:rPr>
        <w:t>و لنتبع هذا البحث بآیتین</w:t>
      </w:r>
      <w:r>
        <w:rPr>
          <w:rtl w:val="true"/>
        </w:rPr>
        <w:t>:</w:t>
      </w:r>
      <w:bookmarkEnd w:id="212"/>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النقض فی سفیه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بعد الخصوص من سیاق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مَمْلُوکاً</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غایة دلالتها علی وجود مملوک لا قدرة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لاٰ یَقْدِرُ عَلیٰ شَیْءٍ </w:t>
      </w:r>
      <w:r>
        <w:rPr>
          <w:rStyle w:val="FootnoteAnchor"/>
          <w:rtl w:val="true"/>
        </w:rPr>
        <w:footnoteReference w:id="560"/>
      </w:r>
      <w:r>
        <w:rPr>
          <w:rFonts w:ascii="IRNazanin" w:hAnsi="IRNazanin" w:eastAsia="IRNazanin"/>
          <w:color w:val="111111"/>
          <w:sz w:val="28"/>
          <w:sz w:val="28"/>
          <w:szCs w:val="28"/>
          <w:rtl w:val="true"/>
          <w:lang w:bidi="fa-IR"/>
        </w:rPr>
        <w:t>صفة عَبْداً ،فإمّا مؤکدّة،و إمّا احترازیّة،و ظاهر أنّ الإحتمال الثانی لیس أخفی من الأوّل،و الإستدلال إنّما یمکن لو کان الإحتمال الأوّل راجحا،و لیس کذلک،بل الراجح هو الثانی،لشیوعه فی مثل هذا الترکیب،و غلبته فی موارد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الإستدلال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الإحتمال الثانی الذی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بدل</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غایة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دلالتها،أو لأظهریّة دلالتها أو ما یقرب من أحدهما لکان ظاهرا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یحتمل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العبد الموصوف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یَقْدِرُ عَلیٰ شَیْءٍ </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066931_3224264995"/>
      <w:bookmarkStart w:id="214" w:name="_Toc79"/>
      <w:bookmarkEnd w:id="213"/>
      <w:r>
        <w:rPr>
          <w:rtl w:val="true"/>
        </w:rPr>
        <w:t>الرابع عشر</w:t>
      </w:r>
      <w:r>
        <w:rPr>
          <w:rtl w:val="true"/>
        </w:rPr>
        <w:t>:</w:t>
      </w:r>
      <w:r>
        <w:rPr>
          <w:rtl w:val="true"/>
        </w:rPr>
        <w:t>النذر و العهد و الیمین</w:t>
      </w:r>
      <w:bookmarkEnd w:id="214"/>
    </w:p>
    <w:p>
      <w:pPr>
        <w:pStyle w:val="Heading5"/>
        <w:numPr>
          <w:ilvl w:val="4"/>
          <w:numId w:val="1"/>
        </w:numPr>
        <w:rPr/>
      </w:pPr>
      <w:bookmarkStart w:id="215" w:name="__RefHeading___Toc4066933_3224264995"/>
      <w:bookmarkStart w:id="216" w:name="_Toc80"/>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و فیه أبحاث</w:t>
      </w:r>
      <w:r>
        <w:rPr>
          <w:rFonts w:eastAsia="IRNazanin" w:cs="IRNazanin"/>
          <w:color w:val="111111"/>
          <w:sz w:val="28"/>
          <w:szCs w:val="28"/>
          <w:rtl w:val="true"/>
          <w:lang w:bidi="fa-IR"/>
        </w:rPr>
        <w:t>:</w:t>
      </w:r>
    </w:p>
    <w:p>
      <w:pPr>
        <w:pStyle w:val="Heading5"/>
        <w:numPr>
          <w:ilvl w:val="4"/>
          <w:numId w:val="1"/>
        </w:numPr>
        <w:rPr/>
      </w:pPr>
      <w:bookmarkStart w:id="217" w:name="__RefHeading___Toc4066935_3224264995"/>
      <w:bookmarkStart w:id="218" w:name="_Toc81"/>
      <w:bookmarkEnd w:id="217"/>
      <w:r>
        <w:rPr>
          <w:rtl w:val="true"/>
        </w:rPr>
        <w:t>الأوّل</w:t>
      </w:r>
      <w:r>
        <w:rPr>
          <w:rtl w:val="true"/>
        </w:rPr>
        <w:t>:</w:t>
      </w:r>
      <w:r>
        <w:rPr>
          <w:rtl w:val="true"/>
        </w:rPr>
        <w:t>النذر</w:t>
      </w:r>
      <w:bookmarkEnd w:id="218"/>
    </w:p>
    <w:p>
      <w:pPr>
        <w:pStyle w:val="BookText"/>
        <w:rPr/>
      </w:pPr>
      <w:r>
        <w:rPr>
          <w:rFonts w:ascii="Amiri" w:hAnsi="Amiri" w:eastAsia="Amiri" w:cs="Amiri"/>
          <w:color w:val="111111"/>
          <w:sz w:val="28"/>
          <w:sz w:val="28"/>
          <w:szCs w:val="28"/>
          <w:rtl w:val="true"/>
          <w:lang w:bidi="ar-SA"/>
        </w:rPr>
        <w:t>و فیه آیتان،الاولی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w:t>
      </w:r>
      <w:r>
        <w:rPr>
          <w:rStyle w:val="FootnoteAnchor"/>
          <w:rtl w:val="true"/>
        </w:rPr>
        <w:footnoteReference w:id="5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 المرأة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معطوف علی </w:t>
      </w:r>
      <w:bookmarkStart w:id="219" w:name="pg12937_139193"/>
    </w:p>
    <w:p>
      <w:pPr>
        <w:pStyle w:val="BookText"/>
        <w:rPr/>
      </w:pPr>
      <w:bookmarkEnd w:id="219"/>
      <w:r>
        <w:rPr>
          <w:rFonts w:ascii="IRNazanin" w:hAnsi="IRNazanin" w:eastAsia="IRNazanin"/>
          <w:color w:val="111111"/>
          <w:sz w:val="28"/>
          <w:sz w:val="28"/>
          <w:szCs w:val="28"/>
          <w:rtl w:val="true"/>
          <w:lang w:bidi="fa-IR"/>
        </w:rPr>
        <w:t>المرأة،و علم المرأة بالمقایسة إنّما هو عند إرادة الشخص من المرء کما هو ظاهر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أیضا أنّ عند إرادة الشخص من المرء لا یعلم المرأة بالمقایسة،و مقتضی العطف کون علم الترک بالمقایسة أیضا عند عدم أرادة الشخص من المرء لکون المعطوف بمنزلة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علم الترک بالمقایسة لا اختصاص له بعدم إرادة الشخص من المرء،و هذا من مساهلته طاب ثراه فی العبارة عند ظهور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 المرأة و الترک بالمقایسة</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بل لا فرق بینهما إلاّ أن یقول بتقدیر هذا اللفظ،و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وجوب الوفاء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الوجوب غیر ظاهرة،و استدلاله رحمه اللّه بمثل هذه المدایح علی الوجوب،و الإعتراض علیه بعدم دلالتها علیه قد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نعم،ثبت وجوب الوفاء بالنذر بدلیل آخر لا بهذه الآیة، و یجیء منه طاب ثراه مثل الإستدلال المذکور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و العهد و الیمین و فیه أبحاث</w:t>
      </w:r>
      <w:r>
        <w:rPr>
          <w:rFonts w:eastAsia="IRNazanin" w:cs="IRNazanin"/>
          <w:color w:val="111111"/>
          <w:sz w:val="28"/>
          <w:szCs w:val="28"/>
          <w:rtl w:val="true"/>
          <w:lang w:bidi="fa-IR"/>
        </w:rPr>
        <w:t>:</w:t>
      </w:r>
    </w:p>
    <w:p>
      <w:pPr>
        <w:pStyle w:val="Heading5"/>
        <w:numPr>
          <w:ilvl w:val="4"/>
          <w:numId w:val="1"/>
        </w:numPr>
        <w:rPr/>
      </w:pPr>
      <w:bookmarkStart w:id="220" w:name="__RefHeading___Toc4066937_3224264995"/>
      <w:bookmarkStart w:id="221" w:name="_Toc82"/>
      <w:bookmarkEnd w:id="220"/>
      <w:r>
        <w:rPr>
          <w:rtl w:val="true"/>
        </w:rPr>
        <w:t>[</w:t>
      </w:r>
      <w:r>
        <w:rPr>
          <w:rtl w:val="true"/>
        </w:rPr>
        <w:t>البحث</w:t>
      </w:r>
      <w:r>
        <w:rPr>
          <w:rtl w:val="true"/>
        </w:rPr>
        <w:t>]</w:t>
      </w:r>
      <w:r>
        <w:rPr>
          <w:rtl w:val="true"/>
        </w:rPr>
        <w:t>الثانی</w:t>
      </w:r>
      <w:r>
        <w:rPr>
          <w:rtl w:val="true"/>
        </w:rPr>
        <w:t>:</w:t>
      </w:r>
      <w:r>
        <w:rPr>
          <w:rtl w:val="true"/>
        </w:rPr>
        <w:t>العهد</w:t>
      </w:r>
      <w:bookmarkEnd w:id="221"/>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کٰانَ مَسْؤُلاً </w:t>
      </w:r>
      <w:r>
        <w:rPr>
          <w:rStyle w:val="FootnoteAnchor"/>
          <w:rtl w:val="true"/>
        </w:rPr>
        <w:footnoteReference w:id="56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بالإیفاء مطلق،ظاهره العموم،و أکدّ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 الأمر ظاهرا فی الوجوب،فی هذا الأمر قرینة واضحة علیه،فنحکم بعموم هذا الحکم إلاّ ما أخرجه الدلیل</w:t>
      </w:r>
      <w:r>
        <w:rPr>
          <w:rFonts w:eastAsia="IRNazanin" w:cs="IRNazanin"/>
          <w:color w:val="111111"/>
          <w:sz w:val="28"/>
          <w:szCs w:val="28"/>
          <w:rtl w:val="true"/>
          <w:lang w:bidi="fa-IR"/>
        </w:rPr>
        <w:t xml:space="preserve">. </w:t>
      </w:r>
      <w:bookmarkStart w:id="222" w:name="pg12937_139194"/>
    </w:p>
    <w:p>
      <w:pPr>
        <w:pStyle w:val="BookText"/>
        <w:rPr/>
      </w:pPr>
      <w:bookmarkEnd w:id="222"/>
      <w:r>
        <w:rPr>
          <w:rFonts w:ascii="IRNazanin" w:hAnsi="IRNazanin" w:eastAsia="IRNazanin"/>
          <w:color w:val="111111"/>
          <w:sz w:val="28"/>
          <w:sz w:val="28"/>
          <w:szCs w:val="28"/>
          <w:rtl w:val="true"/>
          <w:lang w:bidi="fa-IR"/>
        </w:rPr>
        <w:t>و الآیة الثانیة لا تخصّص الاولی،لأنّ الحصر المستفاد منها یحمل علی عدم الإیفاء بالعهد المعارض لعهد اللّه تعالی،و إلیه أشار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یصار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بِعَهْدِ اللّٰهِ أَوْفُوا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الوفاء بالنذور،و العقود،و الشرائط،و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الإستدلال بهذه الآیة علی وجوب وفاء الوعد مع عدم اندراج کلّ وعد فی ظاهر المیثاق باعتبار ما یدلّ علی التأکید فی الوفاء و مذمّة التارک من الأخبار،فالوعد مع الناس مندرج فی المیثاق</w:t>
      </w:r>
      <w:r>
        <w:rPr>
          <w:rFonts w:eastAsia="IRNazanin" w:cs="IRNazanin"/>
          <w:color w:val="111111"/>
          <w:sz w:val="28"/>
          <w:szCs w:val="28"/>
          <w:rtl w:val="true"/>
          <w:lang w:bidi="fa-IR"/>
        </w:rPr>
        <w:t>.</w:t>
      </w:r>
    </w:p>
    <w:p>
      <w:pPr>
        <w:pStyle w:val="Heading5"/>
        <w:numPr>
          <w:ilvl w:val="4"/>
          <w:numId w:val="1"/>
        </w:numPr>
        <w:rPr/>
      </w:pPr>
      <w:bookmarkStart w:id="223" w:name="__RefHeading___Toc4066939_3224264995"/>
      <w:bookmarkStart w:id="224" w:name="_Toc83"/>
      <w:bookmarkEnd w:id="223"/>
      <w:r>
        <w:rPr>
          <w:rtl w:val="true"/>
        </w:rPr>
        <w:t>الثالث</w:t>
      </w:r>
      <w:r>
        <w:rPr>
          <w:rtl w:val="true"/>
        </w:rPr>
        <w:t>:</w:t>
      </w:r>
      <w:r>
        <w:rPr>
          <w:rtl w:val="true"/>
        </w:rPr>
        <w:t>الیمین</w:t>
      </w:r>
      <w:bookmarkEnd w:id="224"/>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لا تجعلوا اللّه حاجزا و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المعنی لا تکثروا الأیمان حتّی لا تحلفوا فی ترک البرّ و التقوی،و الإصلاح بین الناس،أی لا تجعلوا اللّه عرضة لأیمانکم کراهة أن تبرّوا و تتّقوا و تصلحوا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مانع من الحالیّة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نفی المانع عن الحالیّة،فلعلّه یجوز الحال عن الخبر،لکن هذا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لکونه مصدرا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أفعال المکلّفین، فیجوز جعله کفّارة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یثبت أی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کتابا،و لم یرو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الدلیل یدلّ علی عدم التأیید أیضا،إلاّ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مراده أنّه و إن لم یثبت أی </w:t>
      </w:r>
      <w:bookmarkStart w:id="225" w:name="pg12937_139195"/>
    </w:p>
    <w:p>
      <w:pPr>
        <w:pStyle w:val="BookText"/>
        <w:rPr/>
      </w:pPr>
      <w:bookmarkEnd w:id="225"/>
      <w:r>
        <w:rPr>
          <w:rFonts w:ascii="IRNazanin" w:hAnsi="IRNazanin" w:eastAsia="IRNazanin"/>
          <w:color w:val="111111"/>
          <w:sz w:val="28"/>
          <w:sz w:val="28"/>
          <w:szCs w:val="28"/>
          <w:rtl w:val="true"/>
          <w:lang w:bidi="fa-IR"/>
        </w:rPr>
        <w:t>لم یحصل القطع بکونه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المشهور فی القراءة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یحصل القطع بعدم کونه قرآنا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و إن لم یرو سنّة أیضا لکن لم یحصل القطع بکون المراد هو التفسیر المأخوذ من السنّة،فلیست الشواذ معلومة البطلان و لا مظنونة،فإن کانت صحیحة السند و کان قاریء تلک القراءة ثقة فهی حجّة و إلاّ فهی بمنزلة الروایة الضعیفة،و هی صالحة للتأیید، فکذا ما هو بمنزلتها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ما هو المشهور من الأصحاب من إسقاط کثیر من الآیات القرآنیّة و کلماتها، و أمّا من قال بانحصار القرآن فی المنقول یدّعی القطع بعدم کونه قرآنا،فعند حصول الأمارة الدّالة علی أنّها نقلت بعنوان کونها کتابا تخرج من مرتبة الحجّیّة و التأیید،و عند دلالة الأمارة علی کونها تفسیرا ینبغی ملاحظة السند و الدلالة،و الحکم بما یقتضیانه من الحجّیّة أو التأیید</w:t>
      </w:r>
      <w:r>
        <w:rPr>
          <w:rFonts w:eastAsia="IRNazanin" w:cs="IRNazanin"/>
          <w:color w:val="111111"/>
          <w:sz w:val="28"/>
          <w:szCs w:val="28"/>
          <w:rtl w:val="true"/>
          <w:lang w:bidi="fa-IR"/>
        </w:rPr>
        <w:t>.</w:t>
      </w:r>
    </w:p>
    <w:p>
      <w:pPr>
        <w:pStyle w:val="Heading3"/>
        <w:numPr>
          <w:ilvl w:val="2"/>
          <w:numId w:val="1"/>
        </w:numPr>
        <w:rPr/>
      </w:pPr>
      <w:bookmarkStart w:id="226" w:name="__RefHeading___Toc4066941_3224264995"/>
      <w:bookmarkStart w:id="227" w:name="_Toc84"/>
      <w:bookmarkEnd w:id="226"/>
      <w:r>
        <w:rPr>
          <w:rtl w:val="true"/>
        </w:rPr>
        <w:t>کتاب النکاح</w:t>
      </w:r>
      <w:bookmarkEnd w:id="227"/>
    </w:p>
    <w:p>
      <w:pPr>
        <w:pStyle w:val="Heading4"/>
        <w:numPr>
          <w:ilvl w:val="3"/>
          <w:numId w:val="1"/>
        </w:numPr>
        <w:rPr/>
      </w:pPr>
      <w:bookmarkStart w:id="228" w:name="__RefHeading___Toc4066943_3224264995"/>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و البحث فیه یتنوّع أنواعا</w:t>
      </w:r>
      <w:r>
        <w:rPr>
          <w:rFonts w:eastAsia="IRNazanin" w:cs="IRNazanin"/>
          <w:color w:val="111111"/>
          <w:sz w:val="28"/>
          <w:szCs w:val="28"/>
          <w:rtl w:val="true"/>
          <w:lang w:bidi="fa-IR"/>
        </w:rPr>
        <w:t>:</w:t>
      </w:r>
    </w:p>
    <w:p>
      <w:pPr>
        <w:pStyle w:val="Heading4"/>
        <w:numPr>
          <w:ilvl w:val="3"/>
          <w:numId w:val="1"/>
        </w:numPr>
        <w:rPr/>
      </w:pPr>
      <w:bookmarkStart w:id="230" w:name="__RefHeading___Toc4066945_3224264995"/>
      <w:bookmarkStart w:id="231" w:name="_Toc86"/>
      <w:bookmarkEnd w:id="230"/>
      <w:r>
        <w:rPr>
          <w:rtl w:val="true"/>
        </w:rPr>
        <w:t>الأوّل</w:t>
      </w:r>
      <w:r>
        <w:rPr>
          <w:rtl w:val="true"/>
        </w:rPr>
        <w:t>:</w:t>
      </w:r>
      <w:r>
        <w:rPr>
          <w:rtl w:val="true"/>
        </w:rPr>
        <w:t>فی شرعیّته و أقسامه و غیر ذلک</w:t>
      </w:r>
      <w:r>
        <w:rPr>
          <w:rtl w:val="true"/>
        </w:rPr>
        <w:t>:</w:t>
      </w:r>
      <w:bookmarkEnd w:id="231"/>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غیرهم فیعالجون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أنّهم فی التعب لا یجری فیمن لا یعالج نفسه بغیر التزویج،فیلزم ترغیب إنکاحه مثل الصالحین علی هذا التعلیل،و هو باطل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تعلیل أمثال تلک الامور فی الصنف،لا بالنسبة إلی کلّ شخص،کجعل علّة القصر فی السفر هو المشقّة،مع تخلّفه فی کثیر من المسافرین،و تحقّقها فی کثیر من غیرهم،و مع هذا التقریب فی هذا التعلیل بعد،بل الظاهر من التعبیر بالصالحین علّیّة هذا </w:t>
      </w:r>
    </w:p>
    <w:p>
      <w:pPr>
        <w:pStyle w:val="BookText"/>
        <w:rPr/>
      </w:pPr>
      <w:r>
        <w:rPr>
          <w:rFonts w:ascii="IRNazanin" w:hAnsi="IRNazanin" w:eastAsia="IRNazanin"/>
          <w:color w:val="111111"/>
          <w:sz w:val="28"/>
          <w:sz w:val="28"/>
          <w:szCs w:val="28"/>
          <w:rtl w:val="true"/>
          <w:lang w:bidi="fa-IR"/>
        </w:rPr>
        <w:t>الوصف لکون صاحب هذا الوصف أهلا للإحسان،و الترغیب إلی الصلاح أیضا لیس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استقلال الآباء و الأولیاء و إن کان المولّی علیها 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 رحمه اللّه أنّ ظاهر الأمر بالإنکاح استقلال المأمورین به،و لمّا اندرج فی المأمورین الوکلاء أیضا کما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دلیل ترغیب الأولیاء و الوکلاء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استقلالهم معلوم بالدلیل،فبقی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مقتضی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بمن لا زوج لها بکرا أو ثیّبا،و من لا إمرأة له کما ذکره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بإنکاح الآخر له لا یختصّ بإنکاح الصغیر و الصغیرة و البکر،بل المحتاج إلی الإنکاح غالبا إنّما هو البلغ من الرجال و النساء،بکرا کانت أو ثیّبا،و لا استقلال للآباء فی إنکاح الرجل و الثیّب،فإرادة الإستقلال من الآیة،و إخراج الوکلاء مطلقا،و الآباء بالنسبة إلی بلّغ الأبناء و الثیّب من النساء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للقول بدلالة الآیة علی استقلال الآباء،فظهر أنّه یندرج فی الامور بالإنکاح المستقلّین به و غیرهم،فالقانون یقتضی أن یحمل الآیة علی الرجحان المطلق الذی یجامع الإستقلال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ذکرته ظهر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استقلال الموالی و إن کانوا مستقلّین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الآباء بالنسبة إلی الأبکار أیضا کذلک،لکن بالدلیل الدالّ علیه لا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غناهم و فقرهم باعتبار موالیهم و إذنهم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باعتبار ما یؤول إلیه و لعلّ الإنکاح فیهم یؤول إلی العتق و الغناء فی کثیر من المواضع،و هی المواضع التی یتحقّق فیها شرط الإغناء الذی هو مشیّة اللّه تعالی کما ظهر من الکشّاف آنفا</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استطاعة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یحتمل أن یکون المراد بالنکاح الزوجة المناسبة أو المطلّقة و ما ینکح به من المال،و الثانی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إلی الإحتمالین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یَجِدُونَ نِکٰاحاً أی استطاعة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التقدیرین یحتمل أن یکون حَتّٰی </w:t>
      </w:r>
      <w:r>
        <w:rPr>
          <w:rStyle w:val="FootnoteAnchor"/>
          <w:rtl w:val="true"/>
        </w:rPr>
        <w:footnoteReference w:id="572"/>
      </w:r>
      <w:r>
        <w:rPr>
          <w:rFonts w:ascii="IRNazanin" w:hAnsi="IRNazanin" w:eastAsia="IRNazanin"/>
          <w:color w:val="111111"/>
          <w:sz w:val="28"/>
          <w:sz w:val="28"/>
          <w:szCs w:val="28"/>
          <w:rtl w:val="true"/>
          <w:lang w:bidi="fa-IR"/>
        </w:rPr>
        <w:t xml:space="preserve">لتعلیل الإستعفاف أی ینبغی لمن </w:t>
      </w:r>
      <w:r>
        <w:rPr>
          <w:rStyle w:val="FootnoteAnchor"/>
          <w:rtl w:val="true"/>
        </w:rPr>
        <w:footnoteReference w:id="573"/>
      </w:r>
      <w:r>
        <w:rPr>
          <w:rFonts w:ascii="IRNazanin" w:hAnsi="IRNazanin" w:eastAsia="IRNazanin"/>
          <w:color w:val="111111"/>
          <w:sz w:val="28"/>
          <w:sz w:val="28"/>
          <w:szCs w:val="28"/>
          <w:rtl w:val="true"/>
          <w:lang w:bidi="fa-IR"/>
        </w:rPr>
        <w:t>لم یجد أحدهما الإستعفاف لیترتّب علیه وجدانه،و أشار إلی التعلیل علی تقدیر إرادة المال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یعطیه اللّه تعالی من فضله ما یتمکّن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حَتّٰی هاهنا الغایة،بقرینة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لیجد مالا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الإحتمال الآتی بعده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غایة له بمعنی مطلوبیّة الإستعفاف إلی وجدان أحدهما،و أشار إلیه عند إرادة الزوجة المناسبة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معنی حَتّٰی غایة للاستعفاف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رحمه اللّه لم یذکر إرادة التعلیل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إرادة الزوجة المناسبة،و الغایة علی تقدیر إرادة المال،لکفایة المذکور لاستنباط غیر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له الأولی عدم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مقتضی الاولی مطلوبیّة إنکاح الأولیاء،و عدم جعلهم الفقر مانعا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إذا کان المطلوب من الأولیاء عدم جعل الفقر مانعا له فالمطلوب بالنسبة إلی الزوج أیضا ذلک،لأنّ </w:t>
      </w:r>
      <w:r>
        <w:rPr>
          <w:rStyle w:val="FootnoteAnchor"/>
          <w:rtl w:val="true"/>
        </w:rPr>
        <w:footnoteReference w:id="575"/>
      </w:r>
      <w:r>
        <w:rPr>
          <w:rFonts w:ascii="IRNazanin" w:hAnsi="IRNazanin" w:eastAsia="IRNazanin"/>
          <w:color w:val="111111"/>
          <w:sz w:val="28"/>
          <w:sz w:val="28"/>
          <w:szCs w:val="28"/>
          <w:rtl w:val="true"/>
          <w:lang w:bidi="fa-IR"/>
        </w:rPr>
        <w:t>الإستعفاف لبعد الفرق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 یجری علی أکثر الإحتمالات،لأنّه إن فسّر لاٰ یَجِدُونَ نِکٰاحاً بعدم استطاعة التزوّج أو عدم مال یتزوّج به فلا منافاة بین ظاهر الآیتین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لعلّه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یکون المراد هو عدم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یجد مالا یمکن النکاح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بعد اختلاف الحکم بالنسبة إلی الزوجة و أولیائه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یخفی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المحرّم هاهنا هو عدم القسط و عدم العدل،و أنّه طلب فی الآیة التحرّز عن مقدمته التی هی نکاح الیتامی و المتعدّد عند خوف انجرار أحدهما إلیه،فالظاهر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الکریمة تدلّ علی غایة المبالغة فی التحرّز عن المحرّمات،حیث نهی بحسب المعنی عمّا هو فی عرضة الإنجرار إلی المحرّم،و أمر بشیء لا ینجرّ إلیه،لأنّ ظاهر سیاق الآیة الشریفة هو النهی عن نکاح الیتامی الذی فی عرضة الإنجرار إلی المحرّم الذی هو عدم القسط بمحض الخوف عن انجراره إلیه،و الأمر بنکاح ما لا ینجرّ إلیه،و علیه فقس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أَلاّٰ تَعْدِلُوا</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ذکرته موافق للمشهور الذی هو کراهة ما هو فی عرضة الانجرار إلی المحرّم،لکن الظاهر أنّ مراده طاب ثراه من المحرّمات هاهنا لیس هو عدم القسط و عدم العدل فقط،بل ما هو فی عرضة الإنجرار إلی أحدهما أیضا محرّم عنده،و أنّ مراده من الضمیر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المحرّمات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کون ما هو فی عرضة الإنجرار إلی المحرّم محرّما عنده رحمه اللّه ما یذکره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یباح لکم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فمقصود الآیة تحریم عدم القسط و ما یؤل إلیه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مخالفة المشهور سهل إذا لم یظهر تحقّق الإجماع المعتبر علی وفق قولهم، لکن کلامه رحمه اللّه فی نفسه ضعیف،لأنّ الأمر الصریح الذی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w:t>
      </w:r>
    </w:p>
    <w:p>
      <w:pPr>
        <w:pStyle w:val="BookText"/>
        <w:rPr/>
      </w:pPr>
      <w:r>
        <w:rPr>
          <w:rFonts w:ascii="Amiri" w:hAnsi="Amiri" w:eastAsia="Amiri" w:cs="Amiri"/>
          <w:color w:val="111111"/>
          <w:sz w:val="28"/>
          <w:sz w:val="28"/>
          <w:szCs w:val="28"/>
          <w:rtl w:val="true"/>
          <w:lang w:bidi="ar-SA"/>
        </w:rPr>
        <w:t>طٰابَ لَکُمْ مِنَ النِّسٰاءِ مَثْنیٰ</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لیس للوجوب،و هو رحمه اللّه أیضا قائل به،فلا یبعد أیضا أن لا یکون النهی الضمنی عن نکاح الیتامی عند خوف عدم القسط للحرمة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کأنّی رأیت عن الشیخ کراهة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سببها ظاهر،و هو خوف عدم العدل کما یؤمی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یدلّ الآیة علی الکراهة عند عدم الخوف و لا إشارة فیها إلیها،و عند الخوف یدلّ علی الحرمة عنده،کما أومأت إلی دلالة کلامه رحمه اللّه علی اختیاره الحرمة بدلالة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بعض الناس علی وجوب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التعبیر بالإستدلال هو الحکم بالوجوب بسبب دلالة الآیة علیه،لا القول بکون ظاهر الآیة هو الوجوب و إن ثبت عدم إرادة الظاهر بدلیل آخر،و حینئذ لا ریب فی ورود الإعتراض الذی اشیر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 المصنّف رحمه اللّه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دلالة الآیة إنّما تسلّم لو لم یکن لها صارف،و کون مثنی فی ذیل </w:t>
      </w:r>
      <w:r>
        <w:rPr>
          <w:rStyle w:val="FootnoteAnchor"/>
          <w:rtl w:val="true"/>
        </w:rPr>
        <w:footnoteReference w:id="579"/>
      </w:r>
      <w:r>
        <w:rPr>
          <w:rFonts w:ascii="IRNazanin" w:hAnsi="IRNazanin" w:eastAsia="IRNazanin"/>
          <w:color w:val="111111"/>
          <w:sz w:val="28"/>
          <w:sz w:val="28"/>
          <w:szCs w:val="28"/>
          <w:rtl w:val="true"/>
          <w:lang w:bidi="fa-IR"/>
        </w:rPr>
        <w:t>الأمر صارف عن دلالتها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صارفا عن الدلالة،بل صارف عن الحکم بإرادة ما هو ظاهر الأمر الذی فی الآیة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التوجیه بإرادة هذا المعنی من عدم الدلالة یدفعه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وجود الدلیل علی عدم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دلالته علی الوجوب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ما هو مقتضی لفظ الإستدلال الذی أشرت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به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بتفاوت،لأنّه ذکر ما هو مقتضی لفظ الإستدلال علی ما ذکرته بعنوان الإحتمال الذی یدلّ علی کونه تأویلا له،و کونه خلاف ظاهر اللفظ علی ما هو ظاهر لفظ،إلاّ أن یقال کما </w:t>
      </w:r>
    </w:p>
    <w:p>
      <w:pPr>
        <w:pStyle w:val="BookText"/>
        <w:rPr/>
      </w:pPr>
      <w:r>
        <w:rPr>
          <w:rFonts w:ascii="IRNazanin" w:hAnsi="IRNazanin" w:eastAsia="IRNazanin"/>
          <w:color w:val="111111"/>
          <w:sz w:val="28"/>
          <w:sz w:val="28"/>
          <w:szCs w:val="28"/>
          <w:rtl w:val="true"/>
          <w:lang w:bidi="fa-IR"/>
        </w:rPr>
        <w:t>یعرفه العارف بأسالیب الکلام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یمکن أن لا یسلّم وجود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المنع مکابرة کما لا یخفی،و خلاف ما 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أیضا أنه یجب الإجتناب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الإجتناب </w:t>
      </w:r>
      <w:r>
        <w:rPr>
          <w:rStyle w:val="FootnoteAnchor"/>
          <w:rtl w:val="true"/>
        </w:rPr>
        <w:footnoteReference w:id="580"/>
      </w:r>
      <w:r>
        <w:rPr>
          <w:rFonts w:ascii="IRNazanin" w:hAnsi="IRNazanin" w:eastAsia="IRNazanin"/>
          <w:color w:val="111111"/>
          <w:sz w:val="28"/>
          <w:sz w:val="28"/>
          <w:szCs w:val="28"/>
          <w:rtl w:val="true"/>
          <w:lang w:bidi="fa-IR"/>
        </w:rPr>
        <w:t>عن جمیع المحرّمات لا یحتاج إلی بیان،لکن فهمه من الآیة غیر ظاهر، و تأیید وجوب الإجتناب عن الکلّ عدم قبول التوبة عن البعض أیضا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أنّه التعدیل بین السراری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رحمه اللّه هاهنا بالنسبة إلی الإماء کلّه ثابت بالسنّة،لکنّ الإستدلال بالآیة لا یجری فی غیر عدم وجوب التعدیل بین الإماء،فما هو مندرج فیه یمکن الإستدلال بهذه الآیة علی عدم وجوبه،و ما لا یندرج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کلامه رحمه اللّه عدم اندراج المنام،و ما یذکره بعد فیه کما هو مقتضی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کذلک فلا تدلّ علی عدم وجوب ما ذکره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أنّه ینبغی إعطاء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؛فالهبة متعلّقة بالباقی،و ظاهر هذه العبارة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شَیْءٍ </w:t>
      </w:r>
      <w:r>
        <w:rPr>
          <w:rStyle w:val="FootnoteAnchor"/>
          <w:rtl w:val="true"/>
        </w:rPr>
        <w:footnoteReference w:id="581"/>
      </w:r>
      <w:r>
        <w:rPr>
          <w:rFonts w:ascii="IRNazanin" w:hAnsi="IRNazanin" w:eastAsia="IRNazanin"/>
          <w:color w:val="111111"/>
          <w:sz w:val="28"/>
          <w:sz w:val="28"/>
          <w:szCs w:val="28"/>
          <w:rtl w:val="true"/>
          <w:lang w:bidi="fa-IR"/>
        </w:rPr>
        <w:t>إشارة إلی ما بقی من المهر، فالهبة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الإبراء الإصطلاحی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فَکُلُوهُ </w:t>
      </w:r>
      <w:r>
        <w:rPr>
          <w:rStyle w:val="FootnoteAnchor"/>
          <w:rtl w:val="true"/>
        </w:rPr>
        <w:footnoteReference w:id="582"/>
      </w:r>
      <w:r>
        <w:rPr>
          <w:rFonts w:ascii="IRNazanin" w:hAnsi="IRNazanin" w:eastAsia="IRNazanin"/>
          <w:color w:val="111111"/>
          <w:sz w:val="28"/>
          <w:sz w:val="28"/>
          <w:szCs w:val="28"/>
          <w:rtl w:val="true"/>
          <w:lang w:bidi="fa-IR"/>
        </w:rPr>
        <w:t>هو الإختصاص بالعین،و تخصیصه بما فی الذمّة کما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عمّم بحیث یشمل ما فی الذمّة أیضا کما أشار رحمه اللّه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 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هبة الکلّ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الهبة،و ما سیذکره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ذکر الهبة هاهنا بعنوان المثال لا باعتبار کونها معتبرة،بل </w:t>
      </w:r>
    </w:p>
    <w:p>
      <w:pPr>
        <w:pStyle w:val="BookText"/>
        <w:rPr/>
      </w:pPr>
      <w:r>
        <w:rPr>
          <w:rFonts w:ascii="IRNazanin" w:hAnsi="IRNazanin" w:eastAsia="IRNazanin"/>
          <w:color w:val="111111"/>
          <w:sz w:val="28"/>
          <w:sz w:val="28"/>
          <w:szCs w:val="28"/>
          <w:rtl w:val="true"/>
          <w:lang w:bidi="fa-IR"/>
        </w:rPr>
        <w:t>هی فرد من أفراد ما یدلّ علی طیب النفس،و لعلّه أجمل هاهنا بما سیبیّن من 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تنکیر شیء یدلّ علی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بالنسبة إلی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استوهب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عدم اختصاصه بالمهر، و ظاهر الإستشهاد بالآیة اختصاصه به،فیحتمل أن یکون مراد أمیر المؤمنین علیه السّلام ظاهر هذا الکلام،و استشهاده علیه السّلام یمکن أن یکون باعتبار استفادته علیه السّلام منها العموم و إن لم یکن ظاهرا بحسب أذهاننا،و لا ینافی استشهاده علیه السّلام للرجل عدم إدراک الرجل أیضا کیفیّة الدلالة،و لا یبعد أیضا أن یکون علیه السّلام أعلمه العموم ببعض الامور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به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من المهر،و اکتفی بالإجمال بما یظهر من الإستشهاد،لکن هذا الإحتمال بعید بالنسبة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من الروایة هو الإحتمال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یحتاج إلی الإیجاب و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ترتّب فَکُلُوهُ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عَنْ شَیْءٍ مِنْهُ نَفْساً </w:t>
      </w:r>
      <w:r>
        <w:rPr>
          <w:rStyle w:val="FootnoteAnchor"/>
          <w:rtl w:val="true"/>
        </w:rPr>
        <w:footnoteReference w:id="583"/>
      </w:r>
      <w:r>
        <w:rPr>
          <w:rFonts w:ascii="IRNazanin" w:hAnsi="IRNazanin" w:eastAsia="IRNazanin"/>
          <w:color w:val="111111"/>
          <w:sz w:val="28"/>
          <w:sz w:val="28"/>
          <w:szCs w:val="28"/>
          <w:rtl w:val="true"/>
          <w:lang w:bidi="fa-IR"/>
        </w:rPr>
        <w:t xml:space="preserve">یدلّ علی کفایته فی الترتّب،و لم یظهر منه أمر زاید علی ما یدلّ علی طیب النفس،و لم یظهر منه 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الإیجاب و القبول،حتّی یترتّب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أموال الناس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هذا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سقوطها بالهبة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هاهنا کفایة ما یدلّ علی طیب النفس،و أشار إلی احتمال عدم اختصاص فَکُلُوهُ بالعین سابقا، و ظاهر أنّ لفظ الهبة من الألفاظ الدالة علی طیب النفس،فصحّ حینئذ تفریع قوله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سبق،فظهر بما ذکرته وجه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یجوز الإبراء </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یختص هاهنا بذاته و لکن لا یظهر وجه قوله</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القبول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متعلّقا بالإبراء أو به 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باعتباره اعتباره فی بعض الصور الذی هو تعلّق أحدهما بالعین للتملّک لا لجواز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تکلّف،لکن یمکن فی کلام مثله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حسن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الآیة علیه إشکال، لأنّ ظاهر سیاق الآیة هو المدح بمحافظة الفروج علی غیر الأزواج و ملک الیمین،و عدم منافاة عدم المحافظة علی الأخیرین المدح بالمحافظة،و أمّا المدح بعدم المحافظة علی الأخیرین فغیر مستفاد من الآیة،بل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غَیْرُ مَلُومِینَ </w:t>
      </w:r>
      <w:r>
        <w:rPr>
          <w:rStyle w:val="FootnoteAnchor"/>
          <w:rtl w:val="true"/>
        </w:rPr>
        <w:footnoteReference w:id="586"/>
      </w:r>
      <w:r>
        <w:rPr>
          <w:rFonts w:ascii="IRNazanin" w:hAnsi="IRNazanin" w:eastAsia="IRNazanin"/>
          <w:color w:val="111111"/>
          <w:sz w:val="28"/>
          <w:sz w:val="28"/>
          <w:szCs w:val="28"/>
          <w:rtl w:val="true"/>
          <w:lang w:bidi="fa-IR"/>
        </w:rPr>
        <w:t>هو عدم المنافاة الذی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استفادة ما ذکره من السنّة،و لیس کلامه رحمه اللّه هاهنا فیه بقرینة السیاق،و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غیر هذه الآیة أیضا من الآیات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بما ذکرته ضعف هذا القول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الآیة،لأنّ ظاهر استثناء إِلاّٰ عَلیٰ أَزْوٰاجِهِمْ أَوْ مٰا مَلَکَتْ أَیْمٰانُهُمْ </w:t>
      </w:r>
      <w:r>
        <w:rPr>
          <w:rStyle w:val="FootnoteAnchor"/>
          <w:rtl w:val="true"/>
        </w:rPr>
        <w:footnoteReference w:id="587"/>
      </w:r>
      <w:r>
        <w:rPr>
          <w:rFonts w:ascii="IRNazanin" w:hAnsi="IRNazanin" w:eastAsia="IRNazanin"/>
          <w:color w:val="111111"/>
          <w:sz w:val="28"/>
          <w:sz w:val="28"/>
          <w:szCs w:val="28"/>
          <w:rtl w:val="true"/>
          <w:lang w:bidi="fa-IR"/>
        </w:rPr>
        <w:t xml:space="preserve">عدم منافاة المستثنی المدح الظاهر من الآیة الظاهر منه عدم کونه صفة بعض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الخطاب للأحرار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أَنْ یَنْکِحَ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کون من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النکاح،و العبد لا یملک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الصور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النکاح،بل مالکه هو المولی،فتخصیص الخطاب بالأحرار هو رعایة مقتضی ظاهر الآیة لا أنّه حمل للفظ علی خلاف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بمفهوم الوصف و ما ثبت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الدلیل علی حجیّة المفهوم هی أنّ الظاهر من تقیید شیء بشرط مثلا هو انتفاء ذلک الشیء عند انتفاء الشرط إذا لم یظهر للتقیید فایدة غیره،و الظاهر من الآیة و الخبر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کما هو جار فی حجیّة مفهوم الشرط و الغایة،جار فی مفهوم الصفة، و کون التقیید بالشرط و الغایة أظهر فی الدلالة علی انتفاء حکم المذکور عن المسکوت لا یخصّص الحکم باعتبار المفهوم بهما،إلاّ إذا دلّ دلیل علی اعتبار هذه المرتبة من الظهور التی یظهر من التقیید بأحدهما و انتفائها عن التقیید بالصفة،و لم یدلّ دلیل علی اعتبار مرتبة خاصّة من الظهور فی کون الظاهر من الکتاب و الخبر حجّة،فالحق حجّیّة مفهوم الصفة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 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 أقرب،و هو کاف للاستدلال بالظاهر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الترغیب و التحریص علی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من آیة حُرِّمَتْ عَلَیْکُمْ أُمَّهٰاتُکُمْ </w:t>
      </w:r>
      <w:r>
        <w:rPr>
          <w:rStyle w:val="FootnoteAnchor"/>
          <w:rtl w:val="true"/>
        </w:rPr>
        <w:footnoteReference w:id="590"/>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مَلَکَتْ أَیْمٰانُکُمْ حرمة ما ذکر من المحرّمات أبدا أو جمعا،و حلّیّة ملک الأیمان الخاصّ التی اشیر إلیها بقوله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مِنَ النِّسٰاءِ إِلاّٰ مٰا مَلَکَتْ أَیْمٰانُکُمْ </w:t>
      </w:r>
      <w:r>
        <w:rPr>
          <w:rStyle w:val="FootnoteAnchor"/>
          <w:rtl w:val="true"/>
        </w:rPr>
        <w:footnoteReference w:id="591"/>
      </w:r>
      <w:r>
        <w:rPr>
          <w:rFonts w:ascii="IRNazanin" w:hAnsi="IRNazanin" w:eastAsia="IRNazanin"/>
          <w:color w:val="111111"/>
          <w:sz w:val="28"/>
          <w:sz w:val="28"/>
          <w:szCs w:val="28"/>
          <w:rtl w:val="true"/>
          <w:lang w:bidi="fa-IR"/>
        </w:rPr>
        <w:t>بل حلّیّة الإماء غیر المحصنات المذکورة أیضا بالأولویّة،فسیاق الآیات فی بیان المحرّمات و المحلّلات،فقوله تعالی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یَسْتَطِعْ مِنْکُمْ </w:t>
      </w:r>
      <w:r>
        <w:rPr>
          <w:rStyle w:val="FootnoteAnchor"/>
          <w:rtl w:val="true"/>
        </w:rPr>
        <w:footnoteReference w:id="592"/>
      </w:r>
      <w:r>
        <w:rPr>
          <w:rFonts w:ascii="IRNazanin" w:hAnsi="IRNazanin" w:eastAsia="IRNazanin"/>
          <w:color w:val="111111"/>
          <w:sz w:val="28"/>
          <w:sz w:val="28"/>
          <w:szCs w:val="28"/>
          <w:rtl w:val="true"/>
          <w:lang w:bidi="fa-IR"/>
        </w:rPr>
        <w:t xml:space="preserve">إلی آخر ما نقله المصنّف لا یدلّ علی التحریص علی النکاح </w:t>
      </w:r>
    </w:p>
    <w:p>
      <w:pPr>
        <w:pStyle w:val="BookText"/>
        <w:rPr/>
      </w:pPr>
      <w:r>
        <w:rPr>
          <w:rFonts w:ascii="IRNazanin" w:hAnsi="IRNazanin" w:eastAsia="IRNazanin"/>
          <w:color w:val="111111"/>
          <w:sz w:val="28"/>
          <w:sz w:val="28"/>
          <w:szCs w:val="28"/>
          <w:rtl w:val="true"/>
          <w:lang w:bidi="fa-IR"/>
        </w:rPr>
        <w:t>فی هذا المقام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تقیید عدم الإستطاعة فی نکاح ملک الأیمان یدلّ علی انتفاء التحریص فی نکاحهنّ عند استطاعة المحصنات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أنّ المقصود هو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الإرشاد علی الجواز،و فیه أنّ الإرشاد یتحقّق بعکس الترتیب المذکور بحسب اللفظ،فالحکم باختیار أحد الترتیبین علی الآخر بلا خصوصیّة فی اختیاره لا وجه له و إن کان بعنوان الظنّ کما هو مقتضی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ما حملت علی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علیه،لأنّ ما یمنع علی حمله الآیة علی تعیین نکاح الحرّة علی تقدیر،و تعیین نکاح الأمة علی تقدیر آخر لا یمنع عن حملها علی الترتیب بعنوان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ذکرته ظهر ضعف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 أحد بعدم رجحان نکاح الحرّة بالنسبة الی العبد فلا یجری المفهوم بعنوان الأولویّة أیضا،و سلّم له یحتمل تخصیص الآیة بالأحرار کما أومئ إلیه سابقا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الخطاب للأحرار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التخصیص لیس بعیدا،فارتکابه مع رعایة المفهوم علی وجه یصحّ أولی من 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عمومه،و ترک مقتضی المفهوم،و ضعف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یظنّه مؤیّدا لیس بمؤیّد،کما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الجواز أیضا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فَانْکِحُوهُنَّ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؛الإستدلال بهذا العموم علی الجواز الذی یقول به رحمه اللّه مشکل،لاحتمال أن یکون المقصود بعد بیان مرتبة جواز نکاح الإماء التی هی عدم وجدان الطول بیان اشتراط نکاحهنّ بأمر آخر هو إذن الأهل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یؤیّده أیضا وَ أَنْکِحُوا الْأَیٰامیٰ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هذه الآیة فی نکاح الإماء إلی ظاهر آیة وَ مَنْ لَمْ یَسْتَطِعْ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العامّ إلی الخاصّ، فالقانون یقتضی تخصیص العامّ بما یدلّ علیه الخاصّ،فتأیید الجواز بهذه الآیة ضعیف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زنا للکافرة للشبهة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 هذا التعلیل بالنسبة إلی الکافرات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أیضا تدلّ علی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دلّ التقیید بعدم استطاعة نکاح المحصنات المؤمنات للأمر بنکاح ما ملکت الأیمان علی حرمة نکاح ملک الأیمان مع الإستطاعة،یدلّ تقیید جواز نکاح الإماء المعبّر عنه بلفظ ذلک بخوف العنت علی حرمته بدون هذا القید،فمقتضی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معلومیّة اقتضاء التقیید الأوّل للحرمة،و الحکم بکون التقیید الثانی مثله فی الإقتضاء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الإستدراک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زید له شرط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ظهور مقتضی التقیید الأوّل،فالمناسب إمّا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 الإستدراک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عدم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صبرکم عن نکاح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علی ما یبلغ إلیه عقلنا أنّ اللّه عزّ و جلّ لمّا ذکر شرط عدم الطول و خوف العنت فی نکاح الإماء ذکر أنّ الصبر علی عدم التزویج بهنّ بعد حصول الشرطین خیر لکم،لا قبل حصولهما، و لیس المراد بالصبر هو الصبر عن عدم التزویج فقط،بل الصبر عنه و عمّا هو فی عرضة الإنجرار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یذکره فی إبطال 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المراد بعد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بما ذکرته من اندراج الصبر عن الزنا فی الصبر الذی حکم بخیریّته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العنت هو الإثم الذی یحصل من الزنا أو الحدّ،و أمّا إذا کان المراد منه هو المشقّة و إن لم یحصل الخوف بوقوعه فی معصیة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یحصل به ضرر لا یتحمّل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العنت علی تقدیر کونه هو المشقّة لیس المراد به هذه المرتبة منها بقرینة طلب الصبر،و لعلّ استحباب التزویج لو دعت نفسه مخصّص بغیر نکاح الإماء بدلیل الآیتین و إن لم یمکن حمل کلام الفقهاء علی ذلک،فلا ینفعه إلاّ إذا أظهر منه الإجماع،و ظاهر أنّ المسألة لیست إجماعیّة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ذکرته یظهر ضعف ما یذکره فی تقویة ما اختاره</w:t>
      </w:r>
      <w:r>
        <w:rPr>
          <w:rFonts w:eastAsia="IRNazanin" w:cs="IRNazanin"/>
          <w:color w:val="111111"/>
          <w:sz w:val="28"/>
          <w:szCs w:val="28"/>
          <w:rtl w:val="true"/>
          <w:lang w:bidi="fa-IR"/>
        </w:rPr>
        <w:t xml:space="preserve">. </w:t>
      </w:r>
      <w:bookmarkStart w:id="232" w:name="pg12937_139206"/>
    </w:p>
    <w:p>
      <w:pPr>
        <w:pStyle w:val="BookText"/>
        <w:rPr/>
      </w:pPr>
      <w:bookmarkEnd w:id="232"/>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إلیها فلا بأس</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مقصوده من التأیید بالروایة الاولی أنّ الإضطرار کثیرا مّا یستعمل فی المشقّة و إن لم یبلغ إلی مرتبة لا یصحّ التکلیف معها،بل کثیرا مّا یطلق الإضطرار فی المشقّة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استعمال المشقّة فی هذا المعنی لا یجعل الروایة مؤیّدة،بل تأییدها موقوف علی کونه ظاهر فی المرتبة الضعیفة منها بخصوصها،و لیس کذلک؛و علی فرض کونه کذلک مع معلومیّة بطلانه فلا دلالة لها و لا تأیید فی صورة عدم حصول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الإجماع المرکّب فی مثل هذه المسألة توهّم ضعیف کما أوضحته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بالروایة الثانیة أنّ 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الکراهة،فیحمل علی الکراهة قبل حصول الشرطین،لعدم الکراهة بعده،بل قد یکون واجبا حینئذ کما ظهر ممّا ذکر فی تأیید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تَصْبِرُوا خَیْرٌ لَکُمْ </w:t>
      </w:r>
      <w:r>
        <w:rPr>
          <w:rStyle w:val="FootnoteAnchor"/>
          <w:rtl w:val="true"/>
        </w:rPr>
        <w:footnoteReference w:id="596"/>
      </w:r>
      <w:r>
        <w:rPr>
          <w:rFonts w:ascii="IRNazanin" w:hAnsi="IRNazanin" w:eastAsia="IRNazanin"/>
          <w:color w:val="111111"/>
          <w:sz w:val="28"/>
          <w:sz w:val="28"/>
          <w:szCs w:val="28"/>
          <w:rtl w:val="true"/>
          <w:lang w:bidi="fa-IR"/>
        </w:rPr>
        <w:t>لما اختاره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أن یکون الکراهة المستنبطة من ظاهر الروایة هی کراهة تزویجها بعد حصول الشرطین کما أوضحته فی بیان ضعف ما أبطل به هذا الإحتمال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ضعف تأیید هذه الروایة لیس باعتبار السند فقط،بل باعتبار الدلالة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تعبیره رحمه اللّه بالتأیید باعتبار السند،و عدم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الکراهة، لاحتمال الأعمّ الذی لا ینافی الحرمة،و کون النهی متعلّقا بقبل حصول الشرطین،و کون النکاح قبل حصولهما حراما لا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هذا الإحتمال خلاف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بالتأیید،و حاصل إیرادی علیه بعد حمل اللفظ علی ظاهره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4066947_3224264995"/>
      <w:bookmarkStart w:id="234" w:name="_Toc87"/>
      <w:bookmarkEnd w:id="233"/>
      <w:r>
        <w:rPr>
          <w:rtl w:val="true"/>
        </w:rPr>
        <w:t>«</w:t>
      </w:r>
      <w:r>
        <w:rPr>
          <w:rtl w:val="true"/>
        </w:rPr>
        <w:t>النوع الثانی</w:t>
      </w:r>
      <w:r>
        <w:rPr>
          <w:rtl w:val="true"/>
        </w:rPr>
        <w:t>:</w:t>
      </w:r>
      <w:r>
        <w:rPr>
          <w:rtl w:val="true"/>
        </w:rPr>
        <w:t>فی المحرّمات</w:t>
      </w:r>
      <w:bookmarkEnd w:id="234"/>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بئس طریق من یقول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بعید،لأنّ ضمیر </w:t>
      </w:r>
    </w:p>
    <w:p>
      <w:pPr>
        <w:pStyle w:val="BookText"/>
        <w:rPr/>
      </w:pPr>
      <w:r>
        <w:rPr>
          <w:rFonts w:ascii="Amiri" w:hAnsi="Amiri" w:eastAsia="Amiri" w:cs="Amiri"/>
          <w:color w:val="111111"/>
          <w:sz w:val="28"/>
          <w:sz w:val="28"/>
          <w:szCs w:val="28"/>
          <w:rtl w:val="true"/>
          <w:lang w:bidi="ar-SA"/>
        </w:rPr>
        <w:t>إِنَّهُ و کٰانَ للنکاح المذکور کما یدلّ علیه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نکاحهنّ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،فکذا ضمیر 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النکاح أولی ما یمکن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؛لتبادره إذا نسب الحرمة إلی النسوان فالدلیل الثانی مأخوذ فی تتمیم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دلالة علی أنّ إطلاق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أنّ المذکورات محرّمة بالإتّفاق،و الظاهر اندراجها فی عموم الآیة،و إذا اندرجت فی عمومها فالظاهر کون الألفاظ المذکورة فی الآیة فی المذکورات حقیقة،لخلوّ الآیة عن قرینة إرادة المعانی المذکورة،و إطلاق اللفظ علی معنی بلا قرینة یدلّ علی کونه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ظهور حکم بالألفاظ المذکورة حقیقة فیه من الآیة،و حکم غیره من المذکورات من السنّة </w:t>
      </w:r>
      <w:r>
        <w:rPr>
          <w:rStyle w:val="FootnoteAnchor"/>
          <w:rtl w:val="true"/>
        </w:rPr>
        <w:footnoteReference w:id="599"/>
      </w:r>
      <w:r>
        <w:rPr>
          <w:rFonts w:ascii="IRNazanin" w:hAnsi="IRNazanin" w:eastAsia="IRNazanin"/>
          <w:color w:val="111111"/>
          <w:sz w:val="28"/>
          <w:sz w:val="28"/>
          <w:szCs w:val="28"/>
          <w:rtl w:val="true"/>
          <w:lang w:bidi="fa-IR"/>
        </w:rPr>
        <w:t>،و إن دلّ دلیل منفصل مثل الروایة علی اندراج الکلّ فی الآیة المذکورة فلا یمکن الحکم بکونها حقیقة فیه إذا دلّ دلیل مثل تبادر الغیر علی کونها مجازا فیه مثل استعمال الآخرة فی آیة إرث الامّ فی ما هو فوق الواحد مع اشتهار کون الجمع حقیقة فی ما هو فوق الإثنین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احتمال هذا تجویزه رحمه اللّه إرادة الوطی من النکاح مجازا کما مرّ آنفا،و فقد القرینة بالنسبة إلینا لا یستلزم فقدها بالنسبة إلی من نزلت علیه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إرادتهما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رحمه اللّه محض الإحتمال و إن کان بعیدا،لبعد عموم المجاز و الإشتراک،و ظاهر أنّ إرادة المذکورات من الآیة المذکورة لیست بهذا البعد و إن کانت بعنوان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فیمکن جواز ذلک إلی </w:t>
      </w:r>
      <w:r>
        <w:rPr>
          <w:rStyle w:val="FootnoteAnchor"/>
          <w:rtl w:val="true"/>
        </w:rPr>
        <w:footnoteReference w:id="600"/>
      </w:r>
      <w:r>
        <w:rPr>
          <w:rFonts w:ascii="IRNazanin" w:hAnsi="IRNazanin" w:eastAsia="IRNazanin"/>
          <w:color w:val="111111"/>
          <w:sz w:val="28"/>
          <w:sz w:val="28"/>
          <w:szCs w:val="28"/>
          <w:rtl w:val="true"/>
          <w:lang w:bidi="fa-IR"/>
        </w:rPr>
        <w:t>محلّ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لنهایة الجواز،فلا یجوز النظر إلی محلّ الشهوة و الریبة و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ما یدلّ علی أنّه یحصل بالیوم و اللیلة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إنبات اللحم و شدّ العظم یحصل من رضعة،بل بعضها إذا لم یختلّ مزاج المرتضع،مع أنّ بعض الأخبار یدلّ علی عدم حصولهما من العشرة،فینبغی حمل الروایات الدالّة علیها علی مرتبة خاصّة منهما یحصل ببیانهما،لا بمعنی حصول تلک المرتبة،بل ما من شأنه أن یحصل به تلک المرتبة کاف،فلا فرق بین صحیح المزاج و مختلّ المزاج فی کون الخمس عشرة رضعة مثلا محرّمة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جمع الخطاب و إن کان ظاهرا فی غیر أهل البیت لکن لو لم یکن ظاهرا فیهم أیضا لما ورد ابوّته صلّی اللّه علیه و آله لهم،لأنّ الحسنین علیهما السّلام لم یکونا رجلین حینئذ و لیس ظاهر الآیة عدم صیرورته صلّی اللّه علیه و آله أبا حتّی یحتاج إلی التوجیه فی دفع توهّم الإیراد کما هو مقتضی کلامه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عدم اعتبار مفهوم القیود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دَخَلْتُمْ بِهِنَّ </w:t>
      </w:r>
      <w:r>
        <w:rPr>
          <w:rStyle w:val="FootnoteAnchor"/>
          <w:rtl w:val="true"/>
        </w:rPr>
        <w:footnoteReference w:id="602"/>
      </w:r>
      <w:r>
        <w:rPr>
          <w:rFonts w:ascii="Amiri" w:hAnsi="Amiri" w:eastAsia="Amiri" w:cs="Amiri"/>
          <w:color w:val="111111"/>
          <w:sz w:val="28"/>
          <w:sz w:val="28"/>
          <w:szCs w:val="28"/>
          <w:rtl w:val="true"/>
          <w:lang w:bidi="ar-SA"/>
        </w:rPr>
        <w:t>علی تقدیر اعتبار المفهوم یدلّ علی حرمة الربائب اللاّتی من النساء الغیر المدخولة،فلم یکن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تَکُونُوا دَخَلْتُمْ بِهِنَّ فَلاٰ جُنٰاحَ عَلَیْکُمْ </w:t>
      </w:r>
      <w:r>
        <w:rPr>
          <w:rStyle w:val="FootnoteAnchor"/>
          <w:rtl w:val="true"/>
        </w:rPr>
        <w:footnoteReference w:id="603"/>
      </w:r>
      <w:r>
        <w:rPr>
          <w:rFonts w:ascii="Amiri" w:hAnsi="Amiri" w:eastAsia="Amiri" w:cs="Amiri"/>
          <w:color w:val="111111"/>
          <w:sz w:val="28"/>
          <w:sz w:val="28"/>
          <w:szCs w:val="28"/>
          <w:rtl w:val="true"/>
          <w:lang w:bidi="ar-SA"/>
        </w:rPr>
        <w:t xml:space="preserve">حاجة،لأنّ منطوق هذا هو ما ظهر من مفهوم السابق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الحکم بعنوان التفریع شایع فی الکلام البلیغ،و ظاهر أنّ التفریع هو ذکر الحکم الذی ظهر من السابق</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لیست مرفوعة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یشترط رفع </w:t>
      </w:r>
      <w:bookmarkStart w:id="235" w:name="pg12937_139209"/>
    </w:p>
    <w:p>
      <w:pPr>
        <w:pStyle w:val="BookText"/>
        <w:rPr/>
      </w:pPr>
      <w:bookmarkEnd w:id="235"/>
      <w:r>
        <w:rPr>
          <w:rFonts w:ascii="Amiri" w:hAnsi="Amiri" w:eastAsia="Amiri" w:cs="Amiri"/>
          <w:color w:val="111111"/>
          <w:sz w:val="28"/>
          <w:sz w:val="28"/>
          <w:szCs w:val="28"/>
          <w:rtl w:val="true"/>
          <w:lang w:bidi="ar-SA"/>
        </w:rPr>
        <w:t>الکلّ فی کون الآیة منسوخة فی جمیع مفادّها لا فی کونها منسوخة فی بعضه،و توضیحه أنّه إذا کان حکم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w:t>
      </w:r>
      <w:r>
        <w:rPr>
          <w:rStyle w:val="FootnoteAnchor"/>
          <w:rtl w:val="true"/>
        </w:rPr>
        <w:footnoteReference w:id="605"/>
      </w:r>
      <w:r>
        <w:rPr>
          <w:rFonts w:ascii="Amiri" w:hAnsi="Amiri" w:eastAsia="Amiri" w:cs="Amiri"/>
          <w:color w:val="111111"/>
          <w:sz w:val="28"/>
          <w:sz w:val="28"/>
          <w:szCs w:val="28"/>
          <w:rtl w:val="true"/>
          <w:lang w:bidi="ar-SA"/>
        </w:rPr>
        <w:t>شاملا لأهل الکتاب و جاریا فیهم أیضا إلی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الْکِتٰابَ </w:t>
      </w:r>
      <w:r>
        <w:rPr>
          <w:rStyle w:val="FootnoteAnchor"/>
          <w:rtl w:val="true"/>
        </w:rPr>
        <w:footnoteReference w:id="606"/>
      </w:r>
      <w:r>
        <w:rPr>
          <w:rFonts w:ascii="IRNazanin" w:hAnsi="IRNazanin" w:eastAsia="IRNazanin"/>
          <w:color w:val="111111"/>
          <w:sz w:val="28"/>
          <w:sz w:val="28"/>
          <w:szCs w:val="28"/>
          <w:rtl w:val="true"/>
          <w:lang w:bidi="fa-IR"/>
        </w:rPr>
        <w:t>و ارتفع ما تعلّق بهم بهذه الآیة کان نسخا للآیة الاولی فی البعض و إن بقی حکمها فی البعض الآخر کما کان،فالصواب الاکتفاء بالتعلیل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بیّنت فی السادسة من النوع الأوّل ما یظهر به قوّة عدم جواز نکاح الإماء مع القدرة علی الحرائر،و حینئذ حمل الأمة و العبد علی ما حملهما علیه فی غایة البعد،لدلالة الاسلوب علی ظهور حلّیّة الأمة المؤمنة للمخاطبین،و إطلاق الأمة و العبد علی ما فی الکشاف و البیضاوی </w:t>
      </w:r>
      <w:r>
        <w:rPr>
          <w:rStyle w:val="FootnoteAnchor"/>
          <w:rtl w:val="true"/>
        </w:rPr>
        <w:footnoteReference w:id="607"/>
      </w:r>
      <w:r>
        <w:rPr>
          <w:rFonts w:ascii="IRNazanin" w:hAnsi="IRNazanin" w:eastAsia="IRNazanin"/>
          <w:color w:val="111111"/>
          <w:sz w:val="28"/>
          <w:sz w:val="28"/>
          <w:szCs w:val="28"/>
          <w:rtl w:val="true"/>
          <w:lang w:bidi="fa-IR"/>
        </w:rPr>
        <w:t>لیس بعیدا، و کون المبالغة الداعیة علی حمل اللفظین علی ما حملهما رحمه اللّه علیه مطلوبه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الآیة حینئذ أنّه تعالی نهی عن نکاح المشرکات و غیّی النهی بإیمانهنّ، و حکم بخیریّة المؤمنات تنفیرا عن الرغبة إلی المشرکات،لا بالخیریّة التی تقتضی وجود أصل الحسن فی 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فالمخاطبون بالنهی هم المؤمنون أحرارا کانوا أم عبیدا،و الأمة المؤمنة شاملة علی الحرّة و الأمة،و عموم الأمة لا یستلزم حلّیّة کلّ صنف منها لکلّ صنف من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طاب ثراه حمل هذه الآیة علی ما حملها علیه رعایة لظاهر لفظ الأمة و العبد و عدم تحقّق المنافی عنده،و حملتها علی ما حملتها علیه رعایة لمقتضی ما ظهر سابقا</w:t>
      </w:r>
      <w:r>
        <w:rPr>
          <w:rFonts w:eastAsia="IRNazanin" w:cs="IRNazanin"/>
          <w:color w:val="111111"/>
          <w:sz w:val="28"/>
          <w:szCs w:val="28"/>
          <w:rtl w:val="true"/>
          <w:lang w:bidi="fa-IR"/>
        </w:rPr>
        <w:t>.</w:t>
      </w:r>
    </w:p>
    <w:p>
      <w:pPr>
        <w:pStyle w:val="Heading4"/>
        <w:numPr>
          <w:ilvl w:val="3"/>
          <w:numId w:val="1"/>
        </w:numPr>
        <w:rPr/>
      </w:pPr>
      <w:bookmarkStart w:id="236" w:name="__RefHeading___Toc4066949_3224264995"/>
      <w:bookmarkStart w:id="237" w:name="_Toc88"/>
      <w:bookmarkEnd w:id="236"/>
      <w:r>
        <w:rPr>
          <w:rtl w:val="true"/>
        </w:rPr>
        <w:t>النوع الثالث</w:t>
      </w:r>
      <w:r>
        <w:rPr>
          <w:rtl w:val="true"/>
        </w:rPr>
        <w:t>:</w:t>
      </w:r>
      <w:r>
        <w:rPr>
          <w:rtl w:val="true"/>
        </w:rPr>
        <w:t>فی لوازم النکاح</w:t>
      </w:r>
      <w:bookmarkEnd w:id="237"/>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التفسیرین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مرادهما تجویز کون أَوْ تَفْرِضُوا </w:t>
      </w:r>
      <w:r>
        <w:rPr>
          <w:rStyle w:val="FootnoteAnchor"/>
          <w:rtl w:val="true"/>
        </w:rPr>
        <w:footnoteReference w:id="609"/>
      </w:r>
      <w:r>
        <w:rPr>
          <w:rFonts w:ascii="IRNazanin" w:hAnsi="IRNazanin" w:eastAsia="IRNazanin"/>
          <w:color w:val="111111"/>
          <w:sz w:val="28"/>
          <w:sz w:val="28"/>
          <w:szCs w:val="28"/>
          <w:rtl w:val="true"/>
          <w:lang w:bidi="fa-IR"/>
        </w:rPr>
        <w:t>حکایة عن الحال الماضیة،و حینئذ لا یرد علیهما ما یورده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610"/>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ولیّ المطلّقة المذکورة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حینئذ معنی اَلَّذِی بِیَدِهِ عُقْدَةُ النِّکٰاحِ </w:t>
      </w:r>
      <w:r>
        <w:rPr>
          <w:rStyle w:val="FootnoteAnchor"/>
          <w:rtl w:val="true"/>
        </w:rPr>
        <w:footnoteReference w:id="612"/>
      </w:r>
      <w:r>
        <w:rPr>
          <w:rFonts w:ascii="IRNazanin" w:hAnsi="IRNazanin" w:eastAsia="IRNazanin"/>
          <w:color w:val="111111"/>
          <w:sz w:val="28"/>
          <w:sz w:val="28"/>
          <w:szCs w:val="28"/>
          <w:rtl w:val="true"/>
          <w:lang w:bidi="fa-IR"/>
        </w:rPr>
        <w:t>هو الذی بیده عقدة النکاح علی وجه کانت بیدها علی تقدیر الاستقلال،فلا یرد نظیر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الذی بیده عقدة النکاح للمرأة لا 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مقابلة الذی بیده عقدة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بالذی بیده عقدة النکاح حینئذ هو من هی بیده إبقاء و إزالة،لا إحداثا حتّی یکون نسبتها إلی الرجل و المرأة نسبة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استثناء العفو منه لا یصیر الواجب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المتبادر من النصف لیس هو النصف و إن کان فی ضمن الأکثر،بل المتبادر منه هو النصف فقط،و بعد استثناء العفو یصیر الواجب هو أکثر منه،و هو غیره؛و هذا فی سبق الإعطاء، و إلاّ یمکن للزوج الرجوع،و لعلّ کلام المصنّف رحمه اللّه ناظر إلی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w:t>
      </w:r>
      <w:r>
        <w:rPr>
          <w:rStyle w:val="FootnoteAnchor"/>
          <w:rtl w:val="true"/>
        </w:rPr>
        <w:footnoteReference w:id="61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قسمتی فیما أملک،فلا تأخذنی فیما تملک و لا أملک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؛یحتمل النفی و النهی،و علی الثانی یوجّه بما یوجّه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w:t>
      </w:r>
      <w:r>
        <w:rPr>
          <w:rStyle w:val="FootnoteAnchor"/>
          <w:rtl w:val="true"/>
        </w:rPr>
        <w:footnoteReference w:id="614"/>
      </w:r>
      <w:r>
        <w:rPr>
          <w:rFonts w:ascii="IRNazanin" w:hAnsi="IRNazanin" w:eastAsia="IRNazanin"/>
          <w:color w:val="111111"/>
          <w:sz w:val="28"/>
          <w:sz w:val="28"/>
          <w:szCs w:val="28"/>
          <w:rtl w:val="true"/>
          <w:lang w:bidi="fa-IR"/>
        </w:rPr>
        <w:t>و حینئذ المراد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یملکه صلّی اللّه علیه و آله من غیر مشقّة حتّی یصحّ الطلب،و علی الأوّل یحتمل أن 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المعنی المذکور،و یحتمل أن یکون المراد به ظاهره،و الأوّل هو الظاهر لأنّه یحصل به إفادة أنّه لا یحتاج إلی المجاهدة فی إزالة المیل إلی بعضها عند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یشتمل علی إفادة؛لأنّ کلّ أحد یعلم أنّه لا یصحّ التکلیف بأمر لا یقدر علیه المکلّف،و تجویزه الأشعری إنّما طرء بشبهة لم تکن فی زمان رسول اللّه صلّی اللّه علیه و آله بین المؤمنین الذین لم یخرجوا عن الفطرة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فیه توبیخا علی وقوع التفریط فی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وجه الحمل علی التوبیخ فی أن النهی عن کلّ المیل مقرونا بالفاء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تَمِیلُوا </w:t>
      </w:r>
      <w:r>
        <w:rPr>
          <w:rStyle w:val="FootnoteAnchor"/>
          <w:rtl w:val="true"/>
        </w:rPr>
        <w:footnoteReference w:id="615"/>
      </w:r>
      <w:r>
        <w:rPr>
          <w:rFonts w:ascii="IRNazanin" w:hAnsi="IRNazanin" w:eastAsia="IRNazanin"/>
          <w:color w:val="111111"/>
          <w:sz w:val="28"/>
          <w:sz w:val="28"/>
          <w:szCs w:val="28"/>
          <w:rtl w:val="true"/>
          <w:lang w:bidi="fa-IR"/>
        </w:rPr>
        <w:t>بعد سلب الاستطاعة عن العدل نوع ایماء علی وقوع کلّ المیل المقدور ترکه و کونه فی غایة القباحة فی جمل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العدول الغیر المقدور موضوع عنکم،فإذا کان موضوعا عنکم فلا تمیلوا کلّ المیل الذی فی وسعکم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الأوّل هو عدم القدرة،و لا وجه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یظهر من هذه الآیة،بل ظاهرها الوجوب، و الروایة أیضا مؤیّدة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أَسْکِنُوهُنَّ مِنْ حَیْثُ سَکَنْتُمْ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تخصّص الاولی بالأدلة الدالّة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الرجعیّة بالأدلة الدالّة علی أنّ حکمها حکم الزوجة جیّد،و أمّا تخصیصها بالآیة السابقة و بالطریق الأولی ضعیف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تخصیصها بالآیة فلأنّ کون النفقة تابعة ممنوعة،و یمکن أن یکون سبب إیجاب السکنی أنّ الألفة و عدم الفرقة مطلوبان بحسب الشرع،فإذا کانت ساکنة فی بیت الزوج و قریبة منه کما هو الغالب إذا کانت ساکنة فی بیته ربّما یرجع الزوج بأدنی باعث،بخلاف ما إذا کانت خارجة عن بیته،کما یعرفه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العلّة ما ذکرته لیست بعیدة، و تبعیّة النفقة حینئذ غیر ظاهرة</w:t>
      </w:r>
      <w:r>
        <w:rPr>
          <w:rFonts w:eastAsia="IRNazanin" w:cs="IRNazanin"/>
          <w:color w:val="111111"/>
          <w:sz w:val="28"/>
          <w:szCs w:val="28"/>
          <w:rtl w:val="true"/>
          <w:lang w:bidi="fa-IR"/>
        </w:rPr>
        <w:t xml:space="preserve">. </w:t>
      </w:r>
      <w:bookmarkStart w:id="238" w:name="pg12937_139212"/>
    </w:p>
    <w:p>
      <w:pPr>
        <w:pStyle w:val="BookText"/>
        <w:rPr/>
      </w:pPr>
      <w:bookmarkEnd w:id="238"/>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وجوب السکنی ربّما کان الزوج بعیدا عن مسکنها،فلا یترتّب علیه ما جوّزت ترتّبه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العلل الشرعیّة غیر لازم،و أمّا تخصیصها بالطریق الاولی فإنّما یتمّ لو تمّ لو کان سبب وجوب الإسکان هو الحاجة،و هو غیر ظاهر،فلعلّ سبب وجوبه هو ما ذکرته،فحینئذ لا یجری الاولویّة،و لا المثلیّة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سکنی للحامل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عدم وجوب الإسکان بالنسبة إلی الحامل المتوفّی عنها زوجها لعدم تحقّق العلّة التی جوّزت کونها علّة لوجوب الإسکان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یدلّ علی القبح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اللّه تعالی بأمر یدلّ علی حسنه،و أمّا عدمه فلا یدلّ علی قبحه،لاحتمال کونه تفضّلا و لطفا،و لیس غرضی عدم القبح،بل قبحه ظاهر و إن أنکره الأشاعرة،لکن دلالة هذه الآیة علیه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من اللّه بل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؛المحالیّة لم یظهر من هذه الآیة،لکنّ العقل یحکم بمحالیّة التکلیف بما لا یطاق،و أمّا التکلیف بما یشقّ فلا یحکم العقل بمحالیّته،بل بعض التکالیف الشاقّة وقع علی هذه الامّة،و وقوع علی بعض الأمم السّابقة أشهر و أظهر</w:t>
      </w:r>
      <w:r>
        <w:rPr>
          <w:rFonts w:eastAsia="IRNazanin" w:cs="IRNazanin"/>
          <w:color w:val="111111"/>
          <w:sz w:val="28"/>
          <w:szCs w:val="28"/>
          <w:rtl w:val="true"/>
          <w:lang w:bidi="fa-IR"/>
        </w:rPr>
        <w:t>.</w:t>
      </w:r>
    </w:p>
    <w:p>
      <w:pPr>
        <w:pStyle w:val="Heading4"/>
        <w:numPr>
          <w:ilvl w:val="3"/>
          <w:numId w:val="1"/>
        </w:numPr>
        <w:rPr/>
      </w:pPr>
      <w:bookmarkStart w:id="239" w:name="__RefHeading___Toc4066951_3224264995"/>
      <w:bookmarkStart w:id="240" w:name="_Toc89"/>
      <w:bookmarkEnd w:id="239"/>
      <w:r>
        <w:rPr>
          <w:rtl w:val="true"/>
        </w:rPr>
        <w:t>النوع الرابع</w:t>
      </w:r>
      <w:r>
        <w:rPr>
          <w:rtl w:val="true"/>
        </w:rPr>
        <w:t>:</w:t>
      </w:r>
      <w:r>
        <w:rPr>
          <w:rtl w:val="true"/>
        </w:rPr>
        <w:t>فی أشیاء من توابع النکاح</w:t>
      </w:r>
      <w:bookmarkEnd w:id="240"/>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الکشاف مِنْ للتبعیض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أنّ اختلاف البصر باختلاف المتعلّق فی حکم اختلاف البصر،فیصحّ التبعیض،فحینئذ لا یرد علیه ما أورده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ذکر مِنْ أَبْصٰارِهِمْ و ترکها فی فُرُوجَهُمْ إیماء إلی عدم الزیادة،کما أومئ إلیه صاحب الکشّاف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الفروج</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حظر الجماع إلاّ ما استثنی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مقصوده أنّ المستثنی منه حظر الجماع لمّا کان فی غایة العلّة بالنسبة إلی المجموع،لم یذکر الدالّ علی التبعیض هاهنا،إشارة إلی تلک العلّة،و الفرق بینه و بین الأبصار،و لیس مقصوده أنّ منطوق القرآن إباحة الأوّل و تحریم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علیه ما أورده،و لا یحتاج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اندفاعه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هذا المعنی لا یخلو عن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یذکر متعلّق الحفظ فی الفروج فالظاهر هو العموم فیه إلاّ ما أخرجه الدلیل،فالحفظ عن الإبداء داخل فی عموم اللفظ،فإن لم یکن دخوله فیه ظاهر فلا یکون بعیدا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یذکره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نعم،یمکن بعد العلم بالمسألة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یصحّ فی یَغُضُّوا مِنْ أَبْصٰارِهِمْ </w:t>
      </w:r>
      <w:r>
        <w:rPr>
          <w:rStyle w:val="FootnoteAnchor"/>
          <w:rtl w:val="true"/>
        </w:rPr>
        <w:footnoteReference w:id="619"/>
      </w:r>
      <w:r>
        <w:rPr>
          <w:rFonts w:ascii="Amiri" w:hAnsi="Amiri" w:eastAsia="Amiri" w:cs="Amiri"/>
          <w:color w:val="111111"/>
          <w:sz w:val="28"/>
          <w:sz w:val="28"/>
          <w:szCs w:val="28"/>
          <w:rtl w:val="true"/>
          <w:lang w:bidi="ar-SA"/>
        </w:rPr>
        <w:t xml:space="preserve">لعدم صحّة مثل العموم الذی ذکرته فی وَ یَحْفَظُوا فُرُوجَهُمْ </w:t>
      </w:r>
      <w:r>
        <w:rPr>
          <w:rStyle w:val="FootnoteAnchor"/>
          <w:rtl w:val="true"/>
        </w:rPr>
        <w:footnoteReference w:id="620"/>
      </w:r>
      <w:r>
        <w:rPr>
          <w:rFonts w:ascii="IRNazanin" w:hAnsi="IRNazanin" w:eastAsia="IRNazanin"/>
          <w:color w:val="111111"/>
          <w:sz w:val="28"/>
          <w:sz w:val="28"/>
          <w:szCs w:val="28"/>
          <w:rtl w:val="true"/>
          <w:lang w:bidi="fa-IR"/>
        </w:rPr>
        <w:t>و هذا مؤیّد، 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یقال المفهوم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إنما یناسب علی تقدیر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 و أیضا إرادة تحریم النظر مطلقا إلا ما أخرجه الدلیل فی غایة البعد لکون المحرم فی غایة القلة بالنسبة إلی المحلل،ما بیّن الشارع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رحمه اللّه بتحریم النظر مطلقا إلا ما أخرجه الدلیل إنما هو بعد تخصیصه بالنسوان بقرینة وَ یَحْفَظُوا فُرُوجَهُمْ أو غیره کما یومی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لِلْمُؤْمِنٰاتِ یَغْضُضْنَ مِنْ أَبْصٰارِهِنَّ </w:t>
      </w:r>
      <w:r>
        <w:rPr>
          <w:rStyle w:val="FootnoteAnchor"/>
          <w:rtl w:val="true"/>
        </w:rPr>
        <w:footnoteReference w:id="621"/>
      </w:r>
      <w:r>
        <w:rPr>
          <w:rFonts w:ascii="IRNazanin" w:hAnsi="IRNazanin" w:eastAsia="IRNazanin"/>
          <w:color w:val="111111"/>
          <w:sz w:val="28"/>
          <w:sz w:val="28"/>
          <w:szCs w:val="28"/>
          <w:rtl w:val="true"/>
          <w:lang w:bidi="fa-IR"/>
        </w:rPr>
        <w:t>الآیة هی متصلة بالسابقة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فسرت مواقع الزینة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العبارة تدل </w:t>
      </w:r>
    </w:p>
    <w:p>
      <w:pPr>
        <w:pStyle w:val="BookText"/>
        <w:rPr/>
      </w:pPr>
      <w:r>
        <w:rPr>
          <w:rFonts w:ascii="IRNazanin" w:hAnsi="IRNazanin" w:eastAsia="IRNazanin"/>
          <w:color w:val="111111"/>
          <w:sz w:val="28"/>
          <w:sz w:val="28"/>
          <w:szCs w:val="28"/>
          <w:rtl w:val="true"/>
          <w:lang w:bidi="fa-IR"/>
        </w:rPr>
        <w:t>علی أن إرادة العضو و مواقع الزینة فی الزینة الباطنة أظهر؛و لعل وجهه هو ما نذکره من دلالة سیاق الآیة فی الزینة الباطنة علی تلک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نظرهم إلی سائر البدن إلاّ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البعولة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الإستدلال بالأصل </w:t>
      </w:r>
      <w:r>
        <w:rPr>
          <w:rStyle w:val="FootnoteAnchor"/>
          <w:rtl w:val="true"/>
        </w:rPr>
        <w:footnoteReference w:id="622"/>
      </w:r>
      <w:r>
        <w:rPr>
          <w:rFonts w:ascii="IRNazanin" w:hAnsi="IRNazanin" w:eastAsia="IRNazanin"/>
          <w:color w:val="111111"/>
          <w:sz w:val="28"/>
          <w:sz w:val="28"/>
          <w:szCs w:val="28"/>
          <w:rtl w:val="true"/>
          <w:lang w:bidi="fa-IR"/>
        </w:rPr>
        <w:t>بعد نزول آیة الحجاب الظاهرة فی العموم إلاّ ما أخرجه الدلیل غیر ظاهرة،و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المذکورین مع البعولة خارجون عن آیة الحجاب،فالأصل جواز نظرهم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استدلاله رحمه اللّه علی جواز النظر إلی سائر البدن بظاهر هذه الآیة فضعیف،لأنّه بعد حمل الزینة علی مواضعها یدلّ علی جواز النظر علی ما یقال له محلّ الزینة و إن کان باعتبار القرب و الجواز،و علی ما لا ینفکّ عادة النظر إلی محلّ الزینة عن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الإستدلال بالآیة علی جواز نظرهم إلی سائر البدن غیر العورة فغیر ظاهر کما أومأت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اختصاص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سیاق الآیة الذی هو ذکرهم مع البعولة،فالظاهر هو العموم إلاّ ما أخرجه الدلیل و لا ینبغی ترک الإحتیاط، و لعلّ تعبیره رحمه اللّه بالظاهر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بالإحتمال فیما ینافیه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ذکرته من ظهور السیاق فی عموم ما فی محلّ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 عنانة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العنانة سببا مّا لجواز النظر إلی مواضع الزینة لکان الخصی کذلک،إلاّ أن یقوم دلیل علی جواز نظر العنّین،و عدم جواز نظر الخصی،و لیس؛فبین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 عنانة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المرأة بمنزلة الأجنبی منها خصیّا کان أو فحلا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منافاة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یکون صفتهما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إنّما یصحّ إذا فسّر الظهور فی لَمْ یَظْهَرُوا </w:t>
      </w:r>
      <w:r>
        <w:rPr>
          <w:rStyle w:val="FootnoteAnchor"/>
          <w:rtl w:val="true"/>
        </w:rPr>
        <w:footnoteReference w:id="623"/>
      </w:r>
      <w:r>
        <w:rPr>
          <w:rFonts w:ascii="IRNazanin" w:hAnsi="IRNazanin" w:eastAsia="IRNazanin"/>
          <w:color w:val="111111"/>
          <w:sz w:val="28"/>
          <w:sz w:val="28"/>
          <w:szCs w:val="28"/>
          <w:rtl w:val="true"/>
          <w:lang w:bidi="fa-IR"/>
        </w:rPr>
        <w:t>علی القوّة،أو غیر الإربة من الرجال علی البله،کما یدلّ علیه ما سیذکره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التخصیص بعید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الظاهر أن یکون اَلَّذِینَ صفة للطفل،و أنّ ذکر غَیْرِ أُولِی الْإِرْبَةِ </w:t>
      </w:r>
      <w:r>
        <w:rPr>
          <w:rStyle w:val="FootnoteAnchor"/>
          <w:rtl w:val="true"/>
        </w:rPr>
        <w:footnoteReference w:id="624"/>
      </w:r>
      <w:r>
        <w:rPr>
          <w:rFonts w:ascii="Amiri" w:hAnsi="Amiri" w:eastAsia="Amiri" w:cs="Amiri"/>
          <w:color w:val="111111"/>
          <w:sz w:val="28"/>
          <w:sz w:val="28"/>
          <w:szCs w:val="28"/>
          <w:rtl w:val="true"/>
          <w:lang w:bidi="ar-SA"/>
        </w:rPr>
        <w:t>بعد اَلتّٰابِعِینَ مغن عن احتیاج الرجال هاهنا إلی وصف آخر،و أیضا ارتباط اَلَّذِینَ بالطفل معلوم،و لا دلیل علی ارتباط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لِیَسْتَأْذِنْکُمُ</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اَلَّذِینَ عامّ،و لا مخصّص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؛الصلة و هی مَلَکَتْ أَیْمٰانُکُمْ </w:t>
      </w:r>
      <w:r>
        <w:rPr>
          <w:rStyle w:val="FootnoteAnchor"/>
          <w:rtl w:val="true"/>
        </w:rPr>
        <w:footnoteReference w:id="626"/>
      </w:r>
      <w:r>
        <w:rPr>
          <w:rFonts w:ascii="IRNazanin" w:hAnsi="IRNazanin" w:eastAsia="IRNazanin"/>
          <w:color w:val="111111"/>
          <w:sz w:val="28"/>
          <w:sz w:val="28"/>
          <w:szCs w:val="28"/>
          <w:rtl w:val="true"/>
          <w:lang w:bidi="fa-IR"/>
        </w:rPr>
        <w:t>مخصّصة له فکیف یندرج المحارم و الأجانب فی اَلَّذِینَ مَلَکَتْ أَیْمٰانُکُمْ ،و یمکن استنباط احتیاج الأجانب و المحارم إلی الإذن من الآیة بعنوان الأولویّة بأنّ ملک الأیمان و الأطفال الذین یتأکّد الحاجة عرفا إلی الملاقاة لا یدخلان الخلوة فکیف غیرهما؟</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العرف یفهمون من منعهما عن دخول الخلوة بغیر الإذن منع المحارم أیضا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فیها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 سلب الشک مناف لما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یفهم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بما سلب عنه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الدلالة الظهور،و لا یعتبر فیها العلم بکون المدلول مرادا،فسلب الشک فی الدلالة علی أمر إنّما یدلّ علی العلم بظهور اللفظ فیه،فلا منافاة بین الکلامین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ما ذکرته بین سلب الشک هاهنا الذی یدلّ علی قوّة الدلالة البتّة و بین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دلالة مّا علی أنّ ذلک أمر منه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منافاة،لدلالته علی نوع ضعف فی الدلالة،و حمل التقیید </w:t>
      </w:r>
      <w:r>
        <w:rPr>
          <w:rStyle w:val="FootnoteAnchor"/>
          <w:rtl w:val="true"/>
        </w:rPr>
        <w:footnoteReference w:id="627"/>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القطع فی الدلالة و إن </w:t>
      </w:r>
    </w:p>
    <w:p>
      <w:pPr>
        <w:pStyle w:val="BookText"/>
        <w:rPr/>
      </w:pPr>
      <w:r>
        <w:rPr>
          <w:rFonts w:ascii="IRNazanin" w:hAnsi="IRNazanin" w:eastAsia="IRNazanin"/>
          <w:color w:val="111111"/>
          <w:sz w:val="28"/>
          <w:sz w:val="28"/>
          <w:szCs w:val="28"/>
          <w:rtl w:val="true"/>
          <w:lang w:bidi="fa-IR"/>
        </w:rPr>
        <w:t>کان فیها قوّة فی غایة البعد بحسب اللفظ،لکن عدم اهتمامه طاب ثراه فی أمر اللفظ یسهّل الأمر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الأمر إنّما للأولیاء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أنّه إذا خوطب أحد بالنداء ثمّ امر بأمر فالظاهر کونه مأمورا به و کون هذا الأمر مشتملا علی مبالغة، و فیما نحن فیه نودی المؤمنین ب یٰا أَیُّهَا الَّذِینَ آمَنُوا </w:t>
      </w:r>
      <w:r>
        <w:rPr>
          <w:rStyle w:val="FootnoteAnchor"/>
          <w:rtl w:val="true"/>
        </w:rPr>
        <w:footnoteReference w:id="628"/>
      </w:r>
      <w:r>
        <w:rPr>
          <w:rFonts w:ascii="IRNazanin" w:hAnsi="IRNazanin" w:eastAsia="IRNazanin"/>
          <w:color w:val="111111"/>
          <w:sz w:val="28"/>
          <w:sz w:val="28"/>
          <w:szCs w:val="28"/>
          <w:rtl w:val="true"/>
          <w:lang w:bidi="fa-IR"/>
        </w:rPr>
        <w:t>ثمّ امر بالإستیذان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لِیَسْتَأْذِنْکُمُ الَّذِینَ مَلَکَتْ أَیْمٰانُکُمْ وَ الَّذِینَ لَمْ یَبْلُغُوا الْحُلُمَ </w:t>
      </w:r>
      <w:r>
        <w:rPr>
          <w:rStyle w:val="FootnoteAnchor"/>
          <w:rtl w:val="true"/>
        </w:rPr>
        <w:footnoteReference w:id="629"/>
      </w:r>
      <w:r>
        <w:rPr>
          <w:rFonts w:ascii="IRNazanin" w:hAnsi="IRNazanin" w:eastAsia="IRNazanin"/>
          <w:color w:val="111111"/>
          <w:sz w:val="28"/>
          <w:sz w:val="28"/>
          <w:szCs w:val="28"/>
          <w:rtl w:val="true"/>
          <w:lang w:bidi="fa-IR"/>
        </w:rPr>
        <w:t>و لا یبعد هاهنا أن یکون المؤمنون مأمورین بأمر الذین ملکت أیمانهم و أطفالهم بالإستیذان،فی کون الأمر بعد النداء محمولا علی مقتضی ظاهر البعدیّة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اَلَّذِینَ مَلَکَتْ أَیْمٰانُکُمْ مأمورین بأمر اللّه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ظاهر 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معطوفا علیه و فی حکمه،و یکون الغرض من النداء ب یٰا أَیُّهَا الَّذِینَ آمَنُوا هو الإهتمام بعلمهم بکون ملک أیمانهم و أطفالهم مأمورین بالإستیذان، حتّی إن تهاون المأمورون فی إمتثال ما امروا به یأمروهم به من باب الأمر بالمعروف، و التخصیص حینئذ للتسلط الذی للمؤمنین بالنسبة إلی مملوکیهم و 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البلوغ،لا بلوغ یمکن فیه الإحتلام بقرینة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أربعة عشر و ثلاثة عشر روایات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الروایات علی أصل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عَلَیْکُمْ وَ لاٰ عَلَیْهِمْ جُنٰاحٌ </w:t>
      </w:r>
      <w:r>
        <w:rPr>
          <w:rStyle w:val="FootnoteAnchor"/>
          <w:rtl w:val="true"/>
        </w:rPr>
        <w:footnoteReference w:id="63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المأمورون بأمر اللّه أوّلا هم المخاطبون،فقوله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سلب الجناح عن عدم الأمر بالإستیذان الذی کانوا مأمورین فی الأوقات الثلاثة، وَ لاٰ عَلَیْهِمْ سلب الجناح عن عدم الإستیذان الذی کان الممالیک و الأطفال مأمورین به فیها ثانیا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المأمورین بأمر اللّه أوّلا هم الممالیک و الأطفال فسلب الجناح عن </w:t>
      </w:r>
    </w:p>
    <w:p>
      <w:pPr>
        <w:pStyle w:val="BookText"/>
        <w:rPr/>
      </w:pPr>
      <w:r>
        <w:rPr>
          <w:rFonts w:ascii="IRNazanin" w:hAnsi="IRNazanin" w:eastAsia="IRNazanin"/>
          <w:color w:val="111111"/>
          <w:sz w:val="28"/>
          <w:sz w:val="28"/>
          <w:szCs w:val="28"/>
          <w:rtl w:val="true"/>
          <w:lang w:bidi="fa-IR"/>
        </w:rPr>
        <w:t>المخاطبین باعتبار أنّ المأمورین سابقا لیسوا بمأمورین هاهنا حتّی إن لم یأمرهم المخاطبون یتحقّق الجناح بترک 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 الجناح الذی یظهر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عَلَیْهِمْ ظاهر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أنّ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نِکٰاحاً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النّاس یفعلون بأیدیهم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أیّة ثقبة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عدم رجاء النکاح محمول إلی العرف الذی یفهم الناس کما ذکره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بکون بعض الناس مکتفیا بأیّ ثقب کان فی قضاء وطره فی بعض الأحوال لا یوجب وجوب تستّر امرأة لا مطمع فیها عادة عن الرجال الذین لم یظهر کون بعضهم راغبا فی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علمت بکون أحد کذلک فلا یبعد وجوب التستّر عنه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یجوز الإتیان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؛المتبادر من الآیتان هو الدخول،فلا یتحقّق فی غیر القبل و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 علی خلاف الظاهر عند الداعی لا قصور فیه،و فیما نحن فیه لا یصحّ حمله علی الوجوب بلا تقیید،فإمّا أن یحمل علی الإستحباب،أو یحمل علی الوجوب بعد التقیید،کما یظهر من الکشّاف و لم یحکم بالإستحباب کما هو ظاهر المنقول،بل ذکره بعنوان الإحتمال،و التعبیر بما یدلّ علی المبالغة لا ینافی تجویز الإستحباب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یجوز الإستحباب</w:t>
      </w:r>
      <w:r>
        <w:rPr>
          <w:rFonts w:eastAsia="IRNazanin" w:cs="IRNazanin"/>
          <w:color w:val="111111"/>
          <w:sz w:val="28"/>
          <w:szCs w:val="28"/>
          <w:rtl w:val="true"/>
          <w:lang w:bidi="fa-IR"/>
        </w:rPr>
        <w:t xml:space="preserve">) </w:t>
      </w:r>
      <w:r>
        <w:rPr>
          <w:rStyle w:val="FootnoteAnchor"/>
          <w:rtl w:val="true"/>
        </w:rPr>
        <w:footnoteReference w:id="635"/>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تُکَلَّفُ نَفْسٌ إِلاّٰ وُسْعَهٰا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الظاهر أن الإرضاع فی حولین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الظهور ممنوع و السند تتمّة الآیة و الروایات،کما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الظهور هو أنّ الظاهر من اللام الداخلة علی الجمع هو العموم،و إلیه یشیر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الإکتفاء بأحدهما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فِیمٰا عَرَّضْتُمْ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تعمیم سلب الجناح عن التعریض بالنسبة إلی مطلق النسوان،لدلالة المفهوم علی تحقّق الجناح بالنسبة إلی المسکوت،و کما لا یناسب هذا التعمیم و لا یقول به أحد لا یناسب تعمیمه بالنسبة إلی المتوفّی عنها زوجها و المطلّقة،لعدم صحّته فی الرجعیّة کما یذکره رحمه اللّه،فسلب الجناح المذکور فی الآیة إمّا بالنسبة إلی المتوفّی عنها زوجها و المطلّقة البائنة،و إمّا بالنسبة إلی الاولی فقط،و الإحتمال الأوّل لا یفهم من الآیة بوجه،بخلاف الإحتمال الثانی،لاحتمال کون الترتیب الوصفی فی هذه الآیات علی الترتیب النزولی،و کون اللام فی اَلنِّسٰاءِ للعهد إلی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یصحّ الإستدلال بالآیة علی سلب الجناح عن التعریض فی غیر المتوفّی عنها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یقوله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لفظ أَوْ أَکْنَنْتُمْ فِی أَنْفُسِکُمْ </w:t>
      </w:r>
      <w:r>
        <w:rPr>
          <w:rStyle w:val="FootnoteAnchor"/>
          <w:rtl w:val="true"/>
        </w:rPr>
        <w:footnoteReference w:id="638"/>
      </w:r>
      <w:r>
        <w:rPr>
          <w:rFonts w:ascii="Amiri" w:hAnsi="Amiri" w:eastAsia="Amiri" w:cs="Amiri"/>
          <w:color w:val="111111"/>
          <w:sz w:val="28"/>
          <w:sz w:val="28"/>
          <w:szCs w:val="28"/>
          <w:rtl w:val="true"/>
          <w:lang w:bidi="ar-SA"/>
        </w:rPr>
        <w:t>و إن کان هو الإحتمال الأوّل إلاّ أنّه ظهر مع الزاید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إلی قوله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خِطْبَةِ النِّسٰاءِ </w:t>
      </w:r>
      <w:r>
        <w:rPr>
          <w:rStyle w:val="FootnoteAnchor"/>
          <w:rtl w:val="true"/>
        </w:rPr>
        <w:footnoteReference w:id="639"/>
      </w:r>
      <w:r>
        <w:rPr>
          <w:rFonts w:ascii="Amiri" w:hAnsi="Amiri" w:eastAsia="Amiri" w:cs="Amiri"/>
          <w:color w:val="111111"/>
          <w:sz w:val="28"/>
          <w:sz w:val="28"/>
          <w:szCs w:val="28"/>
          <w:rtl w:val="true"/>
          <w:lang w:bidi="ar-SA"/>
        </w:rPr>
        <w:t>لکون التعریض هو إظهار ما فی الضمیر بلفظ مناسب،و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أَنَّکُمْ سَتَذْکُرُونَهُنَّ </w:t>
      </w:r>
      <w:r>
        <w:rPr>
          <w:rStyle w:val="FootnoteAnchor"/>
          <w:rtl w:val="true"/>
        </w:rPr>
        <w:footnoteReference w:id="640"/>
      </w:r>
      <w:r>
        <w:rPr>
          <w:rFonts w:ascii="IRNazanin" w:hAnsi="IRNazanin" w:eastAsia="IRNazanin"/>
          <w:color w:val="111111"/>
          <w:sz w:val="28"/>
          <w:sz w:val="28"/>
          <w:szCs w:val="28"/>
          <w:rtl w:val="true"/>
          <w:lang w:bidi="fa-IR"/>
        </w:rPr>
        <w:t>أیضا بالإحتمال الثانی ألصق،فالظاهر هو الإحتمال الثانی بقرینة السابق و اللاحق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یرد هذا إذا کان سند کون العزم بمعنی القطع هو الروایة الاولی فقط،و لا یبعد أن یکون الروایة الثانیة من تتمّة السند،فکان الحاصل حینئذ أنّه عن النبی صلّی اللّه علیه و آله فی نیّة الصیام عبارتان،إحدیهما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لا یعزم الصیام</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لا یبتّ الصیام</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البتّ هو القطع فالظاهر أنّ العزم فی الروایة الاولی بمعنی القطع أیضا حتّی یکون مفاد الروایتین واحدا،و إذا ضمّ إلیه ما هو معروف و ظاهر هو أنّ الأصل عدم التغییر یتمّ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المراد هو النیّة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احتمال القصد و النیّة فضعیف علی تقدیر کون العزم فی الآیة و الحدیث بمعنی واحد و مدعی الإختلاف یحتاج إلی دلیل لأنّ النیة المطلقة التی مراده رحمه اللّه هاهنا لیست منهیة و کیف یحمل العزم علی النیة المطلقة و نهیه بهذا المعنی لا یناسب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عَلَیْکُمْ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مَعْرُوفاً </w:t>
      </w:r>
      <w:r>
        <w:rPr>
          <w:rStyle w:val="FootnoteAnchor"/>
          <w:rtl w:val="true"/>
        </w:rPr>
        <w:footnoteReference w:id="643"/>
      </w:r>
      <w:r>
        <w:rPr>
          <w:rFonts w:ascii="IRNazanin" w:hAnsi="IRNazanin" w:eastAsia="IRNazanin"/>
          <w:color w:val="111111"/>
          <w:sz w:val="28"/>
          <w:sz w:val="28"/>
          <w:szCs w:val="28"/>
          <w:rtl w:val="true"/>
          <w:lang w:bidi="fa-IR"/>
        </w:rPr>
        <w:t xml:space="preserve">فالنهی عن العزم إما نهی عن العقد فی العدة </w:t>
      </w:r>
      <w:r>
        <w:rPr>
          <w:rStyle w:val="FootnoteAnchor"/>
          <w:rtl w:val="true"/>
        </w:rPr>
        <w:footnoteReference w:id="644"/>
      </w:r>
      <w:r>
        <w:rPr>
          <w:rFonts w:ascii="IRNazanin" w:hAnsi="IRNazanin" w:eastAsia="IRNazanin"/>
          <w:color w:val="111111"/>
          <w:sz w:val="28"/>
          <w:sz w:val="28"/>
          <w:szCs w:val="28"/>
          <w:rtl w:val="true"/>
          <w:lang w:bidi="fa-IR"/>
        </w:rPr>
        <w:t>بعنوان المبالغة کما ذکره رحمه اللّه آنفا و صاحب الکشاف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نهی عن القطع کما نقله صاحب الکشاف </w:t>
      </w:r>
      <w:r>
        <w:rPr>
          <w:rStyle w:val="FootnoteAnchor"/>
          <w:rtl w:val="true"/>
        </w:rPr>
        <w:footnoteReference w:id="645"/>
      </w:r>
      <w:r>
        <w:rPr>
          <w:rFonts w:ascii="IRNazanin" w:hAnsi="IRNazanin" w:eastAsia="IRNazanin"/>
          <w:color w:val="111111"/>
          <w:sz w:val="28"/>
          <w:sz w:val="28"/>
          <w:szCs w:val="28"/>
          <w:rtl w:val="true"/>
          <w:lang w:bidi="fa-IR"/>
        </w:rPr>
        <w:t>عن قائل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مراد المصنف طاب ثراه من احتمال القصد المطلق هو قصد النکاح فیما یندرج فیه النکاح فی العدة،و هی منهی و إن لم یکن قطعا،و لکن حینئذ أیضا الظاهر هو حمل </w:t>
      </w:r>
    </w:p>
    <w:p>
      <w:pPr>
        <w:pStyle w:val="BookText"/>
        <w:rPr/>
      </w:pPr>
      <w:r>
        <w:rPr>
          <w:rFonts w:ascii="IRNazanin" w:hAnsi="IRNazanin" w:eastAsia="IRNazanin"/>
          <w:color w:val="111111"/>
          <w:sz w:val="28"/>
          <w:sz w:val="28"/>
          <w:szCs w:val="28"/>
          <w:rtl w:val="true"/>
          <w:lang w:bidi="fa-IR"/>
        </w:rPr>
        <w:t>العزم علی القطع کما هو ظاهر ضمّ الروایتین المنقولین علی تقدیر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ما ذکره الجوهری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کذا عزما أی أردت فعله و قطعت علیه</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و قریب منه کلام الفیروزآبادی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العزم علی إیقاع النکاح فی العدة حرام إن ترتب الحرمة علی عزم المحرم قطعا کان أم لا و العزم علی إبقاعه بعدها لیس بمحرم أیّ عزم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الظاهر من العزم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القطع لأن الظاهر عدم کفایة النیة و إن لم تکن قطعیة بل ظنیة بعنوان الظن و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یحتمل القطع و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أن مراده رحمه اللّه هو النیة و إن لم تکن قطعیة بل ظنیّة و الظاهر عدم کفایة النیة الظنّیة کما أومأت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کأنه یعاقب بمجرد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 لاٰ تَعْزِمُوا </w:t>
      </w:r>
      <w:r>
        <w:rPr>
          <w:rStyle w:val="FootnoteAnchor"/>
          <w:rtl w:val="true"/>
        </w:rPr>
        <w:footnoteReference w:id="648"/>
      </w:r>
      <w:r>
        <w:rPr>
          <w:rFonts w:ascii="IRNazanin" w:hAnsi="IRNazanin" w:eastAsia="IRNazanin"/>
          <w:color w:val="111111"/>
          <w:sz w:val="28"/>
          <w:sz w:val="28"/>
          <w:szCs w:val="28"/>
          <w:rtl w:val="true"/>
          <w:lang w:bidi="fa-IR"/>
        </w:rPr>
        <w:t>نهی العقد بعنوان المبالغة فالعقاب إنما یترتب علی المنهی الذی هو العقد لا علی العزم بمعنی القصد و ما ذکره من العقاب علی العزم و عدمه إنما یناسب العزم بمعنی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ذکرته لکن ذکره رحمه اللّه نکتة التعبیر بالعزم و انجرّ کلامه إلی ما انجرّ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العزم المذکور فی الآیة بمعنی یجری فیه ما ذکره من الکلام،لکن تأیید الإحتمال الأوّل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یؤیّد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کون العزم فی الآیة بالمعنی الذی فیه الإحتمالان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الکلام علی تقدیر إرادة القصد من العزم کما نقل عن القائل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لا 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القصد المطلق کما ذکر فی الإعتراض علی السند الذی ذکره صاحب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یثاب الناوی بثواب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ثواب الناوی مثل ثواب استحقاقی الفاعل و إن کان للفاعل مزیّة التفضّلی،و علی تقدیر التساوی المطلق أیضا لا تأیید فی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یؤیّد الأوّل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التأیید هو أنّ ذکر غفور حلیم بعد النهی عن العزم یدلّ علی عدم العقاب علی العزم،و الأمر بالحذر فی فَاحْذَرُوهُ </w:t>
      </w:r>
      <w:r>
        <w:rPr>
          <w:rStyle w:val="FootnoteAnchor"/>
          <w:rtl w:val="true"/>
        </w:rPr>
        <w:footnoteReference w:id="649"/>
      </w:r>
      <w:r>
        <w:rPr>
          <w:rFonts w:ascii="IRNazanin" w:hAnsi="IRNazanin" w:eastAsia="IRNazanin"/>
          <w:color w:val="111111"/>
          <w:sz w:val="28"/>
          <w:sz w:val="28"/>
          <w:szCs w:val="28"/>
          <w:rtl w:val="true"/>
          <w:lang w:bidi="fa-IR"/>
        </w:rPr>
        <w:t>هو تحذیر عن الفعل الموجب للعقاب،فلعلّ فی هذه الآیة إشارة إلی عدم العقاب علی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الأنفس عند ترک الفعل و إن تحقّق استحقاق العقاب،و مقصودهم هو هذا و إلاّ أصل قباحة القصد و استحقاق الملامة و العقاب بالقصد ممّا یحکم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ألطافه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السبب شیء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 رحمه اللّه بهذا السبب هو الأخیر،و لم ینقل فی هذا السبب ما یدلّ علی صدور قبیح من حفصة لکن ما یجیء یدلّ علی صدور القبیح عن کلّ منهما،و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السبب المنقول أوّلا لا یدلّ علی صدور قبیح من عایشة،و یدلّ علیه الآیة الآتیة،و اشتراکهما فی الإیذاء ظاهر بغیر الآیة الآتیة،و الإشتهار و ما روی فی صحاحهم أیضا</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یعاقب من یستحقّ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هذا المعنی من هذا اللفظ بعید،و لو کان المراد هذا المعنی لکان الظاهر بحسب ما یبلغ إلیه عقولنا أن یذکر ما یدلّ علی کونه معاقبا أیضا و إن اکتفی بالبعض،فکان الظاهر الإکتفاء به لا بما ذکر</w:t>
      </w:r>
      <w:r>
        <w:rPr>
          <w:rFonts w:eastAsia="IRNazanin" w:cs="IRNazanin"/>
          <w:color w:val="111111"/>
          <w:sz w:val="28"/>
          <w:szCs w:val="28"/>
          <w:rtl w:val="true"/>
          <w:lang w:bidi="fa-IR"/>
        </w:rPr>
        <w:t xml:space="preserve">. </w:t>
      </w:r>
      <w:bookmarkStart w:id="241" w:name="pg12937_139222"/>
    </w:p>
    <w:p>
      <w:pPr>
        <w:pStyle w:val="Heading4"/>
        <w:numPr>
          <w:ilvl w:val="3"/>
          <w:numId w:val="1"/>
        </w:numPr>
        <w:rPr/>
      </w:pPr>
      <w:bookmarkStart w:id="242" w:name="__RefHeading___Toc4066953_3224264995"/>
      <w:bookmarkStart w:id="243" w:name="_Toc90"/>
      <w:bookmarkEnd w:id="241"/>
      <w:bookmarkEnd w:id="242"/>
      <w:r>
        <w:rPr>
          <w:rtl w:val="true"/>
        </w:rPr>
        <w:t>النّوع الخامس</w:t>
      </w:r>
      <w:r>
        <w:rPr>
          <w:rtl w:val="true"/>
        </w:rPr>
        <w:t>:</w:t>
      </w:r>
      <w:r>
        <w:rPr>
          <w:rtl w:val="true"/>
        </w:rPr>
        <w:t>فی روافع النکاح</w:t>
      </w:r>
      <w:bookmarkEnd w:id="243"/>
    </w:p>
    <w:p>
      <w:pPr>
        <w:pStyle w:val="Heading5"/>
        <w:numPr>
          <w:ilvl w:val="4"/>
          <w:numId w:val="1"/>
        </w:numPr>
        <w:rPr/>
      </w:pPr>
      <w:bookmarkStart w:id="244" w:name="__RefHeading___Toc4066955_3224264995"/>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و هی أقسام</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246" w:name="__RefHeading___Toc4066957_3224264995"/>
      <w:bookmarkStart w:id="247" w:name="_Toc92"/>
      <w:bookmarkEnd w:id="246"/>
      <w:r>
        <w:rPr>
          <w:rtl w:val="true"/>
        </w:rPr>
        <w:t>الأوّل</w:t>
      </w:r>
      <w:r>
        <w:rPr>
          <w:rtl w:val="true"/>
        </w:rPr>
        <w:t>:</w:t>
      </w:r>
      <w:r>
        <w:rPr>
          <w:rtl w:val="true"/>
        </w:rPr>
        <w:t>الطلاق</w:t>
      </w:r>
      <w:bookmarkEnd w:id="247"/>
    </w:p>
    <w:p>
      <w:pPr>
        <w:pStyle w:val="BookText"/>
        <w:rPr/>
      </w:pPr>
      <w:r>
        <w:rPr>
          <w:rFonts w:ascii="Amiri" w:hAnsi="Amiri" w:eastAsia="Amiri" w:cs="Amiri"/>
          <w:color w:val="111111"/>
          <w:sz w:val="28"/>
          <w:sz w:val="28"/>
          <w:szCs w:val="28"/>
          <w:rtl w:val="true"/>
          <w:lang w:bidi="ar-SA"/>
        </w:rPr>
        <w:t>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طَلَّقْتُمُ النِّسٰاءَ</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w:t>
      </w:r>
      <w:r>
        <w:rPr>
          <w:rStyle w:val="FootnoteAnchor"/>
          <w:rtl w:val="true"/>
        </w:rPr>
        <w:footnoteReference w:id="653"/>
      </w:r>
      <w:r>
        <w:rPr>
          <w:rFonts w:ascii="IRNazanin" w:hAnsi="IRNazanin" w:eastAsia="IRNazanin"/>
          <w:color w:val="111111"/>
          <w:sz w:val="28"/>
          <w:sz w:val="28"/>
          <w:szCs w:val="28"/>
          <w:rtl w:val="true"/>
          <w:lang w:bidi="fa-IR"/>
        </w:rPr>
        <w:t>دلیل علی وجوب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الإشهاد،و هو مراده رحمه اللّه من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وعد اللّه علی الشهادة للشاهد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تلک الشهادة هذه الصحّة علی تقدیر عدم کون الشوب فیها کبیرة،و عدم التکرار المنتهی إلی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إشارة إلی تجویز کون الشوب بأغراض آخر کثیرة،فحینئذ یمکن عدم صحّة هذه الشهادة و لعلّ الأمر بالتّأمل 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 بین إقامة الشهادة و غیرها من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القائل من الأولیاء أعمّ من الشرعی و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أنّه علی ذلک التقدیر یعلم أن لیس للولیّ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الظاهر هل یمکن الإستدلال بالآیة علی استقلال الباکرة؟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الکلام فی أحکام المطلّقات و الشایع فیهنّ الثیوبة،مع قرینة هاهنا و هی بلغن أَجَلَهُنَّ فالإستدلال بهذه الآیة علی حکم الباکرة الذی لا یساق إلی الأذهان ضعیف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یؤیّد ما ذکرته ما ینقله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تحریم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الدلالة غیر ظاهرة، و الدلیل الذی یذکره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یبعد 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البعد عن تخصیص المطلّقات بالرجعیّات،و بغیر الحاملات،و استدلّ علی الثانی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 xml:space="preserve">» .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الظاهر أنّ تخصیص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ما سلب البعد عنه أوّلا ظاهر أیضا،لاقتضاء تخصیص الضمیر تخصیص المرجع،و لیس مثل تکرار الظاهر فی عدم بعد إرادة معنی مغایر لمعنی الظاهر الأوّل من الظاهر الثانی،فقیاس الضمیر علی الظاهر خال عن الجامع إن قیل بالقیاس،فکلام القاضی </w:t>
      </w:r>
      <w:r>
        <w:rPr>
          <w:rStyle w:val="FootnoteAnchor"/>
          <w:rtl w:val="true"/>
        </w:rPr>
        <w:footnoteReference w:id="658"/>
      </w:r>
      <w:r>
        <w:rPr>
          <w:rFonts w:ascii="IRNazanin" w:hAnsi="IRNazanin" w:eastAsia="IRNazanin"/>
          <w:color w:val="111111"/>
          <w:sz w:val="28"/>
          <w:sz w:val="28"/>
          <w:szCs w:val="28"/>
          <w:rtl w:val="true"/>
          <w:lang w:bidi="fa-IR"/>
        </w:rPr>
        <w:t>فاسد بتعمیم المطلّقات بمحض ظاهر اللفظ و ترک مقتضی الضمیر غفلة منه عن خلوّ القیاس عن الجامع،و بما نقل عنه من وجه التعبیر عن الأمر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قول 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یقول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الولد و الحیض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مٰا خَلَقَ اللّٰهُ فِی أَرْحٰامِهِنَّ </w:t>
      </w:r>
      <w:r>
        <w:rPr>
          <w:rStyle w:val="FootnoteAnchor"/>
          <w:rtl w:val="true"/>
        </w:rPr>
        <w:footnoteReference w:id="659"/>
      </w:r>
      <w:r>
        <w:rPr>
          <w:rFonts w:ascii="IRNazanin" w:hAnsi="IRNazanin" w:eastAsia="IRNazanin"/>
          <w:color w:val="111111"/>
          <w:sz w:val="28"/>
          <w:sz w:val="28"/>
          <w:szCs w:val="28"/>
          <w:rtl w:val="true"/>
          <w:lang w:bidi="fa-IR"/>
        </w:rPr>
        <w:t>علی الحیض فی غایة البعد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هذه دلالة علی أنّ قولها مقبول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الدلالة،إذ یمکن أن یکون سبب تحریم الکتمان أنّه إذا قلن بحملهنّ فربّما یمکن العلم بصدقهنّ بالرجوع إلی من یعرف الحامل و یمیّز بینها و بین الحائل،و بانقضاء مدّة یظهر الحمل لغیر العارفین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 بما ذکرته حسن إیجاب الإظهار،و تحریم </w:t>
      </w:r>
    </w:p>
    <w:p>
      <w:pPr>
        <w:pStyle w:val="BookText"/>
        <w:rPr/>
      </w:pPr>
      <w:r>
        <w:rPr>
          <w:rFonts w:ascii="IRNazanin" w:hAnsi="IRNazanin" w:eastAsia="IRNazanin"/>
          <w:color w:val="111111"/>
          <w:sz w:val="28"/>
          <w:sz w:val="28"/>
          <w:szCs w:val="28"/>
          <w:rtl w:val="true"/>
          <w:lang w:bidi="fa-IR"/>
        </w:rPr>
        <w:t>الکتمان و إن لم یکن قولهنّ مقبولا،و لیس فی اطّلاع غیرهنّ علی حملهنّ عسر و حرج و ضرر،فالصواب الإکتفاء بالأخبار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تقدیر الشرطیّة إنّما هو شرط للاحقیّة لا المرجعة،فیؤول إلی ما قلناه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بمعنی أصل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معناه فبعد التطلیقتین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کما ذکره رحمه اللّه هو التفریق دون الجمع،و خصوص التثنیة غیر مفهوم منها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مراتب التفریق هو الإثنان و بعد کلّ تفریق إمّا إمساک أو تسریح،و مع بعده یحتاج إلی التخصیص،لخروج بعد التاسعة عن عموم الآیة بلا قرینة،فلعلّ الظاهر هو الإحتمال الأوّل،و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یرجع،ثمّ یطلّق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الآیة علی الثانی علی لزوم تخلل الرجوع بین التطلیقتین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وجهها أنّ عدم وقوع الطلاق علی غیر الزوجة ظاهر،فیعتبر فی التطلیقة الثانیة کونها بعد الرجوع حتّی یکون متعلّقة بالزوجة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 إنّه جاء بهذا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تَنْکِحَ </w:t>
      </w:r>
      <w:r>
        <w:rPr>
          <w:rStyle w:val="FootnoteAnchor"/>
          <w:rtl w:val="true"/>
        </w:rPr>
        <w:footnoteReference w:id="662"/>
      </w:r>
      <w:r>
        <w:rPr>
          <w:rFonts w:ascii="IRNazanin" w:hAnsi="IRNazanin" w:eastAsia="IRNazanin"/>
          <w:color w:val="111111"/>
          <w:sz w:val="28"/>
          <w:sz w:val="28"/>
          <w:szCs w:val="28"/>
          <w:rtl w:val="true"/>
          <w:lang w:bidi="fa-IR"/>
        </w:rPr>
        <w:t>هو المطلّقة و لا تکون فاعل النکاح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النکاح یسند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 فقط</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المفهوم لا یکون حجّة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الحجّیّة إنّما یصحّ لو کان المفهوم عدم صحّة النکاح،و لیس کذلک،بل المفهوم هاهنا هو تحقّق الجناح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 للحدود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التنکیر 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یؤیّد الإحتمال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ذیل الثامنة بعد هذا الإحتمال و ظهور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بالغا فغیر ظاهر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الیقین بالحرمة بیقین آخر یتوقّف علی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عدم اعتبار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الدلالة حمل الآیة علی الإحتمال الثانی و إلاّ فلا یدلّ علیه،لأنّ التطلیق الرجعی إنّما یکون فی المدخولة،و الظاهر الشایع منه هو الدخول فی القبل،بل ظاهر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فَإِمْسٰاکٌ بِمَعْرُوفٍ و تفسیره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إمساک المرأة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ذیل الإحتمال الثانی إنّما یناسبان المدخولة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رحمه اللّه بالرجعة ما یشمل العقد المستأنف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یأبی هذا الإحتمال قوله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تَسْرِیحٌ بِإِحْسٰانٍ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یطلّقها التطلیقة الثالثة،أو بأن لا یراجعها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الآیة علی شیء من الإحتمالین لا یدلّ علی عدم اعتبار الولیّ فی الباکرة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اختصاصها بالمدخولة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أومأت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یدلّ الآیة علی استقلال الباکرة بوجه من الوجوه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نیّة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النیّة هاهنا هی إرادة التحلیل لا خطوره،و لا جرح </w:t>
      </w:r>
      <w:r>
        <w:rPr>
          <w:rStyle w:val="FootnoteAnchor"/>
          <w:rtl w:val="true"/>
        </w:rPr>
        <w:footnoteReference w:id="664"/>
      </w:r>
      <w:r>
        <w:rPr>
          <w:rFonts w:ascii="IRNazanin" w:hAnsi="IRNazanin" w:eastAsia="IRNazanin"/>
          <w:color w:val="111111"/>
          <w:sz w:val="28"/>
          <w:sz w:val="28"/>
          <w:szCs w:val="28"/>
          <w:rtl w:val="true"/>
          <w:lang w:bidi="fa-IR"/>
        </w:rPr>
        <w:t>فی عدم نیّة التحلیل بمعنی الإرادة،فلعلّه رحمه اللّه رأی من کلامهم ما یدلّ علی إرادة الخطور بالبال من النیّة</w:t>
      </w:r>
      <w:r>
        <w:rPr>
          <w:rFonts w:eastAsia="IRNazanin" w:cs="IRNazanin"/>
          <w:color w:val="111111"/>
          <w:sz w:val="28"/>
          <w:szCs w:val="28"/>
          <w:rtl w:val="true"/>
          <w:lang w:bidi="fa-IR"/>
        </w:rPr>
        <w:t xml:space="preserve">. </w:t>
      </w:r>
      <w:bookmarkStart w:id="248" w:name="pg12937_139226"/>
    </w:p>
    <w:p>
      <w:pPr>
        <w:pStyle w:val="BookText"/>
        <w:rPr/>
      </w:pPr>
      <w:bookmarkEnd w:id="24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التأمّل أنّ الآیة إنّما تدلّ علی عدم وقوع المتعدّد من هذا اللفظ،و أمّا عدم وقوع الطلاق مطلقا فلا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عدم وقوع المتعدّد بما ذکر من البیان،و الواحد غیر مقصود من اللفظ،و بعض الروایات أیضا یدلّ علی عدم وقوع الطلاق مطلقا إذا کانت الثلاث بلفظ واحد</w:t>
      </w:r>
      <w:r>
        <w:rPr>
          <w:rFonts w:eastAsia="IRNazanin" w:cs="IRNazanin"/>
          <w:color w:val="111111"/>
          <w:sz w:val="28"/>
          <w:szCs w:val="28"/>
          <w:rtl w:val="true"/>
          <w:lang w:bidi="fa-IR"/>
        </w:rPr>
        <w:t>.</w:t>
      </w:r>
    </w:p>
    <w:p>
      <w:pPr>
        <w:pStyle w:val="Heading5"/>
        <w:numPr>
          <w:ilvl w:val="4"/>
          <w:numId w:val="1"/>
        </w:numPr>
        <w:rPr/>
      </w:pPr>
      <w:bookmarkStart w:id="249" w:name="__RefHeading___Toc4066959_3224264995"/>
      <w:bookmarkStart w:id="250" w:name="_Toc93"/>
      <w:bookmarkEnd w:id="249"/>
      <w:r>
        <w:rPr>
          <w:rtl w:val="true"/>
        </w:rPr>
        <w:t xml:space="preserve">الثانی </w:t>
      </w:r>
      <w:r>
        <w:rPr>
          <w:rtl w:val="true"/>
        </w:rPr>
        <w:t>[</w:t>
      </w:r>
      <w:r>
        <w:rPr>
          <w:rtl w:val="true"/>
        </w:rPr>
        <w:t>و الثالث</w:t>
      </w:r>
      <w:r>
        <w:rPr>
          <w:rtl w:val="true"/>
        </w:rPr>
        <w:t>] :</w:t>
      </w:r>
      <w:r>
        <w:rPr>
          <w:rtl w:val="true"/>
        </w:rPr>
        <w:t>الخلع و المباراة</w:t>
      </w:r>
      <w:bookmarkEnd w:id="250"/>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واحدة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لَکُمْ أَنْ تَأْخُذُوا مِمّٰا آتَیْتُمُوهُنَّ شَیْئاً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یتجاوزها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ذکر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تعلیل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تَعْتَدُوهٰا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4066961_3224264995"/>
      <w:bookmarkStart w:id="252" w:name="_Toc94"/>
      <w:bookmarkEnd w:id="251"/>
      <w:r>
        <w:rPr>
          <w:rtl w:val="true"/>
        </w:rPr>
        <w:t>الرابع</w:t>
      </w:r>
      <w:r>
        <w:rPr>
          <w:rtl w:val="true"/>
        </w:rPr>
        <w:t>:</w:t>
      </w:r>
      <w:r>
        <w:rPr>
          <w:rtl w:val="true"/>
        </w:rPr>
        <w:t>الإیلاء</w:t>
      </w:r>
      <w:bookmarkEnd w:id="252"/>
    </w:p>
    <w:p>
      <w:pPr>
        <w:pStyle w:val="BookText"/>
        <w:rPr/>
      </w:pPr>
      <w:r>
        <w:rPr>
          <w:rFonts w:ascii="Amiri" w:hAnsi="Amiri" w:eastAsia="Amiri" w:cs="Amiri"/>
          <w:color w:val="111111"/>
          <w:sz w:val="28"/>
          <w:sz w:val="28"/>
          <w:szCs w:val="28"/>
          <w:rtl w:val="true"/>
          <w:lang w:bidi="ar-SA"/>
        </w:rPr>
        <w:t>و فیه 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،هی قبیل السابقة</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عَزَمُوا الطَّلاٰقَ</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الآیة هی متصلة بالسابقة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فتطلّق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تصیر مطلّقة حکما بلا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المطاعم و المشارب</w:t>
      </w:r>
    </w:p>
    <w:p>
      <w:pPr>
        <w:pStyle w:val="BookText"/>
        <w:rPr/>
      </w:pPr>
      <w:r>
        <w:rPr>
          <w:rFonts w:ascii="IRNazanin" w:hAnsi="IRNazanin" w:eastAsia="IRNazanin"/>
          <w:color w:val="111111"/>
          <w:sz w:val="28"/>
          <w:sz w:val="28"/>
          <w:szCs w:val="28"/>
          <w:rtl w:val="true"/>
          <w:lang w:bidi="fa-IR"/>
        </w:rPr>
        <w:t>الآیات المتعلقة به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أصالة إباحة کل ما ینتفع به خالیا عن مفسدة و هو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Style w:val="FootnoteAnchor"/>
          <w:rtl w:val="true"/>
        </w:rPr>
        <w:footnoteReference w:id="6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مظنونی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مدرک شرعی کما یدلّ علیه ما سینقله عن القاضی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اتّباع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شرعی فوجوبه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وجدانیة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فی کونه مظنونا له،و أمّا کون ظنّه من مدرک شرعیّ فإنّما یصحّ بعد إثبات شرعیّة المدرک بما یدلّ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کلّما هو کذلک فهو واجب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یصح بالنسبة إلیه مطلقا، و بالنسبة إلی غیره بشرط ظنّ الغیر ظنّا شرعیّا بکونه مجتهدا عادلا،و بکونه أعلم بالأحکام بمعنی کونه أقوی استدلالا عند تعدّد المجتهد العادل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یبعد جواز استناد </w:t>
      </w:r>
      <w:r>
        <w:rPr>
          <w:rStyle w:val="FootnoteAnchor"/>
          <w:rtl w:val="true"/>
        </w:rPr>
        <w:footnoteReference w:id="672"/>
      </w:r>
      <w:r>
        <w:rPr>
          <w:rFonts w:ascii="IRNazanin" w:hAnsi="IRNazanin" w:eastAsia="IRNazanin"/>
          <w:color w:val="111111"/>
          <w:sz w:val="28"/>
          <w:sz w:val="28"/>
          <w:szCs w:val="28"/>
          <w:rtl w:val="true"/>
          <w:lang w:bidi="fa-IR"/>
        </w:rPr>
        <w:t>الأحکام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الأحکام إلی اللّه تعالی فی غیر القطعیّة سواء کان مجتهدا أو مقلّدا لا یخلو من إشکال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 بوجوب ما قال المجتهد الذی یجب هذا المقلّد تقلیده بالنسبة إلی نفسه فواضح،و أمّا بالنسبة إلی غیره فإنّما یصحّ إن ثبت کون المجتهد بالنسبة إلیه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دلیل علی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المنع من اتّباع الظنّ المتعلّق باللّه و بالامور الشّرعیّة رأسا،فهذا العموم لا ینافی عدم دلالة الآیة علی اتّباع الظنّ بالنسبة إلی غیره تعالی کما سیذکره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هو ظنّه یجب علی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دلالة الدلیل المذکور علی وجوب العمل بالنسبة إلی المقلّد،و أمّا الإستدلال علی جواز حکمه بکون أمر اجتهادی واجبا أو حراما أو غیرهما فلا یخلو من إشکال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المجتهد فمقتضی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و نفی الحرج،و بعض الأخبار جواز حکمه،و شیء منها لا یجری فی المقلّد،فلا یتفرّع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 علی المقلّد بیان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إجماعیّة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مثبته بالدلیل،و أمّا کونها فرضیّة فلا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حلال مثلا یدلّ العرف و القرینة علی أنّ مراده أنّ هذا حلال یقتضی الأدلة الشرعیّة التفصیلیّة له أو </w:t>
      </w:r>
      <w:r>
        <w:rPr>
          <w:rStyle w:val="FootnoteAnchor"/>
          <w:rtl w:val="true"/>
        </w:rPr>
        <w:footnoteReference w:id="674"/>
      </w:r>
      <w:r>
        <w:rPr>
          <w:rFonts w:ascii="IRNazanin" w:hAnsi="IRNazanin" w:eastAsia="IRNazanin"/>
          <w:color w:val="111111"/>
          <w:sz w:val="28"/>
          <w:sz w:val="28"/>
          <w:szCs w:val="28"/>
          <w:rtl w:val="true"/>
          <w:lang w:bidi="fa-IR"/>
        </w:rPr>
        <w:t>لمن یقلّده،فما یفهم من هذا الکلام هو الفتوی،و هو جایز للفقیه الجامع لشرایط الفتوی،و الدلیل علی جواز الفتوی للمقلّد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یبعد جواز أن یقول بوجوب شیء علی زید لعلمه </w:t>
      </w:r>
      <w:r>
        <w:rPr>
          <w:rStyle w:val="FootnoteAnchor"/>
          <w:rtl w:val="true"/>
        </w:rPr>
        <w:footnoteReference w:id="675"/>
      </w:r>
      <w:r>
        <w:rPr>
          <w:rFonts w:ascii="IRNazanin" w:hAnsi="IRNazanin" w:eastAsia="IRNazanin"/>
          <w:color w:val="111111"/>
          <w:sz w:val="28"/>
          <w:sz w:val="28"/>
          <w:szCs w:val="28"/>
          <w:rtl w:val="true"/>
          <w:lang w:bidi="fa-IR"/>
        </w:rPr>
        <w:t>بقول مجتهد یجب علی زید تقلیده بوجوبه علیه،و دلالة القرینة علی أنّ مراده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التأمّل بعد الإکتفاء باتباع ظنّ المجتهد من غیر بیان اتّباع المقلّد ظنّه أو ظنّ المجتهد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الذی یدلّ علی اتّباع المجتهد لما أدّی إلیه ظنّه لا یختصّ بعلمه به،بل کما یدلّ علی وجوب علمه به یدلّ علی وجوب عمل المقلّد به أیضا،فذکر الدلیل فی المجتهد هو ذکر الدلیل فی الأصل علی وجه یظهر به حکم الفرع أیضا کما یظهر لمن تأمّل الدلیل حقّ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هذه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لیست ممّا یثبت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اتّباع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فوجوبه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 کثیر من ظنونه عن القول علی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یمکن أن یکون مراده بظنونه هی الظنّون المتعلّقة باللّه و بالامور الشرعیّة، فالإستدراک </w:t>
      </w:r>
      <w:r>
        <w:rPr>
          <w:rStyle w:val="FootnoteAnchor"/>
          <w:rtl w:val="true"/>
        </w:rPr>
        <w:footnoteReference w:id="676"/>
      </w:r>
      <w:r>
        <w:rPr>
          <w:rFonts w:ascii="IRNazanin" w:hAnsi="IRNazanin" w:eastAsia="IRNazanin"/>
          <w:color w:val="111111"/>
          <w:sz w:val="28"/>
          <w:sz w:val="28"/>
          <w:szCs w:val="28"/>
          <w:rtl w:val="true"/>
          <w:lang w:bidi="fa-IR"/>
        </w:rPr>
        <w:t>لیس خارجا عن القول علی اللّه،لأنّ القول بوجوب أمر مثلا هو قول علی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 حَلاٰلاً طَیِّباً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طَیِّباً صفة لقوله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حَلاٰلاً و لعلّ مراده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مثل حلالا فی کونه للتبیین، فلا ینافی هذا القول منه رحمه اللّه کون الأوّل حالا و الثانی 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یحتمل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یحتمل کون الإضافة بیانیّة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کون الإضافة بیانیّة تدلّ آیة لاٰ تُحَرِّمُوا طَیِّبٰاتِ</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علی کون طَیِّباً فی حَلاٰلاً طَیِّباً للتأکید،فما یدلّ علی کونه للتقیید إنّما هو الإحتمال الأوّل،و لم یظهر من کلامه رحمه اللّه رجحان الأوّل علی الثانی فما وجه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لم یحمل علی تعین کون طَیِّباً للتقیید فلا أقلّ من دلالته علی ظهوره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الظهور هو أنّ حَلاٰلاً إذا کان حالا 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ما رزقکم اللّه،و الحال أنّ الرزق حلال فی نفسه،و حینئذ ظاهر الاسلوب أن یکون المقصود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 أن یکون للتأکید أیضا و إن کان صفة کما یحکم به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حسن الإجتناب عما أحلّ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الحسن هاهنا أعمّ من الکراهة و الحرمة،فیصحّ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باعتقاد التحریم أو المرجوحیّة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تحقّقه فی ضمن الحرمة کما یظهر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رحمه اللّه بعدم حسن الاجتناب سلب مشروعیّة الاجتناب الذی هو الحرمة،و حینئذ لا یخفی تناسب أجزاء الکلام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عدم حسن الإجتناب </w:t>
      </w:r>
    </w:p>
    <w:p>
      <w:pPr>
        <w:pStyle w:val="BookText"/>
        <w:rPr/>
      </w:pPr>
      <w:r>
        <w:rPr>
          <w:rFonts w:ascii="IRNazanin" w:hAnsi="IRNazanin" w:eastAsia="IRNazanin"/>
          <w:color w:val="111111"/>
          <w:sz w:val="28"/>
          <w:sz w:val="28"/>
          <w:szCs w:val="28"/>
          <w:rtl w:val="true"/>
          <w:lang w:bidi="fa-IR"/>
        </w:rPr>
        <w:t>باعتقاد التحریم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المرجوحیّة أی</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المرجوحیّة الشرعیّة،فلا ینافی أی عدم حسن الإجتناب باعتقاد أحد الأمرین الترک للتزهّد أی کون الترک للتزهّد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تحقّق عدم الحسن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الحسن فی ضمن الحرمة،لأنّ اعتقاد التحریم أو المرجوحیّة الشرعیّة فیما أحلّ اللّه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المرجوحیّة فیما أحلّ اللّه ربّما کان مطابقا للواقع لکون ما أحلّ اللّه مکروها،فکیف یکون الإجتناب مع هذا الإعتقاد الصادق حراما؟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یحمل کلامه رحمه اللّه علی أنّ مراده غیر صورة الکراهة فی مقام التوجیه، و إلاّ لم یکن لعدم الحسن باعتقاد المرجوحیّة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لو اجتنب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استثناء من عدم حسن الإجتناب عمّا أحلّ اللّه،لکن بعد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قساوة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احتیاج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الإستثناء حینئذ أنّه ربّما یظنّ من هذا القول عدم حسن ترک الطیّبات إن لم یکن الداعی علیه التأسی،فأشار إلی أنّ الفائدة المقصودة من الترک لو کانت الفائدة الآتیة و إن لم یکن التأسی مقصودا حینئذ و لم یعتقد بالحرمة فالظاهر أنّه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المقصود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سلب الحرمة،بل الظاهر أنّ المقصود منه تحقّق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أصالة إباحة ما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ممّا ینبت من الأرض،لعدم دلالة الآیة الآتیة علی غیره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آذنین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ظهور هذا من الآیة لا تقدیره، و یکفی فی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 إشارة إلی تحریم بعض الأشیاء علی التعیین و فیه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فیه دلالة علی کونه مباحا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عدم الدلالة حمل الآیة علی الأفراد الشایعة،و هی أکل السبع شیئا ممّا قتله،و هو فی غیر الکلب ظاهر،و الکلب فی زمان الجاهلیّة لم یکن معلّما بالمعنی الذی هو عدم أکل الصید،لعدم تعلّق غرضهم بالتعلیم بهذا النحو،بل و عدم شیوعه عند نزول الآیة بین المسلمین و حینئذ ما قتله السبع و لم یأکل منه مسکوت عنه،لعدم تعلّق الغرض ببیانه فی زمان نزول الآیة،و اندراجه فی عموم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یقال فی هذا المقام،و العمدة هاهنا الروایات المعتبرة،و إجماع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یلزمهم بالموت و عدم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یشکل هاهنا بأنّ الإضطرار إلی أکل المیتة مرتبتان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انجرار الترک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انجراره إلی الحرج و الضیق،فعلی الأوّل یجب الأکل،و علی الثانی یحتمل الرجحان فی بعض المراتب،و لا أقلّ من الجواز بلا إثم،و الظاهر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غَفُورٌ رَحِیمٌ </w:t>
      </w:r>
      <w:r>
        <w:rPr>
          <w:rStyle w:val="FootnoteAnchor"/>
          <w:rtl w:val="true"/>
        </w:rPr>
        <w:footnoteReference w:id="681"/>
      </w:r>
      <w:r>
        <w:rPr>
          <w:rFonts w:ascii="IRNazanin" w:hAnsi="IRNazanin" w:eastAsia="IRNazanin"/>
          <w:color w:val="111111"/>
          <w:sz w:val="28"/>
          <w:sz w:val="28"/>
          <w:szCs w:val="28"/>
          <w:rtl w:val="true"/>
          <w:lang w:bidi="fa-IR"/>
        </w:rPr>
        <w:t>حصول الإثم من أکل المضطرّ و عفوه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عنه بأنّ اللّه تعالی کامل فی الرحمة و الغفران عند استحقاق العباد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صیغتی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کذلک لا ینهی عن أکل المیتة عند الإضطرار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هذا التشدید لا یوافق کمال الرحمة و الغفران؟فقوله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غَفُورٌ رَحِیمٌ لیس جزاء للشرط،بل هو تعلیل له بحسب المعنی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جوّز لهم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ذکرته من 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فیختصّ عموم الإباحة المفهوم من الحصر بدلیل من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 الذی یفهم منه عموم الإباحة إمّا حقیقیّ أو 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یلزم إرادة اللّه عموم الإباحة فی غیر المحرّمات المذکورة،و لا یصحّ تخصیص ما أراد اللّه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دلیل الخارج دلیل کون الحصر إضافیّا،لا دلیل تخصیص عموم التحلیل الذی لم یرد من الآیة،فلا نفع فی هذا الجواب بعد ما ذکره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الحصر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انضمام الإستصحاب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عدم انضمامه لا یدلّ الآیة إلاّ علی عدم حرمة ماعدا الامور المذکورة فی زمان النزول،و هو لا ینافی حرمة ما حرّم بعده،فلا منفعة فی هذا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ینافیه تحریم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 بالنسبة إلی ذلک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 الفعل فی أکبر تقدیری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أشیاء من المباحات 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تَأْکُلُوا مِمّٰا ذُکِرَ اسْمُ اللّٰهِ عَلَیْهِ</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الإستدلال بهما علی تملّکهم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الإحتمال الذی نقل عن الکشّاف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مثل ضربه اللّه للذین</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253" w:name="pg12937_139233"/>
    </w:p>
    <w:p>
      <w:pPr>
        <w:pStyle w:val="BookText"/>
        <w:rPr/>
      </w:pPr>
      <w:bookmarkEnd w:id="25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فِیهِ سَوٰاءٌ </w:t>
      </w:r>
      <w:r>
        <w:rPr>
          <w:rStyle w:val="FootnoteAnchor"/>
          <w:rtl w:val="true"/>
        </w:rPr>
        <w:footnoteReference w:id="687"/>
      </w:r>
      <w:r>
        <w:rPr>
          <w:rFonts w:ascii="IRNazanin" w:hAnsi="IRNazanin" w:eastAsia="IRNazanin"/>
          <w:color w:val="111111"/>
          <w:sz w:val="28"/>
          <w:sz w:val="28"/>
          <w:szCs w:val="28"/>
          <w:rtl w:val="true"/>
          <w:lang w:bidi="fa-IR"/>
        </w:rPr>
        <w:t>إنکار للتسویة فلا ارتباط له بهذا الإستدلال و التساوی الذی أمر الموالی به کما یظهر من الإحتمال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کون اللّه رازق الموالی و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الإحتمال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التساوی فی المالکیّة،فلعلّه فی أصل الإنتفاع لا فی التصرّفات التی لا تجوز لغیر المالک،و لو فرض الظهور فی الجملة فی الدلالة علی المالکیّة لا یحصل الظنّ بها بالآیة،لعدم بعد الإحتمال الذی نقله عن صاحب الکشّاف و عدم توهّم الدلالة علی هذا الاحتمال کما أومأت إلیه</w:t>
      </w:r>
      <w:r>
        <w:rPr>
          <w:rFonts w:eastAsia="IRNazanin" w:cs="IRNazanin"/>
          <w:color w:val="111111"/>
          <w:sz w:val="28"/>
          <w:szCs w:val="28"/>
          <w:rtl w:val="true"/>
          <w:lang w:bidi="fa-IR"/>
        </w:rPr>
        <w:t>.</w:t>
      </w:r>
    </w:p>
    <w:p>
      <w:pPr>
        <w:pStyle w:val="Heading3"/>
        <w:numPr>
          <w:ilvl w:val="2"/>
          <w:numId w:val="1"/>
        </w:numPr>
        <w:rPr/>
      </w:pPr>
      <w:bookmarkStart w:id="254" w:name="__RefHeading___Toc4066963_3224264995"/>
      <w:bookmarkStart w:id="255" w:name="_Toc95"/>
      <w:bookmarkEnd w:id="254"/>
      <w:r>
        <w:rPr>
          <w:rtl w:val="true"/>
        </w:rPr>
        <w:t>کتاب المواریث</w:t>
      </w:r>
      <w:bookmarkEnd w:id="255"/>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وَ الْمُهٰاجِرِینَ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بیانا لاولی الأرحام أی الأقرباء من هؤلاء و بعضهم أولی بأن یرث بعضا من الأجانب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لابتداء الغایة،أی اولوا الأرحام بحقّ القرابة أولی بالمیراث من المؤمنین بحقّ الولایة فی الدین،و من المهاجرین بحقّ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الکشّاف </w:t>
      </w:r>
      <w:r>
        <w:rPr>
          <w:rStyle w:val="FootnoteAnchor"/>
          <w:rtl w:val="true"/>
        </w:rPr>
        <w:footnoteReference w:id="690"/>
      </w:r>
      <w:r>
        <w:rPr>
          <w:rFonts w:ascii="IRNazanin" w:hAnsi="IRNazanin" w:eastAsia="IRNazanin"/>
          <w:color w:val="111111"/>
          <w:sz w:val="28"/>
          <w:sz w:val="28"/>
          <w:szCs w:val="28"/>
          <w:rtl w:val="true"/>
          <w:lang w:bidi="fa-IR"/>
        </w:rPr>
        <w:t>و ظاهر أنّ مراد صاحب الکشّاف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 هو کونها ما یتمّ به أفعل التفضیل،فقول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أنّها صلة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علیه بأنّ جعل مِنْ هذه ابتدائیّة غیر متعارف،بل الظاهر جعلها صلة لأفعل التفضیل،فلا اختلاف بین المصنّف و صاحب الکشّاف بحسب المعنی،بل فی التسمیّة،و لهذا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تَرَکَ الْوٰالِدٰانِ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و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بالأطفال لیعمّ الذکور و الاناث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یظهر من الکشّاف </w:t>
      </w:r>
      <w:r>
        <w:rPr>
          <w:rStyle w:val="FootnoteAnchor"/>
          <w:rtl w:val="true"/>
        </w:rPr>
        <w:footnoteReference w:id="692"/>
      </w:r>
      <w:r>
        <w:rPr>
          <w:rFonts w:ascii="IRNazanin" w:hAnsi="IRNazanin" w:eastAsia="IRNazanin"/>
          <w:color w:val="111111"/>
          <w:sz w:val="28"/>
          <w:sz w:val="28"/>
          <w:szCs w:val="28"/>
          <w:rtl w:val="true"/>
          <w:lang w:bidi="fa-IR"/>
        </w:rPr>
        <w:t xml:space="preserve">و غیره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أوس بن صامت الأنصاری مات و ترک امرأة و ثلاث بنات،فأخذ میراثه ابنا عمّه کما هو طریقة الجاهلیّة،فشکت إلی رسول اللّه صلّی اللّه علیه و آله امرأته،فنزلت الآیة و ظهرت منها إرث النساء و الأطفال مجملا،فبعث رسول اللّه صلّی اللّه علیه و آله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تفرقا من مال أوس شیئا فإنّ اللّه قد جعل لهنّ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یبیّن حین </w:t>
      </w:r>
      <w:r>
        <w:rPr>
          <w:rStyle w:val="FootnoteAnchor"/>
          <w:rtl w:val="true"/>
        </w:rPr>
        <w:footnoteReference w:id="694"/>
      </w:r>
      <w:r>
        <w:rPr>
          <w:rFonts w:ascii="Amiri" w:hAnsi="Amiri" w:eastAsia="Amiri" w:cs="Amiri"/>
          <w:color w:val="111111"/>
          <w:sz w:val="28"/>
          <w:sz w:val="28"/>
          <w:szCs w:val="28"/>
          <w:rtl w:val="true"/>
          <w:lang w:bidi="ar-SA"/>
        </w:rPr>
        <w:t>یبیّن،فنزلت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هاهنا إشکال،و هو أنّ المذکور فی الآیة هو الرجال و النساء،فکیف ظهر من الآیة إرث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فهم الصغیرات یمکن من سبب النزول،فحینئذ یحمل النساء علی الإناث مطلقا لکون سبب النزول قرینة واضحة علی عموم النساء،فلا یناسب تخصیص الرجال فی الآیة بالبلّغ،فی حمل علی الذکور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ثنتین فَوْقَ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بعد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مراده رحمه اللّه بالخبر بعد الخبر،الخبر الثانی کما هو ظاهر اللفظ،فالخبر الأوّل نِسٰاءً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بدل من النساء،فحینئذ یکون الکلام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الأولاد بنتین فوق اثنتین فکذا فحینئذ خصّص النساء الذی </w:t>
      </w:r>
      <w:r>
        <w:rPr>
          <w:rStyle w:val="FootnoteAnchor"/>
          <w:rtl w:val="true"/>
        </w:rPr>
        <w:footnoteReference w:id="697"/>
      </w:r>
      <w:r>
        <w:rPr>
          <w:rFonts w:ascii="IRNazanin" w:hAnsi="IRNazanin" w:eastAsia="IRNazanin"/>
          <w:color w:val="111111"/>
          <w:sz w:val="28"/>
          <w:sz w:val="28"/>
          <w:szCs w:val="28"/>
          <w:rtl w:val="true"/>
          <w:lang w:bidi="fa-IR"/>
        </w:rPr>
        <w:t>ظاهر فی 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المحقّق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ثنتین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أن یکون مراده بالخبر بعد الخبر ما یکون بعده مطلقا،فحینئذ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ثانیا،و فَوْقَ اثْنَتَیْنِ ثالثا،فحینئذ یلزم أن تکون نساء خارجة عن ثنتین فوق اثنتین کما لا یخفی،و لا معنی له أصلا،فالوجه أن یقال کما یظهر من الکشّاف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w:t>
      </w:r>
      <w:r>
        <w:rPr>
          <w:rStyle w:val="FootnoteAnchor"/>
          <w:rtl w:val="true"/>
        </w:rPr>
        <w:footnoteReference w:id="699"/>
      </w:r>
      <w:r>
        <w:rPr>
          <w:rFonts w:ascii="IRNazanin" w:hAnsi="IRNazanin" w:eastAsia="IRNazanin"/>
          <w:color w:val="111111"/>
          <w:sz w:val="28"/>
          <w:sz w:val="28"/>
          <w:szCs w:val="28"/>
          <w:rtl w:val="true"/>
          <w:lang w:bidi="fa-IR"/>
        </w:rPr>
        <w:t xml:space="preserve">کون الانثیین فی حکم الذکر المجتمع مع الواحدة،فکما أنّه یجوز الثلثین حینئذ فکذا الإبنتان تحوزان الثلثین،و بعد ما ظهر حکم الإبنتین </w:t>
      </w:r>
      <w:r>
        <w:rPr>
          <w:rStyle w:val="FootnoteAnchor"/>
          <w:rtl w:val="true"/>
        </w:rPr>
        <w:footnoteReference w:id="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 نِسٰاءً فَوْقَ اثْنَتَیْنِ </w:t>
      </w:r>
      <w:r>
        <w:rPr>
          <w:rStyle w:val="FootnoteAnchor"/>
          <w:rtl w:val="true"/>
        </w:rPr>
        <w:footnoteReference w:id="701"/>
      </w:r>
      <w:r>
        <w:rPr>
          <w:rFonts w:ascii="IRNazanin" w:hAnsi="IRNazanin" w:eastAsia="IRNazanin"/>
          <w:color w:val="111111"/>
          <w:sz w:val="28"/>
          <w:sz w:val="28"/>
          <w:szCs w:val="28"/>
          <w:rtl w:val="true"/>
          <w:lang w:bidi="fa-IR"/>
        </w:rPr>
        <w:t>لبیان حکمهنّ دفعا لتوهّم حیازتهنّ أکثر من 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مضمون کلام صاحب الکشّاف و سینقل المصنّف رحمه اللّه بعضه،و هو جیّد علی أصله،لکن علی طریقة أهل الحقّ یجب تقیید دفع توهّم حیازتهنّ أکثر من ثلثین بکون الحیازة مطلقة و فرضا،فلا ینافی حیازتهنّ فی بعض الصور ردّا،فظهر حینئذ عدم الحاجة إلی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یجعل مع فَوْقَ اثْنَتَیْنِ تفصیلا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لا أن یجعل فَوْقَ اثْنَتَیْنِ خبرا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لا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ظهر حکم البنتین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فلا حاجة إلی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آخر لعدم اختصاص الثلثین بفوق اثنتین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إنّما یحسن لو کان إرادة ثلاثة أیضا من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من إرادة اثنتین أیضا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 نِسٰاءً فَوْقَ اثْنَتَیْنِ و هذا غیر ظاهر،بل الظاهر </w:t>
      </w:r>
      <w:bookmarkStart w:id="256" w:name="pg12937_139236"/>
    </w:p>
    <w:p>
      <w:pPr>
        <w:pStyle w:val="BookText"/>
        <w:rPr/>
      </w:pPr>
      <w:bookmarkEnd w:id="256"/>
      <w:r>
        <w:rPr>
          <w:rFonts w:ascii="IRNazanin" w:hAnsi="IRNazanin" w:eastAsia="IRNazanin"/>
          <w:color w:val="111111"/>
          <w:sz w:val="28"/>
          <w:sz w:val="28"/>
          <w:szCs w:val="28"/>
          <w:rtl w:val="true"/>
          <w:lang w:bidi="fa-IR"/>
        </w:rPr>
        <w:t>خلافه،لأنّ فی الآیة قرائن لإرادة الاثنتین أیضا کما ظهر ممّا ذکره صلّی اللّه علیه و آله،و لم ینقل ما یصلح کونه قرینة لإرادة الثلاثة من الخبر،فلعلّه لذلک نسب هذا إلی القائل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التأویل الذی قاله بلفظ دالّ علی الشکّ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یقال،إنّ اللّه بعد ما أوصی فی الاولاد ذکر أقلّ مراتب الإجتماع الذی هو وحدة الذکر و الانثی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ظاهر أنّ هذه الصورة لم یتحقّق الإنثیین و الإنثیین التقدیر ثنتین لا یصحّان کما لا یخفی،فینبغی أن یحمل علی الانثیین اللتین لم یجتمعا مع الذکر،و یفهم حکمهما بل و غیرهما مع الإجتماع من تضاعیف نصیبه الظاهر من محافظة النسبة إلی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مراد الکشّاف و البیضاوی </w:t>
      </w:r>
      <w:r>
        <w:rPr>
          <w:rStyle w:val="FootnoteAnchor"/>
          <w:rtl w:val="true"/>
        </w:rPr>
        <w:footnoteReference w:id="702"/>
      </w:r>
      <w:r>
        <w:rPr>
          <w:rFonts w:ascii="IRNazanin" w:hAnsi="IRNazanin" w:eastAsia="IRNazanin"/>
          <w:color w:val="111111"/>
          <w:sz w:val="28"/>
          <w:sz w:val="28"/>
          <w:szCs w:val="28"/>
          <w:rtl w:val="true"/>
          <w:lang w:bidi="fa-IR"/>
        </w:rPr>
        <w:t>هذا،و إن لم یکن مرادهما هذا فلا مضایقة،بل الغرض إبداء احتمال لا یحتاج إلی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 التأیید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التأیید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بعیدة کما لا یخفی،فکأنّه لم یبال من البعد توجیها لکلام مجمع البیان </w:t>
      </w:r>
      <w:r>
        <w:rPr>
          <w:rStyle w:val="FootnoteAnchor"/>
          <w:rtl w:val="true"/>
        </w:rPr>
        <w:footnoteReference w:id="703"/>
      </w:r>
      <w:r>
        <w:rPr>
          <w:rFonts w:ascii="IRNazanin" w:hAnsi="IRNazanin" w:eastAsia="IRNazanin"/>
          <w:color w:val="111111"/>
          <w:sz w:val="28"/>
          <w:sz w:val="28"/>
          <w:szCs w:val="28"/>
          <w:rtl w:val="true"/>
          <w:lang w:bidi="fa-IR"/>
        </w:rPr>
        <w:t>بقدر الإمکان</w:t>
      </w:r>
      <w:r>
        <w:rPr>
          <w:rFonts w:eastAsia="IRNazanin" w:cs="IRNazanin"/>
          <w:color w:val="111111"/>
          <w:sz w:val="28"/>
          <w:szCs w:val="28"/>
          <w:rtl w:val="true"/>
          <w:lang w:bidi="fa-IR"/>
        </w:rPr>
        <w:t>.</w:t>
      </w:r>
    </w:p>
    <w:p>
      <w:pPr>
        <w:pStyle w:val="Heading3"/>
        <w:numPr>
          <w:ilvl w:val="2"/>
          <w:numId w:val="1"/>
        </w:numPr>
        <w:rPr/>
      </w:pPr>
      <w:bookmarkStart w:id="257" w:name="__RefHeading___Toc4066965_3224264995"/>
      <w:bookmarkStart w:id="258" w:name="_Toc96"/>
      <w:bookmarkEnd w:id="257"/>
      <w:r>
        <w:rPr>
          <w:rtl w:val="true"/>
        </w:rPr>
        <w:t>کتاب الحدود</w:t>
      </w:r>
      <w:bookmarkEnd w:id="258"/>
    </w:p>
    <w:p>
      <w:pPr>
        <w:pStyle w:val="Heading4"/>
        <w:numPr>
          <w:ilvl w:val="3"/>
          <w:numId w:val="1"/>
        </w:numPr>
        <w:rPr/>
      </w:pPr>
      <w:bookmarkStart w:id="259" w:name="__RefHeading___Toc4066967_3224264995"/>
      <w:bookmarkStart w:id="260" w:name="_Toc9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و هو أقسام،</w:t>
      </w:r>
    </w:p>
    <w:p>
      <w:pPr>
        <w:pStyle w:val="Heading4"/>
        <w:numPr>
          <w:ilvl w:val="3"/>
          <w:numId w:val="1"/>
        </w:numPr>
        <w:rPr/>
      </w:pPr>
      <w:bookmarkStart w:id="261" w:name="__RefHeading___Toc4066969_3224264995"/>
      <w:bookmarkStart w:id="262" w:name="_Toc98"/>
      <w:bookmarkEnd w:id="261"/>
      <w:r>
        <w:rPr>
          <w:rtl w:val="true"/>
        </w:rPr>
        <w:t>الثانی</w:t>
      </w:r>
      <w:r>
        <w:rPr>
          <w:rtl w:val="true"/>
        </w:rPr>
        <w:t>:</w:t>
      </w:r>
      <w:r>
        <w:rPr>
          <w:rtl w:val="true"/>
        </w:rPr>
        <w:t>حدّ القذف</w:t>
      </w:r>
      <w:bookmarkEnd w:id="262"/>
    </w:p>
    <w:p>
      <w:pPr>
        <w:pStyle w:val="BookText"/>
        <w:rPr/>
      </w:pPr>
      <w:r>
        <w:rPr>
          <w:rFonts w:ascii="Amiri" w:hAnsi="Amiri" w:eastAsia="Amiri" w:cs="Amiri"/>
          <w:color w:val="111111"/>
          <w:sz w:val="28"/>
          <w:sz w:val="28"/>
          <w:szCs w:val="28"/>
          <w:rtl w:val="true"/>
          <w:lang w:bidi="ar-SA"/>
        </w:rPr>
        <w:t>و فیه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w:t>
      </w:r>
      <w:r>
        <w:rPr>
          <w:rStyle w:val="FootnoteAnchor"/>
          <w:rtl w:val="true"/>
        </w:rPr>
        <w:footnoteReference w:id="70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الشهادة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کون المانع عن قبول الشهادة هو الفسق المعلوم للمسلمین،فبعد الإستثناء عن أُولٰئِکَ بعدم </w:t>
      </w:r>
      <w:bookmarkStart w:id="263" w:name="pg12937_139237"/>
    </w:p>
    <w:p>
      <w:pPr>
        <w:pStyle w:val="BookText"/>
        <w:rPr/>
      </w:pPr>
      <w:bookmarkEnd w:id="263"/>
      <w:r>
        <w:rPr>
          <w:rFonts w:ascii="IRNazanin" w:hAnsi="IRNazanin" w:eastAsia="IRNazanin"/>
          <w:color w:val="111111"/>
          <w:sz w:val="28"/>
          <w:sz w:val="28"/>
          <w:szCs w:val="28"/>
          <w:rtl w:val="true"/>
          <w:lang w:bidi="fa-IR"/>
        </w:rPr>
        <w:t xml:space="preserve">فسق التائبین یظهر قبول شهادتهم بعد التوبة و إن لم یتعلّق الإستثناء بجملة وَ لاٰ تَقْبَلُوا </w:t>
      </w:r>
      <w:r>
        <w:rPr>
          <w:rStyle w:val="FootnoteAnchor"/>
          <w:rtl w:val="true"/>
        </w:rPr>
        <w:footnoteReference w:id="705"/>
      </w:r>
      <w:r>
        <w:rPr>
          <w:rFonts w:ascii="IRNazanin" w:hAnsi="IRNazanin" w:eastAsia="IRNazanin"/>
          <w:color w:val="111111"/>
          <w:sz w:val="28"/>
          <w:sz w:val="28"/>
          <w:szCs w:val="28"/>
          <w:rtl w:val="true"/>
          <w:lang w:bidi="fa-IR"/>
        </w:rPr>
        <w:t>و لعلّ رجوع الإستثناء إلی الجملتین علی ما ینقله عن أبی جعفر و أبی عبد اللّه علیهما السّلام هو هذا المعنی،و لعلّه یشیر إلی هذا المعنی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706"/>
      </w:r>
    </w:p>
    <w:p>
      <w:pPr>
        <w:pStyle w:val="Heading4"/>
        <w:numPr>
          <w:ilvl w:val="3"/>
          <w:numId w:val="1"/>
        </w:numPr>
        <w:rPr/>
      </w:pPr>
      <w:bookmarkStart w:id="264" w:name="__RefHeading___Toc4066971_3224264995"/>
      <w:bookmarkStart w:id="265" w:name="_Toc99"/>
      <w:bookmarkEnd w:id="264"/>
      <w:r>
        <w:rPr>
          <w:rtl w:val="true"/>
        </w:rPr>
        <w:t>الثالث</w:t>
      </w:r>
      <w:r>
        <w:rPr>
          <w:rtl w:val="true"/>
        </w:rPr>
        <w:t>:</w:t>
      </w:r>
      <w:r>
        <w:rPr>
          <w:rtl w:val="true"/>
        </w:rPr>
        <w:t>حدّ السارق</w:t>
      </w:r>
      <w:bookmarkEnd w:id="2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مسلّم،لکن سقوط القطع خلاف سیاق الآیة الشریفة،لأنّه تعالی أمر بقطع أیدی السارق و السارقة أوّلا،فذکر أمر التوبة و العفو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 ،فلعلّه بعد ذکر عقاب الدنیا بالقطع أشار إلی سقوط عقاب الآخرة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یدخل فی عمومه العفو عن القطع مع کونه مصدّر بالفاء فی غایة البعد</w:t>
      </w:r>
      <w:r>
        <w:rPr>
          <w:rFonts w:eastAsia="IRNazanin" w:cs="IRNazanin"/>
          <w:color w:val="111111"/>
          <w:sz w:val="28"/>
          <w:szCs w:val="28"/>
          <w:rtl w:val="true"/>
          <w:lang w:bidi="fa-IR"/>
        </w:rPr>
        <w:t>.</w:t>
      </w:r>
    </w:p>
    <w:p>
      <w:pPr>
        <w:pStyle w:val="Heading3"/>
        <w:numPr>
          <w:ilvl w:val="2"/>
          <w:numId w:val="1"/>
        </w:numPr>
        <w:rPr/>
      </w:pPr>
      <w:bookmarkStart w:id="266" w:name="__RefHeading___Toc4066973_3224264995"/>
      <w:bookmarkStart w:id="267" w:name="_Toc100"/>
      <w:bookmarkEnd w:id="266"/>
      <w:r>
        <w:rPr>
          <w:rtl w:val="true"/>
        </w:rPr>
        <w:t>کتاب القضاء و الشهادات</w:t>
      </w:r>
      <w:bookmarkEnd w:id="267"/>
    </w:p>
    <w:p>
      <w:pPr>
        <w:pStyle w:val="BookText"/>
        <w:rPr/>
      </w:pPr>
      <w:r>
        <w:rPr>
          <w:rFonts w:ascii="IRNazanin" w:hAnsi="IRNazanin" w:eastAsia="IRNazanin"/>
          <w:color w:val="111111"/>
          <w:sz w:val="28"/>
          <w:sz w:val="28"/>
          <w:szCs w:val="28"/>
          <w:rtl w:val="true"/>
          <w:lang w:bidi="fa-IR"/>
        </w:rPr>
        <w:t>و فیه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الحادیة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70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یرید اعتقاده </w:t>
      </w:r>
      <w:r>
        <w:rPr>
          <w:rStyle w:val="FootnoteAnchor"/>
          <w:rtl w:val="true"/>
        </w:rPr>
        <w:footnoteReference w:id="709"/>
      </w:r>
      <w:r>
        <w:rPr>
          <w:rFonts w:ascii="IRNazanin" w:hAnsi="IRNazanin" w:eastAsia="IRNazanin"/>
          <w:color w:val="111111"/>
          <w:sz w:val="28"/>
          <w:sz w:val="28"/>
          <w:szCs w:val="28"/>
          <w:rtl w:val="true"/>
          <w:lang w:bidi="fa-IR"/>
        </w:rPr>
        <w:t>الحقّیّة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اعتقاد حقّیّة التحاکم إلی حکّام الجور یکون کفرا إذا علم أنّ مقتضی ما انزل إلی رسول اللّه صلّی اللّه علیه و آله و ما انزل من قبله هو بطلانه؛لأنّ مآل هذا هو تکذیب،و أمّا التحاکم إلیهم مع العلم </w:t>
      </w:r>
    </w:p>
    <w:p>
      <w:pPr>
        <w:pStyle w:val="BookText"/>
        <w:rPr/>
      </w:pPr>
      <w:r>
        <w:rPr>
          <w:rFonts w:ascii="IRNazanin" w:hAnsi="IRNazanin" w:eastAsia="IRNazanin"/>
          <w:color w:val="111111"/>
          <w:sz w:val="28"/>
          <w:sz w:val="28"/>
          <w:szCs w:val="28"/>
          <w:rtl w:val="true"/>
          <w:lang w:bidi="fa-IR"/>
        </w:rPr>
        <w:t>بالحرمة فالظاهر أنّه فسق؛فلا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رحمه اللّه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تحریمه مقتضی ما انزل إلی رسول اللّه صلّی اللّه علیه و آله بحسب الواقع،لا بحسب اعتقاده أی مع العلم بتحریمه علی تقدیر حقیّة ما أنزل اللّه،لکن لیس حقّا عنده؛فهذا أیضا یرجع إلی إنکار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بعده بحسب اللفظ،لکن یمکن ذکره فی توجیه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الحاکم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مخصوصا بإثبات الحکم لوجود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المعنی الذی هو مورد الوعید هو التحاکم إلی الطاغوت،و لیس موجودا فی الصورة المذکورة،و لا یقول رحمه اللّه أیضا بوجوده فیها،کما هو مقتضی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رحمه اللّه من المعنی هو أخذ رجل لیس أهلا له،سواء کان بعنوان الحکم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هذا منشأ الحرمة غیر ظاهر،فالحقّ أن یثبت حرمة ما یظهر بدلیل إلی هذا الدلیل،و لم یظهر حرمة أخذ الحقّ أو غیره بمعونة الظالم القادر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أن یقال صادق و لا کاذب لفسقه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جاز الحکم بالکذب بمجرّد الفسق لما احتاج إلی التبیّن،بل کان الظاهر هو الأمر بالردّ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جوّزت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جواز الواسطة یکون ثلاث حالات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العدل،و الفسق،و الواسطة،فالفسق مانع،و شرط القبول هو عدمه المتحقّق فی العادل و الواسطة،و فی مجهول الحال لا یجوز القبول؛لاحتمال کونه فاسقا،و تحقّق الشرط فی الأمرین اللذین هما الواسطة و العدل و الفقد فی أمر واحد هو الفسق لا ینفع هاهنا؛لأنّ شیوع الفسق علی وجه یغلب أفراد المتّصف به علی أفراد </w:t>
      </w:r>
    </w:p>
    <w:p>
      <w:pPr>
        <w:pStyle w:val="BookText"/>
        <w:rPr/>
      </w:pPr>
      <w:r>
        <w:rPr>
          <w:rFonts w:ascii="IRNazanin" w:hAnsi="IRNazanin" w:eastAsia="IRNazanin"/>
          <w:color w:val="111111"/>
          <w:sz w:val="28"/>
          <w:sz w:val="28"/>
          <w:szCs w:val="28"/>
          <w:rtl w:val="true"/>
          <w:lang w:bidi="fa-IR"/>
        </w:rPr>
        <w:t>الباقین،فلا یحصل ظنّ تحقّق الشرط بتحقّقه فی أمرین و انتفاعه فی أمر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حصول الظنّ کفایة مثل هذا الظنّ غیر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دلّت الآیة علی عدم قبول خبر مجهول الحال إن جوّزت الواسطة فلدلالتها علی عدم قبول خبره علی تقدیر عدم تجویز الواسطة أولی ففرضه رحمه اللّه خصوص تقدیر تجویز بیان للأخفی و إحالة بیان مذهب من لم یجوّز الواسطة إلی الأظهریّة و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یعلم رفع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بالعلم لیس ما هو ظاهر هذا باللفظ؛لکفایة بعض مراتب الظنّ،و هو ما جعله الشارع علامة للعدالة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بحث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البحث عدم حصول العلم بکون الغرض من التقیید مخالفة المسکوت فی الحکم للمذکور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ضعیف؛لعدم اعتبار العلم بکون الغرض من التقیید مخالفة المسکوت فی الحکم للمذکور فی الدلالة اللفظیّة و إلاّ لخرج کثیر من الأخبار و الآیات التی استدلّوا بمنطوقها علی حکم عن الاعتبار،بل العمدة فی الدلالة اللفظیّة هی الظهور،و هو یتحقّق فی المواضع التی یحصل الظنّ بأن لیس للتقیید منفعة غیر مخالفة المسکوت للمذکور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بهذا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ضعیف،و إنّما یصح إن کان المراد بالفاسق فی الآیة الفاسق بحیث علمنا؛و هو خلاف الظاهر من الفاسق بما هو فاسق بحسب نفس الأمر،و حینئذ یجب التثبّت فی مجهول الحال حتّی یحصل الظنّ بعدم الفسق أو ینضمّ إلی الفسق إمارة الصدق،فحینئذ لم یقبل خبر الفاسق بلا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کتبه قدّس سرّه بخطّه الشریف علی حواشی کتابه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الفراغ عن جمعها و تألیفها فی أواخر شهر جمادی الأولی سنة أربع و عشرین و مائة بعد الألف</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مصلّیا،نفعنا اللّه و کافّة المحصّلین بها و غفر اللّه تعالی لنا جمیعا</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2937_139241"/>
      <w:bookmarkStart w:id="269" w:name="pg12937_139241"/>
      <w:bookmarkEnd w:id="269"/>
    </w:p>
    <w:p>
      <w:pPr>
        <w:pStyle w:val="Heading3"/>
        <w:numPr>
          <w:ilvl w:val="2"/>
          <w:numId w:val="1"/>
        </w:numPr>
        <w:rPr/>
      </w:pPr>
      <w:bookmarkStart w:id="270" w:name="pg12937_139241"/>
      <w:bookmarkStart w:id="271" w:name="__RefHeading___Toc4066975_3224264995"/>
      <w:bookmarkStart w:id="272" w:name="_Toc101"/>
      <w:bookmarkEnd w:id="270"/>
      <w:bookmarkEnd w:id="271"/>
      <w:r>
        <w:rPr>
          <w:rtl w:val="true"/>
        </w:rPr>
        <w:t>فهرس مصادر التحقیق</w:t>
      </w:r>
      <w:bookmarkEnd w:id="272"/>
    </w:p>
    <w:p>
      <w:pPr>
        <w:pStyle w:val="Heading4"/>
        <w:numPr>
          <w:ilvl w:val="3"/>
          <w:numId w:val="1"/>
        </w:numPr>
        <w:rPr/>
      </w:pPr>
      <w:bookmarkStart w:id="273" w:name="__RefHeading___Toc4066977_3224264995"/>
      <w:bookmarkStart w:id="274" w:name="_Toc102"/>
      <w:bookmarkEnd w:id="273"/>
      <w:r>
        <w:rPr>
          <w:rtl w:val="true"/>
        </w:rPr>
        <w:t>المصادر العربیّة</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 للشیخ المفید،تحقیق علی أکبر الغفّاری،قم المقدّسة،مؤسسة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للشهید الثانی،قم،مکتب الإعلام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للشیخ المفید،قم المقدّسة،مؤسسة آل البیت علیهم السّلام،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 للشیخ الطائفة الطوسی،تحقیق السیّد حسن الموسوی الخرسان،الطبعة الرابعة،طهران،دار الکتب الإسلامیّة،</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للشیخ الصدوق،قم،مؤسسة النشر الإسلامی،</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للشیخ البهائی،تحقیق السیّد بلاسم الموسوی،مشهد،مکتبة الروضة الرضویّة،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الشیعة،للشیخ آقا بزرک الطهرانی،الطبعة الثالثة،بیروت، دار الأضواء،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 لعبد الرحمن بن قدامة،بیروت،دار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لإبن حمّاد الجوهری،تحقیق احمد بن عبد الغفور عطّار،الطبعة الرابعة،بیروت،دار العلم للملایین،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 و مذهب أهل البیت علیهم السّلام لعبد الرحمن الجزیری و السیّد محمّد الغروی و الشیخ یاسر مازج،بیروت،دار الثقلین،</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 للمحدّث الأسترآبادی،تحقیق الشیخ رحمت اللّه الرحمتی الأراکی،قم، مؤسسة النشر الإسلامی،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للفیروزآبادی،بیروت،دار الجیل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لثقة الإسلام الکلینی،تحقیق علی أکبر الغفّاری،الطبعة الثامنة،طهران، دار الکتب الإسلامیّة،</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الکشّاف،لجار اللّه الزمخشری،إعداد عبد الرزّاق المهدی،بیروت،دار إحیاء التراث العربی و مؤسسة التاریخ العربی،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المبسوط،للسرخسی،بیروت،دار المعرفة،</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لأبی جعفر البرقی،تحقیق المحدّث الارموی،طهران،دار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لإبن حزم الآندلسی،تحقیق أحمد محمّد شاکر،بیروت،دار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المراجعات للسیّد شرف الدین العاملی،تحقیق حسن الراضی،الطبعة الثانیّة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 للسیّد شرف الدین العاملی،قم،مرکز الأعلام الإسلامی،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للحاکم النیشابوری،بیروت،دار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للفیّومی،قم،دار الهجرة،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للمحقّق الحلّی،قم،مؤسّسة سیّد الشهداء علیه السّلام،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للطبرانی،بیروت،دار إحیاء التراث العربی،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لابراهیم مصطفی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،طهران،مکتبة المرتضوی،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لإبن قدامة الحنبلی،بیروت،دار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للشیخ الصدوق،قم،مؤسسة الإمام الهادی علیه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الصدوق،قم،مؤسّسة الإمام الهادی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الفوائد،للفخر الدین الحلّی،قم،اسماعیلیان،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 للواحدی،قاهرة،مؤسسة الحلبی،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للقاضی البیضاوی،بیروت،دار الکتب العلمیّة،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للعلاّمة محمّد باقر المجلسی،الطبعة الثانیة،بیروت،مؤسسة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 لعماد الدین الطبری،تحقیق جواد القیّومی،قم المقدّسة، مؤسسة النشر الإسلامی،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لمحمّد بن الحسن الصفّار،إعداد میرزا محسن کوچه باغی،طهران، مؤسسة الأعلمی،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للزبیدی،بیروت،دار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للعلاّمة الحلّی،قم،مؤسسة آل البیت علیهم السّلام،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تسلیک النفس إلی حظیرة القدس للعلاّمة الحلّی،تحقیق فاطمة الرمضانی،قم المقدّسة، مؤسسة الإمام الصادق علیه السّلام،</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لمحمّد بن مسعود العیّاشی،تحقیق السیّد هاشم الرسولی المحلاتی، طهران،مکتبة العلمیّة الإسلامیّة،</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الآمل،للسیّد حسن الصدر،تحقیق حسین علی محفوظ،عبد الکریم الدبّاغ و عدنان الدبّاغ،بیروت،دار المورّخ العربی،</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للشیخ الطوسی،تحقیق السیّد حسن الموسوی الخرسان،الطبعة الرابعة،طهران،دار الکتب الإسلامیّة،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لمحمّد بن علی الأردبیلی،قم،مکتبة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للسیّد علی الحسینی المیلانی،قم،مرکز الأبحاث العقائدیّة،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الشیعة،للشهید الأوّل،قم،مؤسسة آل البیت علیهم السّلام،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 للشیخ الطائفة الطوسی،تحقیق جواد القیّومی،الطبعة الثالثة،قم،مؤسسة النشر الإسلامی،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النجاشی،لأبی العباس النجاشی،تحقیق السیّد موسی الشبیری الزنجانی،الطبعة الثامنة،قم،مؤسسة النشر الإسلامی،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للشهید الأوّل،قم،مکتب الإعلام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للمحقّق الأردبیلی،تحقیق رضا استادی،و علی اکبر زمان‌نژاد،الطبعة الثانیّة،قم،مؤمنین،</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للمحقّق الأردبیلی،تحقیق محمّد باقر البهبودی،طهران،مکتبة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لإبن أبی الجمهور الأحسائی،قم،سیّد الشهداء علیه السّلام،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 للشیخ الصدوق،إعداد الشیخ حسین الأعلمی،بیروت،مؤسسة الأعلمی،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 للمحقّق القمی،طهران،مکتبة العلمیّة الإسلامیّة،</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 للشیخ الصدوق،تحقیق علی أکبر الغفّاری،الطبعة الرابعة،قم، مؤسسة النشر الإسلامی،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للشیخ الصدوق،تحقیق علی أکبر الغفّاری،قم،مؤسسة النشر الإسلامی،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العرفان فی فقه القرآن للفاضل المقداد،تحقیق السیّد محمّد القاضی،طهران،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للمتّقی الهندی،إعداد بکری و حیاتی و صفوة السقّا،بیروت،مؤسسة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لإبن منظور المصری،بیروت،دار إحیاء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لفخر الدین الطریحی،تحقیق السیّد أحمد الحسینی،الطبعة الثانیّة،نشر الثقافة الإسلامیّة،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لأمین الإسلام الطبرسی،الطبعة الرابعة،طهران،ناصر خسرو،</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 للعلاّمة الحلّی،الطبعة الثانیّة،قم،مکتب الإعلام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للعلاّمة المجلسی،الطبعة الثانیة،طهران،دار الکتب الإسلامیّة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فقهیّة،للسیّد شرف الدین العاملی،طهران،سپهر،</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للشهید الثانی،الطبعة الثانیّة،قم،مؤسّسة المعارف الإسلامیّة،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الوسائل،للمحدّث النوری،قم،مؤسسة آل البیت علیهم السّلام،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للمحقّق الخوانساری،قم،مؤسسة آل البیت علیهم السّلام</w:t>
      </w:r>
      <w:r>
        <w:rPr>
          <w:rFonts w:eastAsia="IRNazanin" w:cs="IRNazanin"/>
          <w:color w:val="111111"/>
          <w:sz w:val="28"/>
          <w:szCs w:val="28"/>
          <w:rtl w:val="true"/>
          <w:lang w:bidi="fa-IR"/>
        </w:rPr>
        <w:t xml:space="preserve">. </w:t>
      </w:r>
      <w:bookmarkStart w:id="275" w:name="pg12937_139245"/>
    </w:p>
    <w:p>
      <w:pPr>
        <w:pStyle w:val="BookText"/>
        <w:rPr/>
      </w:pPr>
      <w:bookmarkEnd w:id="275"/>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 للشیخ حسن بن شهید الثانی،تحقیق المرحوم عبد الحسین محمّد علی بقّال،الطبعة الرابعة،قم،مکتبة السیّد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للشهید الثانی،تحقیق رضا المختاری،الطبعة الرابعة،قم،مکتب الإعلام الإسلامی،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 رسائل من تراث أصفهان العلمی الخالد،جمع من الفضلاء،المشرف مجید هادی‌زاده،طهران،هستی نما،</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للشریف الرضی،إعداد السیّد ضیاء الدین العلاّمة الفانی،اصفهان،مکتبة الإمام أمیر المؤمنین علیه السّلام العامّة،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للشیخ حرّ العاملی،الطبعة الثالثة،قم،مؤسّسة آل البیت علیهم السّلام،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المسترشدین،للشیخ محمّد تقی الرازی النجفی الإصفهانی،قم،مؤسّسة النشر الإسلامی،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276" w:name="__RefHeading___Toc4066979_3224264995"/>
      <w:bookmarkStart w:id="277" w:name="_Toc103"/>
      <w:bookmarkEnd w:id="276"/>
      <w:r>
        <w:rPr>
          <w:rtl w:val="true"/>
        </w:rPr>
        <w:t>المصادر الفارسیّة</w:t>
      </w:r>
      <w:bookmarkEnd w:id="277"/>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رامسر،محمّد سمامی حائری،قم،خیّام،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اصفهان،سیّد مصلح الدین مهدوی،تحقیق رحیم قاسمی و محمّد رضا نیلفروشان،اصفهان،گلدسته،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رساله فقهی درباره نماز جمعه،رسول جعفریان،قم،انصاریان،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مختاری و محسن صادقی،قم،دفتر تبلیغات اسلامی،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آیة اللّه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حسینی، قم،کتابخانه آیة اللّه مرعشی نجفی،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مدرسه صدر بازار اصفهان،سیّد جعفر اشکوری، قم،مجمع الذخائر الاسلامی،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وزیری یزد،محمّد شیروانی،تهران،</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فاضل سراب،اصغر منتظر القائم،اصفهان،دانشگاه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فقه شیعه سیّد حسین مدرّسی،مترجم محمّد آصف فکرت،مشهد، مؤسسه پژوهش‌های آستان قدس رضوی،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حوزه اصفهان،جمعی از فضلاء،إشراف محمّد جواد نورمحمّدی،دفتر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اصفهان،مرکز تحقیقات رایانه‌ای حوزه علمیه اصفهان،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78" w:name="pg12937_139247"/>
    </w:p>
    <w:p>
      <w:pPr>
        <w:pStyle w:val="Heading2"/>
        <w:numPr>
          <w:ilvl w:val="1"/>
          <w:numId w:val="1"/>
        </w:numPr>
        <w:rPr/>
      </w:pPr>
      <w:bookmarkStart w:id="279" w:name="__RefHeading___Toc4066981_3224264995"/>
      <w:bookmarkStart w:id="280" w:name="_Toc104"/>
      <w:bookmarkEnd w:id="278"/>
      <w:bookmarkEnd w:id="279"/>
      <w:r>
        <w:rPr>
          <w:rtl w:val="true"/>
        </w:rPr>
        <w:t>هدایة الضّبط فی علم الخطّ</w:t>
      </w:r>
      <w:bookmarkEnd w:id="280"/>
    </w:p>
    <w:p>
      <w:pPr>
        <w:pStyle w:val="Heading3"/>
        <w:numPr>
          <w:ilvl w:val="2"/>
          <w:numId w:val="1"/>
        </w:numPr>
        <w:rPr/>
      </w:pPr>
      <w:bookmarkStart w:id="281" w:name="__RefHeading___Toc4066983_3224264995"/>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ملاّ حبیب اللّه بن علی مدد الکاشانی 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جبّار کاظم</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83" w:name="__RefHeading___Toc4066985_3224264995"/>
      <w:bookmarkStart w:id="284" w:name="_Toc106"/>
      <w:bookmarkEnd w:id="283"/>
      <w:r>
        <w:rPr>
          <w:rtl w:val="true"/>
        </w:rPr>
        <w:t>المقدّمة</w:t>
      </w:r>
      <w:bookmarkEnd w:id="284"/>
    </w:p>
    <w:p>
      <w:pPr>
        <w:pStyle w:val="Heading4"/>
        <w:numPr>
          <w:ilvl w:val="3"/>
          <w:numId w:val="1"/>
        </w:numPr>
        <w:rPr/>
      </w:pPr>
      <w:bookmarkStart w:id="285" w:name="__RefHeading___Toc4066987_3224264995"/>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الحمد للّه الذی خلق الإنسان،علّمه البیان،و الصلاة و السلام علی محمد المصطفی، و آله الطاهرین،ترجمان القرآن،و الکلمات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قدر لهذه الإنسانیة،أن تفصح عن معانیها،و تکشف عن سرائرها،و تعرب عن مکامن قلوبها و تتحاور بین نسیج نوعها،بأسالیب و وسائل متعددة،بأصوات اتخذت مکانة فی المعنی،و بألفاظ ارتبطت بالدلالة،و استودعت بالاعتبار فی الأذهان؛للأداء و التفاهم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حقّ لها أن تصوّرت بالوجود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تجسّمت بالهجاء العربی،کما هی عبر الأثیر فی مبادئها بالوجود السّمعی،فتنال إعجاب العلماء،و تحظی باهتمام الأدباء؛فکان علم الخطّ و تصویره بالألف باء،و رسم الإملاء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طاب لنا أن نخرج هذه الرسالة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فنعمل علی تحقیقها،و توثیق أصولها و فصولها فی منهج قام علی قسمین</w:t>
      </w:r>
      <w:r>
        <w:rPr>
          <w:rFonts w:eastAsia="IRNazanin" w:cs="IRNazanin"/>
          <w:color w:val="111111"/>
          <w:sz w:val="28"/>
          <w:szCs w:val="28"/>
          <w:rtl w:val="true"/>
          <w:lang w:bidi="fa-IR"/>
        </w:rPr>
        <w:t xml:space="preserve">: </w:t>
      </w:r>
      <w:bookmarkStart w:id="287" w:name="pg12937_139248"/>
    </w:p>
    <w:p>
      <w:pPr>
        <w:pStyle w:val="BookText"/>
        <w:rPr/>
      </w:pPr>
      <w:bookmarkEnd w:id="287"/>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الرسالة فی فقرتین،الأولی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سرنا فیها مع حیاة المؤلّف فی اختصار،و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الرسالة نفسها دراسة،و وصفا،و بناء،و منهجا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الآخر،فقد کان فی متن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،إخراجا،و تدقیقا،و توثیقا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آملین أن نکون قد حقّقنا و لو جزءا یسیرا؛خدمة للغة القرآن الکریم،و نفعنا به مریدی عصمة القلم من الخطأ،و ارادة التقویم،و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Heading4"/>
        <w:numPr>
          <w:ilvl w:val="3"/>
          <w:numId w:val="1"/>
        </w:numPr>
        <w:rPr/>
      </w:pPr>
      <w:bookmarkStart w:id="288" w:name="__RefHeading___Toc4066989_3224264995"/>
      <w:bookmarkStart w:id="289" w:name="_Toc108"/>
      <w:bookmarkEnd w:id="288"/>
      <w:r>
        <w:rPr>
          <w:rtl w:val="true"/>
        </w:rPr>
        <w:t>الفقرة الأولی</w:t>
      </w:r>
      <w:r>
        <w:rPr>
          <w:rtl w:val="true"/>
        </w:rPr>
        <w:t>:</w:t>
      </w:r>
      <w:bookmarkEnd w:id="289"/>
    </w:p>
    <w:p>
      <w:pPr>
        <w:pStyle w:val="Heading5"/>
        <w:numPr>
          <w:ilvl w:val="4"/>
          <w:numId w:val="1"/>
        </w:numPr>
        <w:rPr/>
      </w:pPr>
      <w:bookmarkStart w:id="290" w:name="__RefHeading___Toc4066991_3224264995"/>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ملا حبیب اللّه بن علی مدد الکاشانی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92" w:name="__RefHeading___Toc4066993_3224264995"/>
      <w:bookmarkStart w:id="293" w:name="_Toc110"/>
      <w:bookmarkEnd w:id="292"/>
      <w:r>
        <w:rPr>
          <w:rtl w:val="true"/>
        </w:rPr>
        <w:t xml:space="preserve">اسمه و لقبه الشریف </w:t>
      </w:r>
      <w:r>
        <w:rPr>
          <w:rtl w:val="true"/>
        </w:rPr>
        <w:t>:</w:t>
      </w:r>
      <w:bookmarkEnd w:id="29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آیة اللّه المحقّق العلاّمة الملاّ حبیب اللّه الشریف بن الملاّ علی مدد بن رمضان الساوجی الأصل،الکاشانی </w:t>
      </w:r>
      <w:r>
        <w:rPr>
          <w:rStyle w:val="FootnoteAnchor"/>
          <w:rtl w:val="true"/>
        </w:rPr>
        <w:footnoteReference w:id="714"/>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bookmarkStart w:id="294" w:name="pg12937_139249"/>
    </w:p>
    <w:p>
      <w:pPr>
        <w:pStyle w:val="Heading5"/>
        <w:numPr>
          <w:ilvl w:val="4"/>
          <w:numId w:val="1"/>
        </w:numPr>
        <w:rPr/>
      </w:pPr>
      <w:bookmarkStart w:id="295" w:name="__RefHeading___Toc4066995_3224264995"/>
      <w:bookmarkStart w:id="296" w:name="_Toc111"/>
      <w:bookmarkEnd w:id="294"/>
      <w:bookmarkEnd w:id="295"/>
      <w:r>
        <w:rPr>
          <w:rtl w:val="true"/>
        </w:rPr>
        <w:t>مولده و نشأته</w:t>
      </w:r>
      <w:r>
        <w:rPr>
          <w:rtl w:val="true"/>
        </w:rPr>
        <w:t>:</w:t>
      </w:r>
      <w:bookmarkEnd w:id="296"/>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کاشان فی حدود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تحقیقه، إذ ذکر أنّه لم یتبین تأریخ مولده من مکتوب من والده،و إنّما ذکرت له والدته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ولادته کانت قبل وفاة الغازی محمد شاه القاجار المتوفّی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الأعلام،له مؤلّفات عدّة فی الفقه و أصوله،من أهل ساوة،رحل إلی قزوین،و أصفهان للدراسة،ثمّ إلی کاشان،فسکنها،و تزوّج فیها،فولد له نجله الشریف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الخامسة من العمر بعث أکابر أهل ساوة فی طلب أبیه؛لمکانته العلمیّة؛فی تولّی شؤونهم الدینیة،و أمور الفتیا؛فعاد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المؤلّف فی کاشان یتنقّل فیها علی نخبة من الشیوخ،بکفالة أمّه،و رعایة الفقیه الحاجّ السیّد محمّد حسین الکاشانی </w:t>
      </w:r>
      <w:r>
        <w:rPr>
          <w:rStyle w:val="FootnoteAnchor"/>
          <w:rtl w:val="true"/>
        </w:rPr>
        <w:footnoteReference w:id="715"/>
      </w:r>
      <w:r>
        <w:rPr>
          <w:rFonts w:ascii="IRNazanin" w:hAnsi="IRNazanin" w:eastAsia="IRNazanin"/>
          <w:color w:val="111111"/>
          <w:sz w:val="28"/>
          <w:sz w:val="28"/>
          <w:szCs w:val="28"/>
          <w:rtl w:val="true"/>
          <w:lang w:bidi="fa-IR"/>
        </w:rPr>
        <w:t>الذی کان أبرّ به،و أعطف علیه من أبیه،کما قال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والده فی مدینة ساوة سنة</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 فی ربیع التاسعة من عمره، فی شغف التحصیل،و شوق الدرس؛بتشویق السیّد محمّد حسین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سافر إلی طهران و هو فی سنّ التاسعة عشرة من العمر؛لمواصلة الدرس،و متابعة التحصیل،و من ثم هاجر إلی العراق سنة</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؛لزیارة العتبات المقدّسة؛و لإدراک الشیخ المرتضی للاستفادة،فما أن وصل إلی کربلاء،حتّی نعی له وفاة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،فتوقّف،ثم ذهب إلی النجف الأشرف،و لم یحضر مجلسا من مجالس الدرس؛لتعطیلها؛بموت 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،فطفق راجعا إلی کاشان،ثم هاجر إلی گلپایگان،للتزوّد من أستاذه التقی الملاّ زین العابدین،الذی </w:t>
      </w:r>
      <w:bookmarkStart w:id="297" w:name="pg12937_139250"/>
    </w:p>
    <w:p>
      <w:pPr>
        <w:pStyle w:val="BookText"/>
        <w:rPr/>
      </w:pPr>
      <w:bookmarkEnd w:id="297"/>
      <w:r>
        <w:rPr>
          <w:rFonts w:ascii="IRNazanin" w:hAnsi="IRNazanin" w:eastAsia="IRNazanin"/>
          <w:color w:val="111111"/>
          <w:sz w:val="28"/>
          <w:sz w:val="28"/>
          <w:szCs w:val="28"/>
          <w:rtl w:val="true"/>
          <w:lang w:bidi="fa-IR"/>
        </w:rPr>
        <w:t xml:space="preserve">تأسّی بسیرته،و التزم بوصیّته،و سار علی طریقته فی الدرس و التهذیب و التألیف فی العلوم بأنواعها،و الفنون أشتاتها،عند ما عاد إلی کاشان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4066997_3224264995"/>
      <w:bookmarkStart w:id="299" w:name="_Toc112"/>
      <w:bookmarkEnd w:id="298"/>
      <w:r>
        <w:rPr>
          <w:rtl w:val="true"/>
        </w:rPr>
        <w:t>حیاته العلمیة</w:t>
      </w:r>
      <w:r>
        <w:rPr>
          <w:rtl w:val="true"/>
        </w:rPr>
        <w:t>:</w:t>
      </w:r>
      <w:bookmarkEnd w:id="299"/>
    </w:p>
    <w:p>
      <w:pPr>
        <w:pStyle w:val="BookText"/>
        <w:rPr/>
      </w:pPr>
      <w:r>
        <w:rPr>
          <w:rFonts w:ascii="IRNazanin" w:hAnsi="IRNazanin" w:eastAsia="IRNazanin"/>
          <w:color w:val="111111"/>
          <w:sz w:val="28"/>
          <w:sz w:val="28"/>
          <w:szCs w:val="28"/>
          <w:rtl w:val="true"/>
          <w:lang w:bidi="fa-IR"/>
        </w:rPr>
        <w:t xml:space="preserve">عکف المؤلّف منذ نعومة أظفاره علی الدرس،و السعی الحثیث لطلب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مرّت بنا أسفاره و تنقّلاته فی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،مقبلا علی شأنه،صارفا عنان نفسه عن جمع الأموال مع فقده لها و کثرة العیال،غیر مدّخر وسعا فی البحث و التدریس،و لا صارفا عمرا فیما صرفه البطّالون،و اللاهون الغافلون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4066999_3224264995"/>
      <w:bookmarkStart w:id="301" w:name="_Toc113"/>
      <w:bookmarkEnd w:id="300"/>
      <w:r>
        <w:rPr>
          <w:rtl w:val="true"/>
        </w:rPr>
        <w:t>أخلاقه و أوصافه</w:t>
      </w:r>
      <w:r>
        <w:rPr>
          <w:rtl w:val="true"/>
        </w:rPr>
        <w:t>:</w:t>
      </w:r>
      <w:bookmarkEnd w:id="301"/>
    </w:p>
    <w:p>
      <w:pPr>
        <w:pStyle w:val="BookText"/>
        <w:rPr/>
      </w:pPr>
      <w:r>
        <w:rPr>
          <w:rFonts w:ascii="IRNazanin" w:hAnsi="IRNazanin" w:eastAsia="IRNazanin"/>
          <w:color w:val="111111"/>
          <w:sz w:val="28"/>
          <w:sz w:val="28"/>
          <w:szCs w:val="28"/>
          <w:rtl w:val="true"/>
          <w:lang w:bidi="fa-IR"/>
        </w:rPr>
        <w:t>و هو علی کلّ ذلک،کان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 الذکر و التلاوة،کثیر التهجد و العبادة،محبّا للاعتزال،متجنّبا عن المراء و الجدال،و عن غیر شأنه من الجواب و السؤال،إلا فی مسائل الحرام و الحلال،معرضا عن الحقد و الحسد و الطمع و طول الآمال،صابرا علی البأساء و الضراء،و شدائد الأحوال،غیر جازع من الضیق،و الفاقة، و عدم المال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یدلّک علی ذلک فی أبسطه کثرة مؤلّفاته،و آثاره العلمیة</w:t>
      </w:r>
      <w:r>
        <w:rPr>
          <w:rFonts w:eastAsia="IRNazanin" w:cs="IRNazanin"/>
          <w:color w:val="111111"/>
          <w:sz w:val="28"/>
          <w:szCs w:val="28"/>
          <w:rtl w:val="true"/>
          <w:lang w:bidi="fa-IR"/>
        </w:rPr>
        <w:t>.</w:t>
      </w:r>
    </w:p>
    <w:p>
      <w:pPr>
        <w:pStyle w:val="Heading5"/>
        <w:numPr>
          <w:ilvl w:val="4"/>
          <w:numId w:val="1"/>
        </w:numPr>
        <w:rPr/>
      </w:pPr>
      <w:bookmarkStart w:id="302" w:name="__RefHeading___Toc4067001_3224264995"/>
      <w:bookmarkStart w:id="303" w:name="_Toc114"/>
      <w:bookmarkEnd w:id="302"/>
      <w:r>
        <w:rPr>
          <w:rtl w:val="true"/>
        </w:rPr>
        <w:t>شیوخه</w:t>
      </w:r>
      <w:r>
        <w:rPr>
          <w:rtl w:val="true"/>
        </w:rPr>
        <w:t>:</w:t>
      </w:r>
      <w:bookmarkEnd w:id="303"/>
    </w:p>
    <w:p>
      <w:pPr>
        <w:pStyle w:val="BookText"/>
        <w:rPr/>
      </w:pPr>
      <w:r>
        <w:rPr>
          <w:rFonts w:ascii="IRNazanin" w:hAnsi="IRNazanin" w:eastAsia="IRNazanin"/>
          <w:color w:val="111111"/>
          <w:sz w:val="28"/>
          <w:sz w:val="28"/>
          <w:szCs w:val="28"/>
          <w:rtl w:val="true"/>
          <w:lang w:bidi="fa-IR"/>
        </w:rPr>
        <w:t>تتلمذ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عدد من العلماء الکرام،فی مقدّمات الدرس، و مراحل البحث المتقدّمة فی الفقه و الأصول،منهم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القاسم الکلانتری الطهرانی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حسین الفاضل الأردکانی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زین العابدین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الأصفهانی،ابن أخت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الأصفهانی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الأندرمانی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حسین بن محمد علی بن رضا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أجازه بالروایة،و هو فی عمر السّادسة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هادی المدرّس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الثامنة عشرة أجازه السیّد محمد حسین،المذکور،الإجازة التی نصّها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العالمین،و صلّی اللّه علی خیر خلقه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بعد،فإن ولدی الروحانی،العالم الربّانی،و العامل الصمدانی،النحریر الفاضل، الفقیه الکامل،الموفق المسدد،المؤید بتأیید اللّه الصمد،حبیب اللّه بن المرحوم المغفور علاّمة زمانه 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معی فی کثیر من أوقات البحث و الخوض فی العلوم،و قد قرأ علیّ کثیرا من علم الأصول و الفقه،و سمع منّی کثیرا من المطالب المتعلّقة بعلم الکلام و المعارف الدینیة و 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صار بحمد اللّه و منه عالما فاضلا، و فقیها کاملا،مستجمعا لشرائط الفتوی و الإجتهاد،حائزا لمراتب العلم و العمل و العدالة و النبالة و السداد،فأجزت له أن یروی عنی عن مشائخی بأسانیدی و طرقی المرقومة فی إجازاتی المتصلة بأهل العصمة علیهم آلاف الصلاة و السلام و الثناء و التحیّة،و ألتمس منه أن یلتزم الاحتیاط فی الفتوی و العمل،و أن لا ینسانی فی أوقات الإجابة من الدعاء فی حیاتی و بعد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تحریر ذلک فی الثانی عشر من شهر ذی الحجّة الحرام سنة </w:t>
      </w:r>
      <w:r>
        <w:rPr>
          <w:rFonts w:eastAsia="IRNazanin" w:cs="IRNazanin"/>
          <w:color w:val="111111"/>
          <w:sz w:val="28"/>
          <w:szCs w:val="28"/>
          <w:lang w:bidi="fa-IR"/>
        </w:rPr>
        <w:t>1279</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بن محمد علی الحسینی</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304" w:name="pg12937_139252"/>
    </w:p>
    <w:p>
      <w:pPr>
        <w:pStyle w:val="Heading5"/>
        <w:numPr>
          <w:ilvl w:val="4"/>
          <w:numId w:val="1"/>
        </w:numPr>
        <w:rPr/>
      </w:pPr>
      <w:bookmarkStart w:id="305" w:name="__RefHeading___Toc4067003_3224264995"/>
      <w:bookmarkStart w:id="306" w:name="_Toc115"/>
      <w:bookmarkEnd w:id="304"/>
      <w:bookmarkEnd w:id="305"/>
      <w:r>
        <w:rPr>
          <w:rtl w:val="true"/>
        </w:rPr>
        <w:t>أقوال العلماء فیه</w:t>
      </w:r>
      <w:r>
        <w:rPr>
          <w:rtl w:val="true"/>
        </w:rPr>
        <w:t>:</w:t>
      </w:r>
      <w:bookmarkEnd w:id="306"/>
    </w:p>
    <w:p>
      <w:pPr>
        <w:pStyle w:val="BookText"/>
        <w:rPr/>
      </w:pPr>
      <w:r>
        <w:rPr>
          <w:rFonts w:ascii="IRNazanin" w:hAnsi="IRNazanin" w:eastAsia="IRNazanin"/>
          <w:color w:val="111111"/>
          <w:sz w:val="28"/>
          <w:sz w:val="28"/>
          <w:szCs w:val="28"/>
          <w:rtl w:val="true"/>
          <w:lang w:bidi="fa-IR"/>
        </w:rPr>
        <w:t>ترقّی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علمیة رفیعة المستوی ذائعة الصیّت،بالغة الأفق،ما جعله یحظی باهتمام العلماء و الدارسین،فقال فیه السیّد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عالم،فاضل، له عدّة مؤلّفات</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الشیخ العلاّمة 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فقیه،و رئیس جلیل،و مؤلّف مروج مکثر</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أیضا السید موسی الحسینی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فقیه،محقّق،مشارک فی عدّة علوم</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وفاته،و مدفنه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عمر ناهز الثمانین فی الدرس و التدریس و التألیف،و النتاج و العطاء،رفل المؤلّف فی الذکر الخالد الحمید،و التحق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الرفیق الأعلی فی یوم الثلاثاء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خلت من جمادی الآخرة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دفن فی المقبرة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تقع خارج بلدة کاشان،فی بقعة خاصة به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قبره مزارا یرتاده المؤمنون حتی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مخلفا وراءه تراثا علمیّا کبیرا،و ذرّیّة صالحة ینعمون فی أثواب المجد و الخیر إلی الآن</w:t>
      </w:r>
      <w:r>
        <w:rPr>
          <w:rFonts w:eastAsia="IRNazanin" w:cs="IRNazanin"/>
          <w:color w:val="111111"/>
          <w:sz w:val="28"/>
          <w:szCs w:val="28"/>
          <w:rtl w:val="true"/>
          <w:lang w:bidi="fa-IR"/>
        </w:rPr>
        <w:t>.</w:t>
      </w:r>
    </w:p>
    <w:p>
      <w:pPr>
        <w:pStyle w:val="Heading5"/>
        <w:numPr>
          <w:ilvl w:val="4"/>
          <w:numId w:val="1"/>
        </w:numPr>
        <w:rPr/>
      </w:pPr>
      <w:bookmarkStart w:id="307" w:name="__RefHeading___Toc4067005_3224264995"/>
      <w:bookmarkStart w:id="308" w:name="_Toc116"/>
      <w:bookmarkEnd w:id="307"/>
      <w:r>
        <w:rPr>
          <w:rtl w:val="true"/>
        </w:rPr>
        <w:t>آثاره</w:t>
      </w:r>
      <w:r>
        <w:rPr>
          <w:rtl w:val="true"/>
        </w:rPr>
        <w:t>:</w:t>
      </w:r>
      <w:bookmarkEnd w:id="3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علی العلم و التصنیف،و الجمع و الشرح و التألیف، فبرع فی کثیر من العلوم،و وسع فیها،و تحقّقت إجادته فی جملة من الفنون،و خبرها؛ </w:t>
      </w:r>
    </w:p>
    <w:p>
      <w:pPr>
        <w:pStyle w:val="BookText"/>
        <w:rPr/>
      </w:pPr>
      <w:r>
        <w:rPr>
          <w:rFonts w:ascii="Amiri" w:hAnsi="Amiri" w:eastAsia="Amiri" w:cs="Amiri"/>
          <w:color w:val="111111"/>
          <w:sz w:val="28"/>
          <w:sz w:val="28"/>
          <w:szCs w:val="28"/>
          <w:rtl w:val="true"/>
          <w:lang w:bidi="ar-SA"/>
        </w:rPr>
        <w:t>فبلغت مؤلّفاته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 </w:t>
      </w:r>
      <w:r>
        <w:rPr>
          <w:rStyle w:val="FootnoteAnchor"/>
          <w:rtl w:val="true"/>
        </w:rPr>
        <w:footnoteReference w:id="725"/>
      </w:r>
      <w:r>
        <w:rPr>
          <w:rFonts w:ascii="IRNazanin" w:hAnsi="IRNazanin" w:eastAsia="IRNazanin"/>
          <w:color w:val="111111"/>
          <w:sz w:val="28"/>
          <w:sz w:val="28"/>
          <w:szCs w:val="28"/>
          <w:rtl w:val="true"/>
          <w:lang w:bidi="fa-IR"/>
        </w:rPr>
        <w:t>بین کتاب و رسالة،فی العلوم العربیة،و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 و الصرف،و النحو،و البلاغة و الأدب،و تأریخ السیرة،و علوم القرآن،و الحدیث، و الکلام،و الفقه،و الأصول،و المنطق،و الأخلاق و العرفان،و غیرها من أفانین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أعدّت لذکر مؤلّفاته قوائم خاصّة بذلک،أهمّها ما أعدّه الشریف هو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الفهرس الذی ذکره فی نهایة ترجمته فی کتابه لباب الألقاب،الذی طبع مختصره فی نهایة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 المجتهدین فی حکم صلاة الجمعة و العیدین</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القائمة التی شمّر لها عن ساعده الشیخ رضا الإستادی الطهرانی التی رتّب فیها مؤلّفاته علی الحروف الهجائیة،و طبعت مع ترجمة مفصّلة عن المؤلّف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الفارسیة،العدد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فی قم،سنة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الفهرسة التی قدّمها محقّقو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الاستغناء فی تحقیق مسألة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جامعة کاشان،التی طبعت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م،إذ صنّفت فیها المؤلّفات بحسب العلوم و الموضوعات،مع ترجمة مختصرة عن حیاة المؤلّف فی تصرّف بالاعتماد الکلّی علی ترجمته لنفسه فی لباب الألقاب،و غیرها من الفهارس العامّة التی ذکرت حیاته، و الخاصّة التی تصدّی لها من عمل علی تحقیق تراثه الخالد،و قد ذکر </w:t>
      </w:r>
      <w:r>
        <w:rPr>
          <w:rStyle w:val="FootnoteAnchor"/>
          <w:rtl w:val="true"/>
        </w:rPr>
        <w:footnoteReference w:id="727"/>
      </w:r>
      <w:r>
        <w:rPr>
          <w:rFonts w:ascii="IRNazanin" w:hAnsi="IRNazanin" w:eastAsia="IRNazanin"/>
          <w:color w:val="111111"/>
          <w:sz w:val="28"/>
          <w:sz w:val="28"/>
          <w:szCs w:val="28"/>
          <w:rtl w:val="true"/>
          <w:lang w:bidi="fa-IR"/>
        </w:rPr>
        <w:t xml:space="preserve">منها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الحجّة فی المناجاة؛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السانحة فی تفسیر سورة الفاتحة؛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الریاض؛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بوارق القهر فی تفسیر سورة الدهر،مطبوع؛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السائر فی دعوات المسافر؛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الأوزان فی تعیین الموازین الشرعیة،مطبوع؛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الحوادث فی شرح زیارة وارث،مطبوع؛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جذبة الحقیقة،فی شرح دعاء کمیل؛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فی أصول الدین؛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قطر الندی؛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الجمل؛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النحو؛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الأسماء؛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المکنون فی شرح دیوان المجنون؛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اللاهوت،منظومة فی العرفان؛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 الشیاطین،فی ردّ البابیة؛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 فی علم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الحمیریّة؛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زیارة عاشوراء،مطبوع؛</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السجّادیّة؛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المناجاة الخمسة عشر؛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الرشاد فی الأخلاق؛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السحاب فی شرح الخطبة الشقشقیة؛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الألقاب،مطبوع؛</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الفکر فی علم المنطق؛</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فی تفسیر سورة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التحقیق،إن شاء اللّه تعالی؛ </w:t>
      </w:r>
      <w:bookmarkStart w:id="309" w:name="pg12937_139255"/>
    </w:p>
    <w:p>
      <w:pPr>
        <w:pStyle w:val="BookText"/>
        <w:rPr/>
      </w:pPr>
      <w:bookmarkEnd w:id="309"/>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الدجی؛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مصاعد الصلاح فی شرح دعاء الصباح؛</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الأمثال،فی أمثلة العرب؛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درّة الغوّاص فی أوهام الخواصّ للحریری؛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النحو؛</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الأصول،نظم عربی فی الدرایة؛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وفّقنا اللّه سبحانه لتحقیقه،و هو فی طریق النشر؛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المصائب؛</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الکلمات النحویة؛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الذی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کثیر،</w:t>
      </w:r>
      <w:r>
        <w:rPr>
          <w:rFonts w:eastAsia="IRNazanin" w:cs="IRNazanin"/>
          <w:color w:val="111111"/>
          <w:sz w:val="28"/>
          <w:szCs w:val="28"/>
          <w:rtl w:val="true"/>
          <w:lang w:bidi="fa-IR"/>
        </w:rPr>
        <w:t>...</w:t>
      </w:r>
    </w:p>
    <w:p>
      <w:pPr>
        <w:pStyle w:val="Heading4"/>
        <w:numPr>
          <w:ilvl w:val="3"/>
          <w:numId w:val="1"/>
        </w:numPr>
        <w:rPr/>
      </w:pPr>
      <w:bookmarkStart w:id="310" w:name="__RefHeading___Toc4067007_3224264995"/>
      <w:bookmarkStart w:id="311" w:name="_Toc117"/>
      <w:bookmarkEnd w:id="310"/>
      <w:r>
        <w:rPr>
          <w:rtl w:val="true"/>
        </w:rPr>
        <w:t>الفقرة الثانیة</w:t>
      </w:r>
      <w:r>
        <w:rPr>
          <w:rtl w:val="true"/>
        </w:rPr>
        <w:t>:</w:t>
      </w:r>
      <w:bookmarkEnd w:id="311"/>
    </w:p>
    <w:p>
      <w:pPr>
        <w:pStyle w:val="Heading5"/>
        <w:numPr>
          <w:ilvl w:val="4"/>
          <w:numId w:val="1"/>
        </w:numPr>
        <w:rPr/>
      </w:pPr>
      <w:bookmarkStart w:id="312" w:name="__RefHeading___Toc4067009_3224264995"/>
      <w:bookmarkStart w:id="313" w:name="_Toc118"/>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قسم الدراسة</w:t>
      </w:r>
    </w:p>
    <w:p>
      <w:pPr>
        <w:pStyle w:val="BookText"/>
        <w:rPr/>
      </w:pPr>
      <w:r>
        <w:rPr>
          <w:rFonts w:ascii="IRNazanin" w:hAnsi="IRNazanin" w:eastAsia="IRNazanin"/>
          <w:color w:val="111111"/>
          <w:sz w:val="28"/>
          <w:sz w:val="28"/>
          <w:szCs w:val="28"/>
          <w:rtl w:val="true"/>
          <w:lang w:bidi="fa-IR"/>
        </w:rPr>
        <w:t>الوصف العام و التفصیلی للرسالة</w:t>
      </w:r>
      <w:r>
        <w:rPr>
          <w:rFonts w:eastAsia="IRNazanin" w:cs="IRNazanin"/>
          <w:color w:val="111111"/>
          <w:sz w:val="28"/>
          <w:szCs w:val="28"/>
          <w:rtl w:val="true"/>
          <w:lang w:bidi="fa-IR"/>
        </w:rPr>
        <w:t>:</w:t>
      </w:r>
    </w:p>
    <w:p>
      <w:pPr>
        <w:pStyle w:val="Heading5"/>
        <w:numPr>
          <w:ilvl w:val="4"/>
          <w:numId w:val="1"/>
        </w:numPr>
        <w:rPr/>
      </w:pPr>
      <w:bookmarkStart w:id="314" w:name="__RefHeading___Toc4067011_3224264995"/>
      <w:bookmarkStart w:id="315" w:name="_Toc119"/>
      <w:bookmarkEnd w:id="314"/>
      <w:r>
        <w:rPr>
          <w:rtl w:val="true"/>
        </w:rPr>
        <w:t>موضوعها</w:t>
      </w:r>
      <w:r>
        <w:rPr>
          <w:rtl w:val="true"/>
        </w:rPr>
        <w:t>-</w:t>
      </w:r>
      <w:r>
        <w:rPr>
          <w:rtl w:val="true"/>
        </w:rPr>
        <w:t>بناؤها و منهجها</w:t>
      </w:r>
      <w:r>
        <w:rPr>
          <w:rtl w:val="true"/>
        </w:rPr>
        <w:t>:</w:t>
      </w:r>
      <w:bookmarkEnd w:id="315"/>
    </w:p>
    <w:p>
      <w:pPr>
        <w:pStyle w:val="BookText"/>
        <w:rPr/>
      </w:pPr>
      <w:r>
        <w:rPr>
          <w:rFonts w:ascii="IRNazanin" w:hAnsi="IRNazanin" w:eastAsia="IRNazanin"/>
          <w:color w:val="111111"/>
          <w:sz w:val="28"/>
          <w:sz w:val="28"/>
          <w:szCs w:val="28"/>
          <w:rtl w:val="true"/>
          <w:lang w:bidi="fa-IR"/>
        </w:rPr>
        <w:t>و هی عبارة عن رسالة تعلیمیة مقتضبة فی قواعد الرسم و علم الخطّ،عرض فیها حبیب اللّه الکاشانی،أهم کلیات علم الإملاء،فی تمهید،و مقدمة،و سبع فرائد،اشتملت بعضها علی فصول،ثمّ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فیهنّ أهمّ مباحث الأبواب الهجائیة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استهل حبیب اللّه الکتاب بالحمد و الصلاة علی النبی و آله،بعبارة مناسبة لموضوع </w:t>
      </w:r>
      <w:bookmarkStart w:id="316" w:name="pg12937_139256"/>
    </w:p>
    <w:p>
      <w:pPr>
        <w:pStyle w:val="BookText"/>
        <w:rPr/>
      </w:pPr>
      <w:bookmarkEnd w:id="316"/>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کالاعتیاد الذی سار علیه فی بعض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تفنّن فی التعبیر و السجع،قوله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مبدع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الإطلاق بما فی التعریف من دلالة توحی بما فی علم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أتبع ذلک الحدیث عن أهمّیة علم الهجاء؛بوصفه إحدی وسائل البیان و التعبیر عن المعنی،متمثّلا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أحد اللسانین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دوافعه فی ذلک،مقارنا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من العلوم الآلیة،العاصمة من الخطأ،کالنحو و الصرف،موضحا فائدته، معربا عن حدّه،و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وضّح منهجه العام فی الرسالة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نبیّن لک جملة ممّا یتعلّق بهذا العلم،فی هذه الرّسالة المسمّاة،ب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 فوائد،و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5"/>
        <w:numPr>
          <w:ilvl w:val="4"/>
          <w:numId w:val="1"/>
        </w:numPr>
        <w:rPr/>
      </w:pPr>
      <w:bookmarkStart w:id="317" w:name="__RefHeading___Toc4067013_3224264995"/>
      <w:bookmarkStart w:id="318" w:name="_Toc120"/>
      <w:bookmarkEnd w:id="317"/>
      <w:r>
        <w:rPr>
          <w:rtl w:val="true"/>
        </w:rPr>
        <w:t>المقدّمة</w:t>
      </w:r>
      <w:r>
        <w:rPr>
          <w:rtl w:val="true"/>
        </w:rPr>
        <w:t>:</w:t>
      </w:r>
      <w:bookmarkEnd w:id="318"/>
    </w:p>
    <w:p>
      <w:pPr>
        <w:pStyle w:val="BookText"/>
        <w:rPr/>
      </w:pPr>
      <w:r>
        <w:rPr>
          <w:rFonts w:ascii="IRNazanin" w:hAnsi="IRNazanin" w:eastAsia="IRNazanin"/>
          <w:color w:val="111111"/>
          <w:sz w:val="28"/>
          <w:sz w:val="28"/>
          <w:szCs w:val="28"/>
          <w:rtl w:val="true"/>
          <w:lang w:bidi="fa-IR"/>
        </w:rPr>
        <w:t>شرع حبیب اللّه فیها بأمر علی درجة من الأهمیّة بما یتعلّق بالجانب الأصولی و الدلالی اللغوی،و تصوّر مدارک الحقیقة و المجاز بالإشارة و النفع فی الأداء اللغوی؛ دیباجة لمبحث کتابة اللفظ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متعلّق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تصویره بصورته الخاصّة بما یشتمل علیه من الحروف الهجائیة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فیها الأصول التی ینبغی التنبیه علیها فی ما یکون من الکتابة بإرادة الاسم أم المسمّی،قال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البیّن الواضح أنّ بعض الأفعال لا یمکن تعلّقه ببعض الأمور،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یصلح لذلک بالذّات،أو بالعرض؛کأن یکون هناک منع وضعیّ،أو استعمالی؛فلذا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أمثال ذلک ممّا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المسمّی لا یکون متعلّق الکتابة،إلاّ إذا کان من قبیل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،متأثّرا فی ذلک من قریب أو بعید بغیره من شرّاح الشافیة لابن الحاجب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بعد ذکر الفوائد السبع،و هی</w:t>
      </w:r>
      <w:r>
        <w:rPr>
          <w:rFonts w:eastAsia="IRNazanin" w:cs="IRNazanin"/>
          <w:color w:val="111111"/>
          <w:sz w:val="28"/>
          <w:szCs w:val="28"/>
          <w:rtl w:val="true"/>
          <w:lang w:bidi="fa-IR"/>
        </w:rPr>
        <w:t xml:space="preserve">: </w:t>
      </w:r>
      <w:bookmarkStart w:id="319" w:name="pg12937_139257"/>
    </w:p>
    <w:p>
      <w:pPr>
        <w:pStyle w:val="Heading5"/>
        <w:numPr>
          <w:ilvl w:val="4"/>
          <w:numId w:val="1"/>
        </w:numPr>
        <w:rPr/>
      </w:pPr>
      <w:bookmarkStart w:id="320" w:name="__RefHeading___Toc4067015_3224264995"/>
      <w:bookmarkStart w:id="321" w:name="_Toc121"/>
      <w:bookmarkEnd w:id="319"/>
      <w:bookmarkEnd w:id="320"/>
      <w:r>
        <w:rPr>
          <w:rtl w:val="true"/>
        </w:rPr>
        <w:t>الفائدة الأولی</w:t>
      </w:r>
      <w:r>
        <w:rPr>
          <w:rtl w:val="true"/>
        </w:rPr>
        <w:t>:</w:t>
      </w:r>
      <w:bookmarkEnd w:id="321"/>
    </w:p>
    <w:p>
      <w:pPr>
        <w:pStyle w:val="BookText"/>
        <w:rPr/>
      </w:pPr>
      <w:r>
        <w:rPr>
          <w:rFonts w:ascii="IRNazanin" w:hAnsi="IRNazanin" w:eastAsia="IRNazanin"/>
          <w:color w:val="111111"/>
          <w:sz w:val="28"/>
          <w:sz w:val="28"/>
          <w:szCs w:val="28"/>
          <w:rtl w:val="true"/>
          <w:lang w:bidi="fa-IR"/>
        </w:rPr>
        <w:t>فی کتابة الحروف مفردة و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التّمییز بین أسماء الحروف الهجائیة و مسمّیاتها فیما ینطق أو یکتب،و متی یکون أصل ذلک،و فی المتّصل المنفصل من الحروف</w:t>
      </w:r>
      <w:r>
        <w:rPr>
          <w:rFonts w:eastAsia="IRNazanin" w:cs="IRNazanin"/>
          <w:color w:val="111111"/>
          <w:sz w:val="28"/>
          <w:szCs w:val="28"/>
          <w:rtl w:val="true"/>
          <w:lang w:bidi="fa-IR"/>
        </w:rPr>
        <w:t>.</w:t>
      </w:r>
    </w:p>
    <w:p>
      <w:pPr>
        <w:pStyle w:val="Heading5"/>
        <w:numPr>
          <w:ilvl w:val="4"/>
          <w:numId w:val="1"/>
        </w:numPr>
        <w:rPr/>
      </w:pPr>
      <w:bookmarkStart w:id="322" w:name="__RefHeading___Toc4067017_3224264995"/>
      <w:bookmarkStart w:id="323" w:name="_Toc122"/>
      <w:bookmarkEnd w:id="322"/>
      <w:r>
        <w:rPr>
          <w:rtl w:val="true"/>
        </w:rPr>
        <w:t>الفائدة الثانیة</w:t>
      </w:r>
      <w:r>
        <w:rPr>
          <w:rtl w:val="true"/>
        </w:rPr>
        <w:t>:</w:t>
      </w:r>
      <w:bookmarkEnd w:id="323"/>
    </w:p>
    <w:p>
      <w:pPr>
        <w:pStyle w:val="BookText"/>
        <w:rPr/>
      </w:pPr>
      <w:r>
        <w:rPr>
          <w:rFonts w:ascii="IRNazanin" w:hAnsi="IRNazanin" w:eastAsia="IRNazanin"/>
          <w:color w:val="111111"/>
          <w:sz w:val="28"/>
          <w:sz w:val="28"/>
          <w:szCs w:val="28"/>
          <w:rtl w:val="true"/>
          <w:lang w:bidi="fa-IR"/>
        </w:rPr>
        <w:t>فی الابتداء و الوقف علی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ذلک جوازا و عدما،فی ما تألّف منها من حرفین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أکثر؛لاستقلاله،أو ما لم یکن کذلک فی کونه علی حرف واحد؛تتمة لما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إلحاق هاء السکت،بیانا للحرکة،و إبدال التاء الاسمیة،و غیرها من المباحث التی ذکرت فی باب الوقف،کالاسم المقصور،و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الذی فیها،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التوکید الخفیفة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24" w:name="__RefHeading___Toc4067019_3224264995"/>
      <w:bookmarkStart w:id="325" w:name="_Toc123"/>
      <w:bookmarkEnd w:id="324"/>
      <w:r>
        <w:rPr>
          <w:rtl w:val="true"/>
        </w:rPr>
        <w:t>الفائدة الثالثة</w:t>
      </w:r>
      <w:r>
        <w:rPr>
          <w:rtl w:val="true"/>
        </w:rPr>
        <w:t>:</w:t>
      </w:r>
      <w:bookmarkEnd w:id="325"/>
    </w:p>
    <w:p>
      <w:pPr>
        <w:pStyle w:val="BookText"/>
        <w:rPr/>
      </w:pPr>
      <w:r>
        <w:rPr>
          <w:rFonts w:ascii="IRNazanin" w:hAnsi="IRNazanin" w:eastAsia="IRNazanin"/>
          <w:color w:val="111111"/>
          <w:sz w:val="28"/>
          <w:sz w:val="28"/>
          <w:szCs w:val="28"/>
          <w:rtl w:val="true"/>
          <w:lang w:bidi="fa-IR"/>
        </w:rPr>
        <w:t>فی کتابة الهمزة إذا کانت فی أوّل الکلمة،</w:t>
      </w:r>
    </w:p>
    <w:p>
      <w:pPr>
        <w:pStyle w:val="BookText"/>
        <w:rPr/>
      </w:pPr>
      <w:r>
        <w:rPr>
          <w:rFonts w:ascii="IRNazanin" w:hAnsi="IRNazanin" w:eastAsia="IRNazanin"/>
          <w:color w:val="111111"/>
          <w:sz w:val="28"/>
          <w:sz w:val="28"/>
          <w:szCs w:val="28"/>
          <w:rtl w:val="true"/>
          <w:lang w:bidi="fa-IR"/>
        </w:rPr>
        <w:t>أو فی وسطها،أو فی آخرها،و بیان صورتیک الکتابة علی وفق قواعدها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هذه الفائدة مشتملة علی فصل،فی کتابة الهمزة علی حروف المدّ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الألف،و الواو،و الیاء</w:t>
      </w:r>
      <w:r>
        <w:rPr>
          <w:rFonts w:eastAsia="IRNazanin" w:cs="IRNazanin"/>
          <w:color w:val="111111"/>
          <w:sz w:val="28"/>
          <w:szCs w:val="28"/>
          <w:rtl w:val="true"/>
          <w:lang w:bidi="fa-IR"/>
        </w:rPr>
        <w:t>).</w:t>
      </w:r>
    </w:p>
    <w:p>
      <w:pPr>
        <w:pStyle w:val="Heading5"/>
        <w:numPr>
          <w:ilvl w:val="4"/>
          <w:numId w:val="1"/>
        </w:numPr>
        <w:rPr/>
      </w:pPr>
      <w:bookmarkStart w:id="326" w:name="__RefHeading___Toc4067021_3224264995"/>
      <w:bookmarkStart w:id="327" w:name="_Toc124"/>
      <w:bookmarkEnd w:id="326"/>
      <w:r>
        <w:rPr>
          <w:rtl w:val="true"/>
        </w:rPr>
        <w:t>الفائدة الرابعة</w:t>
      </w:r>
      <w:r>
        <w:rPr>
          <w:rtl w:val="true"/>
        </w:rPr>
        <w:t>:</w:t>
      </w:r>
      <w:bookmarkEnd w:id="327"/>
    </w:p>
    <w:p>
      <w:pPr>
        <w:pStyle w:val="BookText"/>
        <w:rPr/>
      </w:pPr>
      <w:r>
        <w:rPr>
          <w:rFonts w:ascii="IRNazanin" w:hAnsi="IRNazanin" w:eastAsia="IRNazanin"/>
          <w:color w:val="111111"/>
          <w:sz w:val="28"/>
          <w:sz w:val="28"/>
          <w:szCs w:val="28"/>
          <w:rtl w:val="true"/>
          <w:lang w:bidi="fa-IR"/>
        </w:rPr>
        <w:t>فی وصل الکلمات و فصلها،</w:t>
      </w:r>
    </w:p>
    <w:p>
      <w:pPr>
        <w:pStyle w:val="BookText"/>
        <w:rPr/>
      </w:pPr>
      <w:r>
        <w:rPr>
          <w:rFonts w:ascii="IRNazanin" w:hAnsi="IRNazanin" w:eastAsia="IRNazanin"/>
          <w:color w:val="111111"/>
          <w:sz w:val="28"/>
          <w:sz w:val="28"/>
          <w:szCs w:val="28"/>
          <w:rtl w:val="true"/>
          <w:lang w:bidi="fa-IR"/>
        </w:rPr>
        <w:t>و بدأها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حرفیّة غیر مصدریة،و غیرها من الأسماء المتضمّنة لمعنی الشرط،أو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هذه الفائدة علی فصول؛للتناسب فی الموضوع،هی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الناصبة للفعل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أو الزائدة</w:t>
      </w:r>
      <w:r>
        <w:rPr>
          <w:rFonts w:eastAsia="IRNazanin" w:cs="IRNazanin"/>
          <w:color w:val="111111"/>
          <w:sz w:val="28"/>
          <w:szCs w:val="28"/>
          <w:rtl w:val="true"/>
          <w:lang w:bidi="fa-IR"/>
        </w:rPr>
        <w:t xml:space="preserve">. </w:t>
      </w:r>
      <w:bookmarkStart w:id="328" w:name="pg12937_139258"/>
    </w:p>
    <w:p>
      <w:pPr>
        <w:pStyle w:val="BookText"/>
        <w:rPr/>
      </w:pPr>
      <w:bookmarkEnd w:id="328"/>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 الموصلة بالظروف،فی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p>
    <w:p>
      <w:pPr>
        <w:pStyle w:val="Heading5"/>
        <w:numPr>
          <w:ilvl w:val="4"/>
          <w:numId w:val="1"/>
        </w:numPr>
        <w:rPr/>
      </w:pPr>
      <w:bookmarkStart w:id="329" w:name="__RefHeading___Toc4067023_3224264995"/>
      <w:bookmarkStart w:id="330" w:name="_Toc125"/>
      <w:bookmarkEnd w:id="329"/>
      <w:r>
        <w:rPr>
          <w:rtl w:val="true"/>
        </w:rPr>
        <w:t>الفائدة الخامسة</w:t>
      </w:r>
      <w:r>
        <w:rPr>
          <w:rtl w:val="true"/>
        </w:rPr>
        <w:t>:</w:t>
      </w:r>
      <w:bookmarkEnd w:id="330"/>
    </w:p>
    <w:p>
      <w:pPr>
        <w:pStyle w:val="BookText"/>
        <w:rPr/>
      </w:pPr>
      <w:r>
        <w:rPr>
          <w:rFonts w:ascii="IRNazanin" w:hAnsi="IRNazanin" w:eastAsia="IRNazanin"/>
          <w:color w:val="111111"/>
          <w:sz w:val="28"/>
          <w:sz w:val="28"/>
          <w:szCs w:val="28"/>
          <w:rtl w:val="true"/>
          <w:lang w:bidi="fa-IR"/>
        </w:rPr>
        <w:t>فی زیادة الحروف،</w:t>
      </w:r>
    </w:p>
    <w:p>
      <w:pPr>
        <w:pStyle w:val="BookText"/>
        <w:rPr/>
      </w:pPr>
      <w:r>
        <w:rPr>
          <w:rFonts w:ascii="IRNazanin" w:hAnsi="IRNazanin" w:eastAsia="IRNazanin"/>
          <w:color w:val="111111"/>
          <w:sz w:val="28"/>
          <w:sz w:val="28"/>
          <w:szCs w:val="28"/>
          <w:rtl w:val="true"/>
          <w:lang w:bidi="fa-IR"/>
        </w:rPr>
        <w:t>و بدأ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الفارقة،أو ألف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تزاد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الجماعة؛للفرق بینها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فیها ثلاثة فصول أیضا،کالآتی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زیادة الألف،فی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زیادة الواو،فی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زیادة الواو،فی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5"/>
        <w:numPr>
          <w:ilvl w:val="4"/>
          <w:numId w:val="1"/>
        </w:numPr>
        <w:rPr/>
      </w:pPr>
      <w:bookmarkStart w:id="331" w:name="__RefHeading___Toc4067025_3224264995"/>
      <w:bookmarkStart w:id="332" w:name="_Toc126"/>
      <w:bookmarkEnd w:id="331"/>
      <w:r>
        <w:rPr>
          <w:rtl w:val="true"/>
        </w:rPr>
        <w:t>الفائدة السادسة</w:t>
      </w:r>
      <w:r>
        <w:rPr>
          <w:rtl w:val="true"/>
        </w:rPr>
        <w:t>:</w:t>
      </w:r>
      <w:bookmarkEnd w:id="332"/>
    </w:p>
    <w:p>
      <w:pPr>
        <w:pStyle w:val="BookText"/>
        <w:rPr/>
      </w:pPr>
      <w:r>
        <w:rPr>
          <w:rFonts w:ascii="IRNazanin" w:hAnsi="IRNazanin" w:eastAsia="IRNazanin"/>
          <w:color w:val="111111"/>
          <w:sz w:val="28"/>
          <w:sz w:val="28"/>
          <w:szCs w:val="28"/>
          <w:rtl w:val="true"/>
          <w:lang w:bidi="fa-IR"/>
        </w:rPr>
        <w:t>فی نقص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جعلها فی مواضع متعدّدة،فی الأسماء،و الأفعال، و الحروف،بصورة متداخلة</w:t>
      </w:r>
      <w:r>
        <w:rPr>
          <w:rFonts w:eastAsia="IRNazanin" w:cs="IRNazanin"/>
          <w:color w:val="111111"/>
          <w:sz w:val="28"/>
          <w:szCs w:val="28"/>
          <w:rtl w:val="true"/>
          <w:lang w:bidi="fa-IR"/>
        </w:rPr>
        <w:t>.</w:t>
      </w:r>
    </w:p>
    <w:p>
      <w:pPr>
        <w:pStyle w:val="Heading5"/>
        <w:numPr>
          <w:ilvl w:val="4"/>
          <w:numId w:val="1"/>
        </w:numPr>
        <w:rPr/>
      </w:pPr>
      <w:bookmarkStart w:id="333" w:name="__RefHeading___Toc4067027_3224264995"/>
      <w:bookmarkStart w:id="334" w:name="_Toc127"/>
      <w:bookmarkEnd w:id="333"/>
      <w:r>
        <w:rPr>
          <w:rtl w:val="true"/>
        </w:rPr>
        <w:t>الفائدة السابعة</w:t>
      </w:r>
      <w:r>
        <w:rPr>
          <w:rtl w:val="true"/>
        </w:rPr>
        <w:t>:</w:t>
      </w:r>
      <w:bookmarkEnd w:id="334"/>
    </w:p>
    <w:p>
      <w:pPr>
        <w:pStyle w:val="BookText"/>
        <w:rPr/>
      </w:pPr>
      <w:r>
        <w:rPr>
          <w:rFonts w:ascii="IRNazanin" w:hAnsi="IRNazanin" w:eastAsia="IRNazanin"/>
          <w:color w:val="111111"/>
          <w:sz w:val="28"/>
          <w:sz w:val="28"/>
          <w:szCs w:val="28"/>
          <w:rtl w:val="true"/>
          <w:lang w:bidi="fa-IR"/>
        </w:rPr>
        <w:t>فی کتابة المقصور ذی الألف الرابعة،أو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 ذلک بفصل،أوجده فی أمور،هی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التّمییز ما بین الواوی و الیائی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بطائفة من الکلمات التی ثبت فیها جواز الأمرین،ب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باختصار فی ترجیع،مع بیان الأولویة فی الکتابة؛للتیسیر،قال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من الکلمات ما ثبت جواز الواویّة،و الیائیّة فی لامه،کما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نظم هذه الکلمات بعضهم،و فصّلها آخر،و التّفصیل لا یلیق بهذا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فلک أن تکتبه بالیاء،أو الألف،و لکنّ الأولی رعایة الأکثر الأشهر</w:t>
      </w:r>
      <w:r>
        <w:rPr>
          <w:rFonts w:eastAsia="IRNazanin" w:cs="IRNazanin"/>
          <w:color w:val="111111"/>
          <w:sz w:val="28"/>
          <w:szCs w:val="28"/>
          <w:rtl w:val="true"/>
          <w:lang w:bidi="fa-IR"/>
        </w:rPr>
        <w:t xml:space="preserve">». </w:t>
      </w:r>
      <w:bookmarkStart w:id="335" w:name="pg12937_139259"/>
    </w:p>
    <w:p>
      <w:pPr>
        <w:pStyle w:val="Heading4"/>
        <w:numPr>
          <w:ilvl w:val="3"/>
          <w:numId w:val="1"/>
        </w:numPr>
        <w:rPr/>
      </w:pPr>
      <w:bookmarkStart w:id="336" w:name="__RefHeading___Toc4067029_3224264995"/>
      <w:bookmarkStart w:id="337" w:name="_Toc128"/>
      <w:bookmarkEnd w:id="335"/>
      <w:bookmarkEnd w:id="336"/>
      <w:r>
        <w:rPr>
          <w:rtl w:val="true"/>
        </w:rPr>
        <w:t>أمّا الخاتمة</w:t>
      </w:r>
      <w:r>
        <w:rPr>
          <w:rtl w:val="true"/>
        </w:rPr>
        <w:t>:</w:t>
      </w:r>
      <w:bookmarkEnd w:id="337"/>
    </w:p>
    <w:p>
      <w:pPr>
        <w:pStyle w:val="Heading5"/>
        <w:numPr>
          <w:ilvl w:val="4"/>
          <w:numId w:val="1"/>
        </w:numPr>
        <w:rPr/>
      </w:pPr>
      <w:bookmarkStart w:id="338" w:name="__RefHeading___Toc4067031_3224264995"/>
      <w:bookmarkStart w:id="339" w:name="_Toc12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فقد أودعها جملة من المسائل التی یجب التنبیه علیها</w:t>
      </w:r>
    </w:p>
    <w:p>
      <w:pPr>
        <w:pStyle w:val="BookText"/>
        <w:rPr/>
      </w:pPr>
      <w:r>
        <w:rPr>
          <w:rFonts w:ascii="IRNazanin" w:hAnsi="IRNazanin" w:eastAsia="IRNazanin"/>
          <w:color w:val="111111"/>
          <w:sz w:val="28"/>
          <w:sz w:val="28"/>
          <w:szCs w:val="28"/>
          <w:rtl w:val="true"/>
          <w:lang w:bidi="fa-IR"/>
        </w:rPr>
        <w:t>،بالحفظ،و مراجعة المظان، فکانت علی مناح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بعض ما ینبغی التّنبیه علیه،و أوضح ذلک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ربّما یشتبه إملاء بعض الحروف ببعض،فی بعض الکلمات،کاشتباه الضّاد بالزّای،و الظّاء و الصّاد بالسّین،و الثّاء و الطّاء بالتّاء و الدّال؛لقرب المخرج،فیجب الرّجوع لتمییز ذلک إلی کتب اللغة،و ربّما یثبت فی کلمة جواز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الکلمات التی تکتب بالصاد أو السین،و الضاد و الضاء،مستعینا فی ذلک بمنظوم الحریری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الإحالة علی المصادر؛للاختصار الذی اتّخذه منهجا فی التألیف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الفروق بین الکلمات التی وقع الخطأ بها،و ذکر مثالا للأصل الذی عقده،قال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یجب کتابته بالطّاء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یکتب بالدّال،و هو غلط؛فإنّ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طولا،و القطّ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عرضا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تنبّه لذلک،و لأمثاله أبو محمّد القاسم بن علیّ الحریری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 فی أوهام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الزیادة عمّا أشرنا إلیه،فلیرجع إلی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التنبیه علی أمور لیست من علم الخطّ کأنواعه،و معرفة المداد،و غیرها،قال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علم الخطّ المعتنی به عند أهل الأدب،بل هو صنعة من صنائع الید،و کمال من کمالات الجوارح،و کذا ما یتعلّق بذلک من رعایة النّفس،و القلم،و المسطر،و الکاغد، و ملاحظة السّطور،و نحو ذلک ممّا ذکره بعض أهل الحدیث فی کیفیّة کتابة الأخبار المرویّة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احشرنا معهم بحقّ محمّد و آله الطاهرین</w:t>
      </w:r>
      <w:r>
        <w:rPr>
          <w:rFonts w:eastAsia="IRNazanin" w:cs="IRNazanin"/>
          <w:color w:val="111111"/>
          <w:sz w:val="28"/>
          <w:szCs w:val="28"/>
          <w:rtl w:val="true"/>
          <w:lang w:bidi="fa-IR"/>
        </w:rPr>
        <w:t>».</w:t>
      </w:r>
    </w:p>
    <w:p>
      <w:pPr>
        <w:pStyle w:val="Heading5"/>
        <w:numPr>
          <w:ilvl w:val="4"/>
          <w:numId w:val="1"/>
        </w:numPr>
        <w:rPr/>
      </w:pPr>
      <w:bookmarkStart w:id="340" w:name="__RefHeading___Toc4067033_3224264995"/>
      <w:bookmarkStart w:id="341" w:name="_Toc130"/>
      <w:bookmarkEnd w:id="340"/>
      <w:r>
        <w:rPr>
          <w:rtl w:val="true"/>
        </w:rPr>
        <w:t>مسک الختام التواضع،و التماس العذر</w:t>
      </w:r>
      <w:r>
        <w:rPr>
          <w:rtl w:val="true"/>
        </w:rPr>
        <w:t>:</w:t>
      </w:r>
      <w:bookmarkEnd w:id="34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آخر ما أردت إیراده،و أنا العبد الواثق باللّه الصّمد حبیب اللّه بن 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المسؤول ممّن ینظر فیه أن یغمض عمّا أخطأت،و یقبل عذری فیما عجّلت؛ </w:t>
      </w:r>
      <w:bookmarkStart w:id="342" w:name="pg12937_139260"/>
    </w:p>
    <w:p>
      <w:pPr>
        <w:pStyle w:val="BookText"/>
        <w:rPr/>
      </w:pPr>
      <w:bookmarkEnd w:id="342"/>
      <w:r>
        <w:rPr>
          <w:rFonts w:ascii="IRNazanin" w:hAnsi="IRNazanin" w:eastAsia="IRNazanin"/>
          <w:color w:val="111111"/>
          <w:sz w:val="28"/>
          <w:sz w:val="28"/>
          <w:szCs w:val="28"/>
          <w:rtl w:val="true"/>
          <w:lang w:bidi="fa-IR"/>
        </w:rPr>
        <w:t>مع ما أنا علیه من قلّة الأسباب،و مهاجرة الأحباب،و اختلال الحال من کلّ باب، و الحمد للّه أوّلا،و آخرا،و ظاهرا و باطنا،هو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الملامح العامّة التی بنی علیها حبیب اللّه الکاشانی الرسالة و سلک فیها منهجها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منهج اتخذه لنفسه بذوق و درایة بالموضوع فی ما یتعلّق بتقویم الید بالقلم، و اللسان باللغة،بالإضافة؛للتداخل الذی یشترکان به فی الإعراب عن المعانی بوضوح، و هو الأمر الذی یقود إلی نتیجة متوخّاة،و غایة أقصی فی الطلب،و هی العصمة فی الکتابة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حصر حبیب اللّه فی المنهج الذی اتّبعه فی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علم الخطّ،علی الرغم من ملاحظة الالتماس الکامل فی الإعتذار عن الأخطاء إن وقعت، و العجالة التی سلکت،و هو تواضع رفیع،و معرفة عمیقة عالیة من عالم کثرت شؤونه، و قلّت راحته فی دنیاه</w:t>
      </w:r>
      <w:r>
        <w:rPr>
          <w:rFonts w:eastAsia="IRNazanin" w:cs="IRNazanin"/>
          <w:color w:val="111111"/>
          <w:sz w:val="28"/>
          <w:szCs w:val="28"/>
          <w:rtl w:val="true"/>
          <w:lang w:bidi="fa-IR"/>
        </w:rPr>
        <w:t>.</w:t>
      </w:r>
    </w:p>
    <w:p>
      <w:pPr>
        <w:pStyle w:val="Heading5"/>
        <w:numPr>
          <w:ilvl w:val="4"/>
          <w:numId w:val="1"/>
        </w:numPr>
        <w:rPr/>
      </w:pPr>
      <w:bookmarkStart w:id="343" w:name="__RefHeading___Toc4067035_3224264995"/>
      <w:bookmarkStart w:id="344" w:name="_Toc131"/>
      <w:bookmarkEnd w:id="343"/>
      <w:r>
        <w:rPr>
          <w:rtl w:val="true"/>
        </w:rPr>
        <w:t>منهجیة الکتاب بالتفصیل</w:t>
      </w:r>
      <w:r>
        <w:rPr>
          <w:rtl w:val="true"/>
        </w:rPr>
        <w:t>:</w:t>
      </w:r>
      <w:bookmarkEnd w:id="344"/>
    </w:p>
    <w:p>
      <w:pPr>
        <w:pStyle w:val="BookText"/>
        <w:rPr/>
      </w:pPr>
      <w:r>
        <w:rPr>
          <w:rFonts w:ascii="IRNazanin" w:hAnsi="IRNazanin" w:eastAsia="IRNazanin"/>
          <w:color w:val="111111"/>
          <w:sz w:val="28"/>
          <w:sz w:val="28"/>
          <w:szCs w:val="28"/>
          <w:rtl w:val="true"/>
          <w:lang w:bidi="fa-IR"/>
        </w:rPr>
        <w:t>اتّخذ حبیب اللّه طریقا واضحا فی تألیف هذه الرسالة،من أوّلها إلی آخرها،و قد تجلّت عدّة ظواهر منهجیّة فی ذلک السلوک العلمی،علی الرغم من أدب الإختصار الذی اتّبعه فی التّولیف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البدء فی استقراء هذه الظواهر،لنبدأ فی الوقوف علی مراجع الکتاب و أصوله بعد بیان فصوله</w:t>
      </w:r>
      <w:r>
        <w:rPr>
          <w:rFonts w:eastAsia="IRNazanin" w:cs="IRNazanin"/>
          <w:color w:val="111111"/>
          <w:sz w:val="28"/>
          <w:szCs w:val="28"/>
          <w:rtl w:val="true"/>
          <w:lang w:bidi="fa-IR"/>
        </w:rPr>
        <w:t>.</w:t>
      </w:r>
    </w:p>
    <w:p>
      <w:pPr>
        <w:pStyle w:val="Heading5"/>
        <w:numPr>
          <w:ilvl w:val="4"/>
          <w:numId w:val="1"/>
        </w:numPr>
        <w:rPr/>
      </w:pPr>
      <w:bookmarkStart w:id="345" w:name="__RefHeading___Toc4067037_3224264995"/>
      <w:bookmarkStart w:id="346" w:name="_Toc132"/>
      <w:bookmarkEnd w:id="345"/>
      <w:r>
        <w:rPr>
          <w:rtl w:val="true"/>
        </w:rPr>
        <w:t>أصول الرسالة و مرجعیاتها</w:t>
      </w:r>
      <w:r>
        <w:rPr>
          <w:rtl w:val="true"/>
        </w:rPr>
        <w:t>:</w:t>
      </w:r>
      <w:bookmarkEnd w:id="346"/>
    </w:p>
    <w:p>
      <w:pPr>
        <w:pStyle w:val="BookText"/>
        <w:rPr/>
      </w:pPr>
      <w:r>
        <w:rPr>
          <w:rFonts w:ascii="IRNazanin" w:hAnsi="IRNazanin" w:eastAsia="IRNazanin"/>
          <w:color w:val="111111"/>
          <w:sz w:val="28"/>
          <w:sz w:val="28"/>
          <w:szCs w:val="28"/>
          <w:rtl w:val="true"/>
          <w:lang w:bidi="fa-IR"/>
        </w:rPr>
        <w:t>تباینت المراجع،و تعدّدت الأصول التی اعتمدها حبیب اللّه فی إنشاء الرسالة، و استقاء مادّته العلمیة منها،فقد نقل عن علماء اللغة و النحو و الصرف و الأدب،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الإشارة إلیهم بصریح قول،أو تلمیح،و منهم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الخلیل بن أحمد الفراهیدی،ت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47" w:name="pg12937_139261"/>
    </w:p>
    <w:p>
      <w:pPr>
        <w:pStyle w:val="BookText"/>
        <w:rPr/>
      </w:pPr>
      <w:bookmarkEnd w:id="34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بشر عمرو بن عثمان بن قنبر،سیبویه،ت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بکر بن محمد بن عثمان بن حبیب المازنی،ت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محمد بن یزید المبرّد،ت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 بن علی الحریری،ت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عبد اللّه بن محمد بن یوسف الأنصاری،ت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غیرهم بالإحالة و الرجوع بالتلمیح من غیر التصریح،منهم من شرّاح المقامات، کالشریشی،ت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اللغویین کابن السکّیت،ت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مالک النحوی، 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السیوطی،ت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48" w:name="__RefHeading___Toc4067039_3224264995"/>
      <w:bookmarkStart w:id="349" w:name="_Toc133"/>
      <w:bookmarkEnd w:id="348"/>
      <w:r>
        <w:rPr>
          <w:rtl w:val="true"/>
        </w:rPr>
        <w:t>طریقته فی عرض الموضوع</w:t>
      </w:r>
      <w:r>
        <w:rPr>
          <w:rtl w:val="true"/>
        </w:rPr>
        <w:t>:</w:t>
      </w:r>
      <w:bookmarkEnd w:id="349"/>
    </w:p>
    <w:p>
      <w:pPr>
        <w:pStyle w:val="BookText"/>
        <w:rPr/>
      </w:pPr>
      <w:r>
        <w:rPr>
          <w:rFonts w:ascii="IRNazanin" w:hAnsi="IRNazanin" w:eastAsia="IRNazanin"/>
          <w:color w:val="111111"/>
          <w:sz w:val="28"/>
          <w:sz w:val="28"/>
          <w:szCs w:val="28"/>
          <w:rtl w:val="true"/>
          <w:lang w:bidi="fa-IR"/>
        </w:rPr>
        <w:t>کانت طریقة حبیب اللّه فی عرض المادّة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تتراوح بین القیاس،و من ثمّ شرح أصول المسألة،فی ذلک القول،أو العرض المباشر مع ذکر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أحیان قد یخلص إلی نتیجة فی المحصول المتقدّم فی نهایة المطلب،و غالبا ما یختم الحدیث بالتنبیه، و شدّ ذهن المتعلم،أو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إمّا أن تصلح لأن یبتدأ بها،و یوقف علیها،أو للأوّل خاصّة،أو للثّانی کذلک،و لیس لنا ما لا یصلح لشیء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هذه الأصول یشرع بالحکم الأوّل و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إذا لم یتّصل بالهمزة ما یمنع من الوقف علیها کالضّمیر المتّصل،أو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التّأنیث،و إلاّ،فتکتب کما تکتب إذا کانت فی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هناک یأتی قوله بمزید من الإبانة،فیقول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ینظر إلیها،فإن کانت ساکنة،فتکتب بالحرف المجانس لحرکة ما قبلها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الوقف و حکمه علی الحرف الواحد،أو أکثر،قوله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الحرف الواحد؛لخفّته،مقتض للاتّصال بغیره؛لیحصل له الاستقلال بالتّبعیّة بخلاف الأکثر،فتدبّر</w:t>
      </w:r>
      <w:r>
        <w:rPr>
          <w:rFonts w:eastAsia="IRNazanin" w:cs="IRNazanin"/>
          <w:color w:val="111111"/>
          <w:sz w:val="28"/>
          <w:szCs w:val="28"/>
          <w:rtl w:val="true"/>
          <w:lang w:bidi="fa-IR"/>
        </w:rPr>
        <w:t xml:space="preserve">!». </w:t>
      </w:r>
      <w:bookmarkStart w:id="350" w:name="pg12937_139262"/>
    </w:p>
    <w:p>
      <w:pPr>
        <w:pStyle w:val="BookText"/>
        <w:rPr/>
      </w:pPr>
      <w:bookmarkEnd w:id="35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تزاد فیها الألف؛لمکان التغییر،و زوال صورة المفرد بالمرّة،فتدّبر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الأحیان یتّخذ طریقة المحاورة فی العرض،و کأن أمامه تلمیذا،علی واقع الفرض الأسلوبی فی عرض المادة،کقوله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إمکان إضافة الألف بدلا من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الغرض دفع اللبس،فکیف لا یزاد الألف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یلتبس غیر المنصوب به</w:t>
      </w:r>
      <w:r>
        <w:rPr>
          <w:rFonts w:eastAsia="IRNazanin" w:cs="IRNazanin"/>
          <w:color w:val="111111"/>
          <w:sz w:val="28"/>
          <w:szCs w:val="28"/>
          <w:rtl w:val="true"/>
          <w:lang w:bidi="fa-IR"/>
        </w:rPr>
        <w:t>».</w:t>
      </w:r>
    </w:p>
    <w:p>
      <w:pPr>
        <w:pStyle w:val="Heading5"/>
        <w:numPr>
          <w:ilvl w:val="4"/>
          <w:numId w:val="1"/>
        </w:numPr>
        <w:rPr/>
      </w:pPr>
      <w:bookmarkStart w:id="351" w:name="__RefHeading___Toc4067041_3224264995"/>
      <w:bookmarkStart w:id="352" w:name="_Toc134"/>
      <w:bookmarkEnd w:id="351"/>
      <w:r>
        <w:rPr>
          <w:rtl w:val="true"/>
        </w:rPr>
        <w:t>نقل الأقوال من العلماء</w:t>
      </w:r>
      <w:r>
        <w:rPr>
          <w:rtl w:val="true"/>
        </w:rPr>
        <w:t>:</w:t>
      </w:r>
      <w:bookmarkEnd w:id="352"/>
    </w:p>
    <w:p>
      <w:pPr>
        <w:pStyle w:val="BookText"/>
        <w:rPr/>
      </w:pPr>
      <w:r>
        <w:rPr>
          <w:rFonts w:ascii="IRNazanin" w:hAnsi="IRNazanin" w:eastAsia="IRNazanin"/>
          <w:color w:val="111111"/>
          <w:sz w:val="28"/>
          <w:sz w:val="28"/>
          <w:szCs w:val="28"/>
          <w:rtl w:val="true"/>
          <w:lang w:bidi="fa-IR"/>
        </w:rPr>
        <w:t>تقدّم أنّ الملاّ حبیب اللّه کثرت مراجعه فی التألیف،و هنا تأتی منا ملاحظة أسلوبه فی النقل عن العلماء و الکتب،کما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کنیة العلم مع کتابه فی اختصار،کما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 فی المغنی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رسمت فی المصاحب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 العلم و کنیته و لقبه کاملا مع اسم الکتاب کاملا أیضا،و الإحالة علیه،من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تنبّه لذلک،و لأمثاله أبو محمّد القاسم بن علیّ الحریری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 فی أوهام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الزیادة عمّا أشرنا إلیه،فلیرجع إلی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کنیة العلم أو لقبه من غیر مؤلفه،و قد تقدمت طائفة من الأعلام الذین نقل عنهم،و سنذکر بعضهم تحاشیا للإطالة،من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الکنایة عن الرّجل النّاقص،کنقص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بعمرو الکنایة عن المتزید الآخذ ما لیس له،کأخذ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 ذلک الحریری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ینقل عن المقامات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التلمیح بالاسم و الإشارة إلیه من خلال العمل،کقوله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نظم هذه الکلمات بعضهم،و فصّلها آخر،و التّفصیل لا یلیق بهذا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فلک أن تکتبه بالیاء،أو الألف،و لکن الأولی رعایة الأکثر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 بذلک ابن مالک النحوی،و غیره من اللغویین،و قد مضی ذکرهم</w:t>
      </w:r>
      <w:r>
        <w:rPr>
          <w:rFonts w:eastAsia="IRNazanin" w:cs="IRNazanin"/>
          <w:color w:val="111111"/>
          <w:sz w:val="28"/>
          <w:szCs w:val="28"/>
          <w:rtl w:val="true"/>
          <w:lang w:bidi="fa-IR"/>
        </w:rPr>
        <w:t xml:space="preserve">. </w:t>
      </w:r>
      <w:bookmarkStart w:id="353" w:name="pg12937_139263"/>
    </w:p>
    <w:p>
      <w:pPr>
        <w:pStyle w:val="BookText"/>
        <w:rPr/>
      </w:pPr>
      <w:bookmarkEnd w:id="353"/>
      <w:r>
        <w:rPr>
          <w:rFonts w:ascii="IRNazanin" w:hAnsi="IRNazanin" w:eastAsia="IRNazanin"/>
          <w:color w:val="111111"/>
          <w:sz w:val="28"/>
          <w:sz w:val="28"/>
          <w:szCs w:val="28"/>
          <w:rtl w:val="true"/>
          <w:lang w:bidi="fa-IR"/>
        </w:rPr>
        <w:t>و فی بعض الأحیان نجده دقیقا فی النقل،حریصا علیه،و فی أحیان أخری یتصرف فیه،و من ذلک قوله فی النقل عن ابن هشام الأنصاری المتقدم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 فی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نفسه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تصرّفه فی قول العلم فی النقطة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 فیه بعض الاختلاف،علی أنّه فی المظانّ الأخری عینه من غیر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أحیان أخری نجده یعتمد علی ما موجود فی التراث اللغوی،عند علماء العربیة،کقوله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أنّ الخلیل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تنطقون بالجیم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نطقتم بالاسم،و لم تنطقوا بالمسؤول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المنقول فی الشافیة نفسه من غیر إشارة من المؤلّف إلیه،إلا علی طریق حکایة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یکن دقیقا نفسه فی النقل عن سیبویه،فی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المراد هو المضمون فی المطلب،دون النصّ علیه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الدّاعی إلی ذلک الأسلوب دون الرجوع الیه</w:t>
      </w:r>
      <w:r>
        <w:rPr>
          <w:rFonts w:eastAsia="IRNazanin" w:cs="IRNazanin"/>
          <w:color w:val="111111"/>
          <w:sz w:val="28"/>
          <w:szCs w:val="28"/>
          <w:rtl w:val="true"/>
          <w:lang w:bidi="fa-IR"/>
        </w:rPr>
        <w:t>.</w:t>
      </w:r>
    </w:p>
    <w:p>
      <w:pPr>
        <w:pStyle w:val="Heading5"/>
        <w:numPr>
          <w:ilvl w:val="4"/>
          <w:numId w:val="1"/>
        </w:numPr>
        <w:rPr/>
      </w:pPr>
      <w:bookmarkStart w:id="354" w:name="__RefHeading___Toc4067043_3224264995"/>
      <w:bookmarkStart w:id="355" w:name="_Toc135"/>
      <w:bookmarkEnd w:id="354"/>
      <w:r>
        <w:rPr>
          <w:rtl w:val="true"/>
        </w:rPr>
        <w:t>طریقته فی عرض الخلاف</w:t>
      </w:r>
      <w:r>
        <w:rPr>
          <w:rtl w:val="true"/>
        </w:rPr>
        <w:t>:</w:t>
      </w:r>
      <w:bookmarkEnd w:id="355"/>
    </w:p>
    <w:p>
      <w:pPr>
        <w:pStyle w:val="BookText"/>
        <w:rPr/>
      </w:pPr>
      <w:r>
        <w:rPr>
          <w:rFonts w:ascii="IRNazanin" w:hAnsi="IRNazanin" w:eastAsia="IRNazanin"/>
          <w:color w:val="111111"/>
          <w:sz w:val="28"/>
          <w:sz w:val="28"/>
          <w:szCs w:val="28"/>
          <w:rtl w:val="true"/>
          <w:lang w:bidi="fa-IR"/>
        </w:rPr>
        <w:t>اعتمد حبیب اللّه علی الحکایة فی تناوله الخلاف فی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کثیر فی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الإشارة إلی المراجع تارة و عدمه تارة أخری،و فی أحیان أخری یرجّح ما اشتهر منه؛تیسیرا للمطلب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ننسی أنّ الرسالة کانت کتابا تعلیمیا فی مبادئ الإملاء کما تقدم بنا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الوقف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،للمفرد المذکّر المؤکّد بالنّون الخفیفة یکون بالألف،فیکتب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 المذکّر،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،للواحدة،فإنّها لا تکتب إلا کذلک،و إن اقتضی القیاس عود المحذوف،کما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ذکرت لوجه الخروج عن القیاس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بهذا المختصر،فلیتدبّر</w:t>
      </w:r>
      <w:r>
        <w:rPr>
          <w:rFonts w:eastAsia="IRNazanin" w:cs="IRNazanin"/>
          <w:color w:val="111111"/>
          <w:sz w:val="28"/>
          <w:szCs w:val="28"/>
          <w:rtl w:val="true"/>
          <w:lang w:bidi="fa-IR"/>
        </w:rPr>
        <w:t xml:space="preserve">!». </w:t>
      </w:r>
      <w:bookmarkStart w:id="356" w:name="pg12937_139264"/>
    </w:p>
    <w:p>
      <w:pPr>
        <w:pStyle w:val="BookText"/>
        <w:rPr/>
      </w:pPr>
      <w:bookmarkEnd w:id="35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،خلاف،و لکنّ المشهور الوقف علیها بالألف؛تشبیها لها بالمنوّن المنصوب،</w:t>
      </w:r>
      <w:r>
        <w:rPr>
          <w:rFonts w:eastAsia="IRNazanin" w:cs="IRNazanin"/>
          <w:color w:val="111111"/>
          <w:sz w:val="28"/>
          <w:szCs w:val="28"/>
          <w:rtl w:val="true"/>
          <w:lang w:bidi="fa-IR"/>
        </w:rPr>
        <w:t>..».</w:t>
      </w:r>
    </w:p>
    <w:p>
      <w:pPr>
        <w:pStyle w:val="Heading5"/>
        <w:numPr>
          <w:ilvl w:val="4"/>
          <w:numId w:val="1"/>
        </w:numPr>
        <w:rPr/>
      </w:pPr>
      <w:bookmarkStart w:id="357" w:name="__RefHeading___Toc4067045_3224264995"/>
      <w:bookmarkStart w:id="358" w:name="_Toc136"/>
      <w:bookmarkEnd w:id="357"/>
      <w:r>
        <w:rPr>
          <w:rtl w:val="true"/>
        </w:rPr>
        <w:t>طریقته فی ضبط المادة</w:t>
      </w:r>
      <w:r>
        <w:rPr>
          <w:rtl w:val="true"/>
        </w:rPr>
        <w:t>:</w:t>
      </w:r>
      <w:bookmarkEnd w:id="358"/>
    </w:p>
    <w:p>
      <w:pPr>
        <w:pStyle w:val="BookText"/>
        <w:rPr/>
      </w:pPr>
      <w:r>
        <w:rPr>
          <w:rFonts w:ascii="IRNazanin" w:hAnsi="IRNazanin" w:eastAsia="IRNazanin"/>
          <w:color w:val="111111"/>
          <w:sz w:val="28"/>
          <w:sz w:val="28"/>
          <w:szCs w:val="28"/>
          <w:rtl w:val="true"/>
          <w:lang w:bidi="fa-IR"/>
        </w:rPr>
        <w:t>سلک المؤلّف مسالک متعدّدة فی ضبط المادّة التی یبغی الحدیث عنها فی التوثیق و الضبط الحرفی؛فی بناء قواعد الإملاء علیها،کما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یزاد فی آخر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للفرق بینه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الأوّل،و فتح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بالتصریف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 یقوت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الفاعل بمنزلة الجزء من الفعل،فهما بمنزلة کلمة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بتثنیة الاسم أو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جنس الکلمة الصرفیة،کما فی قوله فی النقطتین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 لئلا یلتبس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التثنیة،فإنّها ممّا یردّ الصّیغة إلی أصلها،کما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الجمع،فإنّه کذلک،کما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الدّالّ علی المرّة،کما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الدّالّ علی النّوع،کما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أوّلهما</w:t>
      </w:r>
      <w:r>
        <w:rPr>
          <w:rFonts w:eastAsia="IRNazanin" w:cs="IRNazanin"/>
          <w:color w:val="111111"/>
          <w:sz w:val="28"/>
          <w:szCs w:val="28"/>
          <w:rtl w:val="true"/>
          <w:lang w:bidi="fa-IR"/>
        </w:rPr>
        <w:t>».</w:t>
      </w:r>
    </w:p>
    <w:p>
      <w:pPr>
        <w:pStyle w:val="Heading5"/>
        <w:numPr>
          <w:ilvl w:val="4"/>
          <w:numId w:val="1"/>
        </w:numPr>
        <w:rPr/>
      </w:pPr>
      <w:bookmarkStart w:id="359" w:name="__RefHeading___Toc4067047_3224264995"/>
      <w:bookmarkStart w:id="360" w:name="_Toc137"/>
      <w:bookmarkEnd w:id="359"/>
      <w:r>
        <w:rPr>
          <w:rtl w:val="true"/>
        </w:rPr>
        <w:t>طریقته فی الاستشهاد</w:t>
      </w:r>
      <w:r>
        <w:rPr>
          <w:rtl w:val="true"/>
        </w:rPr>
        <w:t>:</w:t>
      </w:r>
      <w:bookmarkEnd w:id="360"/>
    </w:p>
    <w:p>
      <w:pPr>
        <w:pStyle w:val="BookText"/>
        <w:rPr/>
      </w:pPr>
      <w:r>
        <w:rPr>
          <w:rFonts w:ascii="IRNazanin" w:hAnsi="IRNazanin" w:eastAsia="IRNazanin"/>
          <w:color w:val="111111"/>
          <w:sz w:val="28"/>
          <w:sz w:val="28"/>
          <w:szCs w:val="28"/>
          <w:rtl w:val="true"/>
          <w:lang w:bidi="fa-IR"/>
        </w:rPr>
        <w:t>لا یخفی ما للشاهد من أهمیة فی تعضید القواعد،و دعم المبادئ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للشاهد القرآنی و الشعری نصیب من اهتمام الرسالة،فقد بلغ القرآنی منه فی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آیات،عدا البسلمة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مجموع الشواهد الشعریة فی تحقیق الفوائد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شواهد،إلا نظم الحریری الذی بلغ</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و ثلاثین بیتا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طریقة حبیب اللّه فی الاستشهاد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المنهج الذی اتّخذ و السبیل </w:t>
      </w:r>
    </w:p>
    <w:p>
      <w:pPr>
        <w:pStyle w:val="BookText"/>
        <w:rPr/>
      </w:pPr>
      <w:r>
        <w:rPr>
          <w:rFonts w:ascii="IRNazanin" w:hAnsi="IRNazanin" w:eastAsia="IRNazanin"/>
          <w:color w:val="111111"/>
          <w:sz w:val="28"/>
          <w:sz w:val="28"/>
          <w:szCs w:val="28"/>
          <w:rtl w:val="true"/>
          <w:lang w:bidi="fa-IR"/>
        </w:rPr>
        <w:t>الذی طغی علی عموم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یورد فی الشاهد القرآنی ما اقتضاه الشاهد حسب،آیة کاملة لاختصارها،أو جزء آیة،و فی بعض التسمیة فقط؛للعلم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ممّا کان أوّله همزة وصل بعد همزة الاستفهام،کما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أَصْطَفَی الْبَنٰاتِ عَلَی الْبَنِینَ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البسملة؛لمکان کثرة الاستعمال،فلذا لم ینقص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رَبِّکَ </w:t>
      </w:r>
      <w:r>
        <w:rPr>
          <w:rStyle w:val="FootnoteAnchor"/>
          <w:rtl w:val="true"/>
        </w:rPr>
        <w:footnoteReference w:id="730"/>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إن لم یکونا فی البسملة؛لما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w:t>
      </w:r>
      <w:r>
        <w:rPr>
          <w:rStyle w:val="FootnoteAnchor"/>
          <w:rtl w:val="true"/>
        </w:rPr>
        <w:footnoteReference w:id="7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w:t>
      </w:r>
      <w:r>
        <w:rPr>
          <w:rStyle w:val="FootnoteAnchor"/>
          <w:rtl w:val="true"/>
        </w:rPr>
        <w:footnoteReference w:id="732"/>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زائدة؛فهی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النّاصبة للفعل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النّافیة،أو الزّائدة،کما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w:t>
      </w:r>
      <w:r>
        <w:rPr>
          <w:rStyle w:val="FootnoteAnchor"/>
          <w:rtl w:val="true"/>
        </w:rPr>
        <w:footnoteReference w:id="7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الرّسوم فی المصاحف الجدیدةهکذا،بالنّون،کما هو قول المازنی،و المبرّد،تشبیها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یفرّق بین ما إذا عملت،فبالألف،و ما إذا لم تعمل،فبالنّون؛فرقا بینها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نجد المفارقة فی التوثیق و الاستشهاد إذ أنّ النصّ القرآنی 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النون فی المصحف الشریف،و ما ذهب إلیه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المازنی،و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ذکر حبیب اللّه هو ما علیه الاتّفاق فی نصّ القرآن لیس غیر ذلک</w:t>
      </w:r>
      <w:r>
        <w:rPr>
          <w:rFonts w:eastAsia="IRNazanin" w:cs="IRNazanin"/>
          <w:color w:val="111111"/>
          <w:sz w:val="28"/>
          <w:szCs w:val="28"/>
          <w:rtl w:val="true"/>
          <w:lang w:bidi="fa-IR"/>
        </w:rPr>
        <w:t xml:space="preserve">. </w:t>
      </w:r>
      <w:bookmarkStart w:id="361" w:name="pg12937_139266"/>
    </w:p>
    <w:p>
      <w:pPr>
        <w:pStyle w:val="Heading5"/>
        <w:numPr>
          <w:ilvl w:val="4"/>
          <w:numId w:val="1"/>
        </w:numPr>
        <w:rPr/>
      </w:pPr>
      <w:bookmarkStart w:id="362" w:name="__RefHeading___Toc4067049_3224264995"/>
      <w:bookmarkStart w:id="363" w:name="_Toc138"/>
      <w:bookmarkEnd w:id="361"/>
      <w:bookmarkEnd w:id="362"/>
      <w:r>
        <w:rPr>
          <w:rtl w:val="true"/>
        </w:rPr>
        <w:t>القراءات القرآنیة</w:t>
      </w:r>
      <w:r>
        <w:rPr>
          <w:rtl w:val="true"/>
        </w:rPr>
        <w:t>:</w:t>
      </w:r>
      <w:bookmarkEnd w:id="363"/>
    </w:p>
    <w:p>
      <w:pPr>
        <w:pStyle w:val="BookText"/>
        <w:rPr/>
      </w:pPr>
      <w:r>
        <w:rPr>
          <w:rFonts w:ascii="IRNazanin" w:hAnsi="IRNazanin" w:eastAsia="IRNazanin"/>
          <w:color w:val="111111"/>
          <w:sz w:val="28"/>
          <w:sz w:val="28"/>
          <w:szCs w:val="28"/>
          <w:rtl w:val="true"/>
          <w:lang w:bidi="fa-IR"/>
        </w:rPr>
        <w:t>و نجد فی الرسالة أیضا اهتماما من المؤلّف بالقراءات القرآنیة،التی تدخل فی موضوع المسائل الإملائیة،فنلحظه یورد القراءة بالاعتماد علی مراجعها فی الأمور التی تتعلق بذلک،من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یصحّ لو قلنا بالبناء حینئذ،و أمّا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 لمّا 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خِزْیِ یَوْمِئِذٍ </w:t>
      </w:r>
      <w:r>
        <w:rPr>
          <w:rStyle w:val="FootnoteAnchor"/>
          <w:rtl w:val="true"/>
        </w:rPr>
        <w:footnoteReference w:id="735"/>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فلا،إلاّ أنّ المشهور البناء؛و لذا تکتب الهمزة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بصورة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w:t>
      </w:r>
      <w:r>
        <w:rPr>
          <w:rStyle w:val="FootnoteAnchor"/>
          <w:rtl w:val="true"/>
        </w:rPr>
        <w:footnoteReference w:id="73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یقرأ،کذلک فی الوصل أیضا؛دفعا لالتباسه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w:t>
      </w:r>
      <w:r>
        <w:rPr>
          <w:rFonts w:eastAsia="IRNazanin" w:cs="IRNazanin"/>
          <w:color w:val="111111"/>
          <w:sz w:val="28"/>
          <w:szCs w:val="28"/>
          <w:rtl w:val="true"/>
          <w:lang w:bidi="fa-IR"/>
        </w:rPr>
        <w:t>..».</w:t>
      </w:r>
    </w:p>
    <w:p>
      <w:pPr>
        <w:pStyle w:val="Heading5"/>
        <w:numPr>
          <w:ilvl w:val="4"/>
          <w:numId w:val="1"/>
        </w:numPr>
        <w:rPr/>
      </w:pPr>
      <w:bookmarkStart w:id="364" w:name="__RefHeading___Toc4067051_3224264995"/>
      <w:bookmarkStart w:id="365" w:name="_Toc139"/>
      <w:bookmarkEnd w:id="364"/>
      <w:r>
        <w:rPr>
          <w:rtl w:val="true"/>
        </w:rPr>
        <w:t>الشاهد الشعری</w:t>
      </w:r>
      <w:r>
        <w:rPr>
          <w:rtl w:val="true"/>
        </w:rPr>
        <w:t>:</w:t>
      </w:r>
      <w:bookmarkEnd w:id="365"/>
    </w:p>
    <w:p>
      <w:pPr>
        <w:pStyle w:val="BookText"/>
        <w:rPr/>
      </w:pPr>
      <w:r>
        <w:rPr>
          <w:rFonts w:ascii="IRNazanin" w:hAnsi="IRNazanin" w:eastAsia="IRNazanin"/>
          <w:color w:val="111111"/>
          <w:sz w:val="28"/>
          <w:sz w:val="28"/>
          <w:szCs w:val="28"/>
          <w:rtl w:val="true"/>
          <w:lang w:bidi="fa-IR"/>
        </w:rPr>
        <w:t>أمّا الشاهد الشعری،فقد کان یذکر البیت کاملا،و شطر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أو 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أو جزء شطر،مع ذکر اسم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أحیان بالتصریح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بعدمه،کقوله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إلتزموا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تبنا،و ماء باردا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لمّا أن عرفت وجوهنا</w:t>
      </w:r>
    </w:p>
    <w:p>
      <w:pPr>
        <w:pStyle w:val="BookText"/>
        <w:rPr/>
      </w:pPr>
      <w:r>
        <w:rPr>
          <w:rFonts w:ascii="IRNazanin" w:hAnsi="IRNazanin" w:eastAsia="IRNazanin"/>
          <w:color w:val="111111"/>
          <w:sz w:val="28"/>
          <w:sz w:val="28"/>
          <w:szCs w:val="28"/>
          <w:rtl w:val="true"/>
          <w:lang w:bidi="fa-IR"/>
        </w:rPr>
        <w:t>صددت و طبت النّفس یا قیس عن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جزء بیت من دون ذکر أی اسم،من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؛لکونها بمعناها،و لکنّها إذا دخلت علی الضّمیر،فبالألف </w:t>
      </w:r>
      <w:r>
        <w:rPr>
          <w:rStyle w:val="FootnoteAnchor"/>
          <w:rtl w:val="true"/>
        </w:rPr>
        <w:footnoteReference w:id="737"/>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حتّاک یا ابن أبی زیاد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6" w:name="pg12937_139267"/>
    </w:p>
    <w:p>
      <w:pPr>
        <w:pStyle w:val="BookText"/>
        <w:rPr/>
      </w:pPr>
      <w:bookmarkEnd w:id="366"/>
      <w:r>
        <w:rPr>
          <w:rFonts w:ascii="IRNazanin" w:hAnsi="IRNazanin" w:eastAsia="IRNazanin"/>
          <w:color w:val="111111"/>
          <w:sz w:val="28"/>
          <w:sz w:val="28"/>
          <w:szCs w:val="28"/>
          <w:rtl w:val="true"/>
          <w:lang w:bidi="fa-IR"/>
        </w:rPr>
        <w:t>و الملاحظ أنّ الشواهد الشعریة التی تمثل بها المؤلّف هو أن بعضها شواهد فی غیر أبوابها المعقودة فی الفوائد؛لما تحویه من أدلة قد عرضها النحویون فی الأبواب الأخری، لکن حذق المؤلّف و استیعابه لجذور العلم،و کثرة اطلاعه،یجعله قادرا علی التمثل و الاستشهاد فی غیر مسألة واحدة،فیأتی الموضوع متناسقا من غیر مأخذ؛فالشاهد بیان لموضع الرسم و الکتابة و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أهمّ الظواهر المنهجیة و أسلوبیة التألیف التی تجلّت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عمل الخطّ</w:t>
      </w:r>
      <w:r>
        <w:rPr>
          <w:rFonts w:eastAsia="IRNazanin" w:cs="IRNazanin"/>
          <w:color w:val="111111"/>
          <w:sz w:val="28"/>
          <w:szCs w:val="28"/>
          <w:rtl w:val="true"/>
          <w:lang w:bidi="fa-IR"/>
        </w:rPr>
        <w:t>).</w:t>
      </w:r>
    </w:p>
    <w:p>
      <w:pPr>
        <w:pStyle w:val="Heading5"/>
        <w:numPr>
          <w:ilvl w:val="4"/>
          <w:numId w:val="1"/>
        </w:numPr>
        <w:rPr/>
      </w:pPr>
      <w:bookmarkStart w:id="367" w:name="__RefHeading___Toc4067053_3224264995"/>
      <w:bookmarkStart w:id="368" w:name="_Toc140"/>
      <w:bookmarkEnd w:id="367"/>
      <w:r>
        <w:rPr>
          <w:rtl w:val="true"/>
        </w:rPr>
        <w:t>مخطوطات الکتاب،و نسبته</w:t>
      </w:r>
      <w:r>
        <w:rPr>
          <w:rtl w:val="true"/>
        </w:rPr>
        <w:t>:</w:t>
      </w:r>
      <w:bookmarkEnd w:id="368"/>
    </w:p>
    <w:p>
      <w:pPr>
        <w:pStyle w:val="BookText"/>
        <w:rPr/>
      </w:pPr>
      <w:r>
        <w:rPr>
          <w:rFonts w:ascii="IRNazanin" w:hAnsi="IRNazanin" w:eastAsia="IRNazanin"/>
          <w:color w:val="111111"/>
          <w:sz w:val="28"/>
          <w:sz w:val="28"/>
          <w:szCs w:val="28"/>
          <w:rtl w:val="true"/>
          <w:lang w:bidi="fa-IR"/>
        </w:rPr>
        <w:t>لم تشر کتب الفهارس و التراجم العامة التی ترجمت للمؤلّف إلی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ذکره المؤلّف نفسه فی ترجمة حیاته،فهرس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مرکز إحیاء التراث الإسلامی إذ ذکر أنّ الرسالة لها نسختان،إحداهما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مجموعة برقم</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،ضمّت سبع رسائل،وقعت الرسالة فیها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الشریف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الأخری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مجموعة رقمت ب</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احتوت رسالتین،ذکرت فیها الرسالة برقم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،بالعنوان نفسه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علینا بالحصول علی کلتا النسختین،مصوّرتین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369" w:name="pg12937_139268"/>
    </w:p>
    <w:p>
      <w:pPr>
        <w:pStyle w:val="Heading5"/>
        <w:numPr>
          <w:ilvl w:val="4"/>
          <w:numId w:val="1"/>
        </w:numPr>
        <w:rPr/>
      </w:pPr>
      <w:bookmarkStart w:id="370" w:name="__RefHeading___Toc4067055_3224264995"/>
      <w:bookmarkStart w:id="371" w:name="_Toc141"/>
      <w:bookmarkEnd w:id="369"/>
      <w:bookmarkEnd w:id="370"/>
      <w:r>
        <w:rPr>
          <w:rtl w:val="true"/>
        </w:rPr>
        <w:t>وصف المخطوط</w:t>
      </w:r>
      <w:r>
        <w:rPr>
          <w:rtl w:val="true"/>
        </w:rPr>
        <w:t>:</w:t>
      </w:r>
      <w:bookmarkEnd w:id="371"/>
    </w:p>
    <w:p>
      <w:pPr>
        <w:pStyle w:val="Heading6"/>
        <w:numPr>
          <w:ilvl w:val="5"/>
          <w:numId w:val="1"/>
        </w:numPr>
        <w:rPr/>
      </w:pPr>
      <w:bookmarkStart w:id="372" w:name="__RefHeading___Toc4067057_3224264995"/>
      <w:bookmarkStart w:id="373" w:name="_Toc142"/>
      <w:bookmarkEnd w:id="372"/>
      <w:r>
        <w:rPr>
          <w:rtl w:val="true"/>
        </w:rPr>
        <w:t>النسخة الأولی</w:t>
      </w:r>
      <w:r>
        <w:rPr>
          <w:rtl w:val="true"/>
        </w:rPr>
        <w:t>:</w:t>
      </w:r>
      <w:bookmarkEnd w:id="373"/>
    </w:p>
    <w:p>
      <w:pPr>
        <w:pStyle w:val="BookText"/>
        <w:rPr/>
      </w:pPr>
      <w:r>
        <w:rPr>
          <w:rFonts w:ascii="IRNazanin" w:hAnsi="IRNazanin" w:eastAsia="IRNazanin"/>
          <w:color w:val="111111"/>
          <w:sz w:val="28"/>
          <w:sz w:val="28"/>
          <w:szCs w:val="28"/>
          <w:rtl w:val="true"/>
          <w:lang w:bidi="fa-IR"/>
        </w:rPr>
        <w:t>و هی نسخة بخمس عشرة ورقة،</w:t>
      </w:r>
    </w:p>
    <w:p>
      <w:pPr>
        <w:pStyle w:val="BookText"/>
        <w:rPr/>
      </w:pPr>
      <w:r>
        <w:rPr>
          <w:rFonts w:ascii="IRNazanin" w:hAnsi="IRNazanin" w:eastAsia="IRNazanin"/>
          <w:color w:val="111111"/>
          <w:sz w:val="28"/>
          <w:sz w:val="28"/>
          <w:szCs w:val="28"/>
          <w:rtl w:val="true"/>
          <w:lang w:bidi="fa-IR"/>
        </w:rPr>
        <w:t>کتبت بخط النسخ فی أغلب الحروف مع التلفیق بین الخطوط القریبة من النسخ کالثلث،و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نصف الصفحة الأخیرة فی عشرة أسطر منها حسب،کتبت بالخطّ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جانبی الصفحة التی ذیلت بخطّ الناسخ،بالنسخ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بخطّ واضح مقروء،تقیّدت بعض کلماتها بالحرکات و الشکل،تحتوی کل صفحة منها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سطرا،فی متوسط عدد کلمات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کلمة،و بقیاس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قلّة الأخطاء النحویة،و عدم التمییز بین همزة القطع و وصلها،و بعض الرموز الکتابیة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الخطیطات التی تشیر إلی أماکن ینبغی التأمّل فیها؛ لأنها فقرة أو بدایة 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صفحة منها مؤطّرة بإطار مستطیل،و فی نهایة الصفحات المقابلة فی أسفلها علی یسار القاری کلمة أو کلمتان من الصفحة التالیة لها؛للتصفح أو التعلیقة،علی الرغم من ترقیم الصفحات من قبل الناسخ فی وسط أعلی کلّ صفحة،إذ تبدأ الأولی منها بالرقم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تنتهی 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،یتصدرها عنوانها،و العنوانات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عریض أغمق من الخطّ الذی سارت علیه حروف الرسم فی عموم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وجیزة فی علم الخط المسمّاة بهدایة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القول بها باسم الناسخ،هکذا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قد وقع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کتابة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أقل خلق اللّه اللطیف،تراب أقدام الطّلاب حسن الشّریف الکاشانی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المرقمة برقم المرکز و 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ه،فی کاشان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رمزنا لهذه النسخة بالرمز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374" w:name="pg12937_139269"/>
    </w:p>
    <w:p>
      <w:pPr>
        <w:pStyle w:val="Heading6"/>
        <w:numPr>
          <w:ilvl w:val="5"/>
          <w:numId w:val="1"/>
        </w:numPr>
        <w:rPr/>
      </w:pPr>
      <w:bookmarkStart w:id="375" w:name="__RefHeading___Toc4067059_3224264995"/>
      <w:bookmarkStart w:id="376" w:name="_Toc143"/>
      <w:bookmarkEnd w:id="374"/>
      <w:bookmarkEnd w:id="375"/>
      <w:r>
        <w:rPr>
          <w:rtl w:val="true"/>
        </w:rPr>
        <w:t>النسخة الثانیة</w:t>
      </w:r>
      <w:r>
        <w:rPr>
          <w:rtl w:val="true"/>
        </w:rPr>
        <w:t>:</w:t>
      </w:r>
      <w:bookmarkEnd w:id="376"/>
    </w:p>
    <w:p>
      <w:pPr>
        <w:pStyle w:val="BookText"/>
        <w:rPr/>
      </w:pPr>
      <w:r>
        <w:rPr>
          <w:rFonts w:ascii="IRNazanin" w:hAnsi="IRNazanin" w:eastAsia="IRNazanin"/>
          <w:color w:val="111111"/>
          <w:sz w:val="28"/>
          <w:sz w:val="28"/>
          <w:szCs w:val="28"/>
          <w:rtl w:val="true"/>
          <w:lang w:bidi="fa-IR"/>
        </w:rPr>
        <w:t>و هی فی خمس عشرة ورقة أیضا،</w:t>
      </w:r>
    </w:p>
    <w:p>
      <w:pPr>
        <w:pStyle w:val="BookText"/>
        <w:rPr/>
      </w:pPr>
      <w:r>
        <w:rPr>
          <w:rFonts w:ascii="IRNazanin" w:hAnsi="IRNazanin" w:eastAsia="IRNazanin"/>
          <w:color w:val="111111"/>
          <w:sz w:val="28"/>
          <w:sz w:val="28"/>
          <w:szCs w:val="28"/>
          <w:rtl w:val="true"/>
          <w:lang w:bidi="fa-IR"/>
        </w:rPr>
        <w:t>بید أنّ ما یمیّزها من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أمور تتجلّی فی وصفها،أعنی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النسخة بخطّ اعتیادی قریب إلی النسخ،فی أغلبه مقروء و بعضه بجهد،مع بعض المزج الذی فیه،و کثرة الأخطاء،و بعض الزیادات و البیاض و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صفحة منها مختلفة فی السطور،إذ یحتوی کلّ منها علی ما یتراوح بین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سطرا فی الصحیفة الواحدة،و کلّ سطر منها یشتمل 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مقیّدة فی بعضها بالشکل،تنوین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کسرة الهمزة التی رسمت علی الکرسی،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الخطوط کقلامة ظفر فی الأماکن التی یراد التنبیه علیها أو بدایة الفقرة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صفحاتها استدراکات للسقط فی الجهة الیمنی أو الیسری من القارئ، کتبت بشکل عمودی؛بسبب انتقال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صفحة منها بقیاس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کل فی الجهة السفلی الیسری من القارئ کلمة أو کلمتان؛للتعلیقة و الوصل بین الصفحات،فضلا عن الأرقام فی أعلی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خلت النسخة من تسمیة العنوان إلا ما صرّح به حبیب اللّه فی حدیثه عن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البدایة تتصدرها الاستعانة و من بعد البسلمة،و فی الجهة الیمنی العلیا منها من جهة القارئ ختم المرکز مع تملیک بصورة الختم أیضا،و عند التحقیق منه تبیّن لنا أنّه للناسخ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المخطوط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بعون اللّه الملک الوهاب علی ید ضیاء الدین بن نصر اللّه الموسوی الکاشانی فی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جمادی الأولی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بشکل هرمی،قمته فی الأسفل،قاعدته إلی الأعلی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رمزنا لهذه النسخة بالرمز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bookmarkStart w:id="377" w:name="pg12937_139270"/>
    </w:p>
    <w:p>
      <w:pPr>
        <w:pStyle w:val="Heading6"/>
        <w:numPr>
          <w:ilvl w:val="5"/>
          <w:numId w:val="1"/>
        </w:numPr>
        <w:rPr/>
      </w:pPr>
      <w:bookmarkStart w:id="378" w:name="__RefHeading___Toc4067061_3224264995"/>
      <w:bookmarkStart w:id="379" w:name="_Toc144"/>
      <w:bookmarkEnd w:id="377"/>
      <w:bookmarkEnd w:id="378"/>
      <w:r>
        <w:rPr>
          <w:rtl w:val="true"/>
        </w:rPr>
        <w:t>النسخة المعتمدة</w:t>
      </w:r>
      <w:r>
        <w:rPr>
          <w:rtl w:val="true"/>
        </w:rPr>
        <w:t>:</w:t>
      </w:r>
      <w:bookmarkEnd w:id="379"/>
    </w:p>
    <w:p>
      <w:pPr>
        <w:pStyle w:val="BookText"/>
        <w:rPr/>
      </w:pPr>
      <w:r>
        <w:rPr>
          <w:rFonts w:ascii="IRNazanin" w:hAnsi="IRNazanin" w:eastAsia="IRNazanin"/>
          <w:color w:val="111111"/>
          <w:sz w:val="28"/>
          <w:sz w:val="28"/>
          <w:szCs w:val="28"/>
          <w:rtl w:val="true"/>
          <w:lang w:bidi="fa-IR"/>
        </w:rPr>
        <w:t>لقد اعتمدنا فی التحقیق علی کلتا صورة النسختین المحفوظتین فی مرکز إحیاء التراث الإسلامی بالمجموعة المرقمة</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بالمجموعة المرقمة ب</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المذکورتین فی فهرس المخطوطات العربیة فی مرکز احیاء التراث الاسلامی،ج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قرب النسختین من عهد المؤلّف،لم نتخذ إحداهما أصلا،علی ما یمیز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حسن الشریف الکاشانی،و وضوحها مع قلّة أخطائها،من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ضیاء الدین بن نصر اللّه الموسوی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الرأی أن أحداهما مکملّة للأخری فی التوثیق و التحقیق،عند المقابلة،و المعارضة،مع الاستیناس بالمتون القدیمة و لا سیّما شرح الشافیة فی علمی الصرف و الخطّ؛للرضی،و مجموعة الشافیة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بدأ لنا أمر عند ذلک،و هو أنّهما یتفقان فی بعض الأخطاء،فصار الوصول إلی أن نسخة ضیاء الدین،کأنّها منسوخة من نسخة حسن الشریف الکاشانی،و قد یؤید ذلک القرب المکانی فکلاهما فی کاشان،مع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استوثقنا من اسم الرسالة،و نسبتها إلی مؤلّفها؛إذ ذکرها المؤلف فی الفهرس الذی أعدّه هو بنفسه عند ترجمته فی اللباب برقم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،فضلا عن ذکر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مرّة فی البدایة و أخری فی النهایة،فی کلتا نسختی المخطوط،مع العنوان فی النسختین،و غیر ذلک من القوائم المتقدمة التی أنجزت لإحصاء تراثه</w:t>
      </w:r>
      <w:r>
        <w:rPr>
          <w:rFonts w:eastAsia="IRNazanin" w:cs="IRNazanin"/>
          <w:color w:val="111111"/>
          <w:sz w:val="28"/>
          <w:szCs w:val="28"/>
          <w:rtl w:val="true"/>
          <w:lang w:bidi="fa-IR"/>
        </w:rPr>
        <w:t>.</w:t>
      </w:r>
    </w:p>
    <w:p>
      <w:pPr>
        <w:pStyle w:val="Heading5"/>
        <w:numPr>
          <w:ilvl w:val="4"/>
          <w:numId w:val="1"/>
        </w:numPr>
        <w:rPr/>
      </w:pPr>
      <w:bookmarkStart w:id="380" w:name="__RefHeading___Toc4067063_3224264995"/>
      <w:bookmarkStart w:id="381" w:name="_Toc145"/>
      <w:bookmarkEnd w:id="380"/>
      <w:r>
        <w:rPr>
          <w:rtl w:val="true"/>
        </w:rPr>
        <w:t>منهجنا فی التحقیق</w:t>
      </w:r>
      <w:r>
        <w:rPr>
          <w:rtl w:val="true"/>
        </w:rPr>
        <w:t>:</w:t>
      </w:r>
      <w:bookmarkEnd w:id="3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الرغبة شدیدة فی الإفادة من هذه الرسالة،و مبادئ علم الخطّ،حاولنا قدر الوسع إخراج نصّها بصورة علمیة علی ما یرضاه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منا العمل المنهجی فی التحقیق و التوثیق علی الوجه الآتی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النصّ علی وفق القواعد الإملائیّة المعروفة،و ضبط ما یحتاج إلی ذلک،مع الإصلاح فی الأصل،و الاشاره إلی بعضها فی الهامش،فضلا عن حلّ الرموز التی استخدمها الناسخ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،فأثبتناه من غیر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ألفاظ کتبت علی غیر اقتضاء القاعدة النحویة، و الإملائیة؛لإنّها من قبل النساخ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 الفعل مع تذکیر الفاعل 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التمییز بین همزتی القطع و الوصل،أو کتابتها متوسطة أو متطرفة و غیرها من الأمور الفنیة التی کانت،ککتابة الابیات الشعریة بصورة نثریة دون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و 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ذلک بالنظر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حاولنا قدر الإمکان تحریک النصّ،بنیة و ترکیبا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توثیق الآیات القرآنیة علی ما اقتضاه التحقیق وضعها بین قوسین مشجّرین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المتن،و الإشارة إلی مکانها من السورة مع رقمها فی الهامش،و من ثمّ إثبات تمام الآیة کاملا؛ضمانا لمجریات الدقّة فی النصّ القرآنی،و عدم الالتباس فی موطن الشاهد،و لا سیّما المتشابه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الأبیات الشعریة التی تمثّل بها المؤلّف،مع بیان الشاهد فیها،و الإحالة علی المصادر التی وردت فیها کالمتون و الکتب النحویة و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تکمیل البیت الذی استشهد به المؤلّف صدرا أو عجزا،مع تسلسل ترقیمه،و الإشارة إلیه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الإحالة علی المصادر الرئیسة التی أفاد منها المؤلّف،فی مسائل کثیرة،منها آراء العلماء،و کذلک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القراءة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لأعلام الذین أخذ عنهم المؤلّف،و التعریف بهم،مع مظانّ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 فی بعض المسالک التی وردت فی الکتب الإملائیة و الصرفیة و النحویة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علی بعض الأمور التی تشکل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الکلمات و الدلالة علی معانیها،بالإعانة من المتون اللغویة،نحو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العرب؛لابن منظور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کثیر،و لا سیّما فی الشواهد الشعریة التی تحقّقت بها،و عقدت من أجلها الفوائد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عنوانات جانبیة رئیسة فی بدایة الفوائد و الفصول،لغرض الفهرسة الداخلیة للموضوعات التی تناولها المؤلف،و قد وضعناها بین قوسین أو عاضدتین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صیّرنا ما أضفناه علی النصّ بین قوسین معقوفتین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سقط أو زید فی النسختین،و کذلک ما اقتضاه السیاق،مع الإشارة إلیه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وضعنا أرقام الصفحات التی کانت فی أعلی کلّ صفحة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القوسین المعقوفتین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بعد،فنرجو أن نکون قد وفّقنا فی تقریب النصّ إلی القارئ الکریم بصورة علمیة عصریة جیّدة علی قدر الإمکان،خدمة للتراث للغوی،و الإسلامی،و إحیاء لذکر العلامة حبیب اللّه الشریف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w:t>
      </w:r>
      <w:r>
        <w:rPr>
          <w:rFonts w:eastAsia="IRNazanin" w:cs="IRNazanin"/>
          <w:color w:val="111111"/>
          <w:sz w:val="28"/>
          <w:szCs w:val="28"/>
          <w:rtl w:val="true"/>
          <w:lang w:bidi="fa-IR"/>
        </w:rPr>
        <w:t xml:space="preserve">» </w:t>
      </w:r>
      <w:bookmarkStart w:id="382" w:name="pg12937_139277"/>
    </w:p>
    <w:p>
      <w:pPr>
        <w:pStyle w:val="Heading3"/>
        <w:numPr>
          <w:ilvl w:val="2"/>
          <w:numId w:val="1"/>
        </w:numPr>
        <w:rPr/>
      </w:pPr>
      <w:bookmarkStart w:id="383" w:name="__RefHeading___Toc4067065_3224264995"/>
      <w:bookmarkStart w:id="384" w:name="_Toc146"/>
      <w:bookmarkEnd w:id="382"/>
      <w:bookmarkEnd w:id="383"/>
      <w:r>
        <w:rPr>
          <w:rtl w:val="true"/>
        </w:rPr>
        <w:t>[</w:t>
      </w:r>
      <w:r>
        <w:rPr>
          <w:rtl w:val="true"/>
        </w:rPr>
        <w:t>خطبة الکتاب</w:t>
      </w:r>
      <w:r>
        <w:rPr>
          <w:rtl w:val="true"/>
        </w:rPr>
        <w:t>]</w:t>
      </w:r>
      <w:bookmarkEnd w:id="384"/>
    </w:p>
    <w:p>
      <w:pPr>
        <w:pStyle w:val="BookText"/>
        <w:rPr/>
      </w:pPr>
      <w:r>
        <w:rPr>
          <w:rFonts w:ascii="IRNazanin" w:hAnsi="IRNazanin" w:eastAsia="IRNazanin"/>
          <w:color w:val="111111"/>
          <w:sz w:val="28"/>
          <w:sz w:val="28"/>
          <w:szCs w:val="28"/>
          <w:rtl w:val="true"/>
          <w:lang w:bidi="fa-IR"/>
        </w:rPr>
        <w:t xml:space="preserve">بسم اللّه الرّحمن الرّحیم و به نستعین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الحمد للّه مبدع الصّور،و الصّلاة </w:t>
      </w:r>
      <w:r>
        <w:rPr>
          <w:rStyle w:val="FootnoteAnchor"/>
          <w:rtl w:val="true"/>
        </w:rPr>
        <w:footnoteReference w:id="745"/>
      </w:r>
      <w:r>
        <w:rPr>
          <w:rFonts w:ascii="IRNazanin" w:hAnsi="IRNazanin" w:eastAsia="IRNazanin"/>
          <w:color w:val="111111"/>
          <w:sz w:val="28"/>
          <w:sz w:val="28"/>
          <w:szCs w:val="28"/>
          <w:rtl w:val="true"/>
          <w:lang w:bidi="fa-IR"/>
        </w:rPr>
        <w:t>علی محمّد و آله خیر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العبد الواثق باللّه ابن علیّ مدد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یخفی أنّ القلم أحد اللسانین </w:t>
      </w:r>
      <w:r>
        <w:rPr>
          <w:rStyle w:val="FootnoteAnchor"/>
          <w:rtl w:val="true"/>
        </w:rPr>
        <w:footnoteReference w:id="746"/>
      </w:r>
      <w:r>
        <w:rPr>
          <w:rFonts w:ascii="IRNazanin" w:hAnsi="IRNazanin" w:eastAsia="IRNazanin"/>
          <w:color w:val="111111"/>
          <w:sz w:val="28"/>
          <w:sz w:val="28"/>
          <w:szCs w:val="28"/>
          <w:rtl w:val="true"/>
          <w:lang w:bidi="fa-IR"/>
        </w:rPr>
        <w:t xml:space="preserve">إذ </w:t>
      </w:r>
    </w:p>
    <w:p>
      <w:pPr>
        <w:pStyle w:val="BookText"/>
        <w:rPr/>
      </w:pPr>
      <w:r>
        <w:rPr>
          <w:rFonts w:ascii="IRNazanin" w:hAnsi="IRNazanin" w:eastAsia="IRNazanin"/>
          <w:color w:val="111111"/>
          <w:sz w:val="28"/>
          <w:sz w:val="28"/>
          <w:szCs w:val="28"/>
          <w:rtl w:val="true"/>
          <w:lang w:bidi="fa-IR"/>
        </w:rPr>
        <w:t xml:space="preserve">کلّ قاصد لمعنی من المعانی،کما یبیّن مقصوده </w:t>
      </w:r>
      <w:r>
        <w:rPr>
          <w:rStyle w:val="FootnoteAnchor"/>
          <w:rtl w:val="true"/>
        </w:rPr>
        <w:footnoteReference w:id="747"/>
      </w:r>
      <w:r>
        <w:rPr>
          <w:rFonts w:ascii="IRNazanin" w:hAnsi="IRNazanin" w:eastAsia="IRNazanin"/>
          <w:color w:val="111111"/>
          <w:sz w:val="28"/>
          <w:sz w:val="28"/>
          <w:szCs w:val="28"/>
          <w:rtl w:val="true"/>
          <w:lang w:bidi="fa-IR"/>
        </w:rPr>
        <w:t>بلفظه،کذلک یمکن له أن یبیّنه بکتبه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قرّروا لتقویم الأوّل </w:t>
      </w:r>
      <w:r>
        <w:rPr>
          <w:rStyle w:val="FootnoteAnchor"/>
          <w:rtl w:val="true"/>
        </w:rPr>
        <w:footnoteReference w:id="748"/>
      </w:r>
      <w:r>
        <w:rPr>
          <w:rFonts w:ascii="IRNazanin" w:hAnsi="IRNazanin" w:eastAsia="IRNazanin"/>
          <w:color w:val="111111"/>
          <w:sz w:val="28"/>
          <w:sz w:val="28"/>
          <w:szCs w:val="28"/>
          <w:rtl w:val="true"/>
          <w:lang w:bidi="fa-IR"/>
        </w:rPr>
        <w:t xml:space="preserve">،و تصحیحه أصولا و قواعد </w:t>
      </w:r>
      <w:r>
        <w:rPr>
          <w:rStyle w:val="FootnoteAnchor"/>
          <w:rtl w:val="true"/>
        </w:rPr>
        <w:footnoteReference w:id="749"/>
      </w:r>
      <w:r>
        <w:rPr>
          <w:rFonts w:ascii="Amiri" w:hAnsi="Amiri" w:eastAsia="Amiri" w:cs="Amiri"/>
          <w:color w:val="111111"/>
          <w:sz w:val="28"/>
          <w:sz w:val="28"/>
          <w:szCs w:val="28"/>
          <w:rtl w:val="true"/>
          <w:lang w:bidi="ar-SA"/>
        </w:rPr>
        <w:t xml:space="preserve">،کذلک مهّدوا لکیفیّة </w:t>
      </w:r>
      <w:r>
        <w:rPr>
          <w:rStyle w:val="FootnoteAnchor"/>
          <w:rtl w:val="true"/>
        </w:rPr>
        <w:footnoteReference w:id="750"/>
      </w:r>
      <w:r>
        <w:rPr>
          <w:rFonts w:ascii="Amiri" w:hAnsi="Amiri" w:eastAsia="Amiri" w:cs="Amiri"/>
          <w:color w:val="111111"/>
          <w:sz w:val="28"/>
          <w:sz w:val="28"/>
          <w:szCs w:val="28"/>
          <w:rtl w:val="true"/>
          <w:lang w:bidi="ar-SA"/>
        </w:rPr>
        <w:t xml:space="preserve">،الثّانی </w:t>
      </w:r>
      <w:r>
        <w:rPr>
          <w:rStyle w:val="FootnoteAnchor"/>
          <w:rtl w:val="true"/>
        </w:rPr>
        <w:footnoteReference w:id="751"/>
      </w:r>
      <w:r>
        <w:rPr>
          <w:rFonts w:ascii="IRNazanin" w:hAnsi="IRNazanin" w:eastAsia="IRNazanin"/>
          <w:color w:val="111111"/>
          <w:sz w:val="28"/>
          <w:sz w:val="28"/>
          <w:szCs w:val="28"/>
          <w:rtl w:val="true"/>
          <w:lang w:bidi="fa-IR"/>
        </w:rPr>
        <w:t>قواعد و ضوابط،و سمّوه بالخطّ،فهو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بأصول تعرف بها کیفیّة تصویر اللفظ بحروف هجائه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القلم،و هو کلّ ما یکتب به عن غلط </w:t>
      </w:r>
      <w:r>
        <w:rPr>
          <w:rStyle w:val="FootnoteAnchor"/>
          <w:rtl w:val="true"/>
        </w:rPr>
        <w:footnoteReference w:id="753"/>
      </w:r>
      <w:r>
        <w:rPr>
          <w:rFonts w:ascii="Amiri" w:hAnsi="Amiri" w:eastAsia="Amiri" w:cs="Amiri"/>
          <w:color w:val="111111"/>
          <w:sz w:val="28"/>
          <w:sz w:val="28"/>
          <w:szCs w:val="28"/>
          <w:rtl w:val="true"/>
          <w:lang w:bidi="ar-SA"/>
        </w:rPr>
        <w:t>التّصویر</w:t>
      </w:r>
      <w:r>
        <w:rPr>
          <w:rFonts w:eastAsia="Amiri" w:cs="Amiri" w:ascii="Amiri" w:hAnsi="Amiri"/>
          <w:color w:val="111111"/>
          <w:sz w:val="28"/>
          <w:szCs w:val="28"/>
          <w:rtl w:val="true"/>
          <w:lang w:bidi="ar-SA"/>
        </w:rPr>
        <w:t xml:space="preserve">. </w:t>
      </w:r>
      <w:bookmarkStart w:id="385" w:name="pg12937_139279"/>
    </w:p>
    <w:p>
      <w:pPr>
        <w:pStyle w:val="BookText"/>
        <w:rPr/>
      </w:pPr>
      <w:bookmarkEnd w:id="385"/>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الهجاء </w:t>
      </w:r>
      <w:r>
        <w:rPr>
          <w:rStyle w:val="FootnoteAnchor"/>
          <w:rtl w:val="true"/>
        </w:rPr>
        <w:footnoteReference w:id="754"/>
      </w:r>
      <w:r>
        <w:rPr>
          <w:rFonts w:ascii="IRNazanin" w:hAnsi="IRNazanin" w:eastAsia="IRNazanin"/>
          <w:color w:val="111111"/>
          <w:sz w:val="28"/>
          <w:sz w:val="28"/>
          <w:szCs w:val="28"/>
          <w:rtl w:val="true"/>
          <w:lang w:bidi="fa-IR"/>
        </w:rPr>
        <w:t xml:space="preserve">من حیث إنّها مکتوبة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نبیّن لک جملة ممّا یتعلّق بهذا العلم </w:t>
      </w:r>
      <w:r>
        <w:rPr>
          <w:rStyle w:val="FootnoteAnchor"/>
          <w:rtl w:val="true"/>
        </w:rPr>
        <w:footnoteReference w:id="756"/>
      </w:r>
      <w:r>
        <w:rPr>
          <w:rFonts w:ascii="IRNazanin" w:hAnsi="IRNazanin" w:eastAsia="IRNazanin"/>
          <w:color w:val="111111"/>
          <w:sz w:val="28"/>
          <w:sz w:val="28"/>
          <w:szCs w:val="28"/>
          <w:rtl w:val="true"/>
          <w:lang w:bidi="fa-IR"/>
        </w:rPr>
        <w:t>،فی هذه الرّسالة المسمّاة،ب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مقدّمة،و فوائد </w:t>
      </w:r>
      <w:r>
        <w:rPr>
          <w:rStyle w:val="FootnoteAnchor"/>
          <w:rtl w:val="true"/>
        </w:rPr>
        <w:footnoteReference w:id="757"/>
      </w:r>
      <w:r>
        <w:rPr>
          <w:rFonts w:ascii="Amiri" w:hAnsi="Amiri" w:eastAsia="Amiri" w:cs="Amiri"/>
          <w:color w:val="111111"/>
          <w:sz w:val="28"/>
          <w:sz w:val="28"/>
          <w:szCs w:val="28"/>
          <w:rtl w:val="true"/>
          <w:lang w:bidi="ar-SA"/>
        </w:rPr>
        <w:t>،و خاتمة</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4067067_3224264995"/>
      <w:bookmarkStart w:id="387" w:name="_Toc147"/>
      <w:bookmarkEnd w:id="386"/>
      <w:r>
        <w:rPr>
          <w:rtl w:val="true"/>
        </w:rPr>
        <w:t>أمّا المقدّمة</w:t>
      </w:r>
      <w:r>
        <w:rPr>
          <w:rtl w:val="true"/>
        </w:rPr>
        <w:t>:</w:t>
      </w:r>
      <w:bookmarkEnd w:id="387"/>
    </w:p>
    <w:p>
      <w:pPr>
        <w:pStyle w:val="BookText"/>
        <w:rPr/>
      </w:pPr>
      <w:r>
        <w:rPr>
          <w:rFonts w:ascii="IRNazanin" w:hAnsi="IRNazanin" w:eastAsia="IRNazanin"/>
          <w:color w:val="111111"/>
          <w:sz w:val="28"/>
          <w:sz w:val="28"/>
          <w:szCs w:val="28"/>
          <w:rtl w:val="true"/>
          <w:lang w:bidi="fa-IR"/>
        </w:rPr>
        <w:t>ففی تحقیق متعلّق الکتابة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البیّن الواضح أنّ بعض الأفعال لا یمکن تعلّقه ببعض الأمور،بمعنی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 xml:space="preserve">لا یصلح لذلک بالذّات </w:t>
      </w:r>
      <w:r>
        <w:rPr>
          <w:rStyle w:val="FootnoteAnchor"/>
          <w:rtl w:val="true"/>
        </w:rPr>
        <w:footnoteReference w:id="758"/>
      </w:r>
      <w:r>
        <w:rPr>
          <w:rFonts w:ascii="IRNazanin" w:hAnsi="IRNazanin" w:eastAsia="IRNazanin"/>
          <w:color w:val="111111"/>
          <w:sz w:val="28"/>
          <w:sz w:val="28"/>
          <w:szCs w:val="28"/>
          <w:rtl w:val="true"/>
          <w:lang w:bidi="fa-IR"/>
        </w:rPr>
        <w:t xml:space="preserve">،أو بالعرض؛کأن یکون هناک منع وضعیّ </w:t>
      </w:r>
      <w:r>
        <w:rPr>
          <w:rStyle w:val="FootnoteAnchor"/>
          <w:rtl w:val="true"/>
        </w:rPr>
        <w:footnoteReference w:id="759"/>
      </w:r>
      <w:r>
        <w:rPr>
          <w:rFonts w:ascii="IRNazanin" w:hAnsi="IRNazanin" w:eastAsia="IRNazanin"/>
          <w:color w:val="111111"/>
          <w:sz w:val="28"/>
          <w:sz w:val="28"/>
          <w:szCs w:val="28"/>
          <w:rtl w:val="true"/>
          <w:lang w:bidi="fa-IR"/>
        </w:rPr>
        <w:t xml:space="preserve">،أو استعمالیّ </w:t>
      </w:r>
      <w:r>
        <w:rPr>
          <w:rStyle w:val="FootnoteAnchor"/>
          <w:rtl w:val="true"/>
        </w:rPr>
        <w:footnoteReference w:id="760"/>
      </w:r>
      <w:r>
        <w:rPr>
          <w:rFonts w:ascii="IRNazanin" w:hAnsi="IRNazanin" w:eastAsia="IRNazanin"/>
          <w:color w:val="111111"/>
          <w:sz w:val="28"/>
          <w:sz w:val="28"/>
          <w:szCs w:val="28"/>
          <w:rtl w:val="true"/>
          <w:lang w:bidi="fa-IR"/>
        </w:rPr>
        <w:t>فلذا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ممّا لا یخفی؛و لذا إلتزموا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تبنا،و ماء باردا</w:t>
      </w:r>
      <w:r>
        <w:rPr>
          <w:rFonts w:eastAsia="IRNazanin" w:cs="IRNazanin"/>
          <w:color w:val="111111"/>
          <w:sz w:val="28"/>
          <w:szCs w:val="28"/>
          <w:rtl w:val="true"/>
          <w:lang w:bidi="fa-IR"/>
        </w:rPr>
        <w:t>. ................</w:t>
      </w:r>
    </w:p>
    <w:p>
      <w:pPr>
        <w:pStyle w:val="BookText"/>
        <w:rPr/>
      </w:pP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الفعل من جنس السّقی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اطبخوا لی جبّة،و قمیصا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بإرادة المشاکلة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من هذا القبیل فعل الکتابة بالنّسبة إلی بعض الأمور،فلا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إرادة مسمّاه،و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الفاعلیّة؛لصحّة صدور الکتابة عنه،بخلاف وقوعها علیه،إلاّ إذا أرید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،هذا اللفظ،و صوّر ما اشتمل علیه من الحروف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حینئذ،فکتابه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تصویره بصورة خاصّة </w:t>
      </w:r>
      <w:r>
        <w:rPr>
          <w:rStyle w:val="FootnoteAnchor"/>
          <w:rtl w:val="true"/>
        </w:rPr>
        <w:footnoteReference w:id="766"/>
      </w:r>
      <w:r>
        <w:rPr>
          <w:rFonts w:ascii="IRNazanin" w:hAnsi="IRNazanin" w:eastAsia="IRNazanin"/>
          <w:color w:val="111111"/>
          <w:sz w:val="28"/>
          <w:sz w:val="28"/>
          <w:szCs w:val="28"/>
          <w:rtl w:val="true"/>
          <w:lang w:bidi="fa-IR"/>
        </w:rPr>
        <w:t xml:space="preserve">،و إلاّ،فاللفظ من حیث هو لفظ </w:t>
      </w:r>
      <w:r>
        <w:rPr>
          <w:rStyle w:val="FootnoteAnchor"/>
          <w:rtl w:val="true"/>
        </w:rPr>
        <w:footnoteReference w:id="767"/>
      </w:r>
      <w:r>
        <w:rPr>
          <w:rFonts w:ascii="IRNazanin" w:hAnsi="IRNazanin" w:eastAsia="IRNazanin"/>
          <w:color w:val="111111"/>
          <w:sz w:val="28"/>
          <w:sz w:val="28"/>
          <w:szCs w:val="28"/>
          <w:rtl w:val="true"/>
          <w:lang w:bidi="fa-IR"/>
        </w:rPr>
        <w:t>یتلفّظ به الإنسان لا یمکن کتابته؛لخروجه حینئذ عن الوصف المذکور،و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أردت به ما بین الدفّتین مطلقا </w:t>
      </w:r>
      <w:r>
        <w:rPr>
          <w:rStyle w:val="FootnoteAnchor"/>
          <w:rtl w:val="true"/>
        </w:rPr>
        <w:footnoteReference w:id="768"/>
      </w:r>
      <w:r>
        <w:rPr>
          <w:rFonts w:ascii="IRNazanin" w:hAnsi="IRNazanin" w:eastAsia="IRNazanin"/>
          <w:color w:val="111111"/>
          <w:sz w:val="28"/>
          <w:sz w:val="28"/>
          <w:szCs w:val="28"/>
          <w:rtl w:val="true"/>
          <w:lang w:bidi="fa-IR"/>
        </w:rPr>
        <w:t>،قرئ،أم لم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صحّ؛إذ </w:t>
      </w:r>
      <w:bookmarkStart w:id="388" w:name="pg12937_139282"/>
    </w:p>
    <w:p>
      <w:pPr>
        <w:pStyle w:val="BookText"/>
        <w:rPr/>
      </w:pPr>
      <w:bookmarkEnd w:id="388"/>
      <w:r>
        <w:rPr>
          <w:rFonts w:ascii="IRNazanin" w:hAnsi="IRNazanin" w:eastAsia="IRNazanin"/>
          <w:color w:val="111111"/>
          <w:sz w:val="28"/>
          <w:sz w:val="28"/>
          <w:szCs w:val="28"/>
          <w:rtl w:val="true"/>
          <w:lang w:bidi="fa-IR"/>
        </w:rPr>
        <w:t xml:space="preserve">الکلمات ممّا یقبل الکتابة بأعیانها </w:t>
      </w:r>
      <w:r>
        <w:rPr>
          <w:rStyle w:val="FootnoteAnchor"/>
          <w:rtl w:val="true"/>
        </w:rPr>
        <w:footnoteReference w:id="769"/>
      </w:r>
      <w:r>
        <w:rPr>
          <w:rFonts w:ascii="IRNazanin" w:hAnsi="IRNazanin" w:eastAsia="IRNazanin"/>
          <w:color w:val="111111"/>
          <w:sz w:val="28"/>
          <w:sz w:val="28"/>
          <w:szCs w:val="28"/>
          <w:rtl w:val="true"/>
          <w:lang w:bidi="fa-IR"/>
        </w:rPr>
        <w:t xml:space="preserve">،و مسمیّاتها </w:t>
      </w:r>
      <w:r>
        <w:rPr>
          <w:rStyle w:val="FootnoteAnchor"/>
          <w:rtl w:val="true"/>
        </w:rPr>
        <w:footnoteReference w:id="770"/>
      </w:r>
      <w:r>
        <w:rPr>
          <w:rFonts w:ascii="IRNazanin" w:hAnsi="IRNazanin" w:eastAsia="IRNazanin"/>
          <w:color w:val="111111"/>
          <w:sz w:val="28"/>
          <w:sz w:val="28"/>
          <w:szCs w:val="28"/>
          <w:rtl w:val="true"/>
          <w:lang w:bidi="fa-IR"/>
        </w:rPr>
        <w:t>،و کذلک لو أردت به کلّ ما یقرأ،إذ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ما یصلح لأن یقرأ،و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یصلح لأن یتلفّظ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المسمّی لا یکون متعلّق الکتابة،إلاّ إذا کان من قبیل الألفاظ،و لا یخفی أنّ من الأمور ما یصلح لتعلّق الکتابة به من جهتیه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مسمّاه،و اللفظ الدّال علیه،مثل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یجوز 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مسمّاه،من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فٰاطِرِ السَّمٰاوٰاتِ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کلّما کان مسمّاه من قبیل الألفاظ</w:t>
      </w:r>
      <w:r>
        <w:rPr>
          <w:rFonts w:eastAsia="IRNazanin" w:cs="IRNazanin"/>
          <w:color w:val="111111"/>
          <w:sz w:val="28"/>
          <w:szCs w:val="28"/>
          <w:rtl w:val="true"/>
          <w:lang w:bidi="fa-IR"/>
        </w:rPr>
        <w:t>.</w:t>
      </w:r>
    </w:p>
    <w:p>
      <w:pPr>
        <w:pStyle w:val="Heading3"/>
        <w:numPr>
          <w:ilvl w:val="2"/>
          <w:numId w:val="1"/>
        </w:numPr>
        <w:rPr/>
      </w:pPr>
      <w:bookmarkStart w:id="389" w:name="__RefHeading___Toc4067069_3224264995"/>
      <w:bookmarkStart w:id="390" w:name="_Toc148"/>
      <w:bookmarkEnd w:id="389"/>
      <w:r>
        <w:rPr>
          <w:rtl w:val="true"/>
        </w:rPr>
        <w:t>و أمّا الفوائد،فسبع</w:t>
      </w:r>
      <w:r>
        <w:rPr>
          <w:rtl w:val="true"/>
        </w:rPr>
        <w:t>:</w:t>
      </w:r>
      <w:bookmarkEnd w:id="390"/>
    </w:p>
    <w:p>
      <w:pPr>
        <w:pStyle w:val="Heading4"/>
        <w:numPr>
          <w:ilvl w:val="3"/>
          <w:numId w:val="1"/>
        </w:numPr>
        <w:rPr/>
      </w:pPr>
      <w:bookmarkStart w:id="391" w:name="__RefHeading___Toc4067071_3224264995"/>
      <w:bookmarkStart w:id="392" w:name="_Toc149"/>
      <w:bookmarkEnd w:id="391"/>
      <w:r>
        <w:rPr>
          <w:rtl w:val="true"/>
        </w:rPr>
        <w:t>اشاره</w:t>
      </w:r>
      <w:bookmarkEnd w:id="392"/>
    </w:p>
    <w:p>
      <w:pPr>
        <w:pStyle w:val="BookText"/>
        <w:rPr/>
      </w:pPr>
      <w:r>
        <w:rPr>
          <w:rStyle w:val="FootnoteAnchor"/>
          <w:rtl w:val="true"/>
        </w:rPr>
        <w:footnoteReference w:id="772"/>
      </w:r>
    </w:p>
    <w:p>
      <w:pPr>
        <w:pStyle w:val="Heading4"/>
        <w:numPr>
          <w:ilvl w:val="3"/>
          <w:numId w:val="1"/>
        </w:numPr>
        <w:rPr/>
      </w:pPr>
      <w:bookmarkStart w:id="393" w:name="__RefHeading___Toc4067073_3224264995"/>
      <w:bookmarkStart w:id="394" w:name="_Toc150"/>
      <w:bookmarkEnd w:id="393"/>
      <w:r>
        <w:rPr>
          <w:rtl w:val="true"/>
        </w:rPr>
        <w:t>الأولی</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کتابة الحروف مفردة أو مرکبة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الهجاء تکتب کما ینطق بها،فیما ترکّب منها،إلاّ إذا أرید أسماؤها </w:t>
      </w:r>
      <w:r>
        <w:rPr>
          <w:rStyle w:val="FootnoteAnchor"/>
          <w:rtl w:val="true"/>
        </w:rPr>
        <w:footnoteReference w:id="773"/>
      </w:r>
      <w:r>
        <w:rPr>
          <w:rFonts w:ascii="IRNazanin" w:hAnsi="IRNazanin" w:eastAsia="IRNazanin"/>
          <w:color w:val="111111"/>
          <w:sz w:val="28"/>
          <w:sz w:val="28"/>
          <w:szCs w:val="28"/>
          <w:rtl w:val="true"/>
          <w:lang w:bidi="fa-IR"/>
        </w:rPr>
        <w:t xml:space="preserve">،أو ما سمّی بها من غیرها </w:t>
      </w:r>
      <w:r>
        <w:rPr>
          <w:rStyle w:val="FootnoteAnchor"/>
          <w:rtl w:val="true"/>
        </w:rPr>
        <w:footnoteReference w:id="774"/>
      </w:r>
      <w:r>
        <w:rPr>
          <w:rFonts w:ascii="IRNazanin" w:hAnsi="IRNazanin" w:eastAsia="IRNazanin"/>
          <w:color w:val="111111"/>
          <w:sz w:val="28"/>
          <w:sz w:val="28"/>
          <w:szCs w:val="28"/>
          <w:rtl w:val="true"/>
          <w:lang w:bidi="fa-IR"/>
        </w:rPr>
        <w:t>،فإذا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الزّای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منک کتابته هو حرف من حروفه،لا الاسم الموضوع 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المطلوب کتابة حروف هذا اللفظ،فیکتب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أرید الاسم </w:t>
      </w:r>
      <w:r>
        <w:rPr>
          <w:rStyle w:val="FootnoteAnchor"/>
          <w:rtl w:val="true"/>
        </w:rPr>
        <w:footnoteReference w:id="777"/>
      </w:r>
      <w:r>
        <w:rPr>
          <w:rFonts w:ascii="IRNazanin" w:hAnsi="IRNazanin" w:eastAsia="IRNazanin"/>
          <w:color w:val="111111"/>
          <w:sz w:val="28"/>
          <w:sz w:val="28"/>
          <w:szCs w:val="28"/>
          <w:rtl w:val="true"/>
          <w:lang w:bidi="fa-IR"/>
        </w:rPr>
        <w:t>،فالواجب کتابة ما یدلّ علی الحروف المذکورة،و لیس ذلک إلاّ المرکّب،فیکتب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فی أنفسها حروف،لا أسماء </w:t>
      </w:r>
      <w:r>
        <w:rPr>
          <w:rStyle w:val="FootnoteAnchor"/>
          <w:rtl w:val="true"/>
        </w:rPr>
        <w:footnoteReference w:id="779"/>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قاعدة جاریة فی غیر حروف الهجاء أیضا من سائر الحروف </w:t>
      </w:r>
      <w:r>
        <w:rPr>
          <w:rStyle w:val="FootnoteAnchor"/>
          <w:rtl w:val="true"/>
        </w:rPr>
        <w:footnoteReference w:id="780"/>
      </w:r>
      <w:r>
        <w:rPr>
          <w:rFonts w:ascii="IRNazanin" w:hAnsi="IRNazanin" w:eastAsia="IRNazanin"/>
          <w:color w:val="111111"/>
          <w:sz w:val="28"/>
          <w:sz w:val="28"/>
          <w:szCs w:val="28"/>
          <w:rtl w:val="true"/>
          <w:lang w:bidi="fa-IR"/>
        </w:rPr>
        <w:t>،فإذا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اسم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یسند إلیه،فیقال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 یعود الضّمیر إلیه،فیقال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تجرّ،و هذا 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هذا،اسم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الزّمان،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نفسه الفعل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تتبع </w:t>
      </w:r>
      <w:r>
        <w:rPr>
          <w:rStyle w:val="FootnoteAnchor"/>
          <w:rtl w:val="true"/>
        </w:rPr>
        <w:footnoteReference w:id="781"/>
      </w:r>
      <w:r>
        <w:rPr>
          <w:rFonts w:ascii="IRNazanin" w:hAnsi="IRNazanin" w:eastAsia="IRNazanin"/>
          <w:color w:val="111111"/>
          <w:sz w:val="28"/>
          <w:sz w:val="28"/>
          <w:szCs w:val="28"/>
          <w:rtl w:val="true"/>
          <w:lang w:bidi="fa-IR"/>
        </w:rPr>
        <w:t xml:space="preserve">الکتابة النّطق </w:t>
      </w:r>
      <w:r>
        <w:rPr>
          <w:rStyle w:val="FootnoteAnchor"/>
          <w:rtl w:val="true"/>
        </w:rPr>
        <w:footnoteReference w:id="782"/>
      </w:r>
      <w:r>
        <w:rPr>
          <w:rFonts w:ascii="IRNazanin" w:hAnsi="IRNazanin" w:eastAsia="IRNazanin"/>
          <w:color w:val="111111"/>
          <w:sz w:val="28"/>
          <w:sz w:val="28"/>
          <w:szCs w:val="28"/>
          <w:rtl w:val="true"/>
          <w:lang w:bidi="fa-IR"/>
        </w:rPr>
        <w:t xml:space="preserve">،کذلک یتبع النطق </w:t>
      </w:r>
      <w:r>
        <w:rPr>
          <w:rStyle w:val="FootnoteAnchor"/>
          <w:rtl w:val="true"/>
        </w:rPr>
        <w:footnoteReference w:id="783"/>
      </w:r>
      <w:r>
        <w:rPr>
          <w:rFonts w:ascii="IRNazanin" w:hAnsi="IRNazanin" w:eastAsia="IRNazanin"/>
          <w:color w:val="111111"/>
          <w:sz w:val="28"/>
          <w:sz w:val="28"/>
          <w:szCs w:val="28"/>
          <w:rtl w:val="true"/>
          <w:lang w:bidi="fa-IR"/>
        </w:rPr>
        <w:t>الکتابة أیضا،فإذا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لم یکن مرکّبا إلاّ من </w:t>
      </w:r>
    </w:p>
    <w:p>
      <w:pPr>
        <w:pStyle w:val="BookText"/>
        <w:rPr/>
      </w:pPr>
      <w:r>
        <w:rPr>
          <w:rFonts w:ascii="IRNazanin" w:hAnsi="IRNazanin" w:eastAsia="IRNazanin"/>
          <w:color w:val="111111"/>
          <w:sz w:val="28"/>
          <w:sz w:val="28"/>
          <w:szCs w:val="28"/>
          <w:rtl w:val="true"/>
          <w:lang w:bidi="fa-IR"/>
        </w:rPr>
        <w:t xml:space="preserve">الحروف المفردة،و قد حکی أنّ الخلیل </w:t>
      </w:r>
      <w:r>
        <w:rPr>
          <w:rStyle w:val="FootnoteAnchor"/>
          <w:rtl w:val="true"/>
        </w:rPr>
        <w:footnoteReference w:id="785"/>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تنطقون بالجیم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نطقتم بالاسم،و لم تنطقوا بالمسؤول عنه</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نعم،إذا 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بالفاعل،فی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لیس باسم حتّی یکون فاعلا،فتدبّر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سمّی بحرف،فالمکتوب اسمه،کما ذکر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فواتح السّور </w:t>
      </w:r>
      <w:bookmarkStart w:id="395" w:name="pg12937_139285"/>
    </w:p>
    <w:p>
      <w:pPr>
        <w:pStyle w:val="BookText"/>
        <w:rPr/>
      </w:pPr>
      <w:bookmarkEnd w:id="395"/>
      <w:r>
        <w:rPr>
          <w:rFonts w:ascii="IRNazanin" w:hAnsi="IRNazanin" w:eastAsia="IRNazanin"/>
          <w:color w:val="111111"/>
          <w:sz w:val="28"/>
          <w:sz w:val="28"/>
          <w:szCs w:val="28"/>
          <w:rtl w:val="true"/>
          <w:lang w:bidi="fa-IR"/>
        </w:rPr>
        <w:t>أسماء لمسمّیات خاصّة،فالواجب کتابتها کذلک،فیکتب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بها الإشارات و التّنبیهات </w:t>
      </w:r>
      <w:r>
        <w:rPr>
          <w:rStyle w:val="FootnoteAnchor"/>
          <w:rtl w:val="true"/>
        </w:rPr>
        <w:footnoteReference w:id="790"/>
      </w:r>
      <w:r>
        <w:rPr>
          <w:rFonts w:ascii="IRNazanin" w:hAnsi="IRNazanin" w:eastAsia="IRNazanin"/>
          <w:color w:val="111111"/>
          <w:sz w:val="28"/>
          <w:sz w:val="28"/>
          <w:szCs w:val="28"/>
          <w:rtl w:val="true"/>
          <w:lang w:bidi="fa-IR"/>
        </w:rPr>
        <w:t>،فاللازم کتابتها مفردة،مثل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Heading4"/>
        <w:numPr>
          <w:ilvl w:val="3"/>
          <w:numId w:val="1"/>
        </w:numPr>
        <w:rPr/>
      </w:pPr>
      <w:bookmarkStart w:id="396" w:name="__RefHeading___Toc4067075_3224264995"/>
      <w:bookmarkStart w:id="397" w:name="_Toc151"/>
      <w:bookmarkEnd w:id="396"/>
      <w:r>
        <w:rPr>
          <w:rtl w:val="true"/>
        </w:rPr>
        <w:t>الفائدة الثانیة</w:t>
      </w:r>
      <w:r>
        <w:rPr>
          <w:rtl w:val="true"/>
        </w:rPr>
        <w:t>:</w:t>
      </w:r>
      <w:bookmarkEnd w:id="397"/>
    </w:p>
    <w:p>
      <w:pPr>
        <w:pStyle w:val="Heading5"/>
        <w:numPr>
          <w:ilvl w:val="4"/>
          <w:numId w:val="1"/>
        </w:numPr>
        <w:rPr/>
      </w:pPr>
      <w:bookmarkStart w:id="398" w:name="__RefHeading___Toc4067077_3224264995"/>
      <w:bookmarkStart w:id="399" w:name="_Toc152"/>
      <w:bookmarkEnd w:id="398"/>
      <w:r>
        <w:rPr>
          <w:rtl w:val="true"/>
        </w:rPr>
        <w:t>اشاره</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الابتداء و الوقف علی الحروف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الکلمة إمّا أن تصلح لأن یبتدأ بها،و یوقف علیها،أو للأوّل خاصّة،أو للثّانی کذلک </w:t>
      </w:r>
      <w:r>
        <w:rPr>
          <w:rStyle w:val="FootnoteAnchor"/>
          <w:rtl w:val="true"/>
        </w:rPr>
        <w:footnoteReference w:id="79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لیس لنا ما لا </w:t>
      </w:r>
      <w:r>
        <w:rPr>
          <w:rStyle w:val="FootnoteAnchor"/>
          <w:rtl w:val="true"/>
        </w:rPr>
        <w:footnoteReference w:id="792"/>
      </w:r>
      <w:r>
        <w:rPr>
          <w:rFonts w:ascii="IRNazanin" w:hAnsi="IRNazanin" w:eastAsia="IRNazanin"/>
          <w:color w:val="111111"/>
          <w:sz w:val="28"/>
          <w:sz w:val="28"/>
          <w:szCs w:val="28"/>
          <w:rtl w:val="true"/>
          <w:lang w:bidi="fa-IR"/>
        </w:rPr>
        <w:t>یصلح لشیء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 الثّانی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متّصلا بما بعده إذا کان علی حرف واحد،کما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مررت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أکرمتک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یجوز الوقف؛إذ من أحکامه السّکون،و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معتذر،بخلاف ما إذا کان علی حرفین،فصاعدا؛فإنّه یکتب منفصلا،کما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عمرا </w:t>
      </w:r>
      <w:r>
        <w:rPr>
          <w:rStyle w:val="FootnoteAnchor"/>
          <w:rtl w:val="true"/>
        </w:rPr>
        <w:footnoteReference w:id="794"/>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یجوز الإبتداء بأمثال هذه الحروف،و لکن لا یوقف علیها،و دلیل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الحرف الواحد؛لخفّته،مقتض للاتّصال بغیره؛لیحصل له الاستقلال بالتّبعیّة بخلاف الأکثر،فتدبّر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 الثّالث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متّصلا بما قبله مطلقا،کما فی الضّمائر المتّصلة؛إذ لا یصحّ الإبتداء بها أصلا،فلو لم تکتب متّصلة؛لارتفع الفرق بینها و بین المنفصلة،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کما یبتدأ به،و یوقف علیه،بمعنی أنّه یراعی أوّله کما یراعی أوّل الکلمة المبتدأ بها،و آخره کما یراعی آخر الکلمة،إذا وقف علیها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الأوّل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 بالهمزة،فإنّها،و إن وجب إسقاطها عند الوصل،و لکن لو ابتدأ بهذه الکلمة،و لوحظ حال قطعها عمّا قبلها؛لکانت الهمزة علی حالها،کما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أکرمک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ابنة،و ابنم،و اسم،واست، </w:t>
      </w:r>
    </w:p>
    <w:p>
      <w:pPr>
        <w:pStyle w:val="BookText"/>
        <w:rPr/>
      </w:pPr>
      <w:r>
        <w:rPr>
          <w:rFonts w:ascii="IRNazanin" w:hAnsi="IRNazanin" w:eastAsia="IRNazanin"/>
          <w:color w:val="111111"/>
          <w:sz w:val="28"/>
          <w:sz w:val="28"/>
          <w:szCs w:val="28"/>
          <w:rtl w:val="true"/>
          <w:lang w:bidi="fa-IR"/>
        </w:rPr>
        <w:t xml:space="preserve">و اثنان،و اثنتان،و اثنین،و اثنتین،و امرؤ،و امرأة،و ایمن </w:t>
      </w:r>
      <w:r>
        <w:rPr>
          <w:rStyle w:val="FootnoteAnchor"/>
          <w:rtl w:val="true"/>
        </w:rPr>
        <w:footnoteReference w:id="796"/>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الإکتساب، و الإقتدار،و الإنصراف،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مصدر بعد ألف فعله أربعة أحرف،فصاعدا،و فعله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الأمر من الثّلاثیّ المجرّد؛إذا کان ما بعد حرف المضارعة ساکنا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کلّ ما یجب وصله یکتب </w:t>
      </w:r>
      <w:r>
        <w:rPr>
          <w:rStyle w:val="FootnoteAnchor"/>
          <w:rtl w:val="true"/>
        </w:rPr>
        <w:footnoteReference w:id="797"/>
      </w:r>
      <w:r>
        <w:rPr>
          <w:rFonts w:ascii="IRNazanin" w:hAnsi="IRNazanin" w:eastAsia="IRNazanin"/>
          <w:color w:val="111111"/>
          <w:sz w:val="28"/>
          <w:sz w:val="28"/>
          <w:szCs w:val="28"/>
          <w:rtl w:val="true"/>
          <w:lang w:bidi="fa-IR"/>
        </w:rPr>
        <w:t>کحال القطع،بمعنی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العبرة لیست باللفظ مطلقا،بل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کثیر من المصاحف القدیمة کتابة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بدون الألف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الثّانی </w:t>
      </w:r>
      <w:r>
        <w:rPr>
          <w:rStyle w:val="FootnoteAnchor"/>
          <w:rtl w:val="true"/>
        </w:rPr>
        <w:footnoteReference w:id="799"/>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 </w:t>
      </w:r>
      <w:r>
        <w:rPr>
          <w:rStyle w:val="FootnoteAnchor"/>
          <w:rtl w:val="true"/>
        </w:rPr>
        <w:footnoteReference w:id="800"/>
      </w:r>
      <w:r>
        <w:rPr>
          <w:rFonts w:ascii="IRNazanin" w:hAnsi="IRNazanin" w:eastAsia="IRNazanin"/>
          <w:color w:val="111111"/>
          <w:sz w:val="28"/>
          <w:sz w:val="28"/>
          <w:szCs w:val="28"/>
          <w:rtl w:val="true"/>
          <w:lang w:bidi="fa-IR"/>
        </w:rPr>
        <w:t xml:space="preserve">عمرا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مه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 جمیع ذلک بالهاء؛لوجوب 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السکت بما یبقی علی حرف واحد،فی حال الوقف،بشرط إن لم یکن قبله شیء،أو کان،و لم یکن کالجزء ممّا قبله؛ لاستقلاله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التّأنیث 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،بخلاف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حتّام،و علام و إلام،و وقت </w:t>
      </w:r>
      <w:r>
        <w:rPr>
          <w:rStyle w:val="FootnoteAnchor"/>
          <w:rtl w:val="true"/>
        </w:rPr>
        <w:footnoteReference w:id="803"/>
      </w:r>
      <w:r>
        <w:rPr>
          <w:rFonts w:ascii="IRNazanin" w:hAnsi="IRNazanin" w:eastAsia="IRNazanin"/>
          <w:color w:val="111111"/>
          <w:sz w:val="28"/>
          <w:sz w:val="28"/>
          <w:szCs w:val="28"/>
          <w:rtl w:val="true"/>
          <w:lang w:bidi="fa-IR"/>
        </w:rPr>
        <w:t>،و أخت،و بنت،و بنات،و هیهات،و لم یخشه،و لم یغزه،و لم یرمه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فیکتب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وجوب الإلحاق فی الوقف،بل یجب ترکه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وقت،و أخت، و هیهات،و بنت،و بنات،و کیت،و زیت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البنون و البناه</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،شاذّ،کقول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هیهاه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جاز فیه الأمران فی الوقف کذلک هنا،کالصّلاة،علی ما قیل </w:t>
      </w:r>
      <w:r>
        <w:rPr>
          <w:rStyle w:val="FootnoteAnchor"/>
          <w:rtl w:val="true"/>
        </w:rPr>
        <w:footnoteReference w:id="807"/>
      </w:r>
      <w:r>
        <w:rPr>
          <w:rFonts w:ascii="IRNazanin" w:hAnsi="IRNazanin" w:eastAsia="IRNazanin"/>
          <w:color w:val="111111"/>
          <w:sz w:val="28"/>
          <w:sz w:val="28"/>
          <w:szCs w:val="28"/>
          <w:rtl w:val="true"/>
          <w:lang w:bidi="fa-IR"/>
        </w:rPr>
        <w:t>،و لا یجوز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ثمّت،و ربّت،و ضربت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کلّ ما یوقف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،یکتب بها أیضا،و تعیین مظانّ ذلک یطلب من البحث فی الوقف </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یخفی أنّه إذا أردت 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نحوه،فالواجب إلحاقها </w:t>
      </w:r>
      <w:r>
        <w:rPr>
          <w:rStyle w:val="FootnoteAnchor"/>
          <w:rtl w:val="true"/>
        </w:rPr>
        <w:footnoteReference w:id="811"/>
      </w:r>
      <w:r>
        <w:rPr>
          <w:rFonts w:ascii="IRNazanin" w:hAnsi="IRNazanin" w:eastAsia="IRNazanin"/>
          <w:color w:val="111111"/>
          <w:sz w:val="28"/>
          <w:sz w:val="28"/>
          <w:szCs w:val="28"/>
          <w:rtl w:val="true"/>
          <w:lang w:bidi="fa-IR"/>
        </w:rPr>
        <w:t>فی الکتابزة،و یجوز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بالیاء؛لزوال الاتّصال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ما یوقف علیه بالألف،فیکتب بها أیضا،کما فی الاسم المنوّن المنصوب،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زیدا،و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المجرور،و المرفوع،فیکتب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أهوی و من أهوی أنا نحن روحان حللنا بدنا</w:t>
      </w:r>
    </w:p>
    <w:p>
      <w:pPr>
        <w:pStyle w:val="BookText"/>
        <w:rPr/>
      </w:pPr>
      <w:r>
        <w:rPr>
          <w:rFonts w:ascii="Amiri" w:hAnsi="Amiri" w:eastAsia="Amiri" w:cs="Amiri"/>
          <w:color w:val="111111"/>
          <w:sz w:val="28"/>
          <w:sz w:val="28"/>
          <w:szCs w:val="28"/>
          <w:rtl w:val="true"/>
          <w:lang w:bidi="ar-SA"/>
        </w:rPr>
        <w:t>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w:t>
      </w:r>
      <w:r>
        <w:rPr>
          <w:rStyle w:val="FootnoteAnchor"/>
          <w:rtl w:val="true"/>
        </w:rPr>
        <w:footnoteReference w:id="81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أنا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یقرأ،کذلک فی الوصل </w:t>
      </w:r>
      <w:r>
        <w:rPr>
          <w:rStyle w:val="FootnoteAnchor"/>
          <w:rtl w:val="true"/>
        </w:rPr>
        <w:footnoteReference w:id="814"/>
      </w:r>
      <w:r>
        <w:rPr>
          <w:rFonts w:ascii="IRNazanin" w:hAnsi="IRNazanin" w:eastAsia="IRNazanin"/>
          <w:color w:val="111111"/>
          <w:sz w:val="28"/>
          <w:sz w:val="28"/>
          <w:szCs w:val="28"/>
          <w:rtl w:val="true"/>
          <w:lang w:bidi="fa-IR"/>
        </w:rPr>
        <w:t>أیضا؛دفعا لالتباسه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المشدّدة،و قد یوقف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بالهاء،فیقال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،فیکتب کذلک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کذلک کلّ ما یوقف علیه بحذف الیاء،فیکتب بذلک،کما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بقاض، و جاءنی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نحو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،فإنّ الأوّل بالیاء،و الثّانی بالألف</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Style w:val="FootnoteAnchor"/>
          <w:rtl w:val="true"/>
        </w:rPr>
        <w:footnoteReference w:id="819"/>
      </w:r>
      <w:r>
        <w:rPr>
          <w:rFonts w:ascii="IRNazanin" w:hAnsi="IRNazanin" w:eastAsia="IRNazanin"/>
          <w:color w:val="111111"/>
          <w:sz w:val="28"/>
          <w:sz w:val="28"/>
          <w:szCs w:val="28"/>
          <w:rtl w:val="true"/>
          <w:lang w:bidi="fa-IR"/>
        </w:rPr>
        <w:t>،و لکنّ المشهور الوقف علیها بالألف؛تشبیها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p>
    <w:p>
      <w:pPr>
        <w:pStyle w:val="BookText"/>
        <w:rPr/>
      </w:pPr>
      <w:r>
        <w:rPr>
          <w:rFonts w:ascii="IRNazanin" w:hAnsi="IRNazanin" w:eastAsia="IRNazanin"/>
          <w:color w:val="111111"/>
          <w:sz w:val="28"/>
          <w:sz w:val="28"/>
          <w:szCs w:val="28"/>
          <w:rtl w:val="true"/>
          <w:lang w:bidi="fa-IR"/>
        </w:rPr>
        <w:t xml:space="preserve">بالمنوّن المنصوب،قال ابن هشام </w:t>
      </w:r>
      <w:r>
        <w:rPr>
          <w:rStyle w:val="FootnoteAnchor"/>
          <w:rtl w:val="true"/>
        </w:rPr>
        <w:footnoteReference w:id="820"/>
      </w:r>
      <w:r>
        <w:rPr>
          <w:rFonts w:ascii="IRNazanin" w:hAnsi="IRNazanin" w:eastAsia="IRNazanin"/>
          <w:color w:val="111111"/>
          <w:sz w:val="28"/>
          <w:sz w:val="28"/>
          <w:szCs w:val="28"/>
          <w:rtl w:val="true"/>
          <w:lang w:bidi="fa-IR"/>
        </w:rPr>
        <w:t xml:space="preserve">فی المغنی </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رسمت فی المصاحف</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الرسوم فی المصاحف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،بالنّون </w:t>
      </w:r>
      <w:r>
        <w:rPr>
          <w:rStyle w:val="FootnoteAnchor"/>
          <w:rtl w:val="true"/>
        </w:rPr>
        <w:footnoteReference w:id="824"/>
      </w:r>
      <w:r>
        <w:rPr>
          <w:rFonts w:ascii="IRNazanin" w:hAnsi="IRNazanin" w:eastAsia="IRNazanin"/>
          <w:color w:val="111111"/>
          <w:sz w:val="28"/>
          <w:sz w:val="28"/>
          <w:szCs w:val="28"/>
          <w:rtl w:val="true"/>
          <w:lang w:bidi="fa-IR"/>
        </w:rPr>
        <w:t xml:space="preserve">،کما هو قول المازنی </w:t>
      </w:r>
      <w:r>
        <w:rPr>
          <w:rStyle w:val="FootnoteAnchor"/>
          <w:rtl w:val="true"/>
        </w:rPr>
        <w:footnoteReference w:id="825"/>
      </w:r>
      <w:r>
        <w:rPr>
          <w:rFonts w:ascii="IRNazanin" w:hAnsi="IRNazanin" w:eastAsia="IRNazanin"/>
          <w:color w:val="111111"/>
          <w:sz w:val="28"/>
          <w:sz w:val="28"/>
          <w:szCs w:val="28"/>
          <w:rtl w:val="true"/>
          <w:lang w:bidi="fa-IR"/>
        </w:rPr>
        <w:t xml:space="preserve">،و المبرّد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،تشبیها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یفرّق بین ما إذا عملت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bookmarkStart w:id="400" w:name="pg12937_139292"/>
    </w:p>
    <w:p>
      <w:pPr>
        <w:pStyle w:val="BookText"/>
        <w:rPr/>
      </w:pPr>
      <w:bookmarkEnd w:id="400"/>
      <w:r>
        <w:rPr>
          <w:rFonts w:ascii="IRNazanin" w:hAnsi="IRNazanin" w:eastAsia="IRNazanin"/>
          <w:color w:val="111111"/>
          <w:sz w:val="28"/>
          <w:sz w:val="28"/>
          <w:szCs w:val="28"/>
          <w:rtl w:val="true"/>
          <w:lang w:bidi="fa-IR"/>
        </w:rPr>
        <w:t xml:space="preserve">فبالألف </w:t>
      </w:r>
      <w:r>
        <w:rPr>
          <w:rStyle w:val="FootnoteAnchor"/>
          <w:rtl w:val="true"/>
        </w:rPr>
        <w:footnoteReference w:id="826"/>
      </w:r>
      <w:r>
        <w:rPr>
          <w:rFonts w:ascii="IRNazanin" w:hAnsi="IRNazanin" w:eastAsia="IRNazanin"/>
          <w:color w:val="111111"/>
          <w:sz w:val="28"/>
          <w:sz w:val="28"/>
          <w:szCs w:val="28"/>
          <w:rtl w:val="true"/>
          <w:lang w:bidi="fa-IR"/>
        </w:rPr>
        <w:t>،و ما إذا لم تعمل،فبالنّون؛فرقا بینها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Heading5"/>
        <w:numPr>
          <w:ilvl w:val="4"/>
          <w:numId w:val="1"/>
        </w:numPr>
        <w:rPr/>
      </w:pPr>
      <w:bookmarkStart w:id="401" w:name="__RefHeading___Toc4067079_3224264995"/>
      <w:bookmarkStart w:id="402" w:name="_Toc153"/>
      <w:bookmarkEnd w:id="401"/>
      <w:r>
        <w:rPr>
          <w:rtl w:val="true"/>
        </w:rPr>
        <w:t>[</w:t>
      </w:r>
      <w:r>
        <w:rPr>
          <w:rtl w:val="true"/>
        </w:rPr>
        <w:t>نون التّوکید الخفیفة</w:t>
      </w:r>
      <w:r>
        <w:rPr>
          <w:rtl w:val="true"/>
        </w:rPr>
        <w:t>]</w:t>
      </w:r>
      <w:bookmarkEnd w:id="4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الوقف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،للمفرد المذکّر المؤکّد بالنّون الخفیفة یکون بالألف،فیکتب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اضربا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لکن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،للواحدزة،و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 المذکّر،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،للواحدة،فإنّها لا تکتب إلا کذلک،و إن اقتضی القیاس عود المحذوف،کما فی الوقف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ذکرت </w:t>
      </w:r>
      <w:r>
        <w:rPr>
          <w:rStyle w:val="FootnoteAnchor"/>
          <w:rtl w:val="true"/>
        </w:rPr>
        <w:footnoteReference w:id="829"/>
      </w:r>
      <w:r>
        <w:rPr>
          <w:rFonts w:ascii="IRNazanin" w:hAnsi="IRNazanin" w:eastAsia="IRNazanin"/>
          <w:color w:val="111111"/>
          <w:sz w:val="28"/>
          <w:sz w:val="28"/>
          <w:szCs w:val="28"/>
          <w:rtl w:val="true"/>
          <w:lang w:bidi="fa-IR"/>
        </w:rPr>
        <w:t xml:space="preserve">لوجه الخروج عن القیاس أمور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لا یلیق بهذا المختصر،فلیتدبّر</w:t>
      </w:r>
      <w:r>
        <w:rPr>
          <w:rFonts w:eastAsia="IRNazanin" w:cs="IRNazanin"/>
          <w:color w:val="111111"/>
          <w:sz w:val="28"/>
          <w:szCs w:val="28"/>
          <w:rtl w:val="true"/>
          <w:lang w:bidi="fa-IR"/>
        </w:rPr>
        <w:t xml:space="preserve">!. </w:t>
      </w:r>
      <w:bookmarkStart w:id="403" w:name="pg12937_139294"/>
    </w:p>
    <w:p>
      <w:pPr>
        <w:pStyle w:val="Heading4"/>
        <w:numPr>
          <w:ilvl w:val="3"/>
          <w:numId w:val="1"/>
        </w:numPr>
        <w:rPr/>
      </w:pPr>
      <w:bookmarkStart w:id="404" w:name="__RefHeading___Toc4067081_3224264995"/>
      <w:bookmarkStart w:id="405" w:name="_Toc154"/>
      <w:bookmarkEnd w:id="403"/>
      <w:bookmarkEnd w:id="404"/>
      <w:r>
        <w:rPr>
          <w:rtl w:val="true"/>
        </w:rPr>
        <w:t>الفآئدة الثالثة</w:t>
      </w:r>
      <w:r>
        <w:rPr>
          <w:rtl w:val="true"/>
        </w:rPr>
        <w:t>:</w:t>
      </w:r>
      <w:bookmarkEnd w:id="405"/>
    </w:p>
    <w:p>
      <w:pPr>
        <w:pStyle w:val="Heading5"/>
        <w:numPr>
          <w:ilvl w:val="4"/>
          <w:numId w:val="1"/>
        </w:numPr>
        <w:rPr/>
      </w:pPr>
      <w:bookmarkStart w:id="406" w:name="__RefHeading___Toc4067083_3224264995"/>
      <w:bookmarkStart w:id="407" w:name="_Toc155"/>
      <w:bookmarkEnd w:id="406"/>
      <w:r>
        <w:rPr>
          <w:rtl w:val="true"/>
        </w:rPr>
        <w:t>اشاره</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کتابة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فی کلمة همزة،فإمّا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فی أوّلها،أو فی وسطها،أو فی آخرها</w:t>
      </w:r>
      <w:r>
        <w:rPr>
          <w:rFonts w:eastAsia="IRNazanin" w:cs="IRNazanin"/>
          <w:color w:val="111111"/>
          <w:sz w:val="28"/>
          <w:szCs w:val="28"/>
          <w:rtl w:val="true"/>
          <w:lang w:bidi="fa-IR"/>
        </w:rPr>
        <w:t>.</w:t>
      </w:r>
    </w:p>
    <w:p>
      <w:pPr>
        <w:pStyle w:val="Heading5"/>
        <w:numPr>
          <w:ilvl w:val="4"/>
          <w:numId w:val="1"/>
        </w:numPr>
        <w:rPr/>
      </w:pPr>
      <w:bookmarkStart w:id="408" w:name="__RefHeading___Toc4067085_3224264995"/>
      <w:bookmarkStart w:id="409" w:name="_Toc156"/>
      <w:bookmarkEnd w:id="408"/>
      <w:r>
        <w:rPr>
          <w:rtl w:val="true"/>
        </w:rPr>
        <w:t>[</w:t>
      </w:r>
      <w:r>
        <w:rPr>
          <w:rtl w:val="true"/>
        </w:rPr>
        <w:t>الهمزة الأولی</w:t>
      </w:r>
      <w:r>
        <w:rPr>
          <w:rtl w:val="true"/>
        </w:rPr>
        <w:t>]</w:t>
      </w:r>
      <w:bookmarkEnd w:id="409"/>
    </w:p>
    <w:p>
      <w:pPr>
        <w:pStyle w:val="BookText"/>
        <w:rPr/>
      </w:pPr>
      <w:r>
        <w:rPr>
          <w:rFonts w:ascii="IRNazanin" w:hAnsi="IRNazanin" w:eastAsia="IRNazanin"/>
          <w:color w:val="111111"/>
          <w:sz w:val="28"/>
          <w:sz w:val="28"/>
          <w:szCs w:val="28"/>
          <w:rtl w:val="true"/>
          <w:lang w:bidi="fa-IR"/>
        </w:rPr>
        <w:t>فإن کان الأوّل،فتکتب الهمزة بالألف مطلقا،سوآء کانت مفتوحة،أو مضمومة،أو مکسورة،کما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فیها بین کونها همزة قطع،کما ذکر، </w:t>
      </w:r>
      <w:r>
        <w:rPr>
          <w:rStyle w:val="FootnoteAnchor"/>
          <w:rtl w:val="true"/>
        </w:rPr>
        <w:footnoteReference w:id="831"/>
      </w:r>
      <w:r>
        <w:rPr>
          <w:rFonts w:ascii="IRNazanin" w:hAnsi="IRNazanin" w:eastAsia="IRNazanin"/>
          <w:color w:val="111111"/>
          <w:sz w:val="28"/>
          <w:sz w:val="28"/>
          <w:szCs w:val="28"/>
          <w:rtl w:val="true"/>
          <w:lang w:bidi="fa-IR"/>
        </w:rPr>
        <w:t>أو وصل،کما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 انصر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الهمزة تقارب الألف فی المخرج </w:t>
      </w:r>
      <w:r>
        <w:rPr>
          <w:rStyle w:val="FootnoteAnchor"/>
          <w:rtl w:val="true"/>
        </w:rPr>
        <w:footnoteReference w:id="832"/>
      </w:r>
      <w:r>
        <w:rPr>
          <w:rFonts w:ascii="IRNazanin" w:hAnsi="IRNazanin" w:eastAsia="IRNazanin"/>
          <w:color w:val="111111"/>
          <w:sz w:val="28"/>
          <w:sz w:val="28"/>
          <w:szCs w:val="28"/>
          <w:rtl w:val="true"/>
          <w:lang w:bidi="fa-IR"/>
        </w:rPr>
        <w:t xml:space="preserve">،مع أنّ الألف أخفّ حروف اللین، و أنّ قیاس حروف الهجاء </w:t>
      </w:r>
      <w:r>
        <w:rPr>
          <w:rStyle w:val="FootnoteAnchor"/>
          <w:rtl w:val="true"/>
        </w:rPr>
        <w:footnoteReference w:id="833"/>
      </w:r>
      <w:r>
        <w:rPr>
          <w:rFonts w:ascii="IRNazanin" w:hAnsi="IRNazanin" w:eastAsia="IRNazanin"/>
          <w:color w:val="111111"/>
          <w:sz w:val="28"/>
          <w:sz w:val="28"/>
          <w:szCs w:val="28"/>
          <w:rtl w:val="true"/>
          <w:lang w:bidi="fa-IR"/>
        </w:rPr>
        <w:t xml:space="preserve">،أن تکون أوّل حرف من أسمائها </w:t>
      </w:r>
      <w:r>
        <w:rPr>
          <w:rStyle w:val="FootnoteAnchor"/>
          <w:rtl w:val="true"/>
        </w:rPr>
        <w:footnoteReference w:id="834"/>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الباء،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التاء </w:t>
      </w:r>
      <w:r>
        <w:rPr>
          <w:rStyle w:val="FootnoteAnchor"/>
          <w:rtl w:val="true"/>
        </w:rPr>
        <w:footnoteReference w:id="835"/>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رأینا أنّ الهمزة أوّل الألف،علمنا اتّحادهما فی الأصل </w:t>
      </w:r>
      <w:r>
        <w:rPr>
          <w:rStyle w:val="FootnoteAnchor"/>
          <w:rtl w:val="true"/>
        </w:rPr>
        <w:footnoteReference w:id="836"/>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 xml:space="preserve">. </w:t>
      </w:r>
      <w:bookmarkStart w:id="410" w:name="pg12937_139295"/>
    </w:p>
    <w:p>
      <w:pPr>
        <w:pStyle w:val="BookText"/>
        <w:rPr/>
      </w:pPr>
      <w:bookmarkEnd w:id="410"/>
      <w:r>
        <w:rPr>
          <w:rFonts w:ascii="IRNazanin" w:hAnsi="IRNazanin" w:eastAsia="IRNazanin"/>
          <w:color w:val="111111"/>
          <w:sz w:val="28"/>
          <w:sz w:val="28"/>
          <w:szCs w:val="28"/>
          <w:rtl w:val="true"/>
          <w:lang w:bidi="fa-IR"/>
        </w:rPr>
        <w:t>و لا فرق فی هذا الحکم بین ما إذا اتّصل بالهمزة شیء،و ما إذا لم یتّصل،فیکتب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أجد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من ذلک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یکتب بالیاء </w:t>
      </w:r>
      <w:r>
        <w:rPr>
          <w:rStyle w:val="FootnoteAnchor"/>
          <w:rtl w:val="true"/>
        </w:rPr>
        <w:footnoteReference w:id="838"/>
      </w:r>
      <w:r>
        <w:rPr>
          <w:rFonts w:ascii="IRNazanin" w:hAnsi="IRNazanin" w:eastAsia="IRNazanin"/>
          <w:color w:val="111111"/>
          <w:sz w:val="28"/>
          <w:sz w:val="28"/>
          <w:szCs w:val="28"/>
          <w:rtl w:val="true"/>
          <w:lang w:bidi="fa-IR"/>
        </w:rPr>
        <w:t>لکثرتها فی کلامهم،مع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Heading5"/>
        <w:numPr>
          <w:ilvl w:val="4"/>
          <w:numId w:val="1"/>
        </w:numPr>
        <w:rPr/>
      </w:pPr>
      <w:bookmarkStart w:id="411" w:name="__RefHeading___Toc4067087_3224264995"/>
      <w:bookmarkStart w:id="412" w:name="_Toc157"/>
      <w:bookmarkEnd w:id="411"/>
      <w:r>
        <w:rPr>
          <w:rtl w:val="true"/>
        </w:rPr>
        <w:t>[</w:t>
      </w:r>
      <w:r>
        <w:rPr>
          <w:rtl w:val="true"/>
        </w:rPr>
        <w:t>الهمزة المتوسطة</w:t>
      </w:r>
      <w:r>
        <w:rPr>
          <w:rtl w:val="true"/>
        </w:rPr>
        <w:t>]</w:t>
      </w:r>
      <w:bookmarkEnd w:id="412"/>
    </w:p>
    <w:p>
      <w:pPr>
        <w:pStyle w:val="BookText"/>
        <w:rPr/>
      </w:pPr>
      <w:r>
        <w:rPr>
          <w:rFonts w:ascii="IRNazanin" w:hAnsi="IRNazanin" w:eastAsia="IRNazanin"/>
          <w:color w:val="111111"/>
          <w:sz w:val="28"/>
          <w:sz w:val="28"/>
          <w:szCs w:val="28"/>
          <w:rtl w:val="true"/>
          <w:lang w:bidi="fa-IR"/>
        </w:rPr>
        <w:t xml:space="preserve">و إن کان الثّانی </w:t>
      </w:r>
      <w:r>
        <w:rPr>
          <w:rStyle w:val="FootnoteAnchor"/>
          <w:rtl w:val="true"/>
        </w:rPr>
        <w:footnoteReference w:id="839"/>
      </w:r>
      <w:r>
        <w:rPr>
          <w:rFonts w:ascii="IRNazanin" w:hAnsi="IRNazanin" w:eastAsia="IRNazanin"/>
          <w:color w:val="111111"/>
          <w:sz w:val="28"/>
          <w:sz w:val="28"/>
          <w:szCs w:val="28"/>
          <w:rtl w:val="true"/>
          <w:lang w:bidi="fa-IR"/>
        </w:rPr>
        <w:t>،ففیه صور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الهمزة ساکنة،و حینئذ،فتکتب بما یجانس حرکة ما قبلها من الحروف،فإن کانت الحرکة فتحة،فبالألف </w:t>
      </w:r>
      <w:r>
        <w:rPr>
          <w:rStyle w:val="FootnoteAnchor"/>
          <w:rtl w:val="true"/>
        </w:rPr>
        <w:footnoteReference w:id="840"/>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 یأمل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841"/>
      </w:r>
      <w:r>
        <w:rPr>
          <w:rFonts w:ascii="IRNazanin" w:hAnsi="IRNazanin" w:eastAsia="IRNazanin"/>
          <w:color w:val="111111"/>
          <w:sz w:val="28"/>
          <w:sz w:val="28"/>
          <w:szCs w:val="28"/>
          <w:rtl w:val="true"/>
          <w:lang w:bidi="fa-IR"/>
        </w:rPr>
        <w:t>ضمّة، فبالواو،کما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842"/>
      </w:r>
      <w:r>
        <w:rPr>
          <w:rFonts w:ascii="IRNazanin" w:hAnsi="IRNazanin" w:eastAsia="IRNazanin"/>
          <w:color w:val="111111"/>
          <w:sz w:val="28"/>
          <w:sz w:val="28"/>
          <w:szCs w:val="28"/>
          <w:rtl w:val="true"/>
          <w:lang w:bidi="fa-IR"/>
        </w:rPr>
        <w:t>کسرة،فبالیاء،کما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طریق تخفیف الهمزة فی هذه الموادّ أن تبدل بالألف </w:t>
      </w:r>
      <w:r>
        <w:rPr>
          <w:rStyle w:val="FootnoteAnchor"/>
          <w:rtl w:val="true"/>
        </w:rPr>
        <w:footnoteReference w:id="843"/>
      </w:r>
      <w:r>
        <w:rPr>
          <w:rFonts w:ascii="IRNazanin" w:hAnsi="IRNazanin" w:eastAsia="IRNazanin"/>
          <w:color w:val="111111"/>
          <w:sz w:val="28"/>
          <w:sz w:val="28"/>
          <w:szCs w:val="28"/>
          <w:rtl w:val="true"/>
          <w:lang w:bidi="fa-IR"/>
        </w:rPr>
        <w:t>،و فی کثیر من الخطوط کتابة الهمزة فوق هذه الحروف؛و لعلّه لئلاّ یتوهّم الإبدال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متحرّکة مع سکون ما قبلها،و حینئذ فتکتب بحرف مجانس لحرکتها،کما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،بالواو؛لأنّه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لؤم </w:t>
      </w:r>
      <w:r>
        <w:rPr>
          <w:rStyle w:val="FootnoteAnchor"/>
          <w:rtl w:val="true"/>
        </w:rPr>
        <w:footnoteReference w:id="844"/>
      </w:r>
      <w:r>
        <w:rPr>
          <w:rFonts w:ascii="IRNazanin" w:hAnsi="IRNazanin" w:eastAsia="IRNazanin"/>
          <w:color w:val="111111"/>
          <w:sz w:val="28"/>
          <w:sz w:val="28"/>
          <w:szCs w:val="28"/>
          <w:rtl w:val="true"/>
          <w:lang w:bidi="fa-IR"/>
        </w:rPr>
        <w:t>،یلؤم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یشرف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الملالة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الهمزة فی الکتابة مطلقا،فیکتب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یسل،و یلم،و 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تحذف إذا کانت مفتوحة مع کونها بعد الألف </w:t>
      </w:r>
      <w:r>
        <w:rPr>
          <w:rStyle w:val="FootnoteAnchor"/>
          <w:rtl w:val="true"/>
        </w:rPr>
        <w:footnoteReference w:id="846"/>
      </w:r>
      <w:r>
        <w:rPr>
          <w:rFonts w:ascii="IRNazanin" w:hAnsi="IRNazanin" w:eastAsia="IRNazanin"/>
          <w:color w:val="111111"/>
          <w:sz w:val="28"/>
          <w:sz w:val="28"/>
          <w:szCs w:val="28"/>
          <w:rtl w:val="true"/>
          <w:lang w:bidi="fa-IR"/>
        </w:rPr>
        <w:t>،فتکتب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تحذف المفتوحة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تحذف الهمزة إن خفّفت بإدغام،کما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خطیئة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بنقل حرکة ثمّ حذف،کما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نقل فتح الهمزة إلی السّین،فحذفت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متحرّکة مع حرکة ما قبلها و حینئذ فالصور تسع،إذ الحرکة فی کلّ منهما إمّا فتحة،أو کسرة،أو ضمّة،و الحاصل من ضرب الثّلاث،فی الثّلاث ما ذکر، و یکتب فی غیر ما کانت همزته </w:t>
      </w:r>
      <w:r>
        <w:rPr>
          <w:rStyle w:val="FootnoteAnchor"/>
          <w:rtl w:val="true"/>
        </w:rPr>
        <w:footnoteReference w:id="849"/>
      </w:r>
      <w:r>
        <w:rPr>
          <w:rFonts w:ascii="IRNazanin" w:hAnsi="IRNazanin" w:eastAsia="IRNazanin"/>
          <w:color w:val="111111"/>
          <w:sz w:val="28"/>
          <w:sz w:val="28"/>
          <w:szCs w:val="28"/>
          <w:rtl w:val="true"/>
          <w:lang w:bidi="fa-IR"/>
        </w:rPr>
        <w:t>مضمومة مع کسر ما قبلها،و ما کانت مکسورة مع ضمّ ما قبلها بما یجانس حرکة الهمزة،ففی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بالواو،و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،بالألف،فإنّ تخفیف هذه الکلمات یکون بالتّسهیل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 یلفظ بین الهمزة </w:t>
      </w:r>
      <w:r>
        <w:rPr>
          <w:rStyle w:val="FootnoteAnchor"/>
          <w:rtl w:val="true"/>
        </w:rPr>
        <w:footnoteReference w:id="851"/>
      </w:r>
      <w:r>
        <w:rPr>
          <w:rFonts w:ascii="IRNazanin" w:hAnsi="IRNazanin" w:eastAsia="IRNazanin"/>
          <w:color w:val="111111"/>
          <w:sz w:val="28"/>
          <w:sz w:val="28"/>
          <w:szCs w:val="28"/>
          <w:rtl w:val="true"/>
          <w:lang w:bidi="fa-IR"/>
        </w:rPr>
        <w:t>،و الحرف المجانس لحرکتها،و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بین المشهور</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کتابتهما،أی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همزته مضمومة مع کسر ما قبلها،و بالعکس،کما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کما ذکر،أی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بالحرف المجانس لحرکة الهمزة،ففی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بالحرف المجانس لحرکة ما قبلها،ففی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،بالواو،و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تسهیلهما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التّسهیل غیر المشهور </w:t>
      </w:r>
      <w:r>
        <w:rPr>
          <w:rStyle w:val="FootnoteAnchor"/>
          <w:rtl w:val="true"/>
        </w:rPr>
        <w:footnoteReference w:id="854"/>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بین البعید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هذه المسألة یطلب فی باب تخفیف الهمزة من علم الصّرف </w:t>
      </w:r>
      <w:r>
        <w:rPr>
          <w:rStyle w:val="FootnoteAnchor"/>
          <w:rtl w:val="true"/>
        </w:rPr>
        <w:footnoteReference w:id="856"/>
      </w:r>
      <w:r>
        <w:rPr>
          <w:rFonts w:ascii="Amiri" w:hAnsi="Amiri" w:eastAsia="Amiri" w:cs="Amiri"/>
          <w:color w:val="111111"/>
          <w:sz w:val="28"/>
          <w:sz w:val="28"/>
          <w:szCs w:val="28"/>
          <w:rtl w:val="true"/>
          <w:lang w:bidi="ar-SA"/>
        </w:rPr>
        <w:t xml:space="preserve">،و القراءة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413" w:name="pg12937_139298"/>
    </w:p>
    <w:p>
      <w:pPr>
        <w:pStyle w:val="Heading5"/>
        <w:numPr>
          <w:ilvl w:val="4"/>
          <w:numId w:val="1"/>
        </w:numPr>
        <w:rPr/>
      </w:pPr>
      <w:bookmarkStart w:id="414" w:name="__RefHeading___Toc4067089_3224264995"/>
      <w:bookmarkStart w:id="415" w:name="_Toc158"/>
      <w:bookmarkEnd w:id="413"/>
      <w:bookmarkEnd w:id="414"/>
      <w:r>
        <w:rPr>
          <w:rtl w:val="true"/>
        </w:rPr>
        <w:t>[</w:t>
      </w:r>
      <w:r>
        <w:rPr>
          <w:rtl w:val="true"/>
        </w:rPr>
        <w:t>الهمزة المتطرفة</w:t>
      </w:r>
      <w:r>
        <w:rPr>
          <w:rtl w:val="true"/>
        </w:rPr>
        <w:t>"</w:t>
      </w:r>
      <w:r>
        <w:rPr>
          <w:rtl w:val="true"/>
        </w:rPr>
        <w:t>الختامیة</w:t>
      </w:r>
      <w:r>
        <w:rPr>
          <w:rtl w:val="true"/>
        </w:rPr>
        <w:t>"]</w:t>
      </w:r>
      <w:bookmarkEnd w:id="415"/>
    </w:p>
    <w:p>
      <w:pPr>
        <w:pStyle w:val="BookText"/>
        <w:rPr/>
      </w:pPr>
      <w:r>
        <w:rPr>
          <w:rFonts w:ascii="IRNazanin" w:hAnsi="IRNazanin" w:eastAsia="IRNazanin"/>
          <w:color w:val="111111"/>
          <w:sz w:val="28"/>
          <w:sz w:val="28"/>
          <w:szCs w:val="28"/>
          <w:rtl w:val="true"/>
          <w:lang w:bidi="fa-IR"/>
        </w:rPr>
        <w:t>و إن کان الثالث،أی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الهمزة فی آخر الکلمة،فینظر إلی ما قبلها،فإن کان ساکنا،حذفت فی الکتابة،کما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خبء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متحرّکا،فبحرکة ما قبلها،أی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بالحرف المجانس لهذه الحرکة،کما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کون الهمزة متحرّکة،کما ذکر،و کونها ساکنة،کما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یتّصل بالهمزة ما یمنع</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الوقف علیها کالضمیر المتّصل،أو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التّأنیث،و إلاّ،فتکتب کما تکتب إذا کانت فی الوسط،بمعنی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ینظر إلیها،فإن کانت ساکنة،فتکتب بالحرف المجانس لحرکة ما قبلها،کما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یقرئک </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قرأ،و اقرأ </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،بالواو،و إن کانت متحرّکة مع سکون ما قبلها، فتکتب بالحرف المجانس لحرکتها،ففی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ردأک </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ردآؤک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ردائک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بغیر ذلک من الأقوال المتقدّمة،فالکتابة علی مقتضاه،کما ذکر،و إن کانت متحرّکة مع حرکة ما قبلها،فعلی نحو ما ذکر من التّسهیل علی الخلاف المتقدّم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نعم،حکی الاتّفاق علی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،بحذف الهمزة؛رعایة لحال الإدغام؛فإنّ قاعدة الحرفین المدغمین،أن یکتبا بحرف واحد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bookmarkStart w:id="416" w:name="pg12937_139299"/>
    </w:p>
    <w:p>
      <w:pPr>
        <w:pStyle w:val="Heading5"/>
        <w:numPr>
          <w:ilvl w:val="4"/>
          <w:numId w:val="1"/>
        </w:numPr>
        <w:rPr/>
      </w:pPr>
      <w:bookmarkStart w:id="417" w:name="__RefHeading___Toc4067091_3224264995"/>
      <w:bookmarkStart w:id="418" w:name="_Toc159"/>
      <w:bookmarkEnd w:id="416"/>
      <w:bookmarkEnd w:id="417"/>
      <w:r>
        <w:rPr>
          <w:rtl w:val="true"/>
        </w:rPr>
        <w:t>فصل</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الهمزة مع حروف المدّ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الهمزة إذا کان بعدها حرف مدّ بصورتها،أی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الواو،أو الیاء،أو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المتحرّک ما قبلها بما یجانسها،حذفت صورتها،أی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 الّذی یکتب بدل الهمزة،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المنوّن المنصوب یکتب بالألف،کما عرفت،فإذا کتبت </w:t>
      </w:r>
      <w:r>
        <w:rPr>
          <w:rStyle w:val="FootnoteAnchor"/>
          <w:rtl w:val="true"/>
        </w:rPr>
        <w:footnoteReference w:id="863"/>
      </w:r>
      <w:r>
        <w:rPr>
          <w:rFonts w:ascii="IRNazanin" w:hAnsi="IRNazanin" w:eastAsia="IRNazanin"/>
          <w:color w:val="111111"/>
          <w:sz w:val="28"/>
          <w:sz w:val="28"/>
          <w:szCs w:val="28"/>
          <w:rtl w:val="true"/>
          <w:lang w:bidi="fa-IR"/>
        </w:rPr>
        <w:t>الهمزة المتحرّکة الّتی قبلها الفتحة بها أیضا،کما هو مقتضی القاعدة،لزم اجتماع المثلین، فیحذف ما یکتب بدل الهمزة،أی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الألف،فإنّ ما بعدها الألف أیضا،فهی کصورة الهمزة، و کذلک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الأوّل یکتب بالیاء الواحدة؛نظرا إلی أنّه لو صوّرت الهمزة بصورة الیاء،کما هو الضّابط فی الهمزة المتحرّکة المکسور ما قبلها، لزم اجتماع الیاءین،فحذفت الیاء الّتی هی صورة </w:t>
      </w:r>
      <w:r>
        <w:rPr>
          <w:rStyle w:val="FootnoteAnchor"/>
          <w:rtl w:val="true"/>
        </w:rPr>
        <w:footnoteReference w:id="864"/>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الثّانی،بالواو الواحدة،إذ لو کتبت صورة الهمزة،أی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کما هو مقتضی القاعدة فی المضموم ما قبله،لزم اجتماع الواوین،فحذفت الواو الّتی هی صورة الهمزة الملفوظة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تکتب الیاء فی الأوّل؛لأنّ اجتماع الیاءین خطّا أهون من اجتماع الواوین، و الألفین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إذا لم یحصل اشتباه کلمة بأخری،و إلاّ،فالعمل علی القاعدة </w:t>
      </w:r>
      <w:r>
        <w:rPr>
          <w:rStyle w:val="FootnoteAnchor"/>
          <w:rtl w:val="true"/>
        </w:rPr>
        <w:footnoteReference w:id="866"/>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الألف؛لالتبس بالمفرد،و کما فی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،فإنّه لو حذفت </w:t>
      </w:r>
      <w:r>
        <w:rPr>
          <w:rStyle w:val="FootnoteAnchor"/>
          <w:rtl w:val="true"/>
        </w:rPr>
        <w:footnoteReference w:id="867"/>
      </w:r>
      <w:r>
        <w:rPr>
          <w:rFonts w:ascii="IRNazanin" w:hAnsi="IRNazanin" w:eastAsia="IRNazanin"/>
          <w:color w:val="111111"/>
          <w:sz w:val="28"/>
          <w:sz w:val="28"/>
          <w:szCs w:val="28"/>
          <w:rtl w:val="true"/>
          <w:lang w:bidi="fa-IR"/>
        </w:rPr>
        <w:t>الألف لاشتبه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المؤنّث، و خرج باعتبارنا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المدّ بعد الهمزة،نحو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w:t>
      </w:r>
      <w:bookmarkStart w:id="419" w:name="pg12937_139300"/>
    </w:p>
    <w:p>
      <w:pPr>
        <w:pStyle w:val="BookText"/>
        <w:rPr/>
      </w:pPr>
      <w:bookmarkEnd w:id="419"/>
      <w:r>
        <w:rPr>
          <w:rFonts w:ascii="IRNazanin" w:hAnsi="IRNazanin" w:eastAsia="IRNazanin"/>
          <w:color w:val="111111"/>
          <w:sz w:val="28"/>
          <w:sz w:val="28"/>
          <w:szCs w:val="28"/>
          <w:rtl w:val="true"/>
          <w:lang w:bidi="fa-IR"/>
        </w:rPr>
        <w:t>تکتب حینئذ بالیاء أیضا،إذ الیاء الّتی بعدها لیست من حروف المدّ؛لفتح ما قبلها،و هو غیر مجانس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یوجّه ذلک أیضا،بأنّ هذا للفرق بین التّثنیة،و الجمع؛نظرا إلی أنّ الجمع أولی بالتّخفیف؛لکونه أثقل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المعتبر اتّحادهما فی الصورة الکتبیّة،فخرج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أضیف إلی یاء المتکلّم،فإنّها تکتب حینئذ بمقتضی القاعدة،فإنّ الیاء الّتی هی المضاف إلیها تکتب بصورة مغایرة لصورة الیاء الّتی هی صورة الهمزة </w:t>
      </w:r>
      <w:r>
        <w:rPr>
          <w:rStyle w:val="FootnoteAnchor"/>
          <w:rtl w:val="true"/>
        </w:rPr>
        <w:footnoteReference w:id="869"/>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الأصل فی الیاء المضاف إلیها،الفتح،و سائر الوجوه من السکون و نحوه،فرع علیه،فلا یکون مندرجا تحت اعتبار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 ذکر،نحو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زید فی اللفظ المهموز الآخر،یاء النّسبة؛لما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،للمفردة </w:t>
      </w:r>
      <w:r>
        <w:rPr>
          <w:rStyle w:val="FootnoteAnchor"/>
          <w:rtl w:val="true"/>
        </w:rPr>
        <w:footnoteReference w:id="870"/>
      </w:r>
      <w:r>
        <w:rPr>
          <w:rFonts w:ascii="IRNazanin" w:hAnsi="IRNazanin" w:eastAsia="IRNazanin"/>
          <w:color w:val="111111"/>
          <w:sz w:val="28"/>
          <w:sz w:val="28"/>
          <w:szCs w:val="28"/>
          <w:rtl w:val="true"/>
          <w:lang w:bidi="fa-IR"/>
        </w:rPr>
        <w:t>المخاطبة،ک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تضربی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؛للمغایرة فی الصّورة، و لحصول الالتباس بالمفردة الغائبة،أو المفرد المخاطب لو حذفت الیاء الّتی هی صورة الهمزة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4067093_3224264995"/>
      <w:bookmarkStart w:id="421" w:name="_Toc160"/>
      <w:bookmarkEnd w:id="420"/>
      <w:r>
        <w:rPr>
          <w:rtl w:val="true"/>
        </w:rPr>
        <w:t>الفائدة الرّابعة</w:t>
      </w:r>
      <w:r>
        <w:rPr>
          <w:rtl w:val="true"/>
        </w:rPr>
        <w:t>:</w:t>
      </w:r>
      <w:bookmarkEnd w:id="421"/>
    </w:p>
    <w:p>
      <w:pPr>
        <w:pStyle w:val="Heading5"/>
        <w:numPr>
          <w:ilvl w:val="4"/>
          <w:numId w:val="1"/>
        </w:numPr>
        <w:rPr/>
      </w:pPr>
      <w:bookmarkStart w:id="422" w:name="__RefHeading___Toc4067095_3224264995"/>
      <w:bookmarkStart w:id="423" w:name="_Toc161"/>
      <w:bookmarkEnd w:id="422"/>
      <w:r>
        <w:rPr>
          <w:rtl w:val="true"/>
        </w:rPr>
        <w:t>اشاره</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الکلمات و 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الکتابة وصل الحروف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حرفیّة غیر مصدریّة </w:t>
      </w:r>
      <w:r>
        <w:rPr>
          <w:rStyle w:val="FootnoteAnchor"/>
          <w:rtl w:val="true"/>
        </w:rPr>
        <w:footnoteReference w:id="872"/>
      </w:r>
      <w:r>
        <w:rPr>
          <w:rFonts w:ascii="Amiri" w:hAnsi="Amiri" w:eastAsia="Amiri" w:cs="Amiri"/>
          <w:color w:val="111111"/>
          <w:sz w:val="28"/>
          <w:sz w:val="28"/>
          <w:szCs w:val="28"/>
          <w:rtl w:val="true"/>
          <w:lang w:bidi="ar-SA"/>
        </w:rPr>
        <w:t>،و کذلک شبه الحروف من الأسماء المتضمّنة لمعنی الشّرط و الاستفهام،إلا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w:t>
      </w:r>
      <w:r>
        <w:rPr>
          <w:rStyle w:val="FootnoteAnchor"/>
          <w:rtl w:val="true"/>
        </w:rPr>
        <w:footnoteReference w:id="8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تکن أکن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أَیْنَمٰا تَکُونُوا یُدْرِکْکُمُ الْمَوْتُ </w:t>
      </w:r>
      <w:r>
        <w:rPr>
          <w:rStyle w:val="FootnoteAnchor"/>
          <w:rtl w:val="true"/>
        </w:rPr>
        <w:footnoteReference w:id="8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اتیتنی أکرمتک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جئتنی أعطیتک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برّا،فاقترب</w:t>
      </w:r>
      <w:r>
        <w:rPr>
          <w:rFonts w:eastAsia="IRNazanin" w:cs="IRNazanin"/>
          <w:color w:val="111111"/>
          <w:sz w:val="28"/>
          <w:szCs w:val="28"/>
          <w:rtl w:val="true"/>
          <w:lang w:bidi="fa-IR"/>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 وَ إِمّٰا تَخٰافَنَّ مِنْ قَوْمٍ </w:t>
      </w:r>
      <w:r>
        <w:rPr>
          <w:rStyle w:val="FootnoteAnchor"/>
          <w:rtl w:val="true"/>
        </w:rPr>
        <w:footnoteReference w:id="876"/>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الأمثلة زائدة؛فهی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یجب الوصل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جمیع الأقوال </w:t>
      </w:r>
      <w:r>
        <w:rPr>
          <w:rStyle w:val="FootnoteAnchor"/>
          <w:rtl w:val="true"/>
        </w:rPr>
        <w:footnoteReference w:id="877"/>
      </w:r>
      <w:r>
        <w:rPr>
          <w:rFonts w:ascii="IRNazanin" w:hAnsi="IRNazanin" w:eastAsia="IRNazanin"/>
          <w:color w:val="111111"/>
          <w:sz w:val="28"/>
          <w:sz w:val="28"/>
          <w:szCs w:val="28"/>
          <w:rtl w:val="true"/>
          <w:lang w:bidi="fa-IR"/>
        </w:rPr>
        <w:t>،فی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لتخصیص الذّکر بالحرف کما فی أکثر الکتب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الوصل بأنّ الحرف غیر مستقلّ،فجعل کالتّتمّة لما قبله،و للفرق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الاسمیّة،فیکتب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عندی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وعدتنی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،بالفصل،فإنّ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موصول اسمی،بمعنی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879"/>
      </w:r>
      <w:r>
        <w:rPr>
          <w:rFonts w:ascii="Amiri" w:hAnsi="Amiri" w:eastAsia="Amiri" w:cs="Amiri"/>
          <w:color w:val="111111"/>
          <w:sz w:val="28"/>
          <w:sz w:val="28"/>
          <w:szCs w:val="28"/>
          <w:rtl w:val="true"/>
          <w:lang w:bidi="ar-SA"/>
        </w:rPr>
        <w:t>،و إنّما قیّدنا الحرفیّة</w:t>
      </w:r>
      <w:r>
        <w:rPr>
          <w:rFonts w:eastAsia="Amiri" w:cs="Amiri" w:ascii="Amiri" w:hAnsi="Amiri"/>
          <w:color w:val="111111"/>
          <w:sz w:val="28"/>
          <w:szCs w:val="28"/>
          <w:rtl w:val="true"/>
          <w:lang w:bidi="ar-SA"/>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کونها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غیر مصدریّة،فإنّ المصدریّة و إن کانت حرفا،و لکنّها لکونها کالجزء </w:t>
      </w:r>
      <w:bookmarkStart w:id="424" w:name="pg12937_139302"/>
    </w:p>
    <w:p>
      <w:pPr>
        <w:pStyle w:val="BookText"/>
        <w:rPr/>
      </w:pPr>
      <w:bookmarkEnd w:id="424"/>
      <w:r>
        <w:rPr>
          <w:rFonts w:ascii="IRNazanin" w:hAnsi="IRNazanin" w:eastAsia="IRNazanin"/>
          <w:color w:val="111111"/>
          <w:sz w:val="28"/>
          <w:sz w:val="28"/>
          <w:szCs w:val="28"/>
          <w:rtl w:val="true"/>
          <w:lang w:bidi="fa-IR"/>
        </w:rPr>
        <w:t>ممّا بعدها تکتب منفصلة،کما فی قولک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صنعت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صنعک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w:t>
      </w:r>
      <w:r>
        <w:rPr>
          <w:rStyle w:val="FootnoteAnchor"/>
          <w:rtl w:val="true"/>
        </w:rPr>
        <w:footnoteReference w:id="881"/>
      </w:r>
      <w:r>
        <w:rPr>
          <w:rFonts w:ascii="IRNazanin" w:hAnsi="IRNazanin" w:eastAsia="IRNazanin"/>
          <w:color w:val="111111"/>
          <w:sz w:val="28"/>
          <w:sz w:val="28"/>
          <w:szCs w:val="28"/>
          <w:rtl w:val="true"/>
          <w:lang w:bidi="fa-IR"/>
        </w:rPr>
        <w:t>استثنینا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ترکب أرکب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Style w:val="FootnoteAnchor"/>
          <w:rtl w:val="true"/>
        </w:rPr>
        <w:footnoteReference w:id="882"/>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استعمالها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وصلنا؛لزم قلب الیاء ألفا،فیکتب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الغالب فی الأسماء انفصال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فی الکتابة مطلقا،و لعلّه لذا خصّوا الحکم بالحروف،فلیتأمّل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أنّه قد 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إن کانت اسمیّة؛رعایة لحال الإدغام</w:t>
      </w:r>
      <w:r>
        <w:rPr>
          <w:rFonts w:eastAsia="IRNazanin" w:cs="IRNazanin"/>
          <w:color w:val="111111"/>
          <w:sz w:val="28"/>
          <w:szCs w:val="28"/>
          <w:rtl w:val="true"/>
          <w:lang w:bidi="fa-IR"/>
        </w:rPr>
        <w:t>.</w:t>
      </w:r>
    </w:p>
    <w:p>
      <w:pPr>
        <w:pStyle w:val="Heading5"/>
        <w:numPr>
          <w:ilvl w:val="4"/>
          <w:numId w:val="1"/>
        </w:numPr>
        <w:rPr/>
      </w:pPr>
      <w:bookmarkStart w:id="425" w:name="__RefHeading___Toc4067097_3224264995"/>
      <w:bookmarkStart w:id="426" w:name="_Toc162"/>
      <w:bookmarkEnd w:id="425"/>
      <w:r>
        <w:rPr>
          <w:rtl w:val="true"/>
        </w:rPr>
        <w:t>فصل</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النّاصبة للفعل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النّافیة،أو الزّائدة،کما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w:t>
      </w:r>
      <w:r>
        <w:rPr>
          <w:rStyle w:val="FootnoteAnchor"/>
          <w:rtl w:val="true"/>
        </w:rPr>
        <w:footnoteReference w:id="88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المخفّفة من المثقّلة،فتفصل 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لا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مخفّفة،لا ناصبة؛لوقوعها بعد العلم؛و الوجه فی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المخفّفة فی نیّة الانفصال عن الفعل،إذ اسمها ضمیر شأن مقدّر وجوبا،بخلاف النّاصبة،و قد ذکرت </w:t>
      </w:r>
      <w:r>
        <w:rPr>
          <w:rStyle w:val="FootnoteAnchor"/>
          <w:rtl w:val="true"/>
        </w:rPr>
        <w:footnoteReference w:id="888"/>
      </w:r>
      <w:r>
        <w:rPr>
          <w:rFonts w:ascii="IRNazanin" w:hAnsi="IRNazanin" w:eastAsia="IRNazanin"/>
          <w:color w:val="111111"/>
          <w:sz w:val="28"/>
          <w:sz w:val="28"/>
          <w:szCs w:val="28"/>
          <w:rtl w:val="true"/>
          <w:lang w:bidi="fa-IR"/>
        </w:rPr>
        <w:t xml:space="preserve">وجوه أخر </w:t>
      </w:r>
      <w:r>
        <w:rPr>
          <w:rStyle w:val="FootnoteAnchor"/>
          <w:rtl w:val="true"/>
        </w:rPr>
        <w:footnoteReference w:id="889"/>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bookmarkStart w:id="427" w:name="pg12937_139303"/>
    </w:p>
    <w:p>
      <w:pPr>
        <w:pStyle w:val="BookText"/>
        <w:rPr/>
      </w:pPr>
      <w:bookmarkEnd w:id="427"/>
      <w:r>
        <w:rPr>
          <w:rFonts w:ascii="IRNazanin" w:hAnsi="IRNazanin" w:eastAsia="IRNazanin"/>
          <w:color w:val="111111"/>
          <w:sz w:val="28"/>
          <w:sz w:val="28"/>
          <w:szCs w:val="28"/>
          <w:rtl w:val="true"/>
          <w:lang w:bidi="fa-IR"/>
        </w:rPr>
        <w:t>و 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w:t>
      </w:r>
      <w:r>
        <w:rPr>
          <w:rStyle w:val="FootnoteAnchor"/>
          <w:rtl w:val="true"/>
        </w:rPr>
        <w:footnoteReference w:id="891"/>
      </w:r>
      <w:r>
        <w:rPr>
          <w:rStyle w:val="FootnoteAnchor"/>
          <w:rtl w:val="true"/>
        </w:rPr>
        <w:footnoteReference w:id="892"/>
      </w:r>
      <w:r>
        <w:rPr>
          <w:rFonts w:ascii="IRNazanin" w:hAnsi="IRNazanin" w:eastAsia="IRNazanin"/>
          <w:color w:val="111111"/>
          <w:sz w:val="28"/>
          <w:sz w:val="28"/>
          <w:szCs w:val="28"/>
          <w:rtl w:val="true"/>
          <w:lang w:bidi="fa-IR"/>
        </w:rPr>
        <w:t>، و کذلک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عرفت؛و ذلک لتأثیرها الجزم فی الفعل،بخلاف المخفّفة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النّون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النّاصبة و الشّرطیّة تحذف فی الکتابة </w:t>
      </w:r>
      <w:r>
        <w:rPr>
          <w:rStyle w:val="FootnoteAnchor"/>
          <w:rtl w:val="true"/>
        </w:rPr>
        <w:footnoteReference w:id="893"/>
      </w:r>
      <w:r>
        <w:rPr>
          <w:rFonts w:ascii="IRNazanin" w:hAnsi="IRNazanin" w:eastAsia="IRNazanin"/>
          <w:color w:val="111111"/>
          <w:sz w:val="28"/>
          <w:sz w:val="28"/>
          <w:szCs w:val="28"/>
          <w:rtl w:val="true"/>
          <w:lang w:bidi="fa-IR"/>
        </w:rPr>
        <w:t>،و یقتصر علی صورة المدغم فیه؛و ذلک لأنّ الإدغام مقتض للاتّصال،فیؤکّد بالحذف فی الخطّ أیضا</w:t>
      </w:r>
      <w:r>
        <w:rPr>
          <w:rFonts w:eastAsia="IRNazanin" w:cs="IRNazanin"/>
          <w:color w:val="111111"/>
          <w:sz w:val="28"/>
          <w:szCs w:val="28"/>
          <w:rtl w:val="true"/>
          <w:lang w:bidi="fa-IR"/>
        </w:rPr>
        <w:t>.</w:t>
      </w:r>
    </w:p>
    <w:p>
      <w:pPr>
        <w:pStyle w:val="Heading5"/>
        <w:numPr>
          <w:ilvl w:val="4"/>
          <w:numId w:val="1"/>
        </w:numPr>
        <w:rPr/>
      </w:pPr>
      <w:bookmarkStart w:id="428" w:name="__RefHeading___Toc4067099_3224264995"/>
      <w:bookmarkStart w:id="429" w:name="_Toc163"/>
      <w:bookmarkEnd w:id="428"/>
      <w:r>
        <w:rPr>
          <w:rtl w:val="true"/>
        </w:rPr>
        <w:t>فصل</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الظروف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یوصل فی الظّروف المضافة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الإضافة محصّلة هنا للبناء،بمعنی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المضاف اکتسب البناء من المضاف </w:t>
      </w:r>
      <w:r>
        <w:rPr>
          <w:rStyle w:val="FootnoteAnchor"/>
          <w:rtl w:val="true"/>
        </w:rPr>
        <w:footnoteReference w:id="894"/>
      </w:r>
      <w:r>
        <w:rPr>
          <w:rFonts w:ascii="IRNazanin" w:hAnsi="IRNazanin" w:eastAsia="IRNazanin"/>
          <w:color w:val="111111"/>
          <w:sz w:val="28"/>
          <w:sz w:val="28"/>
          <w:szCs w:val="28"/>
          <w:rtl w:val="true"/>
          <w:lang w:bidi="fa-IR"/>
        </w:rPr>
        <w:t>إلیه،و هو دلیل شدّة اتّصال الظّرف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حینئذ بصورة الیاء؛إذ الکلمتان حینئذ فی حکم کلمة واحدة،فتکون الهمزة فی الوسط،و قد تقدّم أنّها حینئذ تکتب بحرف مجانس لحرکتها،کما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أنّها بمنزلة الهمزة المتوسّطة المتحرّکة الّتی کان ما قبلها متحرّکا،فلا یعتبر کونها فی الأصل فی أوّل الکلمة حتّی تکتب بالألف مطلقا</w:t>
      </w:r>
      <w:r>
        <w:rPr>
          <w:rFonts w:eastAsia="IRNazanin" w:cs="IRNazanin"/>
          <w:color w:val="111111"/>
          <w:sz w:val="28"/>
          <w:szCs w:val="28"/>
          <w:rtl w:val="true"/>
          <w:lang w:bidi="fa-IR"/>
        </w:rPr>
        <w:t xml:space="preserve">. </w:t>
      </w:r>
      <w:bookmarkStart w:id="430" w:name="pg12937_139304"/>
    </w:p>
    <w:p>
      <w:pPr>
        <w:pStyle w:val="Heading5"/>
        <w:numPr>
          <w:ilvl w:val="4"/>
          <w:numId w:val="1"/>
        </w:numPr>
        <w:rPr/>
      </w:pPr>
      <w:bookmarkStart w:id="431" w:name="__RefHeading___Toc4067101_3224264995"/>
      <w:bookmarkStart w:id="432" w:name="_Toc164"/>
      <w:bookmarkEnd w:id="430"/>
      <w:bookmarkEnd w:id="431"/>
      <w:r>
        <w:rPr>
          <w:rtl w:val="true"/>
        </w:rPr>
        <w:t>فصل</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توصل بما تدخل علیه،و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بمجموعها حرف التّعریف،کما هو مذهب الخلیل </w:t>
      </w:r>
      <w:r>
        <w:rPr>
          <w:rStyle w:val="FootnoteAnchor"/>
          <w:rtl w:val="true"/>
        </w:rPr>
        <w:footnoteReference w:id="896"/>
      </w:r>
      <w:r>
        <w:rPr>
          <w:rFonts w:ascii="IRNazanin" w:hAnsi="IRNazanin" w:eastAsia="IRNazanin"/>
          <w:color w:val="111111"/>
          <w:sz w:val="28"/>
          <w:sz w:val="28"/>
          <w:szCs w:val="28"/>
          <w:rtl w:val="true"/>
          <w:lang w:bidi="fa-IR"/>
        </w:rPr>
        <w:t>لکثرة الاستعمال،فیناسبها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الاتّصال الموجب للتّخفیف الکتبی،أو لتنزیلها منزلة العدم؛لسقوطها فی الدّرج </w:t>
      </w:r>
      <w:r>
        <w:rPr>
          <w:rStyle w:val="FootnoteAnchor"/>
          <w:rtl w:val="true"/>
        </w:rPr>
        <w:footnoteReference w:id="897"/>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لیست من همزات الوصل،کما هو ظاهر هذا القول </w:t>
      </w:r>
      <w:r>
        <w:rPr>
          <w:rStyle w:val="FootnoteAnchor"/>
          <w:rtl w:val="true"/>
        </w:rPr>
        <w:footnoteReference w:id="898"/>
      </w:r>
      <w:r>
        <w:rPr>
          <w:rFonts w:ascii="IRNazanin" w:hAnsi="IRNazanin" w:eastAsia="IRNazanin"/>
          <w:color w:val="111111"/>
          <w:sz w:val="28"/>
          <w:sz w:val="28"/>
          <w:szCs w:val="28"/>
          <w:rtl w:val="true"/>
          <w:lang w:bidi="fa-IR"/>
        </w:rPr>
        <w:t xml:space="preserve">،و أمّا علی قول سیبویه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اللام فقط حرف </w:t>
      </w:r>
    </w:p>
    <w:p>
      <w:pPr>
        <w:pStyle w:val="BookText"/>
        <w:rPr/>
      </w:pPr>
      <w:r>
        <w:rPr>
          <w:rFonts w:ascii="IRNazanin" w:hAnsi="IRNazanin" w:eastAsia="IRNazanin"/>
          <w:color w:val="111111"/>
          <w:sz w:val="28"/>
          <w:sz w:val="28"/>
          <w:szCs w:val="28"/>
          <w:rtl w:val="true"/>
          <w:lang w:bidi="fa-IR"/>
        </w:rPr>
        <w:t>تعریف،فالوجه ظاهر،لعدم استقلالها حینئذ،فتکون کالباء،فی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أدغمت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ممّا اشتمل علی الحروف الشّمسیّة </w:t>
      </w:r>
      <w:r>
        <w:rPr>
          <w:rStyle w:val="FootnoteAnchor"/>
          <w:rtl w:val="true"/>
        </w:rPr>
        <w:footnoteReference w:id="900"/>
      </w:r>
      <w:r>
        <w:rPr>
          <w:rFonts w:ascii="IRNazanin" w:hAnsi="IRNazanin" w:eastAsia="IRNazanin"/>
          <w:color w:val="111111"/>
          <w:sz w:val="28"/>
          <w:sz w:val="28"/>
          <w:szCs w:val="28"/>
          <w:rtl w:val="true"/>
          <w:lang w:bidi="fa-IR"/>
        </w:rPr>
        <w:t>لمکان الالتباس بالاستفهام فی کثیر من المواضع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 فی بعض اللغات </w:t>
      </w:r>
      <w:r>
        <w:rPr>
          <w:rStyle w:val="FootnoteAnchor"/>
          <w:rtl w:val="true"/>
        </w:rPr>
        <w:footnoteReference w:id="901"/>
      </w:r>
      <w:r>
        <w:rPr>
          <w:rFonts w:ascii="IRNazanin" w:hAnsi="IRNazanin" w:eastAsia="IRNazanin"/>
          <w:color w:val="111111"/>
          <w:sz w:val="28"/>
          <w:sz w:val="28"/>
          <w:szCs w:val="28"/>
          <w:rtl w:val="true"/>
          <w:lang w:bidi="fa-IR"/>
        </w:rPr>
        <w:t>،فتفصلان،ک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خلاف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33" w:name="pg12937_139306"/>
    </w:p>
    <w:p>
      <w:pPr>
        <w:pStyle w:val="Heading4"/>
        <w:numPr>
          <w:ilvl w:val="3"/>
          <w:numId w:val="1"/>
        </w:numPr>
        <w:rPr/>
      </w:pPr>
      <w:bookmarkStart w:id="434" w:name="__RefHeading___Toc4067103_3224264995"/>
      <w:bookmarkStart w:id="435" w:name="_Toc165"/>
      <w:bookmarkEnd w:id="433"/>
      <w:bookmarkEnd w:id="434"/>
      <w:r>
        <w:rPr>
          <w:rtl w:val="true"/>
        </w:rPr>
        <w:t>الفائدة الخامسة</w:t>
      </w:r>
      <w:r>
        <w:rPr>
          <w:rtl w:val="true"/>
        </w:rPr>
        <w:t>:</w:t>
      </w:r>
      <w:bookmarkEnd w:id="435"/>
    </w:p>
    <w:p>
      <w:pPr>
        <w:pStyle w:val="Heading5"/>
        <w:numPr>
          <w:ilvl w:val="4"/>
          <w:numId w:val="1"/>
        </w:numPr>
        <w:rPr/>
      </w:pPr>
      <w:bookmarkStart w:id="436" w:name="__RefHeading___Toc4067105_3224264995"/>
      <w:bookmarkStart w:id="437" w:name="_Toc166"/>
      <w:bookmarkEnd w:id="436"/>
      <w:r>
        <w:rPr>
          <w:rtl w:val="true"/>
        </w:rPr>
        <w:t>اشاره</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زیادة الألف فی الکتابة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فی الفعل إذا لم یتّصل به الضّمیر،کما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نصروا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العطف </w:t>
      </w:r>
      <w:r>
        <w:rPr>
          <w:rStyle w:val="FootnoteAnchor"/>
          <w:rtl w:val="true"/>
        </w:rPr>
        <w:footnoteReference w:id="903"/>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القوم نصروا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یتبیّن ذلک،فتدبّر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الجمع؛لیخرج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یتّصل،ما إذا اتّصل به الضّمیر،کما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یزاد الألف؛لعدم الالتباس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العطف؛فإنّها تجیء بعد تمام الکلمة،و الضّمیر المتّصل بمنزلة الجزء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بقید الاتّصال ما لو کان الضّمیر فیه منفصلا،فلو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أردت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الفاعل،وجب زیادة الألف؛لأنّ الضّمیر المؤکّد لا یتّصل بالفعل بخلاف ما لو أردت به </w:t>
      </w:r>
      <w:r>
        <w:rPr>
          <w:rStyle w:val="FootnoteAnchor"/>
          <w:rtl w:val="true"/>
        </w:rPr>
        <w:footnoteReference w:id="904"/>
      </w:r>
      <w:r>
        <w:rPr>
          <w:rFonts w:ascii="IRNazanin" w:hAnsi="IRNazanin" w:eastAsia="IRNazanin"/>
          <w:color w:val="111111"/>
          <w:sz w:val="28"/>
          <w:sz w:val="28"/>
          <w:szCs w:val="28"/>
          <w:rtl w:val="true"/>
          <w:lang w:bidi="fa-IR"/>
        </w:rPr>
        <w:t>المفعول،و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الفعل،إذ الاسم لا یجب فیه ذلک،کقولک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ضاربو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بالاسم،فلم یبال باللبس إن وقع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یلحق الألف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مطلقا،و ربّما یحذف کذلک؛إذ الالتباس مرتفع بالقرائن،فتأمّل</w:t>
      </w:r>
      <w:r>
        <w:rPr>
          <w:rFonts w:eastAsia="IRNazanin" w:cs="IRNazanin"/>
          <w:color w:val="111111"/>
          <w:sz w:val="28"/>
          <w:szCs w:val="28"/>
          <w:rtl w:val="true"/>
          <w:lang w:bidi="fa-IR"/>
        </w:rPr>
        <w:t xml:space="preserve">!. </w:t>
      </w:r>
      <w:bookmarkStart w:id="438" w:name="pg12937_139307"/>
    </w:p>
    <w:p>
      <w:pPr>
        <w:pStyle w:val="Heading5"/>
        <w:numPr>
          <w:ilvl w:val="4"/>
          <w:numId w:val="1"/>
        </w:numPr>
        <w:rPr/>
      </w:pPr>
      <w:bookmarkStart w:id="439" w:name="__RefHeading___Toc4067107_3224264995"/>
      <w:bookmarkStart w:id="440" w:name="_Toc167"/>
      <w:bookmarkEnd w:id="438"/>
      <w:bookmarkEnd w:id="439"/>
      <w:r>
        <w:rPr>
          <w:rtl w:val="true"/>
        </w:rPr>
        <w:t>فصل</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یزاد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العدد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قبل الهمزة،و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مائتین، تثنیتها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الأوّل؛فلأنّه لو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لالتبست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المجرور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،و أمّا الثّانی،فلبقاء صورة المفرد،إذ التّثنیة نفس المفرد مع زیادة فی الآخر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تزاد فیها الألف؛لمکان التّغییر،و زوال صورة المفرد بالمرّة،فتدبّر</w:t>
      </w:r>
      <w:r>
        <w:rPr>
          <w:rFonts w:eastAsia="IRNazanin" w:cs="IRNazanin"/>
          <w:color w:val="111111"/>
          <w:sz w:val="28"/>
          <w:szCs w:val="28"/>
          <w:rtl w:val="true"/>
          <w:lang w:bidi="fa-IR"/>
        </w:rPr>
        <w:t>!.</w:t>
      </w:r>
    </w:p>
    <w:p>
      <w:pPr>
        <w:pStyle w:val="Heading5"/>
        <w:numPr>
          <w:ilvl w:val="4"/>
          <w:numId w:val="1"/>
        </w:numPr>
        <w:rPr/>
      </w:pPr>
      <w:bookmarkStart w:id="441" w:name="__RefHeading___Toc4067109_3224264995"/>
      <w:bookmarkStart w:id="442" w:name="_Toc168"/>
      <w:bookmarkEnd w:id="441"/>
      <w:r>
        <w:rPr>
          <w:rtl w:val="true"/>
        </w:rPr>
        <w:t>فصل</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یزاد فی آخر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علما،مکبّرا،مرفوعا،أو مجرورا،و لم یکن فی القافیة،و لا متّصلا به الضّمیر،و لا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الواو </w:t>
      </w:r>
      <w:r>
        <w:rPr>
          <w:rStyle w:val="FootnoteAnchor"/>
          <w:rtl w:val="true"/>
        </w:rPr>
        <w:footnoteReference w:id="912"/>
      </w:r>
      <w:r>
        <w:rPr>
          <w:rFonts w:ascii="IRNazanin" w:hAnsi="IRNazanin" w:eastAsia="IRNazanin"/>
          <w:color w:val="111111"/>
          <w:sz w:val="28"/>
          <w:sz w:val="28"/>
          <w:szCs w:val="28"/>
          <w:rtl w:val="true"/>
          <w:lang w:bidi="fa-IR"/>
        </w:rPr>
        <w:t xml:space="preserve">،قال ابن حزم الظّاهری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تجنّب صدیقا مثل ما و احذر الّذی یکون کعمرو بین عرب و أعجم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قال ابن هشام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الکنایة عن الرّجل النّاقص،کنقص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الموصولة، و بعمرو الکنایة عن المتزید </w:t>
      </w:r>
      <w:r>
        <w:rPr>
          <w:rStyle w:val="FootnoteAnchor"/>
          <w:rtl w:val="true"/>
        </w:rPr>
        <w:footnoteReference w:id="916"/>
      </w:r>
      <w:r>
        <w:rPr>
          <w:rFonts w:ascii="IRNazanin" w:hAnsi="IRNazanin" w:eastAsia="IRNazanin"/>
          <w:color w:val="111111"/>
          <w:sz w:val="28"/>
          <w:sz w:val="28"/>
          <w:szCs w:val="28"/>
          <w:rtl w:val="true"/>
          <w:lang w:bidi="fa-IR"/>
        </w:rPr>
        <w:t xml:space="preserve">الآخذ ما لیس له </w:t>
      </w:r>
      <w:r>
        <w:rPr>
          <w:rStyle w:val="FootnoteAnchor"/>
          <w:rtl w:val="true"/>
        </w:rPr>
        <w:footnoteReference w:id="917"/>
      </w:r>
      <w:r>
        <w:rPr>
          <w:rFonts w:ascii="IRNazanin" w:hAnsi="IRNazanin" w:eastAsia="IRNazanin"/>
          <w:color w:val="111111"/>
          <w:sz w:val="28"/>
          <w:sz w:val="28"/>
          <w:szCs w:val="28"/>
          <w:rtl w:val="true"/>
          <w:lang w:bidi="fa-IR"/>
        </w:rPr>
        <w:t xml:space="preserve">،کأخذ عمرو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الخطّ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للفرق بینه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الأوّل،و فتح الثّانی،مع تحقّق کثرة الاستعمال فیهما </w:t>
      </w:r>
      <w:r>
        <w:rPr>
          <w:rStyle w:val="FootnoteAnchor"/>
          <w:rtl w:val="true"/>
        </w:rPr>
        <w:footnoteReference w:id="920"/>
      </w:r>
      <w:r>
        <w:rPr>
          <w:rFonts w:ascii="IRNazanin" w:hAnsi="IRNazanin" w:eastAsia="IRNazanin"/>
          <w:color w:val="111111"/>
          <w:sz w:val="28"/>
          <w:sz w:val="28"/>
          <w:szCs w:val="28"/>
          <w:rtl w:val="true"/>
          <w:lang w:bidi="fa-IR"/>
        </w:rPr>
        <w:t xml:space="preserve">،و إنّما لم یعکس </w:t>
      </w:r>
      <w:r>
        <w:rPr>
          <w:rStyle w:val="FootnoteAnchor"/>
          <w:rtl w:val="true"/>
        </w:rPr>
        <w:footnoteReference w:id="921"/>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غیر منصرف </w:t>
      </w:r>
      <w:r>
        <w:rPr>
          <w:rStyle w:val="FootnoteAnchor"/>
          <w:rtl w:val="true"/>
        </w:rPr>
        <w:footnoteReference w:id="922"/>
      </w:r>
      <w:r>
        <w:rPr>
          <w:rFonts w:ascii="IRNazanin" w:hAnsi="IRNazanin" w:eastAsia="IRNazanin"/>
          <w:color w:val="111111"/>
          <w:sz w:val="28"/>
          <w:sz w:val="28"/>
          <w:szCs w:val="28"/>
          <w:rtl w:val="true"/>
          <w:lang w:bidi="fa-IR"/>
        </w:rPr>
        <w:t>للعدلیّة،و العلمیّة؛فهو ثقیل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منصرف؛فهو أخفّ،و الزیادة بالأخفّ أولی و أنسب،و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مصدرا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یعمر،لم یکثر استعماله،فلا عبرة باللبس نادرا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مصغّر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کلیهما،فلا تحصل تفرقة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Style w:val="FootnoteAnchor"/>
          <w:rtl w:val="true"/>
        </w:rPr>
        <w:footnoteReference w:id="923"/>
      </w:r>
      <w:r>
        <w:rPr>
          <w:rFonts w:ascii="IRNazanin" w:hAnsi="IRNazanin" w:eastAsia="IRNazanin"/>
          <w:color w:val="111111"/>
          <w:sz w:val="28"/>
          <w:sz w:val="28"/>
          <w:szCs w:val="28"/>
          <w:rtl w:val="true"/>
          <w:lang w:bidi="fa-IR"/>
        </w:rPr>
        <w:t xml:space="preserve">قیل </w:t>
      </w:r>
      <w:r>
        <w:rPr>
          <w:rStyle w:val="FootnoteAnchor"/>
          <w:rtl w:val="true"/>
        </w:rPr>
        <w:footnoteReference w:id="92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443" w:name="pg12937_139309"/>
    </w:p>
    <w:p>
      <w:pPr>
        <w:pStyle w:val="BookText"/>
        <w:rPr/>
      </w:pPr>
      <w:bookmarkEnd w:id="443"/>
      <w:r>
        <w:rPr>
          <w:rFonts w:ascii="IRNazanin" w:hAnsi="IRNazanin" w:eastAsia="IRNazanin"/>
          <w:color w:val="111111"/>
          <w:sz w:val="28"/>
          <w:sz w:val="28"/>
          <w:szCs w:val="28"/>
          <w:rtl w:val="true"/>
          <w:lang w:bidi="fa-IR"/>
        </w:rPr>
        <w:t>و خرج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مرفوعا،أو مجرورا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دخول التّنوین دلیل علی الانصراف،فیمتاز بذلک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ربّما تلحق الواو به حینئذ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القافیة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فیها،کما فی قوله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لمّا أن عرفت وجوهنا</w:t>
      </w:r>
    </w:p>
    <w:p>
      <w:pPr>
        <w:pStyle w:val="BookText"/>
        <w:rPr/>
      </w:pPr>
      <w:r>
        <w:rPr>
          <w:rFonts w:ascii="IRNazanin" w:hAnsi="IRNazanin" w:eastAsia="IRNazanin"/>
          <w:color w:val="111111"/>
          <w:sz w:val="28"/>
          <w:sz w:val="28"/>
          <w:szCs w:val="28"/>
          <w:rtl w:val="true"/>
          <w:lang w:bidi="fa-IR"/>
        </w:rPr>
        <w:t xml:space="preserve">صددت و طبت النّفس یا قیس عن عمر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إذ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القافیة لیس علی نهج واحد،و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متّصلا به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و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Style w:val="FootnoteAnchor"/>
          <w:rtl w:val="true"/>
        </w:rPr>
        <w:footnoteReference w:id="928"/>
      </w:r>
      <w:r>
        <w:rPr>
          <w:rFonts w:ascii="IRNazanin" w:hAnsi="IRNazanin" w:eastAsia="IRNazanin"/>
          <w:color w:val="111111"/>
          <w:sz w:val="28"/>
          <w:sz w:val="28"/>
          <w:szCs w:val="28"/>
          <w:rtl w:val="true"/>
          <w:lang w:bidi="fa-IR"/>
        </w:rPr>
        <w:t>الضّمیر المتّصل بمنزلة الجزء،فلا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الغرض دفع اللبس،فکیف لا یزاد الألف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یلتبس غیر المنصوب به</w:t>
      </w:r>
      <w:r>
        <w:rPr>
          <w:rFonts w:eastAsia="IRNazanin" w:cs="IRNazanin"/>
          <w:color w:val="111111"/>
          <w:sz w:val="28"/>
          <w:szCs w:val="28"/>
          <w:rtl w:val="true"/>
          <w:lang w:bidi="fa-IR"/>
        </w:rPr>
        <w:t>.</w:t>
      </w:r>
    </w:p>
    <w:p>
      <w:pPr>
        <w:pStyle w:val="Heading5"/>
        <w:numPr>
          <w:ilvl w:val="4"/>
          <w:numId w:val="1"/>
        </w:numPr>
        <w:rPr/>
      </w:pPr>
      <w:bookmarkStart w:id="444" w:name="__RefHeading___Toc4067111_3224264995"/>
      <w:bookmarkStart w:id="445" w:name="_Toc169"/>
      <w:bookmarkEnd w:id="444"/>
      <w:r>
        <w:rPr>
          <w:rtl w:val="true"/>
        </w:rPr>
        <w:t>فصل</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الإشارة واو بعد الهمزة؛للفرق بینه،و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الضّمیر المجرور </w:t>
      </w:r>
      <w:r>
        <w:rPr>
          <w:rStyle w:val="FootnoteAnchor"/>
          <w:rtl w:val="true"/>
        </w:rPr>
        <w:footnoteReference w:id="929"/>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یعکس؛لقلّة التّصرّف فی الحروف بخلاف الأسماء،و کذلک یزاد </w:t>
      </w:r>
      <w:bookmarkStart w:id="446" w:name="pg12937_139310"/>
    </w:p>
    <w:p>
      <w:pPr>
        <w:pStyle w:val="BookText"/>
        <w:rPr/>
      </w:pPr>
      <w:bookmarkEnd w:id="446"/>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تجرّده عن کاف الخطاب أیضا،کما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أُولاٰءِ عَلیٰ أَثَرِی </w:t>
      </w:r>
      <w:r>
        <w:rPr>
          <w:rStyle w:val="FootnoteAnchor"/>
          <w:rtl w:val="true"/>
        </w:rPr>
        <w:footnoteReference w:id="931"/>
      </w:r>
      <w:r>
        <w:rPr>
          <w:rFonts w:ascii="IRNazanin" w:hAnsi="IRNazanin" w:eastAsia="IRNazanin"/>
          <w:color w:val="111111"/>
          <w:sz w:val="28"/>
          <w:sz w:val="28"/>
          <w:szCs w:val="28"/>
          <w:rtl w:val="true"/>
          <w:lang w:bidi="fa-IR"/>
        </w:rPr>
        <w:t>لئلا یلتبس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الاستفتاحیّة،و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مقصورا؛لئلا یلتبس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الجارّة،و کذا فی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لفظه </w:t>
      </w:r>
      <w:r>
        <w:rPr>
          <w:rStyle w:val="FootnoteAnchor"/>
          <w:rtl w:val="true"/>
        </w:rPr>
        <w:footnoteReference w:id="93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،فلیتأمّل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4067113_3224264995"/>
      <w:bookmarkStart w:id="448" w:name="_Toc170"/>
      <w:bookmarkEnd w:id="447"/>
      <w:r>
        <w:rPr>
          <w:rtl w:val="true"/>
        </w:rPr>
        <w:t>الفائدة السادسة</w:t>
      </w:r>
      <w:r>
        <w:rPr>
          <w:rtl w:val="true"/>
        </w:rPr>
        <w:t>:</w:t>
      </w:r>
      <w:bookmarkEnd w:id="448"/>
    </w:p>
    <w:p>
      <w:pPr>
        <w:pStyle w:val="Heading5"/>
        <w:numPr>
          <w:ilvl w:val="4"/>
          <w:numId w:val="1"/>
        </w:numPr>
        <w:rPr/>
      </w:pPr>
      <w:bookmarkStart w:id="449" w:name="__RefHeading___Toc4067115_3224264995"/>
      <w:bookmarkStart w:id="450" w:name="_Toc171"/>
      <w:bookmarkEnd w:id="449"/>
      <w:r>
        <w:rPr>
          <w:rtl w:val="true"/>
        </w:rPr>
        <w:t>اشاره</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ینقص الحرف من الکلمة فی مواضع</w:t>
      </w:r>
      <w:r>
        <w:rPr>
          <w:rFonts w:eastAsia="IRNazanin" w:cs="IRNazanin"/>
          <w:color w:val="111111"/>
          <w:sz w:val="28"/>
          <w:szCs w:val="28"/>
          <w:rtl w:val="true"/>
          <w:lang w:bidi="fa-IR"/>
        </w:rPr>
        <w:t>:</w:t>
      </w:r>
    </w:p>
    <w:p>
      <w:pPr>
        <w:pStyle w:val="Heading5"/>
        <w:numPr>
          <w:ilvl w:val="4"/>
          <w:numId w:val="1"/>
        </w:numPr>
        <w:rPr/>
      </w:pPr>
      <w:bookmarkStart w:id="451" w:name="__RefHeading___Toc4067117_3224264995"/>
      <w:bookmarkStart w:id="452" w:name="_Toc172"/>
      <w:bookmarkEnd w:id="451"/>
      <w:r>
        <w:rPr>
          <w:rtl w:val="true"/>
        </w:rPr>
        <w:t>[</w:t>
      </w:r>
      <w:r>
        <w:rPr>
          <w:rtl w:val="true"/>
        </w:rPr>
        <w:t>فی المضعّف</w:t>
      </w:r>
      <w:r>
        <w:rPr>
          <w:rtl w:val="true"/>
        </w:rPr>
        <w:t>]</w:t>
      </w:r>
      <w:bookmarkEnd w:id="45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کلمة حصل فیها الإدغام،کما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،فیکتفی </w:t>
      </w:r>
      <w:r>
        <w:rPr>
          <w:rStyle w:val="FootnoteAnchor"/>
          <w:rtl w:val="true"/>
        </w:rPr>
        <w:footnoteReference w:id="935"/>
      </w:r>
      <w:r>
        <w:rPr>
          <w:rFonts w:ascii="IRNazanin" w:hAnsi="IRNazanin" w:eastAsia="IRNazanin"/>
          <w:color w:val="111111"/>
          <w:sz w:val="28"/>
          <w:sz w:val="28"/>
          <w:szCs w:val="28"/>
          <w:rtl w:val="true"/>
          <w:lang w:bidi="fa-IR"/>
        </w:rPr>
        <w:t>بالمدغم فیه،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ذلک بین أن یکون الحرفان متماثلین فی الأصل،أو </w:t>
      </w:r>
      <w:r>
        <w:rPr>
          <w:rStyle w:val="FootnoteAnchor"/>
          <w:rtl w:val="true"/>
        </w:rPr>
        <w:footnoteReference w:id="936"/>
      </w:r>
      <w:r>
        <w:rPr>
          <w:rFonts w:ascii="IRNazanin" w:hAnsi="IRNazanin" w:eastAsia="IRNazanin"/>
          <w:color w:val="111111"/>
          <w:sz w:val="28"/>
          <w:sz w:val="28"/>
          <w:szCs w:val="28"/>
          <w:rtl w:val="true"/>
          <w:lang w:bidi="fa-IR"/>
        </w:rPr>
        <w:t xml:space="preserve">أن یکونا متغایرین،کما فی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قتتّ</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 یقوت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الفاعل بمنزلة الجزء من الفعل،فهما بمنزلة کلمة واحدة،فإدغام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الفاعل </w:t>
      </w:r>
      <w:bookmarkStart w:id="453" w:name="pg12937_139311"/>
    </w:p>
    <w:p>
      <w:pPr>
        <w:pStyle w:val="BookText"/>
        <w:rPr/>
      </w:pPr>
      <w:bookmarkEnd w:id="453"/>
      <w:r>
        <w:rPr>
          <w:rFonts w:ascii="IRNazanin" w:hAnsi="IRNazanin" w:eastAsia="IRNazanin"/>
          <w:color w:val="111111"/>
          <w:sz w:val="28"/>
          <w:sz w:val="28"/>
          <w:szCs w:val="28"/>
          <w:rtl w:val="true"/>
          <w:lang w:bidi="fa-IR"/>
        </w:rPr>
        <w:t>کإدغام أحد المتماثلین فی الآخر فی کلمة واحدة،فخرج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التّماثل، و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أجبهه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الحرف إنّما ینقص فی الإدغام إذا کان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،أو ما هو بمنزلتها بشرط تماثل المدغم و المدغم فیه،و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 عمّ،و إمّا،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ممما،و عمما،و أمما،و اللا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الاتّحاد،و لکن نقص الحرف منها؛ لتأکید الاتّصال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4067119_3224264995"/>
      <w:bookmarkStart w:id="455" w:name="_Toc173"/>
      <w:bookmarkEnd w:id="454"/>
      <w:r>
        <w:rPr>
          <w:rtl w:val="true"/>
        </w:rPr>
        <w:t>[</w:t>
      </w:r>
      <w:r>
        <w:rPr>
          <w:rtl w:val="true"/>
        </w:rPr>
        <w:t>الألف و اللام</w:t>
      </w:r>
      <w:r>
        <w:rPr>
          <w:rtl w:val="true"/>
        </w:rPr>
        <w:t>]</w:t>
      </w:r>
      <w:bookmarkEnd w:id="455"/>
    </w:p>
    <w:p>
      <w:pPr>
        <w:pStyle w:val="BookText"/>
        <w:rPr/>
      </w:pPr>
      <w:r>
        <w:rPr>
          <w:rFonts w:ascii="IRNazanin" w:hAnsi="IRNazanin" w:eastAsia="IRNazanin"/>
          <w:color w:val="111111"/>
          <w:sz w:val="28"/>
          <w:sz w:val="28"/>
          <w:szCs w:val="28"/>
          <w:rtl w:val="true"/>
          <w:lang w:bidi="fa-IR"/>
        </w:rPr>
        <w:t>و الألف و اللام مع مدخولها کلمتان،فلا نقص فی المحلّی بها مطلقا،و إن کان المدغم مماثلا للمدغم فیه،کما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لمکان الإلتباس بالإستفهام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نعم،الدّاخلة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مدخولها بمنزلة کلمة واحدة؛ و ذلک للزوم دخولها،فلذلک ینقص الحرف منها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ینقص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النّصب و الجرّ؛لئلا یلتبس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یعکس؛لثقل الجمع،و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حملا علی المذکّر،و کذلک 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کتب بالنّقص؛لالتبس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،فیکتبان بالنّقص؛لعدم الإلتباس،و لکن ربّما یکتبان بدونه، و هذا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البسملة </w:t>
      </w:r>
      <w:r>
        <w:rPr>
          <w:rStyle w:val="FootnoteAnchor"/>
          <w:rtl w:val="true"/>
        </w:rPr>
        <w:footnoteReference w:id="943"/>
      </w:r>
      <w:r>
        <w:rPr>
          <w:rFonts w:ascii="IRNazanin" w:hAnsi="IRNazanin" w:eastAsia="IRNazanin"/>
          <w:color w:val="111111"/>
          <w:sz w:val="28"/>
          <w:sz w:val="28"/>
          <w:szCs w:val="28"/>
          <w:rtl w:val="true"/>
          <w:lang w:bidi="fa-IR"/>
        </w:rPr>
        <w:t>لمکان کثرة الإستعمال،فلذا لم ینقص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ربّک</w:t>
      </w:r>
      <w:r>
        <w:rPr>
          <w:rFonts w:eastAsia="Amiri" w:cs="Amiri" w:ascii="Amiri" w:hAnsi="Amiri"/>
          <w:color w:val="111111"/>
          <w:sz w:val="28"/>
          <w:szCs w:val="28"/>
          <w:rtl w:val="true"/>
          <w:lang w:bidi="ar-SA"/>
        </w:rPr>
        <w:t xml:space="preserve">] </w:t>
      </w:r>
      <w:r>
        <w:rPr>
          <w:rStyle w:val="FootnoteAnchor"/>
          <w:rtl w:val="true"/>
        </w:rPr>
        <w:footnoteReference w:id="944"/>
      </w:r>
      <w:r>
        <w:rPr>
          <w:rFonts w:ascii="IRNazanin" w:hAnsi="IRNazanin" w:eastAsia="IRNazanin"/>
          <w:color w:val="111111"/>
          <w:sz w:val="28"/>
          <w:sz w:val="28"/>
          <w:szCs w:val="28"/>
          <w:rtl w:val="true"/>
          <w:lang w:bidi="fa-IR"/>
        </w:rPr>
        <w:t>،و 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إن لم یکونا فی البسملة؛لما ذکر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 </w:t>
      </w:r>
      <w:r>
        <w:rPr>
          <w:rStyle w:val="FootnoteAnchor"/>
          <w:rtl w:val="true"/>
        </w:rPr>
        <w:footnoteReference w:id="946"/>
      </w:r>
      <w:r>
        <w:rPr>
          <w:rFonts w:ascii="IRNazanin" w:hAnsi="IRNazanin" w:eastAsia="IRNazanin"/>
          <w:color w:val="111111"/>
          <w:sz w:val="28"/>
          <w:sz w:val="28"/>
          <w:szCs w:val="28"/>
          <w:rtl w:val="true"/>
          <w:lang w:bidi="fa-IR"/>
        </w:rPr>
        <w:t>،فی اسم الإشارة،إذا لم 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هذه،و هذان،و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الاستعمال؛و لذا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47"/>
      </w:r>
      <w:r>
        <w:rPr>
          <w:rFonts w:ascii="IRNazanin" w:hAnsi="IRNazanin" w:eastAsia="IRNazanin"/>
          <w:color w:val="111111"/>
          <w:sz w:val="28"/>
          <w:sz w:val="28"/>
          <w:szCs w:val="28"/>
          <w:rtl w:val="true"/>
          <w:lang w:bidi="fa-IR"/>
        </w:rPr>
        <w:t>لیخرج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هاذانک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صیرورته کالجزء منه،فکرهوا امتزاج ثلاث کلمات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 و الثّلثین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أصحاب،و عثمان </w:t>
      </w:r>
      <w:r>
        <w:rPr>
          <w:rStyle w:val="FootnoteAnchor"/>
          <w:rtl w:val="true"/>
        </w:rPr>
        <w:footnoteReference w:id="950"/>
      </w:r>
      <w:r>
        <w:rPr>
          <w:rFonts w:ascii="IRNazanin" w:hAnsi="IRNazanin" w:eastAsia="IRNazanin"/>
          <w:color w:val="111111"/>
          <w:sz w:val="28"/>
          <w:sz w:val="28"/>
          <w:szCs w:val="28"/>
          <w:rtl w:val="true"/>
          <w:lang w:bidi="fa-IR"/>
        </w:rPr>
        <w:t xml:space="preserve">،و سلیمن و معویة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المتوسطة،إذا کانت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 بما قبلها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صفة بین علمین،کما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لو وقع خبرا،کما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Style w:val="FootnoteAnchor"/>
          <w:rtl w:val="true"/>
        </w:rPr>
        <w:footnoteReference w:id="952"/>
      </w:r>
      <w:r>
        <w:rPr>
          <w:rFonts w:ascii="IRNazanin" w:hAnsi="IRNazanin" w:eastAsia="IRNazanin"/>
          <w:color w:val="111111"/>
          <w:sz w:val="28"/>
          <w:sz w:val="28"/>
          <w:szCs w:val="28"/>
          <w:rtl w:val="true"/>
          <w:lang w:bidi="fa-IR"/>
        </w:rPr>
        <w:t xml:space="preserve">لو کان </w:t>
      </w:r>
      <w:r>
        <w:rPr>
          <w:rStyle w:val="FootnoteAnchor"/>
          <w:rtl w:val="true"/>
        </w:rPr>
        <w:footnoteReference w:id="953"/>
      </w:r>
      <w:r>
        <w:rPr>
          <w:rFonts w:ascii="IRNazanin" w:hAnsi="IRNazanin" w:eastAsia="IRNazanin"/>
          <w:color w:val="111111"/>
          <w:sz w:val="28"/>
          <w:sz w:val="28"/>
          <w:szCs w:val="28"/>
          <w:rtl w:val="true"/>
          <w:lang w:bidi="fa-IR"/>
        </w:rPr>
        <w:t>بین علمین،کما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ابن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ینقص من التّثنیة،و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اتّصل بها اللام،تحذف الهمزة مع الألف و اللام،کما فی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 ممّا کان أوّله همزة وصل بعد همزة الإستفهام،کما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أَصْطَفَی الْبَنٰاتِ عَلَی الْبَنِینَ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456" w:name="pg12937_139314"/>
    </w:p>
    <w:p>
      <w:pPr>
        <w:pStyle w:val="Heading4"/>
        <w:numPr>
          <w:ilvl w:val="3"/>
          <w:numId w:val="1"/>
        </w:numPr>
        <w:rPr/>
      </w:pPr>
      <w:bookmarkStart w:id="457" w:name="__RefHeading___Toc4067121_3224264995"/>
      <w:bookmarkStart w:id="458" w:name="_Toc174"/>
      <w:bookmarkEnd w:id="456"/>
      <w:bookmarkEnd w:id="457"/>
      <w:r>
        <w:rPr>
          <w:rtl w:val="true"/>
        </w:rPr>
        <w:t>الفائدة السّابعة</w:t>
      </w:r>
      <w:r>
        <w:rPr>
          <w:rtl w:val="true"/>
        </w:rPr>
        <w:t>:</w:t>
      </w:r>
      <w:bookmarkEnd w:id="458"/>
    </w:p>
    <w:p>
      <w:pPr>
        <w:pStyle w:val="Heading5"/>
        <w:numPr>
          <w:ilvl w:val="4"/>
          <w:numId w:val="1"/>
        </w:numPr>
        <w:rPr/>
      </w:pPr>
      <w:bookmarkStart w:id="459" w:name="__RefHeading___Toc4067123_3224264995"/>
      <w:bookmarkStart w:id="460" w:name="_Toc175"/>
      <w:bookmarkEnd w:id="459"/>
      <w:r>
        <w:rPr>
          <w:rtl w:val="true"/>
        </w:rPr>
        <w:t>اشاره</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المقصور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کانت </w:t>
      </w:r>
      <w:r>
        <w:rPr>
          <w:rStyle w:val="FootnoteAnchor"/>
          <w:rtl w:val="true"/>
        </w:rPr>
        <w:footnoteReference w:id="957"/>
      </w:r>
      <w:r>
        <w:rPr>
          <w:rFonts w:ascii="IRNazanin" w:hAnsi="IRNazanin" w:eastAsia="IRNazanin"/>
          <w:color w:val="111111"/>
          <w:sz w:val="28"/>
          <w:sz w:val="28"/>
          <w:szCs w:val="28"/>
          <w:rtl w:val="true"/>
          <w:lang w:bidi="fa-IR"/>
        </w:rPr>
        <w:t>الألف رابعة فصاعدا کتبت بالیاء مطلقا،سواء کانت فی فعل،أو اسم،إلاّ إذا کان ما قبلها یاء،فتکتب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إلاّ إذا کان علما،مثال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کانت ثالثة،کتبت </w:t>
      </w:r>
      <w:r>
        <w:rPr>
          <w:rStyle w:val="FootnoteAnchor"/>
          <w:rtl w:val="true"/>
        </w:rPr>
        <w:footnoteReference w:id="960"/>
      </w:r>
      <w:r>
        <w:rPr>
          <w:rFonts w:ascii="IRNazanin" w:hAnsi="IRNazanin" w:eastAsia="IRNazanin"/>
          <w:color w:val="111111"/>
          <w:sz w:val="28"/>
          <w:sz w:val="28"/>
          <w:szCs w:val="28"/>
          <w:rtl w:val="true"/>
          <w:lang w:bidi="fa-IR"/>
        </w:rPr>
        <w:t>یاء،إذا کانت مقلوبة عنها،کما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ألفا </w:t>
      </w:r>
      <w:r>
        <w:rPr>
          <w:rStyle w:val="FootnoteAnchor"/>
          <w:rtl w:val="true"/>
        </w:rPr>
        <w:footnoteReference w:id="961"/>
      </w:r>
      <w:r>
        <w:rPr>
          <w:rFonts w:ascii="IRNazanin" w:hAnsi="IRNazanin" w:eastAsia="IRNazanin"/>
          <w:color w:val="111111"/>
          <w:sz w:val="28"/>
          <w:sz w:val="28"/>
          <w:szCs w:val="28"/>
          <w:rtl w:val="true"/>
          <w:lang w:bidi="fa-IR"/>
        </w:rPr>
        <w:t>إذا لم تکن کذلک،کما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أشار إلی ذلک الحریری </w:t>
      </w:r>
      <w:r>
        <w:rPr>
          <w:rStyle w:val="FootnoteAnchor"/>
          <w:rtl w:val="true"/>
        </w:rPr>
        <w:footnoteReference w:id="962"/>
      </w:r>
      <w:r>
        <w:rPr>
          <w:rFonts w:ascii="IRNazanin" w:hAnsi="IRNazanin" w:eastAsia="IRNazanin"/>
          <w:color w:val="111111"/>
          <w:sz w:val="28"/>
          <w:sz w:val="28"/>
          <w:szCs w:val="28"/>
          <w:rtl w:val="true"/>
          <w:lang w:bidi="fa-IR"/>
        </w:rPr>
        <w:t xml:space="preserve">بقوله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الفعل یوما غمّ </w:t>
      </w:r>
      <w:r>
        <w:rPr>
          <w:rStyle w:val="FootnoteAnchor"/>
          <w:rtl w:val="true"/>
        </w:rPr>
        <w:footnoteReference w:id="964"/>
      </w:r>
      <w:r>
        <w:rPr>
          <w:rFonts w:ascii="IRNazanin" w:hAnsi="IRNazanin" w:eastAsia="IRNazanin"/>
          <w:color w:val="111111"/>
          <w:sz w:val="28"/>
          <w:sz w:val="28"/>
          <w:szCs w:val="28"/>
          <w:rtl w:val="true"/>
          <w:lang w:bidi="fa-IR"/>
        </w:rPr>
        <w:t xml:space="preserve">عنک هجاؤه فألحق به تاء الخطاب </w:t>
      </w:r>
      <w:r>
        <w:rPr>
          <w:rStyle w:val="FootnoteAnchor"/>
          <w:rtl w:val="true"/>
        </w:rPr>
        <w:footnoteReference w:id="965"/>
      </w:r>
      <w:r>
        <w:rPr>
          <w:rFonts w:ascii="IRNazanin" w:hAnsi="IRNazanin" w:eastAsia="IRNazanin"/>
          <w:color w:val="111111"/>
          <w:sz w:val="28"/>
          <w:sz w:val="28"/>
          <w:szCs w:val="28"/>
          <w:rtl w:val="true"/>
          <w:lang w:bidi="fa-IR"/>
        </w:rPr>
        <w:t>و لا تقف</w:t>
      </w:r>
    </w:p>
    <w:p>
      <w:pPr>
        <w:pStyle w:val="BookText"/>
        <w:rPr/>
      </w:pPr>
      <w:r>
        <w:rPr>
          <w:rFonts w:ascii="IRNazanin" w:hAnsi="IRNazanin" w:eastAsia="IRNazanin"/>
          <w:color w:val="111111"/>
          <w:sz w:val="28"/>
          <w:sz w:val="28"/>
          <w:szCs w:val="28"/>
          <w:rtl w:val="true"/>
          <w:lang w:bidi="fa-IR"/>
        </w:rPr>
        <w:t>فإن کان قبل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،فکتبه بیاء،و إلاّ فهو یکتب بالألف</w:t>
      </w:r>
    </w:p>
    <w:p>
      <w:pPr>
        <w:pStyle w:val="BookText"/>
        <w:rPr/>
      </w:pPr>
      <w:r>
        <w:rPr>
          <w:rFonts w:ascii="IRNazanin" w:hAnsi="IRNazanin" w:eastAsia="IRNazanin"/>
          <w:color w:val="111111"/>
          <w:sz w:val="28"/>
          <w:sz w:val="28"/>
          <w:szCs w:val="28"/>
          <w:rtl w:val="true"/>
          <w:lang w:bidi="fa-IR"/>
        </w:rPr>
        <w:t xml:space="preserve">و لا تحسب الفعل الثلاثیّ </w:t>
      </w:r>
      <w:r>
        <w:rPr>
          <w:rStyle w:val="FootnoteAnchor"/>
          <w:rtl w:val="true"/>
        </w:rPr>
        <w:footnoteReference w:id="966"/>
      </w:r>
      <w:r>
        <w:rPr>
          <w:rFonts w:ascii="Amiri" w:hAnsi="Amiri" w:eastAsia="Amiri" w:cs="Amiri"/>
          <w:color w:val="111111"/>
          <w:sz w:val="28"/>
          <w:sz w:val="28"/>
          <w:szCs w:val="28"/>
          <w:rtl w:val="true"/>
          <w:lang w:bidi="ar-SA"/>
        </w:rPr>
        <w:t xml:space="preserve">و الّذی تعدّاه </w:t>
      </w:r>
      <w:r>
        <w:rPr>
          <w:rStyle w:val="FootnoteAnchor"/>
          <w:rtl w:val="true"/>
        </w:rPr>
        <w:footnoteReference w:id="967"/>
      </w:r>
      <w:r>
        <w:rPr>
          <w:rFonts w:ascii="IRNazanin" w:hAnsi="IRNazanin" w:eastAsia="IRNazanin"/>
          <w:color w:val="111111"/>
          <w:sz w:val="28"/>
          <w:sz w:val="28"/>
          <w:szCs w:val="28"/>
          <w:rtl w:val="true"/>
          <w:lang w:bidi="fa-IR"/>
        </w:rPr>
        <w:t xml:space="preserve">و المهموز </w:t>
      </w:r>
      <w:r>
        <w:rPr>
          <w:rStyle w:val="FootnoteAnchor"/>
          <w:rtl w:val="true"/>
        </w:rPr>
        <w:footnoteReference w:id="968"/>
      </w:r>
      <w:r>
        <w:rPr>
          <w:rFonts w:ascii="IRNazanin" w:hAnsi="IRNazanin" w:eastAsia="IRNazanin"/>
          <w:color w:val="111111"/>
          <w:sz w:val="28"/>
          <w:sz w:val="28"/>
          <w:szCs w:val="28"/>
          <w:rtl w:val="true"/>
          <w:lang w:bidi="fa-IR"/>
        </w:rPr>
        <w:t xml:space="preserve">فی ذاک یختلف </w:t>
      </w:r>
      <w:r>
        <w:rPr>
          <w:rStyle w:val="FootnoteAnchor"/>
          <w:rtl w:val="true"/>
        </w:rPr>
        <w:footnoteReference w:id="969"/>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فیما یکتب بالیاء،بین المنوّن </w:t>
      </w:r>
      <w:r>
        <w:rPr>
          <w:rStyle w:val="FootnoteAnchor"/>
          <w:rtl w:val="true"/>
        </w:rPr>
        <w:footnoteReference w:id="970"/>
      </w:r>
      <w:r>
        <w:rPr>
          <w:rFonts w:ascii="IRNazanin" w:hAnsi="IRNazanin" w:eastAsia="IRNazanin"/>
          <w:color w:val="111111"/>
          <w:sz w:val="28"/>
          <w:sz w:val="28"/>
          <w:szCs w:val="28"/>
          <w:rtl w:val="true"/>
          <w:lang w:bidi="fa-IR"/>
        </w:rPr>
        <w:t xml:space="preserve">و غیره عند المبرّد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حکی عن المازنی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یکتب المنوّن بالألف مطلقا </w:t>
      </w:r>
      <w:r>
        <w:rPr>
          <w:rStyle w:val="FootnoteAnchor"/>
          <w:rtl w:val="true"/>
        </w:rPr>
        <w:footnoteReference w:id="973"/>
      </w:r>
      <w:r>
        <w:rPr>
          <w:rFonts w:ascii="IRNazanin" w:hAnsi="IRNazanin" w:eastAsia="IRNazanin"/>
          <w:color w:val="111111"/>
          <w:sz w:val="28"/>
          <w:sz w:val="28"/>
          <w:szCs w:val="28"/>
          <w:rtl w:val="true"/>
          <w:lang w:bidi="fa-IR"/>
        </w:rPr>
        <w:t xml:space="preserve">،و عن سیبویه،فی حال النّصب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w:t>
      </w:r>
      <w:r>
        <w:rPr>
          <w:rStyle w:val="FootnoteAnchor"/>
          <w:rtl w:val="true"/>
        </w:rPr>
        <w:footnoteReference w:id="974"/>
      </w:r>
      <w:r>
        <w:rPr>
          <w:rFonts w:ascii="IRNazanin" w:hAnsi="IRNazanin" w:eastAsia="IRNazanin"/>
          <w:color w:val="111111"/>
          <w:sz w:val="28"/>
          <w:sz w:val="28"/>
          <w:szCs w:val="28"/>
          <w:rtl w:val="true"/>
          <w:lang w:bidi="fa-IR"/>
        </w:rPr>
        <w:t xml:space="preserve">،و حکی عن بعضهم کتابة الألف مطلقا بها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bookmarkStart w:id="461" w:name="pg12937_139317"/>
    </w:p>
    <w:p>
      <w:pPr>
        <w:pStyle w:val="BookText"/>
        <w:rPr/>
      </w:pPr>
      <w:bookmarkEnd w:id="461"/>
      <w:r>
        <w:rPr>
          <w:rFonts w:ascii="IRNazanin" w:hAnsi="IRNazanin" w:eastAsia="IRNazanin"/>
          <w:color w:val="111111"/>
          <w:sz w:val="28"/>
          <w:sz w:val="28"/>
          <w:szCs w:val="28"/>
          <w:rtl w:val="true"/>
          <w:lang w:bidi="fa-IR"/>
        </w:rPr>
        <w:t>و یکتب الألف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الصّلوة،و الزّکوة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،بالواو؛لمکان التّفخیم علی ما قیل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4067125_3224264995"/>
      <w:bookmarkStart w:id="463" w:name="_Toc176"/>
      <w:bookmarkEnd w:id="462"/>
      <w:r>
        <w:rPr>
          <w:rtl w:val="true"/>
        </w:rPr>
        <w:t>فصل</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التّمییز بین الواوی عن الیائی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یتمیّز الواوی من الیائی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التّثنیة،فإنّها ممّا یردّ الصّیغة </w:t>
      </w:r>
      <w:r>
        <w:rPr>
          <w:rStyle w:val="FootnoteAnchor"/>
          <w:rtl w:val="true"/>
        </w:rPr>
        <w:footnoteReference w:id="978"/>
      </w:r>
      <w:r>
        <w:rPr>
          <w:rFonts w:ascii="IRNazanin" w:hAnsi="IRNazanin" w:eastAsia="IRNazanin"/>
          <w:color w:val="111111"/>
          <w:sz w:val="28"/>
          <w:sz w:val="28"/>
          <w:szCs w:val="28"/>
          <w:rtl w:val="true"/>
          <w:lang w:bidi="fa-IR"/>
        </w:rPr>
        <w:t>إلی أصلها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الجمع،فإنّه کذلک،کما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الدّالّ علی المرّة،کما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الدّالّ علی النّوع،کما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فاء الفعل واوا،کما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یعرف أنّه یآئی؛إذ لیس فی کلامهم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فاؤه </w:t>
      </w:r>
      <w:r>
        <w:rPr>
          <w:rStyle w:val="FootnoteAnchor"/>
          <w:rtl w:val="true"/>
        </w:rPr>
        <w:footnoteReference w:id="979"/>
      </w:r>
      <w:r>
        <w:rPr>
          <w:rFonts w:ascii="Amiri" w:hAnsi="Amiri" w:eastAsia="Amiri" w:cs="Amiri"/>
          <w:color w:val="111111"/>
          <w:sz w:val="28"/>
          <w:sz w:val="28"/>
          <w:szCs w:val="28"/>
          <w:rtl w:val="true"/>
          <w:lang w:bidi="ar-SA"/>
        </w:rPr>
        <w:t>و لامه واوا إلاّ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غیر الفعل واوا،کما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یعرف أیضا،أنّه یائی؛إذ لم یوجد ما کان عینه و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فقدت هذه العلامات،و جهل الحال فی الکلمة، فإن أمیلت ألفها نحو الیاء،کما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،فالکتابة بالیاء،و إلاّ،فبالألف،إلاّ فی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مع عدم جواز الإمالة فیه یکتب بالیاء؛و ذلک لانقلاب ألفها یاء فی الإضافة إلی الضّمیر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بالألف،و هو الغالب،و بالیاء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الأوّل قلب الألف تاء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مشعر بأنّ أصله الواو،کما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أخت،إذ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یجوز إمالته،و لا یمال إلاّ ما أصله الیاء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الحروف الّتی آخرها الألف </w:t>
      </w:r>
      <w:r>
        <w:rPr>
          <w:rStyle w:val="FootnoteAnchor"/>
          <w:rtl w:val="true"/>
        </w:rPr>
        <w:footnoteReference w:id="983"/>
      </w:r>
      <w:r>
        <w:rPr>
          <w:rFonts w:ascii="IRNazanin" w:hAnsi="IRNazanin" w:eastAsia="IRNazanin"/>
          <w:color w:val="111111"/>
          <w:sz w:val="28"/>
          <w:sz w:val="28"/>
          <w:szCs w:val="28"/>
          <w:rtl w:val="true"/>
          <w:lang w:bidi="fa-IR"/>
        </w:rPr>
        <w:t xml:space="preserve">لا تکتب إلاّ بها </w:t>
      </w:r>
      <w:r>
        <w:rPr>
          <w:rStyle w:val="FootnoteAnchor"/>
          <w:rtl w:val="true"/>
        </w:rPr>
        <w:footnoteReference w:id="984"/>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الإیجابیّة </w:t>
      </w:r>
      <w:r>
        <w:rPr>
          <w:rStyle w:val="FootnoteAnchor"/>
          <w:rtl w:val="true"/>
        </w:rPr>
        <w:footnoteReference w:id="9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Style w:val="FootnoteAnchor"/>
          <w:rtl w:val="true"/>
        </w:rPr>
        <w:footnoteReference w:id="986"/>
      </w:r>
      <w:r>
        <w:rPr>
          <w:rFonts w:ascii="IRNazanin" w:hAnsi="IRNazanin" w:eastAsia="IRNazanin"/>
          <w:color w:val="111111"/>
          <w:sz w:val="28"/>
          <w:sz w:val="28"/>
          <w:szCs w:val="28"/>
          <w:rtl w:val="true"/>
          <w:lang w:bidi="fa-IR"/>
        </w:rPr>
        <w:t>فلجواز الإمالة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الأخیران </w:t>
      </w:r>
      <w:r>
        <w:rPr>
          <w:rStyle w:val="FootnoteAnchor"/>
          <w:rtl w:val="true"/>
        </w:rPr>
        <w:footnoteReference w:id="987"/>
      </w:r>
      <w:r>
        <w:rPr>
          <w:rFonts w:ascii="IRNazanin" w:hAnsi="IRNazanin" w:eastAsia="IRNazanin"/>
          <w:color w:val="111111"/>
          <w:sz w:val="28"/>
          <w:sz w:val="28"/>
          <w:szCs w:val="28"/>
          <w:rtl w:val="true"/>
          <w:lang w:bidi="fa-IR"/>
        </w:rPr>
        <w:t xml:space="preserve">فلانقلاب ألفهما یاء عند دخولهما علی الضّمیر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الفعلیّة،تکتب بالألف؛لأنّه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؛لکونها بمعناها </w:t>
      </w:r>
      <w:r>
        <w:rPr>
          <w:rStyle w:val="FootnoteAnchor"/>
          <w:rtl w:val="true"/>
        </w:rPr>
        <w:footnoteReference w:id="989"/>
      </w:r>
      <w:r>
        <w:rPr>
          <w:rFonts w:ascii="IRNazanin" w:hAnsi="IRNazanin" w:eastAsia="IRNazanin"/>
          <w:color w:val="111111"/>
          <w:sz w:val="28"/>
          <w:sz w:val="28"/>
          <w:szCs w:val="28"/>
          <w:rtl w:val="true"/>
          <w:lang w:bidi="fa-IR"/>
        </w:rPr>
        <w:t xml:space="preserve">،و لکنّها إذا دخلت علی الضّمیر، فبالألف </w:t>
      </w:r>
      <w:r>
        <w:rPr>
          <w:rStyle w:val="FootnoteAnchor"/>
          <w:rtl w:val="true"/>
        </w:rPr>
        <w:footnoteReference w:id="990"/>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حتّاک یا ابن </w:t>
      </w:r>
      <w:r>
        <w:rPr>
          <w:rStyle w:val="FootnoteAnchor"/>
          <w:rtl w:val="true"/>
        </w:rPr>
        <w:footnoteReference w:id="991"/>
      </w:r>
      <w:r>
        <w:rPr>
          <w:rFonts w:ascii="IRNazanin" w:hAnsi="IRNazanin" w:eastAsia="IRNazanin"/>
          <w:color w:val="111111"/>
          <w:sz w:val="28"/>
          <w:sz w:val="28"/>
          <w:szCs w:val="28"/>
          <w:rtl w:val="true"/>
          <w:lang w:bidi="fa-IR"/>
        </w:rPr>
        <w:t xml:space="preserve">أبی زیاد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من الکلمات ما ثبت جواز الواویّة،و الیائیّة فی لامه،کما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أثوته</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حشوت الوسادة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غذّوت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نظم هذه الکلمات بعضهم </w:t>
      </w:r>
      <w:r>
        <w:rPr>
          <w:rStyle w:val="FootnoteAnchor"/>
          <w:rtl w:val="true"/>
        </w:rPr>
        <w:footnoteReference w:id="995"/>
      </w:r>
      <w:r>
        <w:rPr>
          <w:rFonts w:ascii="IRNazanin" w:hAnsi="IRNazanin" w:eastAsia="IRNazanin"/>
          <w:color w:val="111111"/>
          <w:sz w:val="28"/>
          <w:sz w:val="28"/>
          <w:szCs w:val="28"/>
          <w:rtl w:val="true"/>
          <w:lang w:bidi="fa-IR"/>
        </w:rPr>
        <w:t xml:space="preserve">،و فصّلها آخر </w:t>
      </w:r>
      <w:r>
        <w:rPr>
          <w:rStyle w:val="FootnoteAnchor"/>
          <w:rtl w:val="true"/>
        </w:rPr>
        <w:footnoteReference w:id="996"/>
      </w:r>
      <w:r>
        <w:rPr>
          <w:rFonts w:ascii="IRNazanin" w:hAnsi="IRNazanin" w:eastAsia="IRNazanin"/>
          <w:color w:val="111111"/>
          <w:sz w:val="28"/>
          <w:sz w:val="28"/>
          <w:szCs w:val="28"/>
          <w:rtl w:val="true"/>
          <w:lang w:bidi="fa-IR"/>
        </w:rPr>
        <w:t>،و التّفصیل لا یلیق بهذا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فلک أن تکتبه بالیاء،أو الألف،و لکنّ الأولی رعایة الأکثر الأشهر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الخاتمة</w:t>
      </w:r>
      <w:r>
        <w:rPr>
          <w:rFonts w:eastAsia="Amiri" w:cs="Amiri" w:ascii="Amiri" w:hAnsi="Amiri"/>
          <w:color w:val="111111"/>
          <w:sz w:val="28"/>
          <w:szCs w:val="28"/>
          <w:rtl w:val="true"/>
          <w:lang w:bidi="ar-SA"/>
        </w:rPr>
        <w:t xml:space="preserve">: </w:t>
      </w:r>
      <w:bookmarkStart w:id="464" w:name="pg12937_139320"/>
    </w:p>
    <w:p>
      <w:pPr>
        <w:pStyle w:val="Heading5"/>
        <w:numPr>
          <w:ilvl w:val="4"/>
          <w:numId w:val="1"/>
        </w:numPr>
        <w:rPr/>
      </w:pPr>
      <w:bookmarkStart w:id="465" w:name="__RefHeading___Toc4067127_3224264995"/>
      <w:bookmarkStart w:id="466" w:name="_Toc177"/>
      <w:bookmarkEnd w:id="464"/>
      <w:bookmarkEnd w:id="465"/>
      <w:r>
        <w:rPr>
          <w:rtl w:val="true"/>
        </w:rPr>
        <w:t>ففی بیان بعض ما ینبغی التّنبیه علیه</w:t>
      </w:r>
      <w:bookmarkEnd w:id="466"/>
    </w:p>
    <w:p>
      <w:pPr>
        <w:pStyle w:val="BookText"/>
        <w:rPr/>
      </w:pPr>
      <w:r>
        <w:rPr>
          <w:rFonts w:ascii="IRNazanin" w:hAnsi="IRNazanin" w:eastAsia="IRNazanin"/>
          <w:color w:val="111111"/>
          <w:sz w:val="28"/>
          <w:sz w:val="28"/>
          <w:szCs w:val="28"/>
          <w:rtl w:val="true"/>
          <w:lang w:bidi="fa-IR"/>
        </w:rPr>
        <w:t xml:space="preserve">فاعلم أنّه ربّما یشتبه إملاء بعض الحروف ببعض،فی بعض الکلمات،کاشتباه الضّاد بالزّای،و الظّاء و الصّاد بالسّین،و الثّاء و الطّاء بالتّاء و الدّال؛لقرب المخرج </w:t>
      </w:r>
      <w:r>
        <w:rPr>
          <w:rStyle w:val="FootnoteAnchor"/>
          <w:rtl w:val="true"/>
        </w:rPr>
        <w:footnoteReference w:id="997"/>
      </w:r>
      <w:r>
        <w:rPr>
          <w:rFonts w:ascii="IRNazanin" w:hAnsi="IRNazanin" w:eastAsia="IRNazanin"/>
          <w:color w:val="111111"/>
          <w:sz w:val="28"/>
          <w:sz w:val="28"/>
          <w:szCs w:val="28"/>
          <w:rtl w:val="true"/>
          <w:lang w:bidi="fa-IR"/>
        </w:rPr>
        <w:t xml:space="preserve">،فیجب الرّجوع لتمییز </w:t>
      </w:r>
      <w:r>
        <w:rPr>
          <w:rStyle w:val="FootnoteAnchor"/>
          <w:rtl w:val="true"/>
        </w:rPr>
        <w:footnoteReference w:id="998"/>
      </w:r>
      <w:r>
        <w:rPr>
          <w:rFonts w:ascii="IRNazanin" w:hAnsi="IRNazanin" w:eastAsia="IRNazanin"/>
          <w:color w:val="111111"/>
          <w:sz w:val="28"/>
          <w:sz w:val="28"/>
          <w:szCs w:val="28"/>
          <w:rtl w:val="true"/>
          <w:lang w:bidi="fa-IR"/>
        </w:rPr>
        <w:t xml:space="preserve">ذلک إلی کتب اللغة </w:t>
      </w:r>
      <w:r>
        <w:rPr>
          <w:rStyle w:val="FootnoteAnchor"/>
          <w:rtl w:val="true"/>
        </w:rPr>
        <w:footnoteReference w:id="999"/>
      </w:r>
      <w:r>
        <w:rPr>
          <w:rFonts w:ascii="IRNazanin" w:hAnsi="IRNazanin" w:eastAsia="IRNazanin"/>
          <w:color w:val="111111"/>
          <w:sz w:val="28"/>
          <w:sz w:val="28"/>
          <w:szCs w:val="28"/>
          <w:rtl w:val="true"/>
          <w:lang w:bidi="fa-IR"/>
        </w:rPr>
        <w:t>،و ربّما یثبت فی کلمة جواز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الحریری فی المقامة الحمصیّة </w:t>
      </w:r>
      <w:r>
        <w:rPr>
          <w:rStyle w:val="FootnoteAnchor"/>
          <w:rtl w:val="true"/>
        </w:rPr>
        <w:footnoteReference w:id="1000"/>
      </w:r>
      <w:r>
        <w:rPr>
          <w:rFonts w:ascii="IRNazanin" w:hAnsi="IRNazanin" w:eastAsia="IRNazanin"/>
          <w:color w:val="111111"/>
          <w:sz w:val="28"/>
          <w:sz w:val="28"/>
          <w:szCs w:val="28"/>
          <w:rtl w:val="true"/>
          <w:lang w:bidi="fa-IR"/>
        </w:rPr>
        <w:t xml:space="preserve">إلی بعض الکلمات الّتی تکتب بالسّین و الصّاد معا،بقوله </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شئت بالسّین فاکتب ما أبیّنه و إن تشأ فهو بالصّادات یکتتب </w:t>
      </w:r>
      <w:r>
        <w:rPr>
          <w:rStyle w:val="FootnoteAnchor"/>
          <w:rtl w:val="true"/>
        </w:rPr>
        <w:footnoteReference w:id="100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مغس </w:t>
      </w:r>
      <w:r>
        <w:rPr>
          <w:rStyle w:val="FootnoteAnchor"/>
          <w:rtl w:val="true"/>
        </w:rPr>
        <w:footnoteReference w:id="1003"/>
      </w:r>
      <w:r>
        <w:rPr>
          <w:rFonts w:ascii="IRNazanin" w:hAnsi="IRNazanin" w:eastAsia="IRNazanin"/>
          <w:color w:val="111111"/>
          <w:sz w:val="28"/>
          <w:sz w:val="28"/>
          <w:szCs w:val="28"/>
          <w:rtl w:val="true"/>
          <w:lang w:bidi="fa-IR"/>
        </w:rPr>
        <w:t xml:space="preserve">و فقس </w:t>
      </w:r>
      <w:r>
        <w:rPr>
          <w:rStyle w:val="FootnoteAnchor"/>
          <w:rtl w:val="true"/>
        </w:rPr>
        <w:footnoteReference w:id="1004"/>
      </w:r>
      <w:r>
        <w:rPr>
          <w:rFonts w:ascii="IRNazanin" w:hAnsi="IRNazanin" w:eastAsia="IRNazanin"/>
          <w:color w:val="111111"/>
          <w:sz w:val="28"/>
          <w:sz w:val="28"/>
          <w:szCs w:val="28"/>
          <w:rtl w:val="true"/>
          <w:lang w:bidi="fa-IR"/>
        </w:rPr>
        <w:t xml:space="preserve">و مسطار </w:t>
      </w:r>
      <w:r>
        <w:rPr>
          <w:rStyle w:val="FootnoteAnchor"/>
          <w:rtl w:val="true"/>
        </w:rPr>
        <w:footnoteReference w:id="1005"/>
      </w:r>
      <w:r>
        <w:rPr>
          <w:rFonts w:ascii="Amiri" w:hAnsi="Amiri" w:eastAsia="Amiri" w:cs="Amiri"/>
          <w:color w:val="111111"/>
          <w:sz w:val="28"/>
          <w:sz w:val="28"/>
          <w:szCs w:val="28"/>
          <w:rtl w:val="true"/>
          <w:lang w:bidi="ar-SA"/>
        </w:rPr>
        <w:t xml:space="preserve">و مملّس </w:t>
      </w:r>
      <w:r>
        <w:rPr>
          <w:rStyle w:val="FootnoteAnchor"/>
          <w:rtl w:val="true"/>
        </w:rPr>
        <w:footnoteReference w:id="1006"/>
      </w:r>
      <w:r>
        <w:rPr>
          <w:rFonts w:ascii="IRNazanin" w:hAnsi="IRNazanin" w:eastAsia="IRNazanin"/>
          <w:color w:val="111111"/>
          <w:sz w:val="28"/>
          <w:sz w:val="28"/>
          <w:szCs w:val="28"/>
          <w:rtl w:val="true"/>
          <w:lang w:bidi="fa-IR"/>
        </w:rPr>
        <w:t xml:space="preserve">و سالغ </w:t>
      </w:r>
      <w:r>
        <w:rPr>
          <w:rStyle w:val="FootnoteAnchor"/>
          <w:rtl w:val="true"/>
        </w:rPr>
        <w:footnoteReference w:id="1007"/>
      </w:r>
      <w:r>
        <w:rPr>
          <w:rFonts w:ascii="Amiri" w:hAnsi="Amiri" w:eastAsia="Amiri" w:cs="Amiri"/>
          <w:color w:val="111111"/>
          <w:sz w:val="28"/>
          <w:sz w:val="28"/>
          <w:szCs w:val="28"/>
          <w:rtl w:val="true"/>
          <w:lang w:bidi="ar-SA"/>
        </w:rPr>
        <w:t xml:space="preserve">و سراط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الحقّ و السّقب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السّامغان </w:t>
      </w:r>
      <w:r>
        <w:rPr>
          <w:rStyle w:val="FootnoteAnchor"/>
          <w:rtl w:val="true"/>
        </w:rPr>
        <w:footnoteReference w:id="1008"/>
      </w:r>
      <w:r>
        <w:rPr>
          <w:rFonts w:ascii="IRNazanin" w:hAnsi="IRNazanin" w:eastAsia="IRNazanin"/>
          <w:color w:val="111111"/>
          <w:sz w:val="28"/>
          <w:sz w:val="28"/>
          <w:szCs w:val="28"/>
          <w:rtl w:val="true"/>
          <w:lang w:bidi="fa-IR"/>
        </w:rPr>
        <w:t xml:space="preserve">و سقر </w:t>
      </w:r>
      <w:r>
        <w:rPr>
          <w:rStyle w:val="FootnoteAnchor"/>
          <w:rtl w:val="true"/>
        </w:rPr>
        <w:footnoteReference w:id="1009"/>
      </w:r>
      <w:r>
        <w:rPr>
          <w:rFonts w:ascii="Amiri" w:hAnsi="Amiri" w:eastAsia="Amiri" w:cs="Amiri"/>
          <w:color w:val="111111"/>
          <w:sz w:val="28"/>
          <w:sz w:val="28"/>
          <w:szCs w:val="28"/>
          <w:rtl w:val="true"/>
          <w:lang w:bidi="ar-SA"/>
        </w:rPr>
        <w:t xml:space="preserve">و السّویق </w:t>
      </w:r>
      <w:r>
        <w:rPr>
          <w:rStyle w:val="FootnoteAnchor"/>
          <w:rtl w:val="true"/>
        </w:rPr>
        <w:footnoteReference w:id="1010"/>
      </w:r>
      <w:r>
        <w:rPr>
          <w:rFonts w:ascii="IRNazanin" w:hAnsi="IRNazanin" w:eastAsia="IRNazanin"/>
          <w:color w:val="111111"/>
          <w:sz w:val="28"/>
          <w:sz w:val="28"/>
          <w:szCs w:val="28"/>
          <w:rtl w:val="true"/>
          <w:lang w:bidi="fa-IR"/>
        </w:rPr>
        <w:t xml:space="preserve">و مس لاق </w:t>
      </w:r>
      <w:r>
        <w:rPr>
          <w:rStyle w:val="FootnoteAnchor"/>
          <w:rtl w:val="true"/>
        </w:rPr>
        <w:footnoteReference w:id="1011"/>
      </w:r>
      <w:r>
        <w:rPr>
          <w:rFonts w:ascii="IRNazanin" w:hAnsi="IRNazanin" w:eastAsia="IRNazanin"/>
          <w:color w:val="111111"/>
          <w:sz w:val="28"/>
          <w:sz w:val="28"/>
          <w:szCs w:val="28"/>
          <w:rtl w:val="true"/>
          <w:lang w:bidi="fa-IR"/>
        </w:rPr>
        <w:t>و عن کلّ هذا تفصح الکتب</w:t>
      </w:r>
    </w:p>
    <w:p>
      <w:pPr>
        <w:pStyle w:val="BookText"/>
        <w:rPr/>
      </w:pPr>
      <w:r>
        <w:rPr>
          <w:rFonts w:ascii="IRNazanin" w:hAnsi="IRNazanin" w:eastAsia="IRNazanin"/>
          <w:color w:val="111111"/>
          <w:sz w:val="28"/>
          <w:sz w:val="28"/>
          <w:szCs w:val="28"/>
          <w:rtl w:val="true"/>
          <w:lang w:bidi="fa-IR"/>
        </w:rPr>
        <w:t xml:space="preserve">و أشار أیضا إلی بعض ما یتعیّن فیه السّین بقوله </w:t>
      </w:r>
      <w:r>
        <w:rPr>
          <w:rStyle w:val="FootnoteAnchor"/>
          <w:rtl w:val="true"/>
        </w:rPr>
        <w:footnoteReference w:id="10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البسیط</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نقس الدّواة </w:t>
      </w:r>
      <w:r>
        <w:rPr>
          <w:rStyle w:val="FootnoteAnchor"/>
          <w:rtl w:val="true"/>
        </w:rPr>
        <w:footnoteReference w:id="1013"/>
      </w:r>
      <w:r>
        <w:rPr>
          <w:rFonts w:ascii="Amiri" w:hAnsi="Amiri" w:eastAsia="Amiri" w:cs="Amiri"/>
          <w:color w:val="111111"/>
          <w:sz w:val="28"/>
          <w:sz w:val="28"/>
          <w:szCs w:val="28"/>
          <w:rtl w:val="true"/>
          <w:lang w:bidi="ar-SA"/>
        </w:rPr>
        <w:t xml:space="preserve">و رسغ الکفّ </w:t>
      </w:r>
      <w:r>
        <w:rPr>
          <w:rStyle w:val="FootnoteAnchor"/>
          <w:rtl w:val="true"/>
        </w:rPr>
        <w:footnoteReference w:id="1014"/>
      </w:r>
      <w:r>
        <w:rPr>
          <w:rFonts w:ascii="IRNazanin" w:hAnsi="IRNazanin" w:eastAsia="IRNazanin"/>
          <w:color w:val="111111"/>
          <w:sz w:val="28"/>
          <w:sz w:val="28"/>
          <w:szCs w:val="28"/>
          <w:rtl w:val="true"/>
          <w:lang w:bidi="fa-IR"/>
        </w:rPr>
        <w:t xml:space="preserve">مثبتة سیناهما إن </w:t>
      </w:r>
      <w:r>
        <w:rPr>
          <w:rStyle w:val="FootnoteAnchor"/>
          <w:rtl w:val="true"/>
        </w:rPr>
        <w:footnoteReference w:id="1015"/>
      </w:r>
      <w:r>
        <w:rPr>
          <w:rFonts w:ascii="Amiri" w:hAnsi="Amiri" w:eastAsia="Amiri" w:cs="Amiri"/>
          <w:color w:val="111111"/>
          <w:sz w:val="28"/>
          <w:sz w:val="28"/>
          <w:szCs w:val="28"/>
          <w:rtl w:val="true"/>
          <w:lang w:bidi="ar-SA"/>
        </w:rPr>
        <w:t xml:space="preserve">هما خطّا </w:t>
      </w:r>
      <w:r>
        <w:rPr>
          <w:rStyle w:val="FootnoteAnchor"/>
          <w:rtl w:val="true"/>
        </w:rPr>
        <w:footnoteReference w:id="1016"/>
      </w:r>
      <w:r>
        <w:rPr>
          <w:rFonts w:ascii="IRNazanin" w:hAnsi="IRNazanin" w:eastAsia="IRNazanin"/>
          <w:color w:val="111111"/>
          <w:sz w:val="28"/>
          <w:sz w:val="28"/>
          <w:szCs w:val="28"/>
          <w:rtl w:val="true"/>
          <w:lang w:bidi="fa-IR"/>
        </w:rPr>
        <w:t xml:space="preserve">و إن درسا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و هکذا السّین </w:t>
      </w:r>
      <w:r>
        <w:rPr>
          <w:rStyle w:val="FootnoteAnchor"/>
          <w:rtl w:val="true"/>
        </w:rPr>
        <w:footnoteReference w:id="1018"/>
      </w:r>
      <w:r>
        <w:rPr>
          <w:rFonts w:ascii="IRNazanin" w:hAnsi="IRNazanin" w:eastAsia="IRNazanin"/>
          <w:color w:val="111111"/>
          <w:sz w:val="28"/>
          <w:sz w:val="28"/>
          <w:szCs w:val="28"/>
          <w:rtl w:val="true"/>
          <w:lang w:bidi="fa-IR"/>
        </w:rPr>
        <w:t xml:space="preserve">فی قسب </w:t>
      </w:r>
      <w:r>
        <w:rPr>
          <w:rStyle w:val="FootnoteAnchor"/>
          <w:rtl w:val="true"/>
        </w:rPr>
        <w:footnoteReference w:id="1019"/>
      </w:r>
      <w:r>
        <w:rPr>
          <w:rFonts w:ascii="Amiri" w:hAnsi="Amiri" w:eastAsia="Amiri" w:cs="Amiri"/>
          <w:color w:val="111111"/>
          <w:sz w:val="28"/>
          <w:sz w:val="28"/>
          <w:szCs w:val="28"/>
          <w:rtl w:val="true"/>
          <w:lang w:bidi="ar-SA"/>
        </w:rPr>
        <w:t xml:space="preserve">و باسقة </w:t>
      </w:r>
      <w:r>
        <w:rPr>
          <w:rStyle w:val="FootnoteAnchor"/>
          <w:rtl w:val="true"/>
        </w:rPr>
        <w:footnoteReference w:id="1020"/>
      </w:r>
      <w:r>
        <w:rPr>
          <w:rFonts w:ascii="Amiri" w:hAnsi="Amiri" w:eastAsia="Amiri" w:cs="Amiri"/>
          <w:color w:val="111111"/>
          <w:sz w:val="28"/>
          <w:sz w:val="28"/>
          <w:szCs w:val="28"/>
          <w:rtl w:val="true"/>
          <w:lang w:bidi="ar-SA"/>
        </w:rPr>
        <w:t xml:space="preserve">و السّفح </w:t>
      </w:r>
      <w:r>
        <w:rPr>
          <w:rStyle w:val="FootnoteAnchor"/>
          <w:rtl w:val="true"/>
        </w:rPr>
        <w:footnoteReference w:id="1021"/>
      </w:r>
      <w:r>
        <w:rPr>
          <w:rFonts w:ascii="IRNazanin" w:hAnsi="IRNazanin" w:eastAsia="IRNazanin"/>
          <w:color w:val="111111"/>
          <w:sz w:val="28"/>
          <w:sz w:val="28"/>
          <w:szCs w:val="28"/>
          <w:rtl w:val="true"/>
          <w:lang w:bidi="fa-IR"/>
        </w:rPr>
        <w:t xml:space="preserve">و البخس </w:t>
      </w:r>
      <w:r>
        <w:rPr>
          <w:rStyle w:val="FootnoteAnchor"/>
          <w:rtl w:val="true"/>
        </w:rPr>
        <w:footnoteReference w:id="1022"/>
      </w:r>
      <w:r>
        <w:rPr>
          <w:rFonts w:ascii="IRNazanin" w:hAnsi="IRNazanin" w:eastAsia="IRNazanin"/>
          <w:color w:val="111111"/>
          <w:sz w:val="28"/>
          <w:sz w:val="28"/>
          <w:szCs w:val="28"/>
          <w:rtl w:val="true"/>
          <w:lang w:bidi="fa-IR"/>
        </w:rPr>
        <w:t xml:space="preserve">و اقسر </w:t>
      </w:r>
      <w:r>
        <w:rPr>
          <w:rStyle w:val="FootnoteAnchor"/>
          <w:rtl w:val="true"/>
        </w:rPr>
        <w:footnoteReference w:id="1023"/>
      </w:r>
      <w:r>
        <w:rPr>
          <w:rFonts w:ascii="IRNazanin" w:hAnsi="IRNazanin" w:eastAsia="IRNazanin"/>
          <w:color w:val="111111"/>
          <w:sz w:val="28"/>
          <w:sz w:val="28"/>
          <w:szCs w:val="28"/>
          <w:rtl w:val="true"/>
          <w:lang w:bidi="fa-IR"/>
        </w:rPr>
        <w:t xml:space="preserve">و اقتبس </w:t>
      </w:r>
      <w:r>
        <w:rPr>
          <w:rStyle w:val="FootnoteAnchor"/>
          <w:rtl w:val="true"/>
        </w:rPr>
        <w:footnoteReference w:id="1024"/>
      </w:r>
      <w:r>
        <w:rPr>
          <w:rFonts w:ascii="IRNazanin" w:hAnsi="IRNazanin" w:eastAsia="IRNazanin"/>
          <w:color w:val="111111"/>
          <w:sz w:val="28"/>
          <w:sz w:val="28"/>
          <w:szCs w:val="28"/>
          <w:rtl w:val="true"/>
          <w:lang w:bidi="fa-IR"/>
        </w:rPr>
        <w:t>قبسا</w:t>
      </w:r>
    </w:p>
    <w:p>
      <w:pPr>
        <w:pStyle w:val="BookText"/>
        <w:rPr/>
      </w:pPr>
      <w:r>
        <w:rPr>
          <w:rFonts w:ascii="IRNazanin" w:hAnsi="IRNazanin" w:eastAsia="IRNazanin"/>
          <w:color w:val="111111"/>
          <w:sz w:val="28"/>
          <w:sz w:val="28"/>
          <w:szCs w:val="28"/>
          <w:rtl w:val="true"/>
          <w:lang w:bidi="fa-IR"/>
        </w:rPr>
        <w:t xml:space="preserve">و فی نقسست </w:t>
      </w:r>
      <w:r>
        <w:rPr>
          <w:rStyle w:val="FootnoteAnchor"/>
          <w:rtl w:val="true"/>
        </w:rPr>
        <w:footnoteReference w:id="1025"/>
      </w:r>
      <w:r>
        <w:rPr>
          <w:rFonts w:ascii="IRNazanin" w:hAnsi="IRNazanin" w:eastAsia="IRNazanin"/>
          <w:color w:val="111111"/>
          <w:sz w:val="28"/>
          <w:sz w:val="28"/>
          <w:szCs w:val="28"/>
          <w:rtl w:val="true"/>
          <w:lang w:bidi="fa-IR"/>
        </w:rPr>
        <w:t xml:space="preserve">باللیل الکلام و فی مسیطر </w:t>
      </w:r>
      <w:r>
        <w:rPr>
          <w:rStyle w:val="FootnoteAnchor"/>
          <w:rtl w:val="true"/>
        </w:rPr>
        <w:footnoteReference w:id="1026"/>
      </w:r>
      <w:r>
        <w:rPr>
          <w:rFonts w:ascii="IRNazanin" w:hAnsi="IRNazanin" w:eastAsia="IRNazanin"/>
          <w:color w:val="111111"/>
          <w:sz w:val="28"/>
          <w:sz w:val="28"/>
          <w:szCs w:val="28"/>
          <w:rtl w:val="true"/>
          <w:lang w:bidi="fa-IR"/>
        </w:rPr>
        <w:t xml:space="preserve">و شموس </w:t>
      </w:r>
      <w:r>
        <w:rPr>
          <w:rStyle w:val="FootnoteAnchor"/>
          <w:rtl w:val="true"/>
        </w:rPr>
        <w:footnoteReference w:id="1027"/>
      </w:r>
      <w:r>
        <w:rPr>
          <w:rFonts w:ascii="Amiri" w:hAnsi="Amiri" w:eastAsia="Amiri" w:cs="Amiri"/>
          <w:color w:val="111111"/>
          <w:sz w:val="28"/>
          <w:sz w:val="28"/>
          <w:szCs w:val="28"/>
          <w:rtl w:val="true"/>
          <w:lang w:bidi="ar-SA"/>
        </w:rPr>
        <w:t xml:space="preserve">و اتّخذ جرسا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و فی وبرد قارس </w:t>
      </w:r>
      <w:r>
        <w:rPr>
          <w:rStyle w:val="FootnoteAnchor"/>
          <w:rtl w:val="true"/>
        </w:rPr>
        <w:footnoteReference w:id="1029"/>
      </w:r>
      <w:r>
        <w:rPr>
          <w:rFonts w:ascii="IRNazanin" w:hAnsi="IRNazanin" w:eastAsia="IRNazanin"/>
          <w:color w:val="111111"/>
          <w:sz w:val="28"/>
          <w:sz w:val="28"/>
          <w:szCs w:val="28"/>
          <w:rtl w:val="true"/>
          <w:lang w:bidi="fa-IR"/>
        </w:rPr>
        <w:t>فخذ ال صّواب منّی و کن للعلم مقتبسا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ما یتعیّن فیه الصّاد بقوله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بالصّاد یکتب قد قبصت </w:t>
      </w:r>
      <w:r>
        <w:rPr>
          <w:rStyle w:val="FootnoteAnchor"/>
          <w:rtl w:val="true"/>
        </w:rPr>
        <w:footnoteReference w:id="1031"/>
      </w:r>
      <w:r>
        <w:rPr>
          <w:rFonts w:ascii="IRNazanin" w:hAnsi="IRNazanin" w:eastAsia="IRNazanin"/>
          <w:color w:val="111111"/>
          <w:sz w:val="28"/>
          <w:sz w:val="28"/>
          <w:szCs w:val="28"/>
          <w:rtl w:val="true"/>
          <w:lang w:bidi="fa-IR"/>
        </w:rPr>
        <w:t xml:space="preserve">درهما بأناملی و أصخ </w:t>
      </w:r>
      <w:r>
        <w:rPr>
          <w:rStyle w:val="FootnoteAnchor"/>
          <w:rtl w:val="true"/>
        </w:rPr>
        <w:footnoteReference w:id="1032"/>
      </w:r>
      <w:r>
        <w:rPr>
          <w:rFonts w:ascii="IRNazanin" w:hAnsi="IRNazanin" w:eastAsia="IRNazanin"/>
          <w:color w:val="111111"/>
          <w:sz w:val="28"/>
          <w:sz w:val="28"/>
          <w:szCs w:val="28"/>
          <w:rtl w:val="true"/>
          <w:lang w:bidi="fa-IR"/>
        </w:rPr>
        <w:t xml:space="preserve">لتستمع </w:t>
      </w:r>
      <w:r>
        <w:rPr>
          <w:rStyle w:val="FootnoteAnchor"/>
          <w:rtl w:val="true"/>
        </w:rPr>
        <w:footnoteReference w:id="1033"/>
      </w:r>
      <w:r>
        <w:rPr>
          <w:rFonts w:ascii="IRNazanin" w:hAnsi="IRNazanin" w:eastAsia="IRNazanin"/>
          <w:color w:val="111111"/>
          <w:sz w:val="28"/>
          <w:sz w:val="28"/>
          <w:szCs w:val="28"/>
          <w:rtl w:val="true"/>
          <w:lang w:bidi="fa-IR"/>
        </w:rPr>
        <w:t>الخبر</w:t>
      </w:r>
    </w:p>
    <w:p>
      <w:pPr>
        <w:pStyle w:val="BookText"/>
        <w:rPr/>
      </w:pPr>
      <w:r>
        <w:rPr>
          <w:rFonts w:ascii="Amiri" w:hAnsi="Amiri" w:eastAsia="Amiri" w:cs="Amiri"/>
          <w:color w:val="111111"/>
          <w:sz w:val="28"/>
          <w:sz w:val="28"/>
          <w:szCs w:val="28"/>
          <w:rtl w:val="true"/>
          <w:lang w:bidi="ar-SA"/>
        </w:rPr>
        <w:t xml:space="preserve">و بصقت أبصق و الصّمّاخ </w:t>
      </w:r>
      <w:r>
        <w:rPr>
          <w:rStyle w:val="FootnoteAnchor"/>
          <w:rtl w:val="true"/>
        </w:rPr>
        <w:footnoteReference w:id="1034"/>
      </w:r>
      <w:r>
        <w:rPr>
          <w:rFonts w:ascii="Amiri" w:hAnsi="Amiri" w:eastAsia="Amiri" w:cs="Amiri"/>
          <w:color w:val="111111"/>
          <w:sz w:val="28"/>
          <w:sz w:val="28"/>
          <w:szCs w:val="28"/>
          <w:rtl w:val="true"/>
          <w:lang w:bidi="ar-SA"/>
        </w:rPr>
        <w:t xml:space="preserve">و صنجة </w:t>
      </w:r>
      <w:r>
        <w:rPr>
          <w:rStyle w:val="FootnoteAnchor"/>
          <w:rtl w:val="true"/>
        </w:rPr>
        <w:footnoteReference w:id="10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 </w:t>
      </w:r>
      <w:r>
        <w:rPr>
          <w:rStyle w:val="FootnoteAnchor"/>
          <w:rtl w:val="true"/>
        </w:rPr>
        <w:footnoteReference w:id="1036"/>
      </w:r>
      <w:r>
        <w:rPr>
          <w:rFonts w:ascii="Amiri" w:hAnsi="Amiri" w:eastAsia="Amiri" w:cs="Amiri"/>
          <w:color w:val="111111"/>
          <w:sz w:val="28"/>
          <w:sz w:val="28"/>
          <w:szCs w:val="28"/>
          <w:rtl w:val="true"/>
          <w:lang w:bidi="ar-SA"/>
        </w:rPr>
        <w:t xml:space="preserve">و هو الصّدر و اقتصّ الأثر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 بخصت مقلته </w:t>
      </w:r>
      <w:r>
        <w:rPr>
          <w:rStyle w:val="FootnoteAnchor"/>
          <w:rtl w:val="true"/>
        </w:rPr>
        <w:footnoteReference w:id="1038"/>
      </w:r>
      <w:r>
        <w:rPr>
          <w:rFonts w:ascii="IRNazanin" w:hAnsi="IRNazanin" w:eastAsia="IRNazanin"/>
          <w:color w:val="111111"/>
          <w:sz w:val="28"/>
          <w:sz w:val="28"/>
          <w:szCs w:val="28"/>
          <w:rtl w:val="true"/>
          <w:lang w:bidi="fa-IR"/>
        </w:rPr>
        <w:t xml:space="preserve">و هذی فرصة </w:t>
      </w:r>
      <w:r>
        <w:rPr>
          <w:rStyle w:val="FootnoteAnchor"/>
          <w:rtl w:val="true"/>
        </w:rPr>
        <w:footnoteReference w:id="1039"/>
      </w:r>
      <w:r>
        <w:rPr>
          <w:rFonts w:ascii="IRNazanin" w:hAnsi="IRNazanin" w:eastAsia="IRNazanin"/>
          <w:color w:val="111111"/>
          <w:sz w:val="28"/>
          <w:sz w:val="28"/>
          <w:szCs w:val="28"/>
          <w:rtl w:val="true"/>
          <w:lang w:bidi="fa-IR"/>
        </w:rPr>
        <w:t xml:space="preserve">قد </w:t>
      </w:r>
      <w:r>
        <w:rPr>
          <w:rStyle w:val="FootnoteAnchor"/>
          <w:rtl w:val="true"/>
        </w:rPr>
        <w:footnoteReference w:id="1040"/>
      </w:r>
      <w:r>
        <w:rPr>
          <w:rFonts w:ascii="IRNazanin" w:hAnsi="IRNazanin" w:eastAsia="IRNazanin"/>
          <w:color w:val="111111"/>
          <w:sz w:val="28"/>
          <w:sz w:val="28"/>
          <w:szCs w:val="28"/>
          <w:rtl w:val="true"/>
          <w:lang w:bidi="fa-IR"/>
        </w:rPr>
        <w:t xml:space="preserve">أرعدت منه الفریصة </w:t>
      </w:r>
      <w:r>
        <w:rPr>
          <w:rStyle w:val="FootnoteAnchor"/>
          <w:rtl w:val="true"/>
        </w:rPr>
        <w:footnoteReference w:id="1041"/>
      </w:r>
      <w:r>
        <w:rPr>
          <w:rFonts w:ascii="IRNazanin" w:hAnsi="IRNazanin" w:eastAsia="IRNazanin"/>
          <w:color w:val="111111"/>
          <w:sz w:val="28"/>
          <w:sz w:val="28"/>
          <w:szCs w:val="28"/>
          <w:rtl w:val="true"/>
          <w:lang w:bidi="fa-IR"/>
        </w:rPr>
        <w:t xml:space="preserve">للخور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و قصرت هندا </w:t>
      </w:r>
      <w:r>
        <w:rPr>
          <w:rStyle w:val="FootnoteAnchor"/>
          <w:rtl w:val="true"/>
        </w:rPr>
        <w:footnoteReference w:id="10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قد دنا فصح النّصاری و هو عید منتظر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قرصته </w:t>
      </w:r>
      <w:r>
        <w:rPr>
          <w:rStyle w:val="FootnoteAnchor"/>
          <w:rtl w:val="true"/>
        </w:rPr>
        <w:footnoteReference w:id="1044"/>
      </w:r>
      <w:r>
        <w:rPr>
          <w:rFonts w:ascii="Amiri" w:hAnsi="Amiri" w:eastAsia="Amiri" w:cs="Amiri"/>
          <w:color w:val="111111"/>
          <w:sz w:val="28"/>
          <w:sz w:val="28"/>
          <w:szCs w:val="28"/>
          <w:rtl w:val="true"/>
          <w:lang w:bidi="ar-SA"/>
        </w:rPr>
        <w:t xml:space="preserve">و الخمر قارصة </w:t>
      </w:r>
      <w:r>
        <w:rPr>
          <w:rStyle w:val="FootnoteAnchor"/>
          <w:rtl w:val="true"/>
        </w:rPr>
        <w:footnoteReference w:id="1045"/>
      </w:r>
      <w:r>
        <w:rPr>
          <w:rFonts w:ascii="IRNazanin" w:hAnsi="IRNazanin" w:eastAsia="IRNazanin"/>
          <w:color w:val="111111"/>
          <w:sz w:val="28"/>
          <w:sz w:val="28"/>
          <w:szCs w:val="28"/>
          <w:rtl w:val="true"/>
          <w:lang w:bidi="fa-IR"/>
        </w:rPr>
        <w:t xml:space="preserve">إذا حذت اللّسان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کلّ هذا مستطر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إلی بعض ما یتعیّن فیه الظّاء بقوله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السّائلی عن الضّاد و الظّا ء لکیلا تضلّه الألفاظ</w:t>
      </w:r>
    </w:p>
    <w:p>
      <w:pPr>
        <w:pStyle w:val="BookText"/>
        <w:rPr/>
      </w:pPr>
      <w:r>
        <w:rPr>
          <w:rFonts w:ascii="Amiri" w:hAnsi="Amiri" w:eastAsia="Amiri" w:cs="Amiri"/>
          <w:color w:val="111111"/>
          <w:sz w:val="28"/>
          <w:sz w:val="28"/>
          <w:szCs w:val="28"/>
          <w:rtl w:val="true"/>
          <w:lang w:bidi="ar-SA"/>
        </w:rPr>
        <w:t xml:space="preserve">إنّ حفظ الظّاءات </w:t>
      </w:r>
      <w:r>
        <w:rPr>
          <w:rStyle w:val="FootnoteAnchor"/>
          <w:rtl w:val="true"/>
        </w:rPr>
        <w:footnoteReference w:id="1047"/>
      </w:r>
      <w:r>
        <w:rPr>
          <w:rFonts w:ascii="IRNazanin" w:hAnsi="IRNazanin" w:eastAsia="IRNazanin"/>
          <w:color w:val="111111"/>
          <w:sz w:val="28"/>
          <w:sz w:val="28"/>
          <w:szCs w:val="28"/>
          <w:rtl w:val="true"/>
          <w:lang w:bidi="fa-IR"/>
        </w:rPr>
        <w:t xml:space="preserve">یغنیک فاسمع ها استماع </w:t>
      </w:r>
      <w:r>
        <w:rPr>
          <w:rStyle w:val="FootnoteAnchor"/>
          <w:rtl w:val="true"/>
        </w:rPr>
        <w:footnoteReference w:id="1048"/>
      </w:r>
      <w:r>
        <w:rPr>
          <w:rFonts w:ascii="IRNazanin" w:hAnsi="IRNazanin" w:eastAsia="IRNazanin"/>
          <w:color w:val="111111"/>
          <w:sz w:val="28"/>
          <w:sz w:val="28"/>
          <w:szCs w:val="28"/>
          <w:rtl w:val="true"/>
          <w:lang w:bidi="fa-IR"/>
        </w:rPr>
        <w:t>امریء له استیقاظ</w:t>
      </w:r>
    </w:p>
    <w:p>
      <w:pPr>
        <w:pStyle w:val="BookText"/>
        <w:rPr/>
      </w:pPr>
      <w:r>
        <w:rPr>
          <w:rFonts w:ascii="IRNazanin" w:hAnsi="IRNazanin" w:eastAsia="IRNazanin"/>
          <w:color w:val="111111"/>
          <w:sz w:val="28"/>
          <w:sz w:val="28"/>
          <w:szCs w:val="28"/>
          <w:rtl w:val="true"/>
          <w:lang w:bidi="fa-IR"/>
        </w:rPr>
        <w:t xml:space="preserve">هی ظمیاء </w:t>
      </w:r>
      <w:r>
        <w:rPr>
          <w:rStyle w:val="FootnoteAnchor"/>
          <w:rtl w:val="true"/>
        </w:rPr>
        <w:footnoteReference w:id="1049"/>
      </w:r>
      <w:r>
        <w:rPr>
          <w:rFonts w:ascii="IRNazanin" w:hAnsi="IRNazanin" w:eastAsia="IRNazanin"/>
          <w:color w:val="111111"/>
          <w:sz w:val="28"/>
          <w:sz w:val="28"/>
          <w:szCs w:val="28"/>
          <w:rtl w:val="true"/>
          <w:lang w:bidi="fa-IR"/>
        </w:rPr>
        <w:t xml:space="preserve">و المظالم </w:t>
      </w:r>
      <w:r>
        <w:rPr>
          <w:rStyle w:val="FootnoteAnchor"/>
          <w:rtl w:val="true"/>
        </w:rPr>
        <w:footnoteReference w:id="1050"/>
      </w:r>
      <w:r>
        <w:rPr>
          <w:rFonts w:ascii="IRNazanin" w:hAnsi="IRNazanin" w:eastAsia="IRNazanin"/>
          <w:color w:val="111111"/>
          <w:sz w:val="28"/>
          <w:sz w:val="28"/>
          <w:szCs w:val="28"/>
          <w:rtl w:val="true"/>
          <w:lang w:bidi="fa-IR"/>
        </w:rPr>
        <w:t xml:space="preserve">و الإظ لام </w:t>
      </w:r>
      <w:r>
        <w:rPr>
          <w:rStyle w:val="FootnoteAnchor"/>
          <w:rtl w:val="true"/>
        </w:rPr>
        <w:footnoteReference w:id="1051"/>
      </w:r>
      <w:r>
        <w:rPr>
          <w:rFonts w:ascii="Amiri" w:hAnsi="Amiri" w:eastAsia="Amiri" w:cs="Amiri"/>
          <w:color w:val="111111"/>
          <w:sz w:val="28"/>
          <w:sz w:val="28"/>
          <w:szCs w:val="28"/>
          <w:rtl w:val="true"/>
          <w:lang w:bidi="ar-SA"/>
        </w:rPr>
        <w:t xml:space="preserve">و الظّلم </w:t>
      </w:r>
      <w:r>
        <w:rPr>
          <w:rStyle w:val="FootnoteAnchor"/>
          <w:rtl w:val="true"/>
        </w:rPr>
        <w:footnoteReference w:id="1052"/>
      </w:r>
      <w:r>
        <w:rPr>
          <w:rFonts w:ascii="Amiri" w:hAnsi="Amiri" w:eastAsia="Amiri" w:cs="Amiri"/>
          <w:color w:val="111111"/>
          <w:sz w:val="28"/>
          <w:sz w:val="28"/>
          <w:szCs w:val="28"/>
          <w:rtl w:val="true"/>
          <w:lang w:bidi="ar-SA"/>
        </w:rPr>
        <w:t xml:space="preserve">و الظّبی </w:t>
      </w:r>
      <w:r>
        <w:rPr>
          <w:rStyle w:val="FootnoteAnchor"/>
          <w:rtl w:val="true"/>
        </w:rPr>
        <w:footnoteReference w:id="1053"/>
      </w:r>
      <w:r>
        <w:rPr>
          <w:rFonts w:ascii="Amiri" w:hAnsi="Amiri" w:eastAsia="Amiri" w:cs="Amiri"/>
          <w:color w:val="111111"/>
          <w:sz w:val="28"/>
          <w:sz w:val="28"/>
          <w:szCs w:val="28"/>
          <w:rtl w:val="true"/>
          <w:lang w:bidi="ar-SA"/>
        </w:rPr>
        <w:t xml:space="preserve">و اللّحاظ </w:t>
      </w:r>
      <w:r>
        <w:rPr>
          <w:rStyle w:val="FootnoteAnchor"/>
          <w:rtl w:val="true"/>
        </w:rPr>
        <w:footnoteReference w:id="105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العظا </w:t>
      </w:r>
      <w:r>
        <w:rPr>
          <w:rStyle w:val="FootnoteAnchor"/>
          <w:rtl w:val="true"/>
        </w:rPr>
        <w:footnoteReference w:id="1055"/>
      </w:r>
      <w:r>
        <w:rPr>
          <w:rFonts w:ascii="Amiri" w:hAnsi="Amiri" w:eastAsia="Amiri" w:cs="Amiri"/>
          <w:color w:val="111111"/>
          <w:sz w:val="28"/>
          <w:sz w:val="28"/>
          <w:szCs w:val="28"/>
          <w:rtl w:val="true"/>
          <w:lang w:bidi="ar-SA"/>
        </w:rPr>
        <w:t xml:space="preserve">و الظّلیم </w:t>
      </w:r>
      <w:r>
        <w:rPr>
          <w:rStyle w:val="FootnoteAnchor"/>
          <w:rtl w:val="true"/>
        </w:rPr>
        <w:footnoteReference w:id="1056"/>
      </w:r>
      <w:r>
        <w:rPr>
          <w:rFonts w:ascii="Amiri" w:hAnsi="Amiri" w:eastAsia="Amiri" w:cs="Amiri"/>
          <w:color w:val="111111"/>
          <w:sz w:val="28"/>
          <w:sz w:val="28"/>
          <w:szCs w:val="28"/>
          <w:rtl w:val="true"/>
          <w:lang w:bidi="ar-SA"/>
        </w:rPr>
        <w:t xml:space="preserve">و الظبی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الشّی ظم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الظّلّ و اللّظی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الشّواظ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التّظنّی </w:t>
      </w:r>
      <w:r>
        <w:rPr>
          <w:rStyle w:val="FootnoteAnchor"/>
          <w:rtl w:val="true"/>
        </w:rPr>
        <w:footnoteReference w:id="1057"/>
      </w:r>
      <w:r>
        <w:rPr>
          <w:rFonts w:ascii="IRNazanin" w:hAnsi="IRNazanin" w:eastAsia="IRNazanin"/>
          <w:color w:val="111111"/>
          <w:sz w:val="28"/>
          <w:sz w:val="28"/>
          <w:szCs w:val="28"/>
          <w:rtl w:val="true"/>
          <w:lang w:bidi="fa-IR"/>
        </w:rPr>
        <w:t xml:space="preserve">و اللّفظ و النّظم و التق ریظ </w:t>
      </w:r>
      <w:r>
        <w:rPr>
          <w:rStyle w:val="FootnoteAnchor"/>
          <w:rtl w:val="true"/>
        </w:rPr>
        <w:footnoteReference w:id="1058"/>
      </w:r>
      <w:r>
        <w:rPr>
          <w:rFonts w:ascii="IRNazanin" w:hAnsi="IRNazanin" w:eastAsia="IRNazanin"/>
          <w:color w:val="111111"/>
          <w:sz w:val="28"/>
          <w:sz w:val="28"/>
          <w:szCs w:val="28"/>
          <w:rtl w:val="true"/>
          <w:lang w:bidi="fa-IR"/>
        </w:rPr>
        <w:t xml:space="preserve">و القیظ </w:t>
      </w:r>
      <w:r>
        <w:rPr>
          <w:rStyle w:val="FootnoteAnchor"/>
          <w:rtl w:val="true"/>
        </w:rPr>
        <w:footnoteReference w:id="1059"/>
      </w:r>
      <w:r>
        <w:rPr>
          <w:rFonts w:ascii="Amiri" w:hAnsi="Amiri" w:eastAsia="Amiri" w:cs="Amiri"/>
          <w:color w:val="111111"/>
          <w:sz w:val="28"/>
          <w:sz w:val="28"/>
          <w:szCs w:val="28"/>
          <w:rtl w:val="true"/>
          <w:lang w:bidi="ar-SA"/>
        </w:rPr>
        <w:t xml:space="preserve">و الظّما </w:t>
      </w:r>
      <w:r>
        <w:rPr>
          <w:rStyle w:val="FootnoteAnchor"/>
          <w:rtl w:val="true"/>
        </w:rPr>
        <w:footnoteReference w:id="1060"/>
      </w:r>
      <w:r>
        <w:rPr>
          <w:rFonts w:ascii="Amiri" w:hAnsi="Amiri" w:eastAsia="Amiri" w:cs="Amiri"/>
          <w:color w:val="111111"/>
          <w:sz w:val="28"/>
          <w:sz w:val="28"/>
          <w:szCs w:val="28"/>
          <w:rtl w:val="true"/>
          <w:lang w:bidi="ar-SA"/>
        </w:rPr>
        <w:t xml:space="preserve">و اللّماظ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و الحظا </w:t>
      </w:r>
      <w:r>
        <w:rPr>
          <w:rStyle w:val="FootnoteAnchor"/>
          <w:rtl w:val="true"/>
        </w:rPr>
        <w:footnoteReference w:id="1062"/>
      </w:r>
      <w:r>
        <w:rPr>
          <w:rFonts w:ascii="Amiri" w:hAnsi="Amiri" w:eastAsia="Amiri" w:cs="Amiri"/>
          <w:color w:val="111111"/>
          <w:sz w:val="28"/>
          <w:sz w:val="28"/>
          <w:szCs w:val="28"/>
          <w:rtl w:val="true"/>
          <w:lang w:bidi="ar-SA"/>
        </w:rPr>
        <w:t xml:space="preserve">و النّظیر و الظّئر </w:t>
      </w:r>
      <w:r>
        <w:rPr>
          <w:rStyle w:val="FootnoteAnchor"/>
          <w:rtl w:val="true"/>
        </w:rPr>
        <w:footnoteReference w:id="1063"/>
      </w:r>
      <w:r>
        <w:rPr>
          <w:rFonts w:ascii="IRNazanin" w:hAnsi="IRNazanin" w:eastAsia="IRNazanin"/>
          <w:color w:val="111111"/>
          <w:sz w:val="28"/>
          <w:sz w:val="28"/>
          <w:szCs w:val="28"/>
          <w:rtl w:val="true"/>
          <w:lang w:bidi="fa-IR"/>
        </w:rPr>
        <w:t xml:space="preserve">و الجا حظ </w:t>
      </w:r>
      <w:r>
        <w:rPr>
          <w:rStyle w:val="FootnoteAnchor"/>
          <w:rtl w:val="true"/>
        </w:rPr>
        <w:footnoteReference w:id="1064"/>
      </w:r>
      <w:r>
        <w:rPr>
          <w:rFonts w:ascii="IRNazanin" w:hAnsi="IRNazanin" w:eastAsia="IRNazanin"/>
          <w:color w:val="111111"/>
          <w:sz w:val="28"/>
          <w:sz w:val="28"/>
          <w:szCs w:val="28"/>
          <w:rtl w:val="true"/>
          <w:lang w:bidi="fa-IR"/>
        </w:rPr>
        <w:t xml:space="preserve">و النّاظرون و الإیقاظ </w:t>
      </w:r>
      <w:r>
        <w:rPr>
          <w:rStyle w:val="FootnoteAnchor"/>
          <w:rtl w:val="true"/>
        </w:rPr>
        <w:footnoteReference w:id="106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التّشظّی </w:t>
      </w:r>
      <w:r>
        <w:rPr>
          <w:rStyle w:val="FootnoteAnchor"/>
          <w:rtl w:val="true"/>
        </w:rPr>
        <w:footnoteReference w:id="1066"/>
      </w:r>
      <w:r>
        <w:rPr>
          <w:rFonts w:ascii="Amiri" w:hAnsi="Amiri" w:eastAsia="Amiri" w:cs="Amiri"/>
          <w:color w:val="111111"/>
          <w:sz w:val="28"/>
          <w:sz w:val="28"/>
          <w:szCs w:val="28"/>
          <w:rtl w:val="true"/>
          <w:lang w:bidi="ar-SA"/>
        </w:rPr>
        <w:t xml:space="preserve">و الظّلف </w:t>
      </w:r>
      <w:r>
        <w:rPr>
          <w:rStyle w:val="FootnoteAnchor"/>
          <w:rtl w:val="true"/>
        </w:rPr>
        <w:footnoteReference w:id="1067"/>
      </w:r>
      <w:r>
        <w:rPr>
          <w:rFonts w:ascii="IRNazanin" w:hAnsi="IRNazanin" w:eastAsia="IRNazanin"/>
          <w:color w:val="111111"/>
          <w:sz w:val="28"/>
          <w:sz w:val="28"/>
          <w:szCs w:val="28"/>
          <w:rtl w:val="true"/>
          <w:lang w:bidi="fa-IR"/>
        </w:rPr>
        <w:t xml:space="preserve">و العظم و الظّن بوب </w:t>
      </w:r>
      <w:r>
        <w:rPr>
          <w:rStyle w:val="FootnoteAnchor"/>
          <w:rtl w:val="true"/>
        </w:rPr>
        <w:footnoteReference w:id="1068"/>
      </w:r>
      <w:r>
        <w:rPr>
          <w:rFonts w:ascii="Amiri" w:hAnsi="Amiri" w:eastAsia="Amiri" w:cs="Amiri"/>
          <w:color w:val="111111"/>
          <w:sz w:val="28"/>
          <w:sz w:val="28"/>
          <w:szCs w:val="28"/>
          <w:rtl w:val="true"/>
          <w:lang w:bidi="ar-SA"/>
        </w:rPr>
        <w:t xml:space="preserve">و الظّهر و الشّظا </w:t>
      </w:r>
      <w:r>
        <w:rPr>
          <w:rStyle w:val="FootnoteAnchor"/>
          <w:rtl w:val="true"/>
        </w:rPr>
        <w:footnoteReference w:id="1069"/>
      </w:r>
      <w:r>
        <w:rPr>
          <w:rFonts w:ascii="Amiri" w:hAnsi="Amiri" w:eastAsia="Amiri" w:cs="Amiri"/>
          <w:color w:val="111111"/>
          <w:sz w:val="28"/>
          <w:sz w:val="28"/>
          <w:szCs w:val="28"/>
          <w:rtl w:val="true"/>
          <w:lang w:bidi="ar-SA"/>
        </w:rPr>
        <w:t xml:space="preserve">و الشّظاظ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و الأظافیر </w:t>
      </w:r>
      <w:r>
        <w:rPr>
          <w:rStyle w:val="FootnoteAnchor"/>
          <w:rtl w:val="true"/>
        </w:rPr>
        <w:footnoteReference w:id="1071"/>
      </w:r>
      <w:r>
        <w:rPr>
          <w:rFonts w:ascii="Amiri" w:hAnsi="Amiri" w:eastAsia="Amiri" w:cs="Amiri"/>
          <w:color w:val="111111"/>
          <w:sz w:val="28"/>
          <w:sz w:val="28"/>
          <w:szCs w:val="28"/>
          <w:rtl w:val="true"/>
          <w:lang w:bidi="ar-SA"/>
        </w:rPr>
        <w:t xml:space="preserve">و المظفّر </w:t>
      </w:r>
      <w:r>
        <w:rPr>
          <w:rStyle w:val="FootnoteAnchor"/>
          <w:rtl w:val="true"/>
        </w:rPr>
        <w:footnoteReference w:id="1072"/>
      </w:r>
      <w:r>
        <w:rPr>
          <w:rFonts w:ascii="IRNazanin" w:hAnsi="IRNazanin" w:eastAsia="IRNazanin"/>
          <w:color w:val="111111"/>
          <w:sz w:val="28"/>
          <w:sz w:val="28"/>
          <w:szCs w:val="28"/>
          <w:rtl w:val="true"/>
          <w:lang w:bidi="fa-IR"/>
        </w:rPr>
        <w:t xml:space="preserve">و المح ظور </w:t>
      </w:r>
      <w:r>
        <w:rPr>
          <w:rStyle w:val="FootnoteAnchor"/>
          <w:rtl w:val="true"/>
        </w:rPr>
        <w:footnoteReference w:id="1073"/>
      </w:r>
      <w:r>
        <w:rPr>
          <w:rFonts w:ascii="IRNazanin" w:hAnsi="IRNazanin" w:eastAsia="IRNazanin"/>
          <w:color w:val="111111"/>
          <w:sz w:val="28"/>
          <w:sz w:val="28"/>
          <w:szCs w:val="28"/>
          <w:rtl w:val="true"/>
          <w:lang w:bidi="fa-IR"/>
        </w:rPr>
        <w:t xml:space="preserve">و الحافظون و الإحفاظ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و الحظیرات </w:t>
      </w:r>
      <w:r>
        <w:rPr>
          <w:rStyle w:val="FootnoteAnchor"/>
          <w:rtl w:val="true"/>
        </w:rPr>
        <w:footnoteReference w:id="1075"/>
      </w:r>
      <w:r>
        <w:rPr>
          <w:rFonts w:ascii="Amiri" w:hAnsi="Amiri" w:eastAsia="Amiri" w:cs="Amiri"/>
          <w:color w:val="111111"/>
          <w:sz w:val="28"/>
          <w:sz w:val="28"/>
          <w:szCs w:val="28"/>
          <w:rtl w:val="true"/>
          <w:lang w:bidi="ar-SA"/>
        </w:rPr>
        <w:t xml:space="preserve">و المظنّة </w:t>
      </w:r>
      <w:r>
        <w:rPr>
          <w:rStyle w:val="FootnoteAnchor"/>
          <w:rtl w:val="true"/>
        </w:rPr>
        <w:footnoteReference w:id="1076"/>
      </w:r>
      <w:r>
        <w:rPr>
          <w:rFonts w:ascii="Amiri" w:hAnsi="Amiri" w:eastAsia="Amiri" w:cs="Amiri"/>
          <w:color w:val="111111"/>
          <w:sz w:val="28"/>
          <w:sz w:val="28"/>
          <w:szCs w:val="28"/>
          <w:rtl w:val="true"/>
          <w:lang w:bidi="ar-SA"/>
        </w:rPr>
        <w:t xml:space="preserve">و الظّنّ ة </w:t>
      </w:r>
      <w:r>
        <w:rPr>
          <w:rStyle w:val="FootnoteAnchor"/>
          <w:rtl w:val="true"/>
        </w:rPr>
        <w:footnoteReference w:id="1077"/>
      </w:r>
      <w:r>
        <w:rPr>
          <w:rFonts w:ascii="IRNazanin" w:hAnsi="IRNazanin" w:eastAsia="IRNazanin"/>
          <w:color w:val="111111"/>
          <w:sz w:val="28"/>
          <w:sz w:val="28"/>
          <w:szCs w:val="28"/>
          <w:rtl w:val="true"/>
          <w:lang w:bidi="fa-IR"/>
        </w:rPr>
        <w:t xml:space="preserve">و الکاظمون </w:t>
      </w:r>
      <w:r>
        <w:rPr>
          <w:rStyle w:val="FootnoteAnchor"/>
          <w:rtl w:val="true"/>
        </w:rPr>
        <w:footnoteReference w:id="1078"/>
      </w:r>
      <w:r>
        <w:rPr>
          <w:rFonts w:ascii="IRNazanin" w:hAnsi="IRNazanin" w:eastAsia="IRNazanin"/>
          <w:color w:val="111111"/>
          <w:sz w:val="28"/>
          <w:sz w:val="28"/>
          <w:szCs w:val="28"/>
          <w:rtl w:val="true"/>
          <w:lang w:bidi="fa-IR"/>
        </w:rPr>
        <w:t>و المغتاظ</w:t>
      </w:r>
    </w:p>
    <w:p>
      <w:pPr>
        <w:pStyle w:val="BookText"/>
        <w:rPr/>
      </w:pPr>
      <w:r>
        <w:rPr>
          <w:rFonts w:ascii="IRNazanin" w:hAnsi="IRNazanin" w:eastAsia="IRNazanin"/>
          <w:color w:val="111111"/>
          <w:sz w:val="28"/>
          <w:sz w:val="28"/>
          <w:szCs w:val="28"/>
          <w:rtl w:val="true"/>
          <w:lang w:bidi="fa-IR"/>
        </w:rPr>
        <w:t xml:space="preserve">و الوظیفات </w:t>
      </w:r>
      <w:r>
        <w:rPr>
          <w:rStyle w:val="FootnoteAnchor"/>
          <w:rtl w:val="true"/>
        </w:rPr>
        <w:footnoteReference w:id="1079"/>
      </w:r>
      <w:r>
        <w:rPr>
          <w:rFonts w:ascii="IRNazanin" w:hAnsi="IRNazanin" w:eastAsia="IRNazanin"/>
          <w:color w:val="111111"/>
          <w:sz w:val="28"/>
          <w:sz w:val="28"/>
          <w:szCs w:val="28"/>
          <w:rtl w:val="true"/>
          <w:lang w:bidi="fa-IR"/>
        </w:rPr>
        <w:t xml:space="preserve">و المواظب </w:t>
      </w:r>
      <w:r>
        <w:rPr>
          <w:rStyle w:val="FootnoteAnchor"/>
          <w:rtl w:val="true"/>
        </w:rPr>
        <w:footnoteReference w:id="1080"/>
      </w:r>
      <w:r>
        <w:rPr>
          <w:rFonts w:ascii="Amiri" w:hAnsi="Amiri" w:eastAsia="Amiri" w:cs="Amiri"/>
          <w:color w:val="111111"/>
          <w:sz w:val="28"/>
          <w:sz w:val="28"/>
          <w:szCs w:val="28"/>
          <w:rtl w:val="true"/>
          <w:lang w:bidi="ar-SA"/>
        </w:rPr>
        <w:t xml:space="preserve">و الکظّ ة </w:t>
      </w:r>
      <w:r>
        <w:rPr>
          <w:rStyle w:val="FootnoteAnchor"/>
          <w:rtl w:val="true"/>
        </w:rPr>
        <w:footnoteReference w:id="1081"/>
      </w:r>
      <w:r>
        <w:rPr>
          <w:rFonts w:ascii="IRNazanin" w:hAnsi="IRNazanin" w:eastAsia="IRNazanin"/>
          <w:color w:val="111111"/>
          <w:sz w:val="28"/>
          <w:sz w:val="28"/>
          <w:szCs w:val="28"/>
          <w:rtl w:val="true"/>
          <w:lang w:bidi="fa-IR"/>
        </w:rPr>
        <w:t xml:space="preserve">و الإنتظار و الإلظاظ </w:t>
      </w:r>
      <w:r>
        <w:rPr>
          <w:rStyle w:val="FootnoteAnchor"/>
          <w:rtl w:val="true"/>
        </w:rPr>
        <w:footnoteReference w:id="108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وظیف </w:t>
      </w:r>
      <w:r>
        <w:rPr>
          <w:rStyle w:val="FootnoteAnchor"/>
          <w:rtl w:val="true"/>
        </w:rPr>
        <w:footnoteReference w:id="1083"/>
      </w:r>
      <w:r>
        <w:rPr>
          <w:rFonts w:ascii="IRNazanin" w:hAnsi="IRNazanin" w:eastAsia="IRNazanin"/>
          <w:color w:val="111111"/>
          <w:sz w:val="28"/>
          <w:sz w:val="28"/>
          <w:szCs w:val="28"/>
          <w:rtl w:val="true"/>
          <w:lang w:bidi="fa-IR"/>
        </w:rPr>
        <w:t xml:space="preserve">و ظالع </w:t>
      </w:r>
      <w:r>
        <w:rPr>
          <w:rStyle w:val="FootnoteAnchor"/>
          <w:rtl w:val="true"/>
        </w:rPr>
        <w:footnoteReference w:id="1084"/>
      </w:r>
      <w:r>
        <w:rPr>
          <w:rFonts w:ascii="IRNazanin" w:hAnsi="IRNazanin" w:eastAsia="IRNazanin"/>
          <w:color w:val="111111"/>
          <w:sz w:val="28"/>
          <w:sz w:val="28"/>
          <w:szCs w:val="28"/>
          <w:rtl w:val="true"/>
          <w:lang w:bidi="fa-IR"/>
        </w:rPr>
        <w:t xml:space="preserve">و عظیم و ظهیر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الفظّ و الإغلاظ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نظیف و الظّرف و الظّلف </w:t>
      </w:r>
      <w:r>
        <w:rPr>
          <w:rStyle w:val="FootnoteAnchor"/>
          <w:rtl w:val="true"/>
        </w:rPr>
        <w:footnoteReference w:id="1085"/>
      </w:r>
      <w:r>
        <w:rPr>
          <w:rFonts w:ascii="Amiri" w:hAnsi="Amiri" w:eastAsia="Amiri" w:cs="Amiri"/>
          <w:color w:val="111111"/>
          <w:sz w:val="28"/>
          <w:sz w:val="28"/>
          <w:szCs w:val="28"/>
          <w:rtl w:val="true"/>
          <w:lang w:bidi="ar-SA"/>
        </w:rPr>
        <w:t xml:space="preserve">الظّا هر ثمّ الفظیع </w:t>
      </w:r>
      <w:r>
        <w:rPr>
          <w:rStyle w:val="FootnoteAnchor"/>
          <w:rtl w:val="true"/>
        </w:rPr>
        <w:footnoteReference w:id="1086"/>
      </w:r>
      <w:r>
        <w:rPr>
          <w:rFonts w:ascii="Amiri" w:hAnsi="Amiri" w:eastAsia="Amiri" w:cs="Amiri"/>
          <w:color w:val="111111"/>
          <w:sz w:val="28"/>
          <w:sz w:val="28"/>
          <w:szCs w:val="28"/>
          <w:rtl w:val="true"/>
          <w:lang w:bidi="ar-SA"/>
        </w:rPr>
        <w:t>و الوعّاظ</w:t>
      </w:r>
    </w:p>
    <w:p>
      <w:pPr>
        <w:pStyle w:val="BookText"/>
        <w:rPr/>
      </w:pPr>
      <w:r>
        <w:rPr>
          <w:rFonts w:ascii="IRNazanin" w:hAnsi="IRNazanin" w:eastAsia="IRNazanin"/>
          <w:color w:val="111111"/>
          <w:sz w:val="28"/>
          <w:sz w:val="28"/>
          <w:szCs w:val="28"/>
          <w:rtl w:val="true"/>
          <w:lang w:bidi="fa-IR"/>
        </w:rPr>
        <w:t xml:space="preserve">و عکاظ </w:t>
      </w:r>
      <w:r>
        <w:rPr>
          <w:rStyle w:val="FootnoteAnchor"/>
          <w:rtl w:val="true"/>
        </w:rPr>
        <w:footnoteReference w:id="1087"/>
      </w:r>
      <w:r>
        <w:rPr>
          <w:rFonts w:ascii="Amiri" w:hAnsi="Amiri" w:eastAsia="Amiri" w:cs="Amiri"/>
          <w:color w:val="111111"/>
          <w:sz w:val="28"/>
          <w:sz w:val="28"/>
          <w:szCs w:val="28"/>
          <w:rtl w:val="true"/>
          <w:lang w:bidi="ar-SA"/>
        </w:rPr>
        <w:t xml:space="preserve">و الظّعن </w:t>
      </w:r>
      <w:r>
        <w:rPr>
          <w:rStyle w:val="FootnoteAnchor"/>
          <w:rtl w:val="true"/>
        </w:rPr>
        <w:footnoteReference w:id="1088"/>
      </w:r>
      <w:r>
        <w:rPr>
          <w:rFonts w:ascii="Amiri" w:hAnsi="Amiri" w:eastAsia="Amiri" w:cs="Amiri"/>
          <w:color w:val="111111"/>
          <w:sz w:val="28"/>
          <w:sz w:val="28"/>
          <w:szCs w:val="28"/>
          <w:rtl w:val="true"/>
          <w:lang w:bidi="ar-SA"/>
        </w:rPr>
        <w:t xml:space="preserve">و المظّ </w:t>
      </w:r>
      <w:r>
        <w:rPr>
          <w:rStyle w:val="FootnoteAnchor"/>
          <w:rtl w:val="true"/>
        </w:rPr>
        <w:footnoteReference w:id="1089"/>
      </w:r>
      <w:r>
        <w:rPr>
          <w:rFonts w:ascii="IRNazanin" w:hAnsi="IRNazanin" w:eastAsia="IRNazanin"/>
          <w:color w:val="111111"/>
          <w:sz w:val="28"/>
          <w:sz w:val="28"/>
          <w:szCs w:val="28"/>
          <w:rtl w:val="true"/>
          <w:lang w:bidi="fa-IR"/>
        </w:rPr>
        <w:t xml:space="preserve">و الحن ظل </w:t>
      </w:r>
      <w:r>
        <w:rPr>
          <w:rStyle w:val="FootnoteAnchor"/>
          <w:rtl w:val="true"/>
        </w:rPr>
        <w:footnoteReference w:id="1090"/>
      </w:r>
      <w:r>
        <w:rPr>
          <w:rFonts w:ascii="IRNazanin" w:hAnsi="IRNazanin" w:eastAsia="IRNazanin"/>
          <w:color w:val="111111"/>
          <w:sz w:val="28"/>
          <w:sz w:val="28"/>
          <w:szCs w:val="28"/>
          <w:rtl w:val="true"/>
          <w:lang w:bidi="fa-IR"/>
        </w:rPr>
        <w:t xml:space="preserve">و القارظان </w:t>
      </w:r>
      <w:r>
        <w:rPr>
          <w:rStyle w:val="FootnoteAnchor"/>
          <w:rtl w:val="true"/>
        </w:rPr>
        <w:footnoteReference w:id="1091"/>
      </w:r>
      <w:r>
        <w:rPr>
          <w:rFonts w:ascii="IRNazanin" w:hAnsi="IRNazanin" w:eastAsia="IRNazanin"/>
          <w:color w:val="111111"/>
          <w:sz w:val="28"/>
          <w:sz w:val="28"/>
          <w:szCs w:val="28"/>
          <w:rtl w:val="true"/>
          <w:lang w:bidi="fa-IR"/>
        </w:rPr>
        <w:t xml:space="preserve">و الأوشاظ </w:t>
      </w:r>
      <w:r>
        <w:rPr>
          <w:rStyle w:val="FootnoteAnchor"/>
          <w:rtl w:val="true"/>
        </w:rPr>
        <w:footnoteReference w:id="109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ظراب </w:t>
      </w:r>
      <w:r>
        <w:rPr>
          <w:rStyle w:val="FootnoteAnchor"/>
          <w:rtl w:val="true"/>
        </w:rPr>
        <w:footnoteReference w:id="1093"/>
      </w:r>
      <w:r>
        <w:rPr>
          <w:rFonts w:ascii="Amiri" w:hAnsi="Amiri" w:eastAsia="Amiri" w:cs="Amiri"/>
          <w:color w:val="111111"/>
          <w:sz w:val="28"/>
          <w:sz w:val="28"/>
          <w:szCs w:val="28"/>
          <w:rtl w:val="true"/>
          <w:lang w:bidi="ar-SA"/>
        </w:rPr>
        <w:t xml:space="preserve">الظّرّان </w:t>
      </w:r>
      <w:r>
        <w:rPr>
          <w:rStyle w:val="FootnoteAnchor"/>
          <w:rtl w:val="true"/>
        </w:rPr>
        <w:footnoteReference w:id="1094"/>
      </w:r>
      <w:r>
        <w:rPr>
          <w:rFonts w:ascii="IRNazanin" w:hAnsi="IRNazanin" w:eastAsia="IRNazanin"/>
          <w:color w:val="111111"/>
          <w:sz w:val="28"/>
          <w:sz w:val="28"/>
          <w:szCs w:val="28"/>
          <w:rtl w:val="true"/>
          <w:lang w:bidi="fa-IR"/>
        </w:rPr>
        <w:t xml:space="preserve">و الشّظف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البا هظ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الجعظری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الجوّاظ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الظّرابین </w:t>
      </w:r>
      <w:r>
        <w:rPr>
          <w:rStyle w:val="FootnoteAnchor"/>
          <w:rtl w:val="true"/>
        </w:rPr>
        <w:footnoteReference w:id="1095"/>
      </w:r>
      <w:r>
        <w:rPr>
          <w:rFonts w:ascii="IRNazanin" w:hAnsi="IRNazanin" w:eastAsia="IRNazanin"/>
          <w:color w:val="111111"/>
          <w:sz w:val="28"/>
          <w:sz w:val="28"/>
          <w:szCs w:val="28"/>
          <w:rtl w:val="true"/>
          <w:lang w:bidi="fa-IR"/>
        </w:rPr>
        <w:t xml:space="preserve">و الحناظب </w:t>
      </w:r>
      <w:r>
        <w:rPr>
          <w:rStyle w:val="FootnoteAnchor"/>
          <w:rtl w:val="true"/>
        </w:rPr>
        <w:footnoteReference w:id="1096"/>
      </w:r>
      <w:r>
        <w:rPr>
          <w:rFonts w:ascii="IRNazanin" w:hAnsi="IRNazanin" w:eastAsia="IRNazanin"/>
          <w:color w:val="111111"/>
          <w:sz w:val="28"/>
          <w:sz w:val="28"/>
          <w:szCs w:val="28"/>
          <w:rtl w:val="true"/>
          <w:lang w:bidi="fa-IR"/>
        </w:rPr>
        <w:t xml:space="preserve">و العن ظب </w:t>
      </w:r>
      <w:r>
        <w:rPr>
          <w:rStyle w:val="FootnoteAnchor"/>
          <w:rtl w:val="true"/>
        </w:rPr>
        <w:footnoteReference w:id="1097"/>
      </w:r>
      <w:r>
        <w:rPr>
          <w:rFonts w:ascii="Amiri" w:hAnsi="Amiri" w:eastAsia="Amiri" w:cs="Amiri"/>
          <w:color w:val="111111"/>
          <w:sz w:val="28"/>
          <w:sz w:val="28"/>
          <w:szCs w:val="28"/>
          <w:rtl w:val="true"/>
          <w:lang w:bidi="ar-SA"/>
        </w:rPr>
        <w:t xml:space="preserve">ثمّ الظّیّان </w:t>
      </w:r>
      <w:r>
        <w:rPr>
          <w:rStyle w:val="FootnoteAnchor"/>
          <w:rtl w:val="true"/>
        </w:rPr>
        <w:footnoteReference w:id="1098"/>
      </w:r>
      <w:r>
        <w:rPr>
          <w:rFonts w:ascii="IRNazanin" w:hAnsi="IRNazanin" w:eastAsia="IRNazanin"/>
          <w:color w:val="111111"/>
          <w:sz w:val="28"/>
          <w:sz w:val="28"/>
          <w:szCs w:val="28"/>
          <w:rtl w:val="true"/>
          <w:lang w:bidi="fa-IR"/>
        </w:rPr>
        <w:t xml:space="preserve">و الأرعاظ </w:t>
      </w:r>
      <w:r>
        <w:rPr>
          <w:rStyle w:val="FootnoteAnchor"/>
          <w:rtl w:val="true"/>
        </w:rPr>
        <w:footnoteReference w:id="109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الشّناظی </w:t>
      </w:r>
      <w:r>
        <w:rPr>
          <w:rStyle w:val="FootnoteAnchor"/>
          <w:rtl w:val="true"/>
        </w:rPr>
        <w:footnoteReference w:id="1100"/>
      </w:r>
      <w:r>
        <w:rPr>
          <w:rFonts w:ascii="Amiri" w:hAnsi="Amiri" w:eastAsia="Amiri" w:cs="Amiri"/>
          <w:color w:val="111111"/>
          <w:sz w:val="28"/>
          <w:sz w:val="28"/>
          <w:szCs w:val="28"/>
          <w:rtl w:val="true"/>
          <w:lang w:bidi="ar-SA"/>
        </w:rPr>
        <w:t xml:space="preserve">و الدّلظ </w:t>
      </w:r>
      <w:r>
        <w:rPr>
          <w:rStyle w:val="FootnoteAnchor"/>
          <w:rtl w:val="true"/>
        </w:rPr>
        <w:footnoteReference w:id="1101"/>
      </w:r>
      <w:r>
        <w:rPr>
          <w:rFonts w:ascii="Amiri" w:hAnsi="Amiri" w:eastAsia="Amiri" w:cs="Amiri"/>
          <w:color w:val="111111"/>
          <w:sz w:val="28"/>
          <w:sz w:val="28"/>
          <w:szCs w:val="28"/>
          <w:rtl w:val="true"/>
          <w:lang w:bidi="ar-SA"/>
        </w:rPr>
        <w:t xml:space="preserve">و الظّأب </w:t>
      </w:r>
      <w:r>
        <w:rPr>
          <w:rStyle w:val="FootnoteAnchor"/>
          <w:rtl w:val="true"/>
        </w:rPr>
        <w:footnoteReference w:id="1102"/>
      </w:r>
      <w:r>
        <w:rPr>
          <w:rFonts w:ascii="IRNazanin" w:hAnsi="IRNazanin" w:eastAsia="IRNazanin"/>
          <w:color w:val="111111"/>
          <w:sz w:val="28"/>
          <w:sz w:val="28"/>
          <w:szCs w:val="28"/>
          <w:rtl w:val="true"/>
          <w:lang w:bidi="fa-IR"/>
        </w:rPr>
        <w:t xml:space="preserve">و الظّب ظاب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العنظوان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الجنعاظ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الشّناظیر </w:t>
      </w:r>
      <w:r>
        <w:rPr>
          <w:rStyle w:val="FootnoteAnchor"/>
          <w:rtl w:val="true"/>
        </w:rPr>
        <w:footnoteReference w:id="1103"/>
      </w:r>
      <w:r>
        <w:rPr>
          <w:rFonts w:ascii="Amiri" w:hAnsi="Amiri" w:eastAsia="Amiri" w:cs="Amiri"/>
          <w:color w:val="111111"/>
          <w:sz w:val="28"/>
          <w:sz w:val="28"/>
          <w:szCs w:val="28"/>
          <w:rtl w:val="true"/>
          <w:lang w:bidi="ar-SA"/>
        </w:rPr>
        <w:t xml:space="preserve">و التّعاظل </w:t>
      </w:r>
      <w:r>
        <w:rPr>
          <w:rStyle w:val="FootnoteAnchor"/>
          <w:rtl w:val="true"/>
        </w:rPr>
        <w:footnoteReference w:id="1104"/>
      </w:r>
      <w:r>
        <w:rPr>
          <w:rFonts w:ascii="IRNazanin" w:hAnsi="IRNazanin" w:eastAsia="IRNazanin"/>
          <w:color w:val="111111"/>
          <w:sz w:val="28"/>
          <w:sz w:val="28"/>
          <w:szCs w:val="28"/>
          <w:rtl w:val="true"/>
          <w:lang w:bidi="fa-IR"/>
        </w:rPr>
        <w:t xml:space="preserve">و العظ لم </w:t>
      </w:r>
      <w:r>
        <w:rPr>
          <w:rStyle w:val="FootnoteAnchor"/>
          <w:rtl w:val="true"/>
        </w:rPr>
        <w:footnoteReference w:id="1105"/>
      </w:r>
      <w:r>
        <w:rPr>
          <w:rFonts w:ascii="IRNazanin" w:hAnsi="IRNazanin" w:eastAsia="IRNazanin"/>
          <w:color w:val="111111"/>
          <w:sz w:val="28"/>
          <w:sz w:val="28"/>
          <w:szCs w:val="28"/>
          <w:rtl w:val="true"/>
          <w:lang w:bidi="fa-IR"/>
        </w:rPr>
        <w:t xml:space="preserve">و البظر </w:t>
      </w:r>
      <w:r>
        <w:rPr>
          <w:rStyle w:val="FootnoteAnchor"/>
          <w:rtl w:val="true"/>
        </w:rPr>
        <w:footnoteReference w:id="1106"/>
      </w:r>
      <w:r>
        <w:rPr>
          <w:rFonts w:ascii="IRNazanin" w:hAnsi="IRNazanin" w:eastAsia="IRNazanin"/>
          <w:color w:val="111111"/>
          <w:sz w:val="28"/>
          <w:sz w:val="28"/>
          <w:szCs w:val="28"/>
          <w:rtl w:val="true"/>
          <w:lang w:bidi="fa-IR"/>
        </w:rPr>
        <w:t xml:space="preserve">بعد و الإنعاظ </w:t>
      </w:r>
      <w:r>
        <w:rPr>
          <w:rStyle w:val="FootnoteAnchor"/>
          <w:rtl w:val="true"/>
        </w:rPr>
        <w:footnoteReference w:id="110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فسّر بعض </w:t>
      </w:r>
      <w:r>
        <w:rPr>
          <w:rStyle w:val="FootnoteAnchor"/>
          <w:rtl w:val="true"/>
        </w:rPr>
        <w:footnoteReference w:id="1108"/>
      </w:r>
      <w:r>
        <w:rPr>
          <w:rFonts w:ascii="IRNazanin" w:hAnsi="IRNazanin" w:eastAsia="IRNazanin"/>
          <w:color w:val="111111"/>
          <w:sz w:val="28"/>
          <w:sz w:val="28"/>
          <w:szCs w:val="28"/>
          <w:rtl w:val="true"/>
          <w:lang w:bidi="fa-IR"/>
        </w:rPr>
        <w:t>هذه الکلمات فی تلک المقامة،و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لائق،بما هو </w:t>
      </w:r>
    </w:p>
    <w:p>
      <w:pPr>
        <w:pStyle w:val="BookText"/>
        <w:rPr/>
      </w:pPr>
      <w:r>
        <w:rPr>
          <w:rFonts w:ascii="Amiri" w:hAnsi="Amiri" w:eastAsia="Amiri" w:cs="Amiri"/>
          <w:color w:val="111111"/>
          <w:sz w:val="28"/>
          <w:sz w:val="28"/>
          <w:szCs w:val="28"/>
          <w:rtl w:val="true"/>
          <w:lang w:bidi="ar-SA"/>
        </w:rPr>
        <w:t>المقصود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یجب کتابته بالطّاء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 القلم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،و ربّما یکتب بالدّال،و هو غلط؛فإنّ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طولا،و القطّ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 عرضا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تنبّه لذلک،و لأمثاله أبو محمّد القاسم بن علیّ الحریری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درّة الغوّاص فی أوهام </w:t>
      </w:r>
      <w:r>
        <w:rPr>
          <w:rStyle w:val="FootnoteAnchor"/>
          <w:rtl w:val="true"/>
        </w:rPr>
        <w:footnoteReference w:id="1111"/>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أراد الزیادة عمّا أشرنا إلیه، فلیرجع </w:t>
      </w:r>
      <w:r>
        <w:rPr>
          <w:rStyle w:val="FootnoteAnchor"/>
          <w:rtl w:val="true"/>
        </w:rPr>
        <w:footnoteReference w:id="1112"/>
      </w:r>
      <w:r>
        <w:rPr>
          <w:rFonts w:ascii="IRNazanin" w:hAnsi="IRNazanin" w:eastAsia="IRNazanin"/>
          <w:color w:val="111111"/>
          <w:sz w:val="28"/>
          <w:sz w:val="28"/>
          <w:szCs w:val="28"/>
          <w:rtl w:val="true"/>
          <w:lang w:bidi="fa-IR"/>
        </w:rPr>
        <w:t>إلی هذا الکتاب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لیعلم </w:t>
      </w:r>
      <w:r>
        <w:rPr>
          <w:rStyle w:val="FootnoteAnchor"/>
          <w:rtl w:val="true"/>
        </w:rPr>
        <w:footnoteReference w:id="1113"/>
      </w:r>
      <w:r>
        <w:rPr>
          <w:rFonts w:ascii="IRNazanin" w:hAnsi="IRNazanin" w:eastAsia="IRNazanin"/>
          <w:color w:val="111111"/>
          <w:sz w:val="28"/>
          <w:sz w:val="28"/>
          <w:szCs w:val="28"/>
          <w:rtl w:val="true"/>
          <w:lang w:bidi="fa-IR"/>
        </w:rPr>
        <w:t xml:space="preserve">أنّ تحسین الخطوط علی اختلاف أنواعها المعروفة </w:t>
      </w:r>
      <w:r>
        <w:rPr>
          <w:rStyle w:val="FootnoteAnchor"/>
          <w:rtl w:val="true"/>
        </w:rPr>
        <w:footnoteReference w:id="1114"/>
      </w:r>
      <w:r>
        <w:rPr>
          <w:rFonts w:ascii="IRNazanin" w:hAnsi="IRNazanin" w:eastAsia="IRNazanin"/>
          <w:color w:val="111111"/>
          <w:sz w:val="28"/>
          <w:sz w:val="28"/>
          <w:szCs w:val="28"/>
          <w:rtl w:val="true"/>
          <w:lang w:bidi="fa-IR"/>
        </w:rPr>
        <w:t xml:space="preserve">لیس من علم الخطّ المعتنی به عند أهل الأدب،بل هو صنعة من صنائع الید،و کمال من کمالات الجوارح، </w:t>
      </w:r>
    </w:p>
    <w:p>
      <w:pPr>
        <w:pStyle w:val="BookText"/>
        <w:rPr/>
      </w:pPr>
      <w:r>
        <w:rPr>
          <w:rFonts w:ascii="IRNazanin" w:hAnsi="IRNazanin" w:eastAsia="IRNazanin"/>
          <w:color w:val="111111"/>
          <w:sz w:val="28"/>
          <w:sz w:val="28"/>
          <w:szCs w:val="28"/>
          <w:rtl w:val="true"/>
          <w:lang w:bidi="fa-IR"/>
        </w:rPr>
        <w:t xml:space="preserve">و کذا ما یتعلّق بذلک من رعایة النّفس،و القلم،و المسطر،و الکاغد </w:t>
      </w:r>
      <w:r>
        <w:rPr>
          <w:rStyle w:val="FootnoteAnchor"/>
          <w:rtl w:val="true"/>
        </w:rPr>
        <w:footnoteReference w:id="1115"/>
      </w:r>
      <w:r>
        <w:rPr>
          <w:rFonts w:ascii="Amiri" w:hAnsi="Amiri" w:eastAsia="Amiri" w:cs="Amiri"/>
          <w:color w:val="111111"/>
          <w:sz w:val="28"/>
          <w:sz w:val="28"/>
          <w:szCs w:val="28"/>
          <w:rtl w:val="true"/>
          <w:lang w:bidi="ar-SA"/>
        </w:rPr>
        <w:t xml:space="preserve">،و ملاحظة السّطور </w:t>
      </w:r>
      <w:r>
        <w:rPr>
          <w:rStyle w:val="FootnoteAnchor"/>
          <w:rtl w:val="true"/>
        </w:rPr>
        <w:footnoteReference w:id="1116"/>
      </w:r>
      <w:r>
        <w:rPr>
          <w:rFonts w:ascii="IRNazanin" w:hAnsi="IRNazanin" w:eastAsia="IRNazanin"/>
          <w:color w:val="111111"/>
          <w:sz w:val="28"/>
          <w:sz w:val="28"/>
          <w:szCs w:val="28"/>
          <w:rtl w:val="true"/>
          <w:lang w:bidi="fa-IR"/>
        </w:rPr>
        <w:t>،و نحو ذلک ممّا ذکره بعض أهل الحدیث فی کیفیّة کتابة الأخبار المرویّة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احشرنا معهم بحقّ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آخر ما أردت إیراده،و أنا العبد الواثق باللّه الصّمد حبیب اللّه بن علی مدد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المسؤول ممّن ینظر فیه أن یغمض عمّا أخطأت،و یقبل عذری فیما عجّلت؛مع ما أنا علیه من قلّة الأسباب،و مهاجرة الأحباب،و اختلال الحال من کلّ باب،و الحمد للّه أوّلا،و آخرا،و ظاهرا و باطنا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2937_139333"/>
      <w:bookmarkStart w:id="468" w:name="pg12937_139333"/>
      <w:bookmarkEnd w:id="468"/>
    </w:p>
    <w:p>
      <w:pPr>
        <w:pStyle w:val="Heading3"/>
        <w:numPr>
          <w:ilvl w:val="2"/>
          <w:numId w:val="1"/>
        </w:numPr>
        <w:rPr/>
      </w:pPr>
      <w:bookmarkStart w:id="469" w:name="pg12937_139333"/>
      <w:bookmarkStart w:id="470" w:name="__RefHeading___Toc4067129_3224264995"/>
      <w:bookmarkStart w:id="471" w:name="_Toc178"/>
      <w:bookmarkEnd w:id="469"/>
      <w:bookmarkEnd w:id="470"/>
      <w:r>
        <w:rPr>
          <w:rtl w:val="true"/>
        </w:rPr>
        <w:t>مصادر التحقیق و مراجعه</w:t>
      </w:r>
      <w:r>
        <w:rPr>
          <w:rtl w:val="true"/>
        </w:rPr>
        <w:t>:</w:t>
      </w:r>
      <w:bookmarkEnd w:id="471"/>
    </w:p>
    <w:p>
      <w:pPr>
        <w:pStyle w:val="Heading4"/>
        <w:numPr>
          <w:ilvl w:val="3"/>
          <w:numId w:val="1"/>
        </w:numPr>
        <w:rPr/>
      </w:pPr>
      <w:bookmarkStart w:id="472" w:name="__RefHeading___Toc4067131_3224264995"/>
      <w:bookmarkStart w:id="473" w:name="_Toc179"/>
      <w:bookmarkEnd w:id="472"/>
      <w:r>
        <w:rPr>
          <w:rtl w:val="true"/>
        </w:rPr>
        <w:t>*</w:t>
      </w:r>
      <w:r>
        <w:rPr>
          <w:rtl w:val="true"/>
        </w:rPr>
        <w:t>القرآن الکریم</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عبد الرؤوف سعد،مصر،القاهرة،المکتبة التوفیقیة،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النحویین البصریین؛السیرافی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الحسن بن عبد اللّه 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،اعتنی بنشره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فریتس کرنکو،بیروت،المطبعة الکاثولیکیة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الکتب العربیة،</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بن مسلم الدینوری،ت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الحمید،مصر،المطبعة 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الکتاب؛أبو بکر الصولی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،بغداد،دار الحکمة،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ارتشاف الضرب من لسان العرب؛أبو حیان الأندلسی،ت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 و تعلیق،د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أحمد النماس،ط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،القاهرة،مطبعة النسر الذهبی،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 فی النحو؛السیوطی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غرید الشیخ،ط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یوسف یعقوب بن إسحاق،ت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السلام هارون،ط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،القاهرة،دار المعارف،</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الأصوات اللغویة؛إبراهیم أنیس،ط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،القاهرة،دار النهضة العربیة،</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فی النحو؛ابن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محمد بن سهل النحوی،ت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الفتلی،ط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الإعجاز و الإیجاز؛أبو منصور الثعالبی،ت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الرائد العربی،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القرآن؛النحاس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بن محمد بن إسماعیل،ت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بیروت،دار الضیاء،دار إحیاء التراث الإسلامی،</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الدین الزرکلی،بیروت،دار العلم للملایین،</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فی النحو العربی،تألیف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المخزومی،سلسلة الموسوعة الصغیرة</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بغداد،دار الحریة،</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الشیعة؛السیّد محسن الأمین العاملی،تحقیق و تخریج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التعارف للمطبوعات،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الاقتضاب فی شرح أدب الکتاب؛ابن السید البطلیوسی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بن محمد،ت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السقا،ود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عبد المجید،بغداد،دار الشؤون الثقافیة العامة،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الإقناع فی القراءات السبع؛ابن خلف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أحمد بن علی بن أحمد،ت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فرید المزیدی،قدم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فتحی عبد الرحمن حجازی،ط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الشریف المرتضی،الشریف المرتضی،ت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بدر الدین النعسانی،ط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،قم،مطبعة آیة اللّه المرعشی النجفی،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أنباه الرواة علی أنباه النحاة،القفطی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أبی الحسن علی بن یوسف،ت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الفضل إبراهیم،دار الکتب بالقاهرة،</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سعد عبد الکریم بن محمد بن منصور التمیمی السمعانی،ت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عمر البارودی،ط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الجنان،</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الخلاف بین النحویین البصریین و الکوفیین؛الأنباری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برکات کمال الدین عبد الرحمن بن محمد بن أبی سعید،ت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الحمید،دار إحیاء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المسالک إلی ألفیة ابن مالک؛ابن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عبد اللّه بن یوسف،ت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عبد الحمید،بیروت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صیدا،المکتبة العصریة،</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شرح المفصل؛ابن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عمرو بن عثمان بن عمر،ت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بنای العلیلی،بغداد،مطبعة العانی،</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فی علوم البلاغة،الخطیب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أساتذة کلیّة اللغة العربیّة بالجاع الأزهر،القاهرة،مطبعة 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الهجاء؛ابن الدهان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سعید بن المبارک،ت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فائز فارس،ط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إحیاء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الفداء إسماعیل بن کثیر الدمشقی،ت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شیری،ط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إحیاء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الدین محمّد بن عبد اللّه،ت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عبد القادر عطا،ط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الرحیم،ط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 للطباعة و النشر و التوزیع،</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عثمان عمرو بن بحر،ت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هارون،ط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،مصر،القاهره،مطبعة المدنی،مکتبة الخانجی،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من جواهر القاموس؛محمد مرتضی الزبیدی،ت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ه،بیروت، دار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العربیة؛جرجی زیدان،بیروت،دار مکتبة الحیاة،</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إعراب القرآن؛العکبری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البقاء محب الدین عبد اللّه بن أبی عبد اللّه الحسین، 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 البجاوی،ط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،بیروت،إحیاء الکتب العربیة،</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محمد بن عمر بن الحسین بن الحسن،ت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التکملة؛أبی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بحر المرجان، ساعدت جامعة الموصل علی نشره،بغداد،</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إصلاح المنطق؛التبریزی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زکریا یحیی بن علی الخطیب،</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فوزی عبد العزیز سعود،بغداد،دار الشؤون الثقافیة العامة،</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أحمد بن علی،ت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بیروت،دار الفکر للطباعة و النشر و التوزیع،</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المقال فی تنقیح کتاب الرجال؛السید محمد علی الموحد الأبطحی،ط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 طبعة،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الأمثال؛لأبی هلال العسکری،ت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الفضل إبراهیم،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،بیروت،دار الفکر،</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 الدانی،المرادی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القاسم المرادی،ت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قباوة،أ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ندیم فاضل،ط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الحوادث فی زیارة وارث؛تألیف حبیب اللّه بن علی مدد الکاشانی،ت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نزار الحسن،ط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،ایران،قم،دار جلال الدین،دار الأنصار،</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الخضری علی شرح ابن عقیل علی ألفیة ابن مالک؛الخضری،شرحها و علق علیها،ترکی فرحان المصطفی،ط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الدسوقی علی مغنی اللبیب عن کتب الاعاریب،لابن هشام الأنصاری،الشیخ مصطفی محمد عرفة الدسوقی،ت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 و وضع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محمد أمین،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الصبان علی شرح الإشمونی علی ألفیة ابن مالک،الصبان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العرفان محمّد بن علیّ،ت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الجمیل،ط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،القاهرة،مکتبة الصفا،</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القراءات السبع؛ابن خالویه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الحسن بن أحمد،ت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العال سالم مکرم،ط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،بیروت،دار الشروق،</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المعانی؛الرمانی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عیسی النحوی،ت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خرج شواهده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إسماعیل شلبی،مکتبة الطالب الجامعی،البطلیوسی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محمد،ت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عبد الکریم سعودی،بغداد،دار الرشید،</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 و غایة الإرب؛الحموی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الدین أبی بکر علی بن عبد اللّه،ت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شعیتو،ط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و مکتبة الهلال،</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 و لب لباب لسان العرب علی شواهد شرح الکافیة،البغدادی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عبد القادر بن عمر،ت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،بغداد،مکتبة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عثمان،ت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النجار،ط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بیروت،دار الکتب،</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العربی تأریخه و أنواعه؛تألیف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سلوم العباسی،بغداد،مکتبة النهضة،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 فی أوهام الخواصّ،الحریری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 بن علی،ت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الدرة الفاخرة منظومة فی علم درایة الحدیث؛نظم ملا حبیب اللّه بن علی مدد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تقی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أعیان المائة الثامنة؛ابن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أحمد بن علی 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،مصر،دار الکتب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الحلاج؛أبو مغیث الحسین بن منصور الحلاج الزاهد المشهور المتوفی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بیروت،دار الآفاق،</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الاستغناء فی تحقیق مسألة الغناء؛آیة اللّه العلامة الملا حبیب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کاشان،و مرکز إحیاء آثار الملاّ حبیب اللّه الشریف الکاشانی؛ إیران،قم المقدسة،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الشیعة،محمد محسن آغا بزرک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بیروت،دار الأضواء،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ابن مقلة فی الخط و القلم،ضمن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مقلة خطّاطا و أدیبا و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تصنیف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ناجی،ط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،بغداد،سلسلة خزانة التراث،دار الشؤون الثقافیة العامة،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فی تفسیر القرآن العظیم و السبع المثانی؛أبو الفضل محمود الآلوسی،ت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السید،ط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،بیروت،دار إحیاء التراث العربی،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زینة الفضلاء فی الفرق بین الضاد و الظاء؛أبو البرکات الأنباری،ت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ه،حققه و قدم 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عبد التواب،دار الأمانة،مؤسسة الرسالة،لبنان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فی القراءات؛ابن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أحمد بن موسی بن العباس التمیمی البغدادی، 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شوقی ضیف،ط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،القاهرة،دار المعارف،</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صناعة الإعراب؛ابن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عثمان بن جنی،ت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الحسن الهنداوی،ط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،دمشق،دار القلم،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حیاته و کتابه،د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الحدیثی،منشورات وزارة الإعلام العراقیة،</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أحمد،ت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الأرنؤطی،و مأمون الصاغی،ط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بیروت،مؤسسة الرسالة،</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شذا العرف فی فن الصرف،الشیخ أحمد الحملاوی،لبنان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بیروت،المکتبة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ذهب؛ابن عماد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الفلاح عبد الحی،ت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عقیل علی ألفیة ابن مالک،ابن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الدین عبد اللّه بن عقیل،ت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محی الدین عبد الحمید،ط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،دمشق،دار الفکر،</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الناظم علی ألفیة ابن مالک،ابن الناظم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بدر الدین محمد بن محمد </w:t>
      </w:r>
    </w:p>
    <w:p>
      <w:pPr>
        <w:pStyle w:val="BookText"/>
        <w:rPr/>
      </w:pPr>
      <w:r>
        <w:rPr>
          <w:rFonts w:ascii="IRNazanin" w:hAnsi="IRNazanin" w:eastAsia="IRNazanin"/>
          <w:color w:val="111111"/>
          <w:sz w:val="28"/>
          <w:sz w:val="28"/>
          <w:szCs w:val="28"/>
          <w:rtl w:val="true"/>
          <w:lang w:bidi="fa-IR"/>
        </w:rPr>
        <w:t xml:space="preserve">بن مالک،ت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باسل عیون السود،ط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الوحید علی رائیة ابن البوّاب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الوحید،حققه و قدم له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ناجی،ط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،تونس،مطبعة المنار،</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الأشمونی علی ألفیة ابن مالک،الأشمونی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محمد الأشمونی، ت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الجمیل،ط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،القاهرة،مکتبة الصفا،</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جمال الدین،ت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السید،ط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التصریح علی التوضیح؛الأزهری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عبد اللّه،ت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الکتب العربیة،عیسی البابی الحلبی و شرکاؤه،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عصفور الإشبیلی،ت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أبو جناح،العراق،جامعة الموصل،دار الکتب للطباعة و النشر،</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الزجّاجی؛ابن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جمال الدین بن یوسف، 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محسن عیسی مال اللّه،ط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،بیروت،عالم الکتب،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زیارة عاشوراء؛تألیف حبیب اللّه بن علی مدد الکاشانی،ت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نزار الحسن،ط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،ایران،قم،دار جلال الدین،دار الأنصار،</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 لابن الحاجب،رضی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الاسترابادی النحوی،ت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شرح شواهده؛عبد القادر البغدادی،صاحب خزانة الأدب،ت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ه،حققه الأساتذة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نور الحسن،و محمد الزفزاف،و محی الدین عبد الحمید،ط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إحیاء التراث الإسلامی،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شذور الذهب فی معرفة کلام العرب؛ابن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جمال الدین بن یوسف،ت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الغنی الدقر،ط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قطر الندی وبل الصدی؛ابن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جمال الدین بن یوسف،ت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عبد الحمید،ط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،قم،منشورات الفیروزآبادی،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 فی النحو،لابن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أبی عمرو عثمان بن عمر،ت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رضیّ الدین الأستراباذی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حسن عمر،جامعة قاریونس،</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اللمحة البدریة فی علم قواعد اللغة العربیة،ابن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جمال الدین بن یوسف،ت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نهر،ساعدت الجامعة المستنصریة علی طبعه،بغداد،</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 للزمخشری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البقاء موفق الدین بن علی،ت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مقامات الحریری،الشریشی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 بن عبد المؤمن بن موسی القیسی ت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شمس الدین،ط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بیروت،دار 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المقدمة المحسبة؛ابن بابشاذ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بن أحمد،ت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عبد الکریم،ط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،الکویت،المطبعة العصریة،</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الوافیة نظم الکافیة؛ابن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عمرو بن عثمان بن عمر النحوی،ت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بنای العلیلی،مطبعة الآداب النجف الأشرف،</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الأعشی فی صناعة الإنشاء؛القلقشندی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علی طویل،ط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الشیعة؛الشیخ آغا بزرک الطهرانی،بیروت،دار الکتاب العربی،</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النحویین و اللغویین،الزبیدی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محمد بن الحسن،ت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أبو الفضل إبراهیم،القاهرة،</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الفرید،ابن عبد ربه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شرف الدین، الطبعة الأخیرة،دار مکتبة الهلال،بیروت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موسی الحسینی المازندرانی؛طهران،المطبعة الإسلامیة، مکتبة الصدوق،</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المخزومی،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السامرائی،ط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،ایران،مؤسسة دار الهجرة،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الدینوری،ت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بیروت،دار الکتاب العلمیة للنشر و التوزیع،</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الدینوری،ت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الجبوری،ط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الفراهیدی عبقری من البصرة؛تألیف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المخزومی،ط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،بغداد،دار الشؤون الثقافیة العامة،</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الضاد و الظاء؛إملاء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القاسم إسماعیل بن عبّاد،ت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حسن أل یاسین،ط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بیروت،مؤسسة البلاغ،</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اللغویة؛أبو هلال العسکری،مؤسسة النشر الإسلامی،ط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،قم،جامعة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إسحاق،ت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تجدد،قم،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الصوتی عند العرب؛د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إبراهیم العطیة،سلسلة الموسوعة 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،بغداد،دار الحریة للطباعة،</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فی شرح الجامع الصغیر؛محمد عبد الرؤوف المناوی،ت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هارون،ط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الدین محمد بن یعقوب الشافعی،ت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القرآنیة بین الدرس الصوتی القدیم و الحدیث؛تألیف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فاضیل الجبوری،ط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،بغداد،دار الشؤون الثقافیة،</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بشر عمرو بن عثمان بن قنبر،ت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محمد هارون،ط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،القاهرة،الناشر مکتبة الخانجی،مطبعة المدنی،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غوامض التنزیل فی وجوه التأویل؛الزمخشری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محمود بن عمر 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محمد علی بیضون،ط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بیروت،دار 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الظنون؛حاجی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بن عبد اللّه ت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کتب العلمیة،</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الآداب؛لأبی منصور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محمد،ت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 رشید صالح،بغداد،دار الشؤون الثقافیة،</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الألقاب فی ألقاب الأطیاب؛الملاّ حبیب اللّه علی بن مدد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،إیران،مطبعة المصطفوی،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علل البناء و الإعراب؛العکبری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البقاء محب الدین،ت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غازی مختار طلیمات،ط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،دمشق،دار الفکر،</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جمال الدین محمد بن مکرم،ت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،ایران،قم،دار إحیاء التراث العربی،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العربیة؛ابن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الفتح عثمان بن جنی،ت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 فارس، الکویت،دار الکتب الثقافیة،</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اللهجات العربیة فی التراث؛تألیف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علم الدین النجدی،تونس،لیبیا، الدار العربیة،</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بن محمد،ت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محی الدین عبد الحمید،ط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،بیروت،دار المعرفة،</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البحرین؛فخر الدین الطریحی،ت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 النشر الثقافة الإسلامیة،</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الشافیة لابن الحاجب من علمی الصرف و الخط،و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العلامة الجاربردی علی الشافیة،و حاشیة ابن جماعة الکنانی علی شرح الجاربردی،بیروت،عالم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فی فقه اللغة؛الدکتور عصام نور الدین؛ط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المخصّص؛ابن سیده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إسماعیل النحوی اللغوی،ت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المخطوطات العربیّة فی مرکز إحیاء التراث الإسلامی،تألیف السید أحمد الحسینی،ط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،سرور،</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المدارس النحویة؛شوقی ضیف،ط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،مصر،دار المعارف،</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ملا حبیب اللّه الکاشانی؛تح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حسون؛ مجلة تراثنا؛مؤسسة آل البیت علیهم السلام لإحیاء التراث،العدد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السادسة عشرة،محرم،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فی علوم اللغة و أنواعها؛السیوطی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عبد الرحمن بن أبی بکر،ت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 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فؤاد علی منصور،ط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ه،بیروت،دار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إعراب القرآن؛القیسی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مکی بن أبی طالب،ت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صالح الضامن،بغداد،</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المقال؛للشیخ آغا بزرک الطهرانی،إیران،المطبعة الحکومیة،</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السعیدة فی شرح الفریدة فی النحو و الصرف و الخط،السیوطی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 یاسین حسین،ساعدت الجامعة المستنصریة علی طبعه،بغداد،دار الرسالة للطباعة،</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المطوّل،شرح تلخیص المفتاح،التفتازانی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الدین مسعود بن عمر ت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الحسین الهنداوی،ط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القرآن،أبو زکریا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زیاد،ت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یوسف نجاتی، محمد علی النجّار،ط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،القاهرة،مطبعة دار الکتب المصریّة،</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 و إعرابه؛الزجّاج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إبراهیم بن السری 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الجلیل عبده شلبی،القاهرة،دار الحدیث،</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 علی شواهد التلخیص،العباسی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الرحیم بن أحمد،ت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بیروت،عالم الکتب،</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الأدباء؛یاقوت الحموی،مراجعة وزارة المعارف العمومیة،دار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البلدان؛أبو عبد اللّه یاقوت بن عبد اللّه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المؤلّفین؛عمر رضا کحالة،بیروت،دار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الأعاریب،ابن هشام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جمال الدین بن یوسف،ت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 المبارک،د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حمد اللّه،ط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 مؤسسة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السعادة؛طاش کبری‌زادة؛تح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بکری و عبد الوهاب أبو النور،مصر،مطبعة الاستقلال،</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صنعة الاعراب،الزمخشری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اللّه محمود بن عمر،ت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أبو ملحم،ط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مکتبة الهلال،</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المفضلیات؛المفضل الضبی 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هارون،بیروت، دار الکتب العلمیة،</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المقاصد النحویة فی شرح شواهد الألفیة المشهور بشرح الشواهد الکبری،محمد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خزانة الأدب،للبغدادی،بغداد،مکتبة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الحریری،الحریری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القاسم بن علی بن محمد بن عثمان،ت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سابا،دار بیروت،بیروت للطباعة و النشر،دار صادر للطباعة و النشر،</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 فی شرح الإیضاح؛الجرجانی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القاهر الجرجانی،ت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بحر المرجان،ط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،بغداد،دار الرشید للطباعة و النشر،</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یزید المبرد،ت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 عضیمة، القاهرة،مصر،</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المقرّب؛ابن 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مؤمن بن محمد الإشبیلی،ت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الستار الجواری،و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الجبوری،ط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،بغداد،مطبعة العانی،</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معرفة مرسوم مصاحف أهل الأمصار؛أبو عمر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الاخلاق،رضی الدین،حسن بن فضل طبرسی،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جلد،قم،انتشارات شریف رضی،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المنصف؛شرح أبی الفتح عثمان 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لتصریف أبی عثمان المازنی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عبد القادر أحمد عطا،ط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الکتب العلمیة،</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 القاهرة؛ابن تغری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عبد اللّه أبو المحاسن یوسف الظاهری،ت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الکتب،المؤسسة المصریة للتألیف و الترجمة و الطباعة و النشر،</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 الوافی،مع ربطه بالأسالیب الرفیعة،و الحیاة اللغویة المتجددة،عباس حسن،ط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،مصر،دار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الألباء فی طبقات الأدباء؛الأنباری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برکات کمال الدین عبد الرحمن بن محمد بن أبی سعید،ت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إبراهیم،مطبعة المدنی،القاهرة،دار النهضة مصر للطباعة و النشر الفجالة،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الطرف فی علم الصرف؛المیدانی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الآفاق الجدیدة،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الحدیث؛ابن الأثیر،ت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أحمد الراوی،ط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 مؤسسة إسماعیلیان،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أسماء المؤلفین و آثار المصنفین؛إسماعیل باشا البغدادی،ت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ه،بیروت،دار إحیاء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 الهوامع فی شرح جمع الجوامع،السیوطی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الهنداوی،مصر،القاهرة،المکتبة التوفیقیة،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أنباء أبناء الزمان،ابن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شمس الدین أحمد بن محمد بن أبی بکر،</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عباس،لبنان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الثقافة،</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74" w:name="pg12937_139347"/>
    </w:p>
    <w:p>
      <w:pPr>
        <w:pStyle w:val="Heading2"/>
        <w:numPr>
          <w:ilvl w:val="1"/>
          <w:numId w:val="1"/>
        </w:numPr>
        <w:rPr/>
      </w:pPr>
      <w:bookmarkStart w:id="475" w:name="__RefHeading___Toc4067133_3224264995"/>
      <w:bookmarkStart w:id="476" w:name="_Toc180"/>
      <w:bookmarkEnd w:id="474"/>
      <w:bookmarkEnd w:id="475"/>
      <w:r>
        <w:rPr>
          <w:rtl w:val="true"/>
        </w:rPr>
        <w:t>رساله طاهریّه</w:t>
      </w:r>
      <w:bookmarkEnd w:id="476"/>
    </w:p>
    <w:p>
      <w:pPr>
        <w:pStyle w:val="Heading3"/>
        <w:numPr>
          <w:ilvl w:val="2"/>
          <w:numId w:val="1"/>
        </w:numPr>
        <w:rPr/>
      </w:pPr>
      <w:bookmarkStart w:id="477" w:name="__RefHeading___Toc4067135_3224264995"/>
      <w:bookmarkStart w:id="478" w:name="_Toc181"/>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کرم علی پاچناری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جهانبخش</w:t>
      </w:r>
    </w:p>
    <w:p>
      <w:pPr>
        <w:pStyle w:val="Heading3"/>
        <w:numPr>
          <w:ilvl w:val="2"/>
          <w:numId w:val="1"/>
        </w:numPr>
        <w:rPr/>
      </w:pPr>
      <w:bookmarkStart w:id="479" w:name="__RefHeading___Toc4067137_3224264995"/>
      <w:bookmarkStart w:id="480" w:name="_Toc182"/>
      <w:bookmarkEnd w:id="479"/>
      <w:r>
        <w:rPr>
          <w:rtl w:val="true"/>
        </w:rPr>
        <w:t>پیشگفتار پژوهنده</w:t>
      </w:r>
      <w:bookmarkEnd w:id="480"/>
    </w:p>
    <w:p>
      <w:pPr>
        <w:pStyle w:val="BookText"/>
        <w:rPr/>
      </w:pPr>
      <w:r>
        <w:rPr>
          <w:rFonts w:ascii="IRNazanin" w:hAnsi="IRNazanin" w:eastAsia="IRNazanin"/>
          <w:color w:val="111111"/>
          <w:sz w:val="28"/>
          <w:sz w:val="28"/>
          <w:szCs w:val="28"/>
          <w:rtl w:val="true"/>
          <w:lang w:bidi="fa-IR"/>
        </w:rPr>
        <w:t>ملاّ عبد الرّحیم بن کرمعلی پاچناری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رپای چناری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اصفهانی از عالمان دینی سده سیزدهم هجری است که آثار قلمی متعدّدی از خود به یادگار نهاده است و این آثار بویژه به سبب تنوّع موضوعات و ابتکاراتی که در بعض نگارشهای وی دیدرس می‌شود به ما یاری می‌رساند تا جنبه‌های مختلفی از تاریخ فکر دینی را در زمانه او به بررسی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بنا شود تاریخ فکر دینی در أقالیم شیعی در سده‌های دوازدهم و سیزدهم و چهاردهم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واجد نوعی پیوستگی خاص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و از سر تحقیق و تدقیق جامه تدوین پوشد و به جای برف انبار تجلیل‌های توخالی و لفّاظیهای کلّی‌گویانه تذکره‌نویسانه زیر ذرّه‌بین تحلیل نکته‌سنجانه گذارده شود، اینگونه آثار متنوّع و گویا،بسیار به کار محقّقان خواهد آمد که عیارسنجی چنان زمانه‌ای را پیشه پژوهش تاریخی و آماج کنجکاوی فرهنگی خویش می‌سازند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همین أهمیّت،نگارنده این سطور،تصحیح و نشر و تحشیه و تعلیق شماری از رساله‌های بازمانده از ملاّ عبد الرّحیم پاچناری را پیش گرفته و تاکنون به </w:t>
      </w:r>
    </w:p>
    <w:p>
      <w:pPr>
        <w:pStyle w:val="BookText"/>
        <w:rPr/>
      </w:pPr>
      <w:r>
        <w:rPr>
          <w:rFonts w:ascii="IRNazanin" w:hAnsi="IRNazanin" w:eastAsia="IRNazanin"/>
          <w:color w:val="111111"/>
          <w:sz w:val="28"/>
          <w:sz w:val="28"/>
          <w:szCs w:val="28"/>
          <w:rtl w:val="true"/>
          <w:lang w:bidi="fa-IR"/>
        </w:rPr>
        <w:t xml:space="preserve">نشر سه رساله از او توفیق یافته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متعال را سپاس می‌گوید که رساله‌ای دیگر از پاچناری را که موسوم است به طاهریّه به معرض دید و داوری خوانندگان ارجمند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رساله طاهریّه،طهارت دماء معصومان خاندان پیامبر صلّی اللّه علیه و آله و سلم است که بحثی است که از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اعتدالی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چندان واجد أهمّیّت نیست،زیرا از این منظر،خواه خون پیامبر و إمام،از حیث طهارت و نجاست،مانند خون دیگر مردمان باشد،و خواه نه،تأثیری در مقام راهبری و راهدانی و پیشوائی آن بزرگواران ندارد؛لیک از منظر أنواع دیگری از فکر شیعی که از دیرباز تاکنون هواداران پرجنب و جوشی نیز داشته است بحث پرأهمّیّتی بوده و بدان پرداخته‌اند و می‌پردازند،و لذا در تاریخ فکر و فرهنگ جایگاهی یافته است که بررسی آن را إلزام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فی‌الواقع،در مانند رساله طاهریّه،برای پژوهنده امروزین،آنچه بیش از مقصود رساله أهمّیّت می‌تواند داشت،یکی،چرائی پرداختن به موضوع مورد بحث است، و دیگر،چگونگی پرداختن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و در کدام حال و وضع فکر و فرهنگ و اجتماع این موضوع تا بدین پایه برای نویسنده أهمّیّت یافته است،و این‌که برای إثبات نظر خود چگونه و با چه نگرش و طرز استنادی در مآخذ نگریسته و چه عناصر و مفاهیمی را از متون و منابع به دلالت بر آن برگرفته است،از دید تاریخ فکر و فرهنگ روزگار نویسنده،واجد أهمّیّت و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 است که بحث درباره طهارت دماء معصومان و مباحثی از این دست در سده‌های سیزدهم و چهاردهم رونقی داشته و کسانی در موافقت یا مخالفت با آن زیت فکرت سوخته و قلم فرسوده‌اند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پیشگفتار مجال تحقیق فراخ دامنه در تاریخ این نگره و معرّفی موافقان </w:t>
      </w:r>
    </w:p>
    <w:p>
      <w:pPr>
        <w:pStyle w:val="BookText"/>
        <w:rPr/>
      </w:pPr>
      <w:r>
        <w:rPr>
          <w:rFonts w:ascii="IRNazanin" w:hAnsi="IRNazanin" w:eastAsia="IRNazanin"/>
          <w:color w:val="111111"/>
          <w:sz w:val="28"/>
          <w:sz w:val="28"/>
          <w:szCs w:val="28"/>
          <w:rtl w:val="true"/>
          <w:lang w:bidi="fa-IR"/>
        </w:rPr>
        <w:t>و مخالفان آن نداریم؛لیک،تنها برای آن‌که سیمای تاریخی موضوع روشن‌تر گردد،به نمونه‌هائی إشارت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حاج محمّد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تلامذه صاحب ریاض و شیخ جعفر و شریف العلماء،رساله‌ای در طهارت دم إمام علیه السّلام نوشته بوده است موسوم به شرق و برق که در مطلع الشّمس و فردوس التّواریخ مذکور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ملاّ آقای دربندی ی معروف</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أسرار الشّهادة،هم در خود أسرار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أصلی آن إکسیر العبادات فی أسرار الشّهادات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سعادات ناصریّه،در دفاع از نگره طهارت دماء معصومان علیهم السّلام قلمفرسائی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ملاّ زین العابدین گلپایگانی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تلامذه شیخ محمّد تقی رازی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علی کاشف الغطاء و صاحب جواهر،در رساله‌ای که در شرح خطبه نبوی در فضائل ماه رمضان پرداخته است،به مناسبت،به همین بحث طهارت دماء معصومان پرداخته و به طهارت دم و بول و غائط ایشان قائل شده و إفراط را در این‌باره به جائی رسانیده است که در این مقام بازگفتنی نمی‌نماید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حاج میرزا أبو القاسم زنجانی</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داشته است موسوم به قواطع الأوهام در طهارت خون پیامبر و خاندان معصومش و طهارت دماء شهداء و طهارت بول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کتابی مختصرتر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دوهزار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نام قاطع الأوهام در طهارت دماء معصومین علیهم السّلام تألیف کرده بود؛و این هر دو کتاب به تصریح شیخ آقا بزرگ در زنجان نزد أحفاد او موجود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زین العابدین مازندرانی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مراجع کربلای معلّی،در ذخیرة المعاد که مجموعه‌ای گرانبار از پرسش‌ها و پاسخهای فقهی اوست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فضلات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إمامان را پاک می‌شمارد و البتّه شستن آن را نیز به جهت پیروی از شیوه خود ایشان تعبّدا لازم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محمّد علیّ بن أحمد قراچه‌داغی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اللّمعة البیضاء بحثی گشوده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ثمین فی تحقیق طهارة دم المعصومین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محمّد باقر کجوری مازندرانی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نامی عصر قاجار، در ضمن خصیصه پنجاهم از الخصائص الفاطمیّة،بحثی گشوده است در باب طهارت ظاهری و باطنی از جمیع پلیدیهای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طهارت دماء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شایان بررسی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موسوم به تحفة المحبّین به زبان فارسی نوشته بوده که موضوع آن طهارت إمامان معصوم علیهم السّلام از جمیع أرجاس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نجاسات ظاهری بوده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وصف آن برمی‌آید که بر بحث از طهارت دماء معصومان علیهم السّلام نیز بناگزیر اشتمال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آن‌سو،آنگونه که خود پاچناری در رساله طاهریّه تصریح کرده است،قول مشهور در میان إمامیّه همان عدم طهارت دماء معصومان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نیز در همان عصر کسانی به نقد و ردّ نگره قائلان به طهارت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مجمع المطالب و منتهی المآرب که به نقد عقائد شیخیّه اهتمام داشته و شیخ آقا بزرگ تفسیر او را گواه آن دانسته است که از عالمان متبحّر کامل و فقیه و مفسّر و حکیم و متکلّم بوده،در بعض آثار خویش به ردّ قول کسانی پرداخته است که می‌گفته‌اند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إمام و دیگر چیزهائی که از جوف او برون آید پاک است و به عدم جنابت إمام نیز قائل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مقدّماتی که پاچناری در همین رساله طاهریّه آورده و زمینه‌ای که برای عرضه رأی خود تمهید کرده و دفع دخل مقدّر مبسوطی که بدان کوشیده است،خود شاهدی گویاست که مخالفان التزام به طهارت دماء معصومان در جامعه روزگار او بسیار بوده، بلکه أکثریّت و تفوّق داشته‌اند؛وگرنه او ناگزیر نمی‌بود در تمهید سخن خویش با یادآوری آراء اختصاصی یا خلاف مشهور بعض عالمان به توجیه إقدام خود دست یازد </w:t>
      </w:r>
    </w:p>
    <w:p>
      <w:pPr>
        <w:pStyle w:val="BookText"/>
        <w:rPr/>
      </w:pPr>
      <w:r>
        <w:rPr>
          <w:rFonts w:ascii="IRNazanin" w:hAnsi="IRNazanin" w:eastAsia="IRNazanin"/>
          <w:color w:val="111111"/>
          <w:sz w:val="28"/>
          <w:sz w:val="28"/>
          <w:szCs w:val="28"/>
          <w:rtl w:val="true"/>
          <w:lang w:bidi="fa-IR"/>
        </w:rPr>
        <w:t>و به خوانندگان خاطرنشان کند که با این مقدّمات وی را از باب 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خون أنوار مقدّسه إلهیّه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ملامت و 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ندانند و اختلاف نظر در چنین مسائل را عادی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باری،این بحث تا پس از مشروطیّت و در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إدامه داشت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روزگار ما نیز اگرچه از رونق افتاده است یکسره از میان نرفته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سخت شایان توجّه است که گویا أصل این بحث و اختلاف بر سر آن از أهل تسنّن به شیعه انتقال یافته است و علی‌الظّاهر چون این بحث در کتابهای فقهی أهل تسنّن مجال طرح یافته بوده و هریک از دو وجه طهارت و عدم طهارت مخالفان و موافقانی داشته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بعض کتابهای فقهی شیعه به آن پرداخته‌اند و سپس بحث که واجد جنبه مناقبی هم بوده است تا عرصه گفت و شنودهای دینی عوام دامن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کثیری از أهل تسنّن بصراحت آنچه را از ما نجس شمرده می‌شود از رسول اللّه طاهر شمرده و این را از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قلم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 هر روی،رساله طاهریّه‌ی پاچناری یکی از أسناد گویای این قال و مقال فرهنگی در قلمرو اندیشه و اجتماع شیعی است که در یک برهه تاریخی ویژه رونقی خاص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تکاپوها و استدلالهای او در باب رأی مختار خویش و نحوه استنتاج و استفاده او از أدلّه،از جوانب شایان دقّت این رساله ایستار پاچناری در برابر مخالفان و منکران این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وضعگیری تند پاچناری در باب کسانی که منکر داوری او در باب طهارت دماء معصومین علیهم السّلام شوند،در آغاز رساله،با آنچه در باب عدم غرابت اختلاف در مثل این مسأله گفته،چندان سازگار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پاچناری در آغاز رساله در کنار لعن دشمنان و غاصبان حقوق أهل بیت،همچنین به لعن کسانی دست می‌یازد که فضائل أهل بیت را إنکار کنند و ایشان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دیگران برابر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وی،سپس،بتلویح،منکران طهارت دماء معصومان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جاهلین و نادانایان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می‌شمارد و مبتلا به برابر شماری أهل بیت با سایر خلق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مقامات آن بزرگواران قلم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أصول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نمی‌شمارد و مشمول جواز اجتهاد می‌داند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و تخطئه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چنین اختلاف نظرها را ناروا می‌بیند و به نوعی انفتاح روشن‌بینانه در فراخنای نظرورزی قائل است، بصراحت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معظم إمامیّه را همان إنکار طهارت دماء معصومان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الرّحیم پاچناری،به گمان من،یکی از آن هزاران استعداد ممتاز و قابلیّت شاخص است که در سده‌های انحطاط به عرصه آمدند ولی به تناسب زمینه و زمانه حیات خویش در تکاپوهای کم‌سود و ای بسا زیانبار مصروف گردیده تباه شدند و از دست رفتند؛حال آنکه اگر،از باب مثال در سده چهارم یا پنجم هجری،به ظهور می‌رسیدند و با آن شیوه تحقیق و جهان‌بینی و خردورزی که در آن عصر زرّین بر مجامع دانش و أدب حاکم بود خوگر می‌شدند و دغدغه‌هائی از جنس دغدغه‌های پویندگان آن قرون در جانشان می‌نشست،بیقین کار و کارنامه‌ای بس دیگرگون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دستنوشت رساله طاهریّه که می‌شناختیم و مبنای تصحیح حاضر قرار گرفته است،جزو مجموعه‌ای خطّی است از رسائل وی که از آن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صدر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646</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اگرچه کاتب‌نویس است،به نظر مؤلّف رسیده و مؤلّف خود در آن </w:t>
      </w:r>
    </w:p>
    <w:p>
      <w:pPr>
        <w:pStyle w:val="BookText"/>
        <w:rPr/>
      </w:pPr>
      <w:r>
        <w:rPr>
          <w:rFonts w:ascii="IRNazanin" w:hAnsi="IRNazanin" w:eastAsia="IRNazanin"/>
          <w:color w:val="111111"/>
          <w:sz w:val="28"/>
          <w:sz w:val="28"/>
          <w:szCs w:val="28"/>
          <w:rtl w:val="true"/>
          <w:lang w:bidi="fa-IR"/>
        </w:rPr>
        <w:t>تصحیحاتی به عمل آورده و چیزهائی در هوامش آن إلحاق کرده است که همه در تصحیح حاضر ملحوظ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سیّد موسی درخشنده،رئیس وقت کتابخانه مزبور،سپاسگزارم که دسترس مرا به تصویری از این دستنوشت میسّر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الحمد للّه أوّلا و آخرا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جویا جهانبخش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2937_139355"/>
      <w:bookmarkStart w:id="482" w:name="pg12937_139355"/>
      <w:bookmarkEnd w:id="482"/>
    </w:p>
    <w:p>
      <w:pPr>
        <w:pStyle w:val="Heading3"/>
        <w:numPr>
          <w:ilvl w:val="2"/>
          <w:numId w:val="1"/>
        </w:numPr>
        <w:rPr/>
      </w:pPr>
      <w:bookmarkStart w:id="483" w:name="pg12937_139355"/>
      <w:bookmarkStart w:id="484" w:name="__RefHeading___Toc4067139_3224264995"/>
      <w:bookmarkStart w:id="485" w:name="_Toc183"/>
      <w:bookmarkEnd w:id="483"/>
      <w:bookmarkEnd w:id="484"/>
      <w:r>
        <w:rPr>
          <w:rtl w:val="true"/>
        </w:rPr>
        <w:t>پینوشتهای پیشگفتار پژوهنده</w:t>
      </w:r>
      <w:bookmarkEnd w:id="4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شرح بر بعض فقرات زیارت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فقیه ربّانی، صص </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عصمتیّه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آینه میراث،ش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حیاتیّه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مزدک‌نامه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184/14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إکسیر العبادات،تحقیق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جمعه بادی و عبّاس ملاّ عطیّه الجمریّ، </w:t>
      </w:r>
      <w:r>
        <w:rPr>
          <w:rFonts w:eastAsia="IRNazanin" w:cs="IRNazanin"/>
          <w:color w:val="111111"/>
          <w:sz w:val="28"/>
          <w:szCs w:val="28"/>
          <w:lang w:bidi="fa-IR"/>
        </w:rPr>
        <w:t>380/1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سعادات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بازنویسی سعادات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الولایه‌ی ملاّ زین العابدین گلپایگانی،ط</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آشنائی به سلیقه و حال و هوای میرزا أبو القاسم زنجانی مذکور بیشتر گردد، خوبست یاد کنیم او کتابی نیز در إثبات إمامت أئمّه أطهار علیهم السّلام به حساب زبر و بیّنه و کتابی در شرح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أفضل من أنبیاء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228/16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العباد،چاپ سنگی لکهنو،</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مازندرانی را در ذخیره،بعینه،در یادداشتهای ذیل رساله طاهریّه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فاطمیّه،ط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حسن‌زاده،صص </w:t>
      </w:r>
      <w:r>
        <w:rPr>
          <w:rFonts w:eastAsia="IRNazanin" w:cs="IRNazanin"/>
          <w:color w:val="111111"/>
          <w:sz w:val="28"/>
          <w:szCs w:val="28"/>
          <w:lang w:bidi="fa-IR"/>
        </w:rPr>
        <w:t>904</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الطّباطبائیّ البهبهانیّ،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172/26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lang w:bidi="fa-IR"/>
        </w:rPr>
        <w:t>407/16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lang w:bidi="fa-IR"/>
        </w:rPr>
        <w:t>293/3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دکتر محمّد علی موحّد در بازگفت خاطرات روزگار نوجوانی خویش،به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رضا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سکوتی هولناک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فضای کشور مستولی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إقبالی که مردمان علی‌رغم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دولت با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مساجد و هیئت‌ها داشتند،می‌پردازد و در پی اینها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إیرادگیری از دولت ممنوع بود أمّا مردم آزاد بودند که از هم إیراد بگیرند و به همدیگر اعتراض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 مقدار انرژی که می‌بایستی در تعاملات و گفت و شنودهای اجتماعی در یک نظام سالم بر کنترل متقابل مردم و حکومت صرف شود،در منازعات بی سرانجام تلف می‌شد که جز تباه کردن استعدادها و داغ نگاه داشتن تنور تعصّبات و انصراف ذهن جوانان از مشکلات روز حاصلی دیگر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بحث از مسائلی چون مسؤولیت دولت و لزوم پاسخگوئی زمامداران در برابر مردم،به جای نگرانی و دلواپسی درباره عدالت اجتماعی و حقوق و آزادی‌های فردی،بحث بر سر آن بود که آیا إمام علیه السّلام پشت سر خود را می‌دید و علم غیب می‌دانست؟و آیا بول و غائط إمام طاهر بود یا نجس؟آیا رجعت از ضروریّات دین است یا از ضروریّات مذهب و یا هیچ‌کدام؟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جشن‌نامه استاد دکتر محمّد علی موحّد،ص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را،در استفتائات آیة اللّه جوادی آملی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طهارت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طبق آیه شریفه تطهیر می‌شود استدلال نمود که معصومین علیهم السّلام از هرگونه پلیدی و نجاست ظاهری و باطنی،حتّی نجاست 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 علیهم السّلام از هر گناهی،أعمّ از کوچک و بزرگ،طاهرند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تطهیر، طهارت معصومان از هر رجس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تطهیر این نیست که رجس آنان مانند خون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در معارف عمیق قرآن و عترت تدبّر شود؛نه در این‌گونه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پاسخ</w:t>
      </w:r>
      <w:r>
        <w:rPr>
          <w:rFonts w:eastAsia="IRNazanin" w:cs="IRNazanin"/>
          <w:color w:val="111111"/>
          <w:sz w:val="28"/>
          <w:szCs w:val="28"/>
          <w:rtl w:val="true"/>
          <w:lang w:bidi="fa-IR"/>
        </w:rPr>
        <w:t>:</w:t>
      </w:r>
      <w:r>
        <w:rPr>
          <w:rFonts w:eastAsia="IRNazanin" w:cs="IRNazanin"/>
          <w:color w:val="111111"/>
          <w:sz w:val="28"/>
          <w:szCs w:val="28"/>
          <w:lang w:bidi="fa-IR"/>
        </w:rPr>
        <w:t>1381/4/12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رساله اعتقادنای آیة اللّه میرزا جواد تبریزی که مجموعه‌ای است از پرسش و پاسخ‌های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پرسشهائی که از آن فقیه فقید پرسیده‌اند و او پاسخ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هم،بدین پرسش و پاسخ بازمی‌خوریم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اعتقاد المرء بطهارة المعصوم من الرّجس یشمل ضرورة الاعتقاد بطهارة دمه و مدفوعاته؟و هل دم المعصوم و مدفوعاته طاهران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هذه المسألة یتّضح بذکر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جسد المسلم فضلا عن المعصوم علیه السّلام لا یکون خبثا،و أمّا تنجّس بدن الإنسان بملاقاة القذر کالبول و الدّم فهو أمر اعتباری و لیس أمرا واقعیّا کما أنّ النّجاسة الثّابتة لبعض الأشیاء کالدّم و المنی أمر اعتباری أیضا لا واقعیّ،و إنّما اعتبرها الشّارع لمصلحة تقتضی ذلک أو دفع مفسدة عن العباد،لا لنقص فی مورد الاعتبار و لا لکمال فی غیره،فمثلا تنجّس بدن الإنسان عند إصابة القذر کالبول و الدّم له لا یعنی الخبث الذّاتیّ فیه و لا یدلّ علی النّقص فی شخصه،و إنّما هو حکم تعبّدیّ لملاک معیّن کما أنّ طهارة مدفوع و بول مأکول اللّحم لا یدلّ علی فضیلة له، و بالجملة فلا یحتمل أن یکون حکم الشّارع بطهارة میتة ما لیس له نفس سائلة کالسّمک و البقّ و نجاسة میتة الإنسان تفضیلا لمیتة البقّ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المسلّمات الّتی لا ریب فیها أنّ المعصومین الأربعة عشر علیهم السّلام فی أعلی درجات الکمال و أسمی مراتب العصمة غیر أنّ الأحکام الشّرعیّة و منها وجوب غسل الجنابة أو اعتبار طهارة البدن و اللّباس من الخبث فی صحّة الصّلاة شاملة للمعصوم و غیره،إذ لم یرد دلیل علی استثناء المعصوم من هذه الأحکام،و لقد کان النّبیّ صلّی اللّه علیه و آله یغتسل من الجنابة و یغسل بدنه ممّا أصابه من القذر و کذلک المعصومین علیهم السّلام و ما اشتهر من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أبول أصابنی أو ماء إذا لم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عدم استثنائه علیه السّلام من هذه الأحکام،و بالجملة فثبوت أحکام الطّهارة و النّجاسة فی حقّهم علیهم السّلام لا ینافی طهارتهم الذّاتیّة و کمال عصمتهم بصریح النّصوص،و اللّه الهادی للصّواب؛و کیف ما کان فإنّ الاعتقاد بطهارة دم الإمام أو المعصوم علیه السّلام لیس من أصول الدّین و لا من ضروریّات المذهب،فیکون الأولی لمن تردّد فی ذلک إیکال علمه إلی الإمام علیه السّلام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الإلهیّة فی المسائل العقائدیّة،ص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نووی،</w:t>
      </w:r>
      <w:r>
        <w:rPr>
          <w:rFonts w:eastAsia="IRNazanin" w:cs="IRNazanin"/>
          <w:color w:val="111111"/>
          <w:sz w:val="28"/>
          <w:szCs w:val="28"/>
          <w:lang w:bidi="fa-IR"/>
        </w:rPr>
        <w:t>234/1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ی عینی، </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الخصائص الکبری</w:t>
      </w:r>
      <w:r>
        <w:rPr>
          <w:rFonts w:eastAsia="IRNazanin" w:cs="IRNazanin"/>
          <w:color w:val="111111"/>
          <w:sz w:val="28"/>
          <w:szCs w:val="28"/>
          <w:rtl w:val="true"/>
          <w:lang w:bidi="fa-IR"/>
        </w:rPr>
        <w:t>(</w:t>
      </w:r>
      <w:r>
        <w:rPr>
          <w:rFonts w:eastAsia="IRNazanin" w:cs="IRNazanin"/>
          <w:color w:val="111111"/>
          <w:sz w:val="28"/>
          <w:szCs w:val="28"/>
          <w:lang w:bidi="fa-IR"/>
        </w:rPr>
        <w:t>440/2</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اختصاصه صلّی اللّه علیه و آله و سلم بطهارة دمه و بوله و غائطه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منعقد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صالحی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سبل الهدی و الرّشاد</w:t>
      </w:r>
      <w:r>
        <w:rPr>
          <w:rFonts w:eastAsia="IRNazanin" w:cs="IRNazanin"/>
          <w:color w:val="111111"/>
          <w:sz w:val="28"/>
          <w:szCs w:val="28"/>
          <w:rtl w:val="true"/>
          <w:lang w:bidi="fa-IR"/>
        </w:rPr>
        <w:t>(</w:t>
      </w:r>
      <w:r>
        <w:rPr>
          <w:rFonts w:eastAsia="IRNazanin" w:cs="IRNazanin"/>
          <w:color w:val="111111"/>
          <w:sz w:val="28"/>
          <w:szCs w:val="28"/>
          <w:lang w:bidi="fa-IR"/>
        </w:rPr>
        <w:t>455/10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اختصّ به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عن أمّته من الفضائل و الکرامات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النّجس منّا طاهر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شرح آن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تحقیق رساله طاهریّه،به دو چاپ سنگی دور از دسترس نیز حاجت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چاپ سنگی سعادات ناصریّه‌ی ملاّ آقای دربندی،و دیگری،چاپ سنگی ذخیرة المعاد شیخ زین العابدین حائری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 به تصویر چاپ سنگی سعادات ناصریّه از رهگذر کنش خیرخواهانه حدیث‌پژوه محترم و دوست نادیده ارجمند،جناب آقای بهزاد جعفری،حاصل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مطبوع هند ذخیرة المعاد را هم دوست متن‌پژوه بینادل نیکومنش‌ام،حجّة الإسلام و المسلمین علی فاضلی،با کرامتی که سرشتینه اوست،از کتابخانه خویش برگرفت و در اختیار من نهاد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یادکرد لطف این دو فاضل گرامی،کمترین پایه سپاسی است که گزارد آن بر ذمّت این قلم است</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طاهریّه</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طاهریّه</w:t>
      </w:r>
      <w:r>
        <w:rPr>
          <w:rFonts w:eastAsia="IRNazanin" w:cs="IRNazanin"/>
          <w:color w:val="111111"/>
          <w:sz w:val="28"/>
          <w:szCs w:val="28"/>
          <w:rtl w:val="true"/>
          <w:lang w:bidi="fa-IR"/>
        </w:rPr>
        <w:t xml:space="preserve">» </w:t>
      </w:r>
      <w:bookmarkStart w:id="486" w:name="pg12937_139361"/>
    </w:p>
    <w:p>
      <w:pPr>
        <w:pStyle w:val="Heading3"/>
        <w:numPr>
          <w:ilvl w:val="2"/>
          <w:numId w:val="1"/>
        </w:numPr>
        <w:rPr/>
      </w:pPr>
      <w:bookmarkStart w:id="487" w:name="__RefHeading___Toc4067141_3224264995"/>
      <w:bookmarkStart w:id="488" w:name="_Toc184"/>
      <w:bookmarkEnd w:id="486"/>
      <w:bookmarkEnd w:id="487"/>
      <w:r>
        <w:rPr>
          <w:rtl w:val="true"/>
        </w:rPr>
        <w:t>[</w:t>
      </w:r>
      <w:r>
        <w:rPr>
          <w:rtl w:val="true"/>
        </w:rPr>
        <w:t>خطبه کتاب</w:t>
      </w:r>
      <w:r>
        <w:rPr>
          <w:rtl w:val="true"/>
        </w:rPr>
        <w:t>]</w:t>
      </w:r>
      <w:bookmarkEnd w:id="488"/>
    </w:p>
    <w:p>
      <w:pPr>
        <w:pStyle w:val="BookText"/>
        <w:rPr/>
      </w:pPr>
      <w:r>
        <w:rPr>
          <w:rFonts w:ascii="Amiri" w:hAnsi="Amiri" w:eastAsia="Amiri" w:cs="Amiri"/>
          <w:color w:val="111111"/>
          <w:sz w:val="28"/>
          <w:sz w:val="28"/>
          <w:szCs w:val="28"/>
          <w:rtl w:val="true"/>
          <w:lang w:bidi="ar-SA"/>
        </w:rPr>
        <w:t xml:space="preserve">بسم اللّه الرّحمن الرّحیم الحمد للّه ربّ العالمین و الصّلوة و السّلام علی خیر خلقه محمّد و اله الطّاهرین الّذین أذهب اللّه عنهم الرّجس و طهّرهم تطهیرا </w:t>
      </w:r>
      <w:r>
        <w:rPr>
          <w:rStyle w:val="FootnoteAnchor"/>
          <w:rtl w:val="true"/>
        </w:rPr>
        <w:footnoteReference w:id="1118"/>
      </w:r>
      <w:r>
        <w:rPr>
          <w:rFonts w:ascii="IRNazanin" w:hAnsi="IRNazanin" w:eastAsia="IRNazanin"/>
          <w:color w:val="111111"/>
          <w:sz w:val="28"/>
          <w:sz w:val="28"/>
          <w:szCs w:val="28"/>
          <w:rtl w:val="true"/>
          <w:lang w:bidi="fa-IR"/>
        </w:rPr>
        <w:t>و لعنة اللّه علی أعدآئهم و غاصبی حقوقهم و منکری فضآئلهم و دافعیهم عن مقامهم و مسوّیهم فی المراتب مع غیرهم أبد الابدین و 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بعد،چنین گوید مجرم درگاه ربّ الأرباب عبد الرّحیم بن کرم علی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مقتضای وَ أْمُرْ بِالْعُرْفِ وَ أَعْرِضْ عَنِ الْجٰاهِلِینَ </w:t>
      </w:r>
      <w:r>
        <w:rPr>
          <w:rStyle w:val="FootnoteAnchor"/>
          <w:rtl w:val="true"/>
        </w:rPr>
        <w:footnoteReference w:id="1119"/>
      </w:r>
      <w:r>
        <w:rPr>
          <w:rFonts w:ascii="IRNazanin" w:hAnsi="IRNazanin" w:eastAsia="IRNazanin"/>
          <w:color w:val="111111"/>
          <w:sz w:val="28"/>
          <w:sz w:val="28"/>
          <w:szCs w:val="28"/>
          <w:rtl w:val="true"/>
          <w:lang w:bidi="fa-IR"/>
        </w:rPr>
        <w:t xml:space="preserve">در مقام این برآمدم که إظهار معروف </w:t>
      </w:r>
      <w:r>
        <w:rPr>
          <w:rStyle w:val="FootnoteAnchor"/>
          <w:rtl w:val="true"/>
        </w:rPr>
        <w:footnoteReference w:id="1120"/>
      </w:r>
      <w:r>
        <w:rPr>
          <w:rFonts w:ascii="IRNazanin" w:hAnsi="IRNazanin" w:eastAsia="IRNazanin"/>
          <w:color w:val="111111"/>
          <w:sz w:val="28"/>
          <w:sz w:val="28"/>
          <w:szCs w:val="28"/>
          <w:rtl w:val="true"/>
          <w:lang w:bidi="fa-IR"/>
        </w:rPr>
        <w:t xml:space="preserve">نمایم و إعراض کنم از کلام جاهلین و نادانایان </w:t>
      </w:r>
      <w:r>
        <w:rPr>
          <w:rStyle w:val="FootnoteAnchor"/>
          <w:rtl w:val="true"/>
        </w:rPr>
        <w:footnoteReference w:id="1121"/>
      </w:r>
      <w:r>
        <w:rPr>
          <w:rFonts w:ascii="IRNazanin" w:hAnsi="IRNazanin" w:eastAsia="IRNazanin"/>
          <w:color w:val="111111"/>
          <w:sz w:val="28"/>
          <w:sz w:val="28"/>
          <w:szCs w:val="28"/>
          <w:rtl w:val="true"/>
          <w:lang w:bidi="fa-IR"/>
        </w:rPr>
        <w:t>و بهترین معروفها، إظهار و ذکر فضائل و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 است؛ و بهترین إعراضها،إعراض از کسی و از کلام کسیست که إنکار فضائل آن بزرگواران را نماید یا آنکه در مقام تنزّل ایشان برآید از مقام خودشان یا در مقام تسویه ایشان برآید با سایر خلق در مراتب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فضایل ایشان طاهر و پاک بودن خون شریف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عرض می‌کنم که چون محلّ خلاف و گفت‌وگو بوده و هست در میان علما در خصوص خون </w:t>
      </w:r>
      <w:bookmarkStart w:id="489" w:name="pg12937_139362"/>
    </w:p>
    <w:p>
      <w:pPr>
        <w:pStyle w:val="BookText"/>
        <w:rPr/>
      </w:pPr>
      <w:bookmarkEnd w:id="489"/>
      <w:r>
        <w:rPr>
          <w:rFonts w:ascii="IRNazanin" w:hAnsi="IRNazanin" w:eastAsia="IRNazanin"/>
          <w:color w:val="111111"/>
          <w:sz w:val="28"/>
          <w:sz w:val="28"/>
          <w:szCs w:val="28"/>
          <w:rtl w:val="true"/>
          <w:lang w:bidi="fa-IR"/>
        </w:rPr>
        <w:t>مطهّر أنوار مقدّسه إلهیّه سلام اللّه علیهم أجمعین،و قائل شدن به طهارت دم ایشان فضل ایشان و عدم آن نقص ایشان است،پس در مقام إثبات طهارت دم مطهّر ایشان برآمدم و امیدوارم که به برکت دم مطهّر منوّر ایشان موفّق شوم به إتمام این کتاب به نحوی که مطلوب و محبوب محبّین و مخلصین و عرفاء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مسمّی نمودم او را به رساله طاهریّة؛و آن مشتمل است بر یک مقدّمه و چند دلیل</w:t>
      </w:r>
      <w:r>
        <w:rPr>
          <w:rFonts w:eastAsia="IRNazanin" w:cs="IRNazanin"/>
          <w:color w:val="111111"/>
          <w:sz w:val="28"/>
          <w:szCs w:val="28"/>
          <w:rtl w:val="true"/>
          <w:lang w:bidi="fa-IR"/>
        </w:rPr>
        <w:t>:</w:t>
      </w:r>
    </w:p>
    <w:p>
      <w:pPr>
        <w:pStyle w:val="Heading3"/>
        <w:numPr>
          <w:ilvl w:val="2"/>
          <w:numId w:val="1"/>
        </w:numPr>
        <w:rPr/>
      </w:pPr>
      <w:bookmarkStart w:id="490" w:name="__RefHeading___Toc4067143_3224264995"/>
      <w:bookmarkStart w:id="491" w:name="_Toc185"/>
      <w:bookmarkEnd w:id="490"/>
      <w:r>
        <w:rPr>
          <w:rtl w:val="true"/>
        </w:rPr>
        <w:t>أمّا مقدّمه</w:t>
      </w:r>
      <w:r>
        <w:rPr>
          <w:rtl w:val="true"/>
        </w:rPr>
        <w:t>:</w:t>
      </w:r>
      <w:r>
        <w:rPr>
          <w:rtl w:val="true"/>
        </w:rPr>
        <w:t>در بیان این �که اختلاف در فروع موجب قدح و ضرر نیست</w:t>
      </w:r>
      <w:bookmarkEnd w:id="49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جلالت و مرتبه شخص عالم،چنانچه </w:t>
      </w:r>
      <w:r>
        <w:rPr>
          <w:rStyle w:val="FootnoteAnchor"/>
          <w:rtl w:val="true"/>
        </w:rPr>
        <w:footnoteReference w:id="1122"/>
      </w:r>
      <w:r>
        <w:rPr>
          <w:rFonts w:ascii="IRNazanin" w:hAnsi="IRNazanin" w:eastAsia="IRNazanin"/>
          <w:color w:val="111111"/>
          <w:sz w:val="28"/>
          <w:sz w:val="28"/>
          <w:szCs w:val="28"/>
          <w:rtl w:val="true"/>
          <w:lang w:bidi="fa-IR"/>
        </w:rPr>
        <w:t xml:space="preserve">غالب مسائل فروع محلّ خلافست؛بلکه هرگاه از عالمی خلاف إجماع صادر شود مستحق تخطئه و تفسیق نمی‌شود،چنانچه خلاف إجماع بسیار از بسیاری علمآء صادر شده است و هیچکس از علما قدح در جلالت ایشان ننموده‌اند مثل ابن إدریس </w:t>
      </w:r>
      <w:r>
        <w:rPr>
          <w:rStyle w:val="FootnoteAnchor"/>
          <w:rtl w:val="true"/>
        </w:rPr>
        <w:footnoteReference w:id="1123"/>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124"/>
      </w:r>
      <w:r>
        <w:rPr>
          <w:rFonts w:ascii="IRNazanin" w:hAnsi="IRNazanin" w:eastAsia="IRNazanin"/>
          <w:color w:val="111111"/>
          <w:sz w:val="28"/>
          <w:sz w:val="28"/>
          <w:szCs w:val="28"/>
          <w:rtl w:val="true"/>
          <w:lang w:bidi="fa-IR"/>
        </w:rPr>
        <w:t xml:space="preserve">و ابن جنید </w:t>
      </w:r>
      <w:r>
        <w:rPr>
          <w:rStyle w:val="FootnoteAnchor"/>
          <w:rtl w:val="true"/>
        </w:rPr>
        <w:footnoteReference w:id="1125"/>
      </w:r>
      <w:r>
        <w:rPr>
          <w:rFonts w:ascii="IRNazanin" w:hAnsi="IRNazanin" w:eastAsia="IRNazanin"/>
          <w:color w:val="111111"/>
          <w:sz w:val="28"/>
          <w:sz w:val="28"/>
          <w:szCs w:val="28"/>
          <w:rtl w:val="true"/>
          <w:lang w:bidi="fa-IR"/>
        </w:rPr>
        <w:t xml:space="preserve">و شیخ طوسی </w:t>
      </w:r>
      <w:r>
        <w:rPr>
          <w:rStyle w:val="FootnoteAnchor"/>
          <w:rtl w:val="true"/>
        </w:rPr>
        <w:footnoteReference w:id="112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عدالت </w:t>
      </w:r>
      <w:r>
        <w:rPr>
          <w:rStyle w:val="FootnoteAnchor"/>
          <w:rtl w:val="true"/>
        </w:rPr>
        <w:footnoteReference w:id="1127"/>
      </w:r>
      <w:r>
        <w:rPr>
          <w:rFonts w:ascii="IRNazanin" w:hAnsi="IRNazanin" w:eastAsia="IRNazanin"/>
          <w:color w:val="111111"/>
          <w:sz w:val="28"/>
          <w:sz w:val="28"/>
          <w:szCs w:val="28"/>
          <w:rtl w:val="true"/>
          <w:lang w:bidi="fa-IR"/>
        </w:rPr>
        <w:t xml:space="preserve">و مرحوم فیض </w:t>
      </w:r>
      <w:r>
        <w:rPr>
          <w:rStyle w:val="FootnoteAnchor"/>
          <w:rtl w:val="true"/>
        </w:rPr>
        <w:footnoteReference w:id="1128"/>
      </w:r>
      <w:r>
        <w:rPr>
          <w:rFonts w:ascii="IRNazanin" w:hAnsi="IRNazanin" w:eastAsia="IRNazanin"/>
          <w:color w:val="111111"/>
          <w:sz w:val="28"/>
          <w:sz w:val="28"/>
          <w:szCs w:val="28"/>
          <w:rtl w:val="true"/>
          <w:lang w:bidi="fa-IR"/>
        </w:rPr>
        <w:t xml:space="preserve">در خصوص عدم تنجّس آب قلیل به ملاقات نجاست </w:t>
      </w:r>
      <w:r>
        <w:rPr>
          <w:rStyle w:val="FootnoteAnchor"/>
          <w:rtl w:val="true"/>
        </w:rPr>
        <w:footnoteReference w:id="1129"/>
      </w:r>
      <w:r>
        <w:rPr>
          <w:rFonts w:ascii="IRNazanin" w:hAnsi="IRNazanin" w:eastAsia="IRNazanin"/>
          <w:color w:val="111111"/>
          <w:sz w:val="28"/>
          <w:sz w:val="28"/>
          <w:szCs w:val="28"/>
          <w:rtl w:val="true"/>
          <w:lang w:bidi="fa-IR"/>
        </w:rPr>
        <w:t xml:space="preserve">و مرحوم مقدّس أردبیلی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طاهر است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سیّد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w:t>
      </w:r>
      <w:r>
        <w:rPr>
          <w:rStyle w:val="FootnoteAnchor"/>
          <w:rtl w:val="true"/>
        </w:rPr>
        <w:footnoteReference w:id="1130"/>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نجس است و لکن موی او طاهر است </w:t>
      </w:r>
      <w:r>
        <w:rPr>
          <w:rStyle w:val="FootnoteAnchor"/>
          <w:rtl w:val="true"/>
        </w:rPr>
        <w:footnoteReference w:id="1131"/>
      </w:r>
      <w:r>
        <w:rPr>
          <w:rFonts w:ascii="IRNazanin" w:hAnsi="IRNazanin" w:eastAsia="IRNazanin"/>
          <w:color w:val="111111"/>
          <w:sz w:val="28"/>
          <w:sz w:val="28"/>
          <w:szCs w:val="28"/>
          <w:rtl w:val="true"/>
          <w:lang w:bidi="fa-IR"/>
        </w:rPr>
        <w:t xml:space="preserve">،چنانچه صاحب ریاض </w:t>
      </w:r>
      <w:r>
        <w:rPr>
          <w:rStyle w:val="FootnoteAnchor"/>
          <w:rtl w:val="true"/>
        </w:rPr>
        <w:footnoteReference w:id="1132"/>
      </w:r>
      <w:r>
        <w:rPr>
          <w:rFonts w:ascii="IRNazanin" w:hAnsi="IRNazanin" w:eastAsia="IRNazanin"/>
          <w:color w:val="111111"/>
          <w:sz w:val="28"/>
          <w:sz w:val="28"/>
          <w:szCs w:val="28"/>
          <w:rtl w:val="true"/>
          <w:lang w:bidi="fa-IR"/>
        </w:rPr>
        <w:t>از او نقل می‌فرماید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بنجاسة البحریّ کما عن الحلّی </w:t>
      </w:r>
      <w:r>
        <w:rPr>
          <w:rStyle w:val="FootnoteAnchor"/>
          <w:rtl w:val="true"/>
        </w:rPr>
        <w:footnoteReference w:id="1133"/>
      </w:r>
      <w:r>
        <w:rPr>
          <w:rFonts w:ascii="IRNazanin" w:hAnsi="IRNazanin" w:eastAsia="IRNazanin"/>
          <w:color w:val="111111"/>
          <w:sz w:val="28"/>
          <w:sz w:val="28"/>
          <w:szCs w:val="28"/>
          <w:rtl w:val="true"/>
          <w:lang w:bidi="fa-IR"/>
        </w:rPr>
        <w:t xml:space="preserve">تبعا للاسم ضعیف غایته،کالقول بطهارة ما لا تحلّه الحیوة منهما و من الکافر کما عن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المرتضی رحمه اللّه بناء منه علی الأصل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کشف اللثّام </w:t>
      </w:r>
      <w:r>
        <w:rPr>
          <w:rStyle w:val="FootnoteAnchor"/>
          <w:rtl w:val="true"/>
        </w:rPr>
        <w:footnoteReference w:id="1135"/>
      </w:r>
      <w:r>
        <w:rPr>
          <w:rFonts w:ascii="IRNazanin" w:hAnsi="IRNazanin" w:eastAsia="IRNazanin"/>
          <w:color w:val="111111"/>
          <w:sz w:val="28"/>
          <w:sz w:val="28"/>
          <w:szCs w:val="28"/>
          <w:rtl w:val="true"/>
          <w:lang w:bidi="fa-IR"/>
        </w:rPr>
        <w:t xml:space="preserve">هم از او نقل می‌فرماید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جواهر الکلام </w:t>
      </w:r>
      <w:r>
        <w:rPr>
          <w:rStyle w:val="FootnoteAnchor"/>
          <w:rtl w:val="true"/>
        </w:rPr>
        <w:footnoteReference w:id="1137"/>
      </w:r>
      <w:r>
        <w:rPr>
          <w:rFonts w:ascii="IRNazanin" w:hAnsi="IRNazanin" w:eastAsia="IRNazanin"/>
          <w:color w:val="111111"/>
          <w:sz w:val="28"/>
          <w:sz w:val="28"/>
          <w:szCs w:val="28"/>
          <w:rtl w:val="true"/>
          <w:lang w:bidi="fa-IR"/>
        </w:rPr>
        <w:t xml:space="preserve">فرمایشی می‌فرماید در خصوص عدّه غیر مدخوله که إجماع برخلاف ایشان منعقد شده است؛که هرگاه بخواهم ذکر کنم به طول می‌انجامد؛بلکه اگر چیزی ضروری دین نبوده باشد نزد شخصی و نزد دیگری ضروری بوده باشد و منکر شود کافر نیست و منافات ندارد که چیزی نزد شخصی ضروری دین بوده باشد و نزد دیگری نظری بوده باشد </w:t>
      </w:r>
      <w:r>
        <w:rPr>
          <w:rStyle w:val="FootnoteAnchor"/>
          <w:rtl w:val="true"/>
        </w:rPr>
        <w:footnoteReference w:id="113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أمّا اختلاف در أصول عقاید،آن را هم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می‌گوئیم موجب قدح و تخطئه نمی‌گردد،چنانچه صدوق مرحوم </w:t>
      </w:r>
      <w:r>
        <w:rPr>
          <w:rStyle w:val="FootnoteAnchor"/>
          <w:rtl w:val="true"/>
        </w:rPr>
        <w:footnoteReference w:id="1139"/>
      </w:r>
      <w:r>
        <w:rPr>
          <w:rFonts w:ascii="IRNazanin" w:hAnsi="IRNazanin" w:eastAsia="IRNazanin"/>
          <w:color w:val="111111"/>
          <w:sz w:val="28"/>
          <w:sz w:val="28"/>
          <w:szCs w:val="28"/>
          <w:rtl w:val="true"/>
          <w:lang w:bidi="fa-IR"/>
        </w:rPr>
        <w:t xml:space="preserve">در فقیه </w:t>
      </w:r>
      <w:r>
        <w:rPr>
          <w:rStyle w:val="FootnoteAnchor"/>
          <w:rtl w:val="true"/>
        </w:rPr>
        <w:footnoteReference w:id="1140"/>
      </w:r>
      <w:r>
        <w:rPr>
          <w:rFonts w:ascii="IRNazanin" w:hAnsi="IRNazanin" w:eastAsia="IRNazanin"/>
          <w:color w:val="111111"/>
          <w:sz w:val="28"/>
          <w:sz w:val="28"/>
          <w:szCs w:val="28"/>
          <w:rtl w:val="true"/>
          <w:lang w:bidi="fa-IR"/>
        </w:rPr>
        <w:t xml:space="preserve">ذکر کرده است که غلاة و مفوّضه </w:t>
      </w:r>
      <w:r>
        <w:rPr>
          <w:rStyle w:val="FootnoteAnchor"/>
          <w:rtl w:val="true"/>
        </w:rPr>
        <w:footnoteReference w:id="1141"/>
      </w:r>
      <w:r>
        <w:rPr>
          <w:rFonts w:ascii="IRNazanin" w:hAnsi="IRNazanin" w:eastAsia="IRNazanin"/>
          <w:color w:val="111111"/>
          <w:sz w:val="28"/>
          <w:sz w:val="28"/>
          <w:szCs w:val="28"/>
          <w:rtl w:val="true"/>
          <w:lang w:bidi="fa-IR"/>
        </w:rPr>
        <w:t xml:space="preserve">لعنهم اللّه،سهو نبی صلّی اللّه علیه و آله را إنکار می‌نمایند </w:t>
      </w:r>
      <w:r>
        <w:rPr>
          <w:rStyle w:val="FootnoteAnchor"/>
          <w:rtl w:val="true"/>
        </w:rPr>
        <w:footnoteReference w:id="1142"/>
      </w:r>
      <w:r>
        <w:rPr>
          <w:rFonts w:ascii="IRNazanin" w:hAnsi="IRNazanin" w:eastAsia="IRNazanin"/>
          <w:color w:val="111111"/>
          <w:sz w:val="28"/>
          <w:sz w:val="28"/>
          <w:szCs w:val="28"/>
          <w:rtl w:val="true"/>
          <w:lang w:bidi="fa-IR"/>
        </w:rPr>
        <w:t xml:space="preserve">و گفته است که رساله در خصوص سهو نبی صلّی اللّه علیه و آله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نمودن سبب قرب خدا است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حال اینکه علماء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عهد مفید </w:t>
      </w:r>
      <w:r>
        <w:rPr>
          <w:rStyle w:val="FootnoteAnchor"/>
          <w:rtl w:val="true"/>
        </w:rPr>
        <w:footnoteReference w:id="1144"/>
      </w:r>
      <w:r>
        <w:rPr>
          <w:rFonts w:ascii="IRNazanin" w:hAnsi="IRNazanin" w:eastAsia="IRNazanin"/>
          <w:color w:val="111111"/>
          <w:sz w:val="28"/>
          <w:sz w:val="28"/>
          <w:szCs w:val="28"/>
          <w:rtl w:val="true"/>
          <w:lang w:bidi="fa-IR"/>
        </w:rPr>
        <w:t xml:space="preserve">رحمه اللّه تا این زمان سهو در حق نبی و أئمّه علیهم السّلام را تجویز ننموده‌اند </w:t>
      </w:r>
      <w:r>
        <w:rPr>
          <w:rStyle w:val="FootnoteAnchor"/>
          <w:rtl w:val="true"/>
        </w:rPr>
        <w:footnoteReference w:id="1145"/>
      </w:r>
      <w:r>
        <w:rPr>
          <w:rFonts w:ascii="IRNazanin" w:hAnsi="IRNazanin" w:eastAsia="IRNazanin"/>
          <w:color w:val="111111"/>
          <w:sz w:val="28"/>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مرتضی رحمه اللّه در رساله خود که در عقاید تصنیف نموده و إسلام أبی طالب علیه السّلام را ذکر کرده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عالم خدای أعراض نیست </w:t>
      </w:r>
      <w:r>
        <w:rPr>
          <w:rStyle w:val="FootnoteAnchor"/>
          <w:rtl w:val="true"/>
        </w:rPr>
        <w:footnoteReference w:id="1146"/>
      </w:r>
      <w:r>
        <w:rPr>
          <w:rFonts w:ascii="IRNazanin" w:hAnsi="IRNazanin" w:eastAsia="IRNazanin"/>
          <w:color w:val="111111"/>
          <w:sz w:val="28"/>
          <w:sz w:val="28"/>
          <w:szCs w:val="28"/>
          <w:rtl w:val="true"/>
          <w:lang w:bidi="fa-IR"/>
        </w:rPr>
        <w:t xml:space="preserve">با این‌که ضروری إسلام می‌داند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خداوند عالم خدای جمیع أشیاء است،و همچنین مقدّس اردبیلی در واجب‌الوجود ترکیب عقلی را جایز دانسته </w:t>
      </w:r>
      <w:r>
        <w:rPr>
          <w:rStyle w:val="FootnoteAnchor"/>
          <w:rtl w:val="true"/>
        </w:rPr>
        <w:footnoteReference w:id="1147"/>
      </w:r>
      <w:r>
        <w:rPr>
          <w:rFonts w:ascii="IRNazanin" w:hAnsi="IRNazanin" w:eastAsia="IRNazanin"/>
          <w:color w:val="111111"/>
          <w:sz w:val="28"/>
          <w:sz w:val="28"/>
          <w:szCs w:val="28"/>
          <w:rtl w:val="true"/>
          <w:lang w:bidi="fa-IR"/>
        </w:rPr>
        <w:t xml:space="preserve">و بعضی دیگر عالم ذر را منکر شده است </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اختلاف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أصول عقاید هم مضر نیست؛زیرا که هیچیک از علما قدح در جلالت ایشان ننموده‌اند،بلکه همیشه تعظیم و تکریم و تمجید ایشان را نموده‌اند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2937_139377"/>
      <w:bookmarkStart w:id="493" w:name="pg12937_139377"/>
      <w:bookmarkEnd w:id="493"/>
    </w:p>
    <w:p>
      <w:pPr>
        <w:pStyle w:val="Heading3"/>
        <w:numPr>
          <w:ilvl w:val="2"/>
          <w:numId w:val="1"/>
        </w:numPr>
        <w:rPr/>
      </w:pPr>
      <w:bookmarkStart w:id="494" w:name="pg12937_139377"/>
      <w:bookmarkStart w:id="495" w:name="__RefHeading___Toc4067145_3224264995"/>
      <w:bookmarkStart w:id="496" w:name="_Toc186"/>
      <w:bookmarkEnd w:id="494"/>
      <w:bookmarkEnd w:id="495"/>
      <w:r>
        <w:rPr>
          <w:rtl w:val="true"/>
        </w:rPr>
        <w:t>[</w:t>
      </w:r>
      <w:r>
        <w:rPr>
          <w:rtl w:val="true"/>
        </w:rPr>
        <w:t>طهارت خون أنوار مقدّسه إلهیّه</w:t>
      </w:r>
      <w:r>
        <w:rPr>
          <w:rtl w:val="true"/>
        </w:rPr>
        <w:t>]</w:t>
      </w:r>
      <w:bookmarkEnd w:id="496"/>
    </w:p>
    <w:p>
      <w:pPr>
        <w:pStyle w:val="Heading4"/>
        <w:numPr>
          <w:ilvl w:val="3"/>
          <w:numId w:val="1"/>
        </w:numPr>
        <w:rPr/>
      </w:pPr>
      <w:bookmarkStart w:id="497" w:name="__RefHeading___Toc4067147_3224264995"/>
      <w:bookmarkStart w:id="498" w:name="_Toc187"/>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پس از آن‌که این مقدّمه معلوم شد عرض می‌کنم که اگر حقیر هم قائل شوم به طهارت خون أنوار مقدّسه إلهیّه مستحق ملامت و تخطئه نخواهم بود و خلاف إجماع هم نیست با اینکه با أدلّه و برهان قائل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اینست که دیگران مناقشه و خدشه خواهند نمود در أدلّه حقیر که این أدلّه تمام نیست و این سهل أمری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عرض می‌کنم که نجاست خون إنسان مطلقا اگرچه خون آن بزرگواران بوده باشد ضروری دین نیست و بر فرض ضروری دین بودن نزد حقیر نظری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آنکه إجماعی هم نیست و بر فرض إجماعی بودن هم مخالفت إجماع مضر نیست،لکن </w:t>
      </w:r>
      <w:r>
        <w:rPr>
          <w:rStyle w:val="FootnoteAnchor"/>
          <w:rtl w:val="true"/>
        </w:rPr>
        <w:footnoteReference w:id="1150"/>
      </w:r>
      <w:r>
        <w:rPr>
          <w:rFonts w:ascii="IRNazanin" w:hAnsi="IRNazanin" w:eastAsia="IRNazanin"/>
          <w:color w:val="111111"/>
          <w:sz w:val="28"/>
          <w:sz w:val="28"/>
          <w:szCs w:val="28"/>
          <w:rtl w:val="true"/>
          <w:lang w:bidi="fa-IR"/>
        </w:rPr>
        <w:t>المشهور بین أصحابنا الحکم بنجاسة دمهم و بولهم و غائطهم و لغیرهم بنآء علی أنّ الحکم تابع لصدق الاسم و لأنّهم معلّمون لغیرهم فیجب مشارکتهم لهم فی الحکم لیقتدی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بالطّهارة لما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الحجّام لمّا حجمه شرب ما فی المحجمة من دمه الشّریف فقال صلّی اللّه علیه و آله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جسدک فقد 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النّار و 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بال صلّی اللّه علیه و آله فی القارورة و شربته أمّ سلمة و رأیها </w:t>
      </w:r>
      <w:r>
        <w:rPr>
          <w:rStyle w:val="FootnoteAnchor"/>
          <w:rtl w:val="true"/>
        </w:rPr>
        <w:footnoteReference w:id="1151"/>
      </w:r>
      <w:r>
        <w:rPr>
          <w:rFonts w:ascii="IRNazanin" w:hAnsi="IRNazanin" w:eastAsia="IRNazanin"/>
          <w:color w:val="111111"/>
          <w:sz w:val="28"/>
          <w:sz w:val="28"/>
          <w:szCs w:val="28"/>
          <w:rtl w:val="true"/>
          <w:lang w:bidi="fa-IR"/>
        </w:rPr>
        <w:t>و لم ینهها عن ذلک</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شاهد بالطّهارة لأنّ النّجاسة الخبیثة أثر المعاصی و الذّنوب و هم صلّی اللّه علیهم مطهّرون من جمیع الذّنوب الکبائر و الصّغائر قد أذهب اللّه عنهم الرّجس و طهّرهم تطهیرا؛و بهذا قال بعض أصحابنا،و به قال الشّافعیّ؛و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منافاة بین القولین فإنّ الأوّلین قائلون بوجوب الغسل من فضلاتهم و وجوب الغسل لا یستلزم النّجاسة کما ورد فی اغتسال أمیر المؤمنین علیه السّلام حین غسّل رسول اللّه صلّی اللّه علیه و آله و هو طاهر و مطهّر و إنّما فعل ذلک لتجری السّنّة بذلک فکذلک هنا و یکون الغسل تعبّدا لا لنجاسة </w:t>
      </w:r>
      <w:r>
        <w:rPr>
          <w:rStyle w:val="FootnoteAnchor"/>
          <w:rtl w:val="true"/>
        </w:rPr>
        <w:footnoteReference w:id="1153"/>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قول به طهارت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در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بحار فی فصل الحجامة و الحقنة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الحسین،عن فضالة بن أیّوب،عن إسماعیل،عن أبی عبد اللّه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اشتکی رسول اللّه صلّی اللّه علیه و آله وجعا قطّ إلاّ کان مفزعه إلی الحجامة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حجمت رسول اللّه صلّی اللّه علیه و آله </w:t>
      </w:r>
      <w:r>
        <w:rPr>
          <w:rStyle w:val="FootnoteAnchor"/>
          <w:rtl w:val="true"/>
        </w:rPr>
        <w:footnoteReference w:id="1155"/>
      </w:r>
      <w:r>
        <w:rPr>
          <w:rFonts w:ascii="IRNazanin" w:hAnsi="IRNazanin" w:eastAsia="IRNazanin"/>
          <w:color w:val="111111"/>
          <w:sz w:val="28"/>
          <w:sz w:val="28"/>
          <w:szCs w:val="28"/>
          <w:rtl w:val="true"/>
          <w:lang w:bidi="fa-IR"/>
        </w:rPr>
        <w:t>و أعطانی دینارا و شربت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حملک علی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 أمانا من الأوجاع و الأسقام و الفقر و الفاقة،و اللّه ما تمسّک النّار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الطّاء و سکون یاء </w:t>
      </w:r>
      <w:r>
        <w:rPr>
          <w:rStyle w:val="FootnoteAnchor"/>
          <w:rtl w:val="true"/>
        </w:rPr>
        <w:footnoteReference w:id="1158"/>
      </w:r>
      <w:r>
        <w:rPr>
          <w:rFonts w:ascii="IRNazanin" w:hAnsi="IRNazanin" w:eastAsia="IRNazanin"/>
          <w:color w:val="111111"/>
          <w:sz w:val="28"/>
          <w:sz w:val="28"/>
          <w:szCs w:val="28"/>
          <w:rtl w:val="true"/>
          <w:lang w:bidi="fa-IR"/>
        </w:rPr>
        <w:t>المثنّاة التّحتانیة ثمّ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الصّحابة،و اسمه نافع،و کان حجّاما،مولی محیصة بن مسعود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الرّجالین من العامّة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اگرچه این حدیث سابقا ذکر شد به طور نقل به معنی لکن خوش داشتم عین عبارت حدیث را نقل کنم که باعث زیادتی اطمینان قلب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مجرم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نکته در این حدیث است که از آنها استنباط می‌شود طهارت خون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فرمود که آیا شرب کردی دم را و حال آنکه آن جناب علیه السّلام می‌دانست که أبو طیبه شرب کرد دم را،و استفهام دلیل جهل نیست چنانچه خداوند عالم فرمود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تِلْکَ بِیَمِینِکَ </w:t>
      </w:r>
      <w:r>
        <w:rPr>
          <w:rStyle w:val="FootnoteAnchor"/>
          <w:rtl w:val="true"/>
        </w:rPr>
        <w:footnoteReference w:id="1161"/>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دم آن جناب علیه السّلام نجس بود در حین إراده أبو طیبه باید منع فرماید او را و حال آنکه منع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فرمود که چه چیز تو را واداشت که شرب کنی دم را و حال آنکه سببش را هم می‌دانست که به جهت تبرّک </w:t>
      </w:r>
      <w:r>
        <w:rPr>
          <w:rStyle w:val="FootnoteAnchor"/>
          <w:rtl w:val="true"/>
        </w:rPr>
        <w:footnoteReference w:id="11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که آن جناب علیه السّلام بدانند که سبب تبرّک است البتّه باید طاهر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أخذ کردی أمان را از أوجاع و أسقام و فقر و 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خونی که این خواص و أوصاف را داشته باشد یقینا باید طاهر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آن فرمایشی که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مسّ </w:t>
      </w:r>
      <w:r>
        <w:rPr>
          <w:rStyle w:val="FootnoteAnchor"/>
          <w:rtl w:val="true"/>
        </w:rPr>
        <w:footnoteReference w:id="1163"/>
      </w:r>
      <w:r>
        <w:rPr>
          <w:rFonts w:ascii="IRNazanin" w:hAnsi="IRNazanin" w:eastAsia="IRNazanin"/>
          <w:color w:val="111111"/>
          <w:sz w:val="28"/>
          <w:sz w:val="28"/>
          <w:szCs w:val="28"/>
          <w:rtl w:val="true"/>
          <w:lang w:bidi="fa-IR"/>
        </w:rPr>
        <w:t>نمی‌کند تو را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إنصاف بدهید چیزی را که پیغمبر صلّی اللّه علیه و آله قسم یاد فرماید که سبب حفظ از آتش است چگونه می‌شود که نجس و پلید بوده بوده باشد</w:t>
      </w:r>
      <w:r>
        <w:rPr>
          <w:rFonts w:eastAsia="IRNazanin" w:cs="IRNazanin"/>
          <w:color w:val="111111"/>
          <w:sz w:val="28"/>
          <w:szCs w:val="28"/>
          <w:rtl w:val="true"/>
          <w:lang w:bidi="fa-IR"/>
        </w:rPr>
        <w:t xml:space="preserve">. </w:t>
      </w:r>
      <w:r>
        <w:rPr>
          <w:rStyle w:val="FootnoteAnchor"/>
          <w:rtl w:val="true"/>
        </w:rPr>
        <w:footnoteReference w:id="116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أواخر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بحار فی باب البقول و أنواعها فی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شارح الإکمال بأنّ المؤمنین کانوا یتبرّکون ببصاق رسول اللّه صلّی اللّه علیه و آله و نخامته و یدلکون بذلک وجوههم و شرب بعضهم بوله صلّی اللّه علیه و آله و بعضهم دمه صلّی اللّه علیه و آله ممّا هو معروف من عظیم اعتنائهم باثاره الّتی یخالف فیها غیره</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 مؤیّد قول به طهارت است کلام سیّدنا و مولانا بحر العلوم </w:t>
      </w:r>
      <w:r>
        <w:rPr>
          <w:rStyle w:val="FootnoteAnchor"/>
          <w:rtl w:val="true"/>
        </w:rPr>
        <w:footnoteReference w:id="1166"/>
      </w:r>
      <w:r>
        <w:rPr>
          <w:rFonts w:ascii="IRNazanin" w:hAnsi="IRNazanin" w:eastAsia="IRNazanin"/>
          <w:color w:val="111111"/>
          <w:sz w:val="28"/>
          <w:sz w:val="28"/>
          <w:szCs w:val="28"/>
          <w:rtl w:val="true"/>
          <w:lang w:bidi="fa-IR"/>
        </w:rPr>
        <w:t>أعلی اللّه مقامه که در منظومه فقه در أواخر باب مکان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السّرّ فی فضل صلوة المسجد قبر لمعصوم به مستشهد</w:t>
      </w:r>
    </w:p>
    <w:p>
      <w:pPr>
        <w:pStyle w:val="BookText"/>
        <w:rPr/>
      </w:pPr>
      <w:r>
        <w:rPr>
          <w:rFonts w:ascii="Amiri" w:hAnsi="Amiri" w:eastAsia="Amiri" w:cs="Amiri"/>
          <w:color w:val="111111"/>
          <w:sz w:val="28"/>
          <w:sz w:val="28"/>
          <w:szCs w:val="28"/>
          <w:rtl w:val="true"/>
          <w:lang w:bidi="ar-SA"/>
        </w:rPr>
        <w:t xml:space="preserve">برشّة من دمه مطهّرة طهّره اللّه لعبد ذکره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جهت این‌که نماز در مسجد فضیلت و ثواب دارد به جهت قبر معصومی است در آن مسجد که شهید شده است و پاشیده شده است خون طاهر او در آن مسجد طاهر و پاک گردانیده است خداوند عالم آن خون را از برای هر بنده که یاد خدا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آن مرحوم صریح است در طهارت خون آن انوار مقدّسه إلهیّه و دیگر این‌که عبد حقیقی ایشان‌اند؛اگرچه از عبارت ایشان عموم فهمیده می‌شود لکن شمولش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آل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قدر متیقّن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قول به طهارت است کلام مرحوم نراقی أعلی اللّه مقامه در طاقدیس که در باب شهادت سیّد الشّهداء سلام اللّه علیه می‌فرماید</w:t>
      </w:r>
      <w:r>
        <w:rPr>
          <w:rFonts w:eastAsia="IRNazanin" w:cs="IRNazanin"/>
          <w:color w:val="111111"/>
          <w:sz w:val="28"/>
          <w:szCs w:val="28"/>
          <w:rtl w:val="true"/>
          <w:lang w:bidi="fa-IR"/>
        </w:rPr>
        <w:t xml:space="preserve">: </w:t>
      </w:r>
      <w:bookmarkStart w:id="499" w:name="pg12937_139389"/>
    </w:p>
    <w:p>
      <w:pPr>
        <w:pStyle w:val="BookText"/>
        <w:rPr/>
      </w:pPr>
      <w:bookmarkEnd w:id="499"/>
      <w:r>
        <w:rPr>
          <w:rFonts w:ascii="IRNazanin" w:hAnsi="IRNazanin" w:eastAsia="IRNazanin"/>
          <w:color w:val="111111"/>
          <w:sz w:val="28"/>
          <w:sz w:val="28"/>
          <w:szCs w:val="28"/>
          <w:rtl w:val="true"/>
          <w:lang w:bidi="fa-IR"/>
        </w:rPr>
        <w:t>شعر چون که مُردند و گذشتند از حیات خونشان شد پاک‌تر زابِ فُرات</w:t>
      </w:r>
    </w:p>
    <w:p>
      <w:pPr>
        <w:pStyle w:val="BookText"/>
        <w:rPr/>
      </w:pPr>
      <w:r>
        <w:rPr>
          <w:rFonts w:ascii="IRNazanin" w:hAnsi="IRNazanin" w:eastAsia="IRNazanin"/>
          <w:color w:val="111111"/>
          <w:sz w:val="28"/>
          <w:sz w:val="28"/>
          <w:szCs w:val="28"/>
          <w:rtl w:val="true"/>
          <w:lang w:bidi="fa-IR"/>
        </w:rPr>
        <w:t xml:space="preserve">از شهادت می‌شود خونِ پلید خوشتر و صافی‌تر از آبِ سفید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الحال شروع می‌شود در ذکر أدلّه طهارت</w:t>
      </w:r>
      <w:r>
        <w:rPr>
          <w:rFonts w:eastAsia="IRNazanin" w:cs="IRNazanin"/>
          <w:color w:val="111111"/>
          <w:sz w:val="28"/>
          <w:szCs w:val="28"/>
          <w:rtl w:val="true"/>
          <w:lang w:bidi="fa-IR"/>
        </w:rPr>
        <w:t>:</w:t>
      </w:r>
    </w:p>
    <w:p>
      <w:pPr>
        <w:pStyle w:val="Heading4"/>
        <w:numPr>
          <w:ilvl w:val="3"/>
          <w:numId w:val="1"/>
        </w:numPr>
        <w:rPr/>
      </w:pPr>
      <w:bookmarkStart w:id="500" w:name="__RefHeading___Toc4067149_3224264995"/>
      <w:bookmarkStart w:id="501" w:name="_Toc188"/>
      <w:bookmarkEnd w:id="500"/>
      <w:r>
        <w:rPr>
          <w:rtl w:val="true"/>
        </w:rPr>
        <w:t>[</w:t>
      </w:r>
      <w:r>
        <w:rPr>
          <w:rtl w:val="true"/>
        </w:rPr>
        <w:t>ادله طهارت</w:t>
      </w:r>
      <w:r>
        <w:rPr>
          <w:rtl w:val="true"/>
        </w:rPr>
        <w:t>]</w:t>
      </w:r>
      <w:bookmarkEnd w:id="501"/>
    </w:p>
    <w:p>
      <w:pPr>
        <w:pStyle w:val="BookText"/>
        <w:rPr/>
      </w:pPr>
      <w:r>
        <w:rPr>
          <w:rFonts w:ascii="Amiri" w:hAnsi="Amiri" w:eastAsia="Amiri" w:cs="Amiri"/>
          <w:color w:val="111111"/>
          <w:sz w:val="28"/>
          <w:sz w:val="28"/>
          <w:szCs w:val="28"/>
          <w:rtl w:val="true"/>
          <w:lang w:bidi="ar-SA"/>
        </w:rPr>
        <w:t>أوّل،آیت تطهیر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169"/>
      </w:r>
      <w:r>
        <w:rPr>
          <w:rFonts w:ascii="IRNazanin" w:hAnsi="IRNazanin" w:eastAsia="IRNazanin"/>
          <w:color w:val="111111"/>
          <w:sz w:val="28"/>
          <w:sz w:val="28"/>
          <w:szCs w:val="28"/>
          <w:rtl w:val="true"/>
          <w:lang w:bidi="fa-IR"/>
        </w:rPr>
        <w:t>و ترجمه ظاهر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و جز این نیست که إراده می‌فرماید خداوند </w:t>
      </w:r>
      <w:r>
        <w:rPr>
          <w:rStyle w:val="FootnoteAnchor"/>
          <w:rtl w:val="true"/>
        </w:rPr>
        <w:footnoteReference w:id="1170"/>
      </w:r>
      <w:r>
        <w:rPr>
          <w:rFonts w:ascii="IRNazanin" w:hAnsi="IRNazanin" w:eastAsia="IRNazanin"/>
          <w:color w:val="111111"/>
          <w:sz w:val="28"/>
          <w:sz w:val="28"/>
          <w:szCs w:val="28"/>
          <w:rtl w:val="true"/>
          <w:lang w:bidi="fa-IR"/>
        </w:rPr>
        <w:t>عالم از برای اینکه از شماها رجس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أهل بیت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و از برای اینکه طاهر و پاک نماید شما را پاک و طاهر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معنی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قبیحه و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به معنی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بعضی از فضلاء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لغت به معنی قذر است و او أعمّ از نجاست است لکن شیخ رحمه اللّه در تهذیب فرموده است اینکه رجس به معنی نجس است بدون خلاف</w:t>
      </w:r>
      <w:r>
        <w:rPr>
          <w:rFonts w:eastAsia="IRNazanin" w:cs="IRNazanin"/>
          <w:color w:val="111111"/>
          <w:sz w:val="28"/>
          <w:szCs w:val="28"/>
          <w:rtl w:val="true"/>
          <w:lang w:bidi="fa-IR"/>
        </w:rPr>
        <w:t xml:space="preserve">. </w:t>
      </w:r>
      <w:r>
        <w:rPr>
          <w:rStyle w:val="FootnoteAnchor"/>
          <w:rtl w:val="true"/>
        </w:rPr>
        <w:footnoteReference w:id="117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مجرم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به هر معنی از معانی مذکوره که إطلاق شود در این آیه شریفه،منافات ندارد با مطلب حقیر؛زیرا که خداوند عالم إراده می‌فرماید از اینکه ظاهر ایشان را طاهر و پاک فرماید از قذر و باطن ایشان را از قذر ذنوب و أعمال قبیحه و معاصی و شک و 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بلی؛بحثی که وارد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وارد آورده‌اند کثیری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گفته شود که ذهاب معاصی و أعمال قبیحه و شک و أمثال آن،فروع وجود آنها است در ایشان،و آن منافی با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التّحقیق تفسیر آیه شریفه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خدا مگر آنکه ببرد از شما در عقول و أوهام خلایق قبیح را که أحدی تعقّل و توهّم قبیح نکند نسبت به شما أهل بیت نبوّت و پاک گرداند شما را در عقول و أفهام خلایق پاک‌کردنی،یا نسبت دهد شما را به پاکی نسبت دادنی؛یعنی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به خلق و برساند به آنها که شما پاکید از گناهان،نه آنکه می‌خواهد که شما را پاک گرداند از قبایح و قبایح را از شما زایل گرداند از جهت آنکه قبیح از قبیح‌کننده زایل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چون که إزاله لازم دارد که رجس بوده باشد و زایل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بگوید که در جای دیگر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Style w:val="FootnoteAnchor"/>
          <w:rtl w:val="true"/>
        </w:rPr>
        <w:footnoteReference w:id="11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کارهای نیکو کارهای بد و قبیح را می‌برند؛پس ظاهر می‌شود که بدکننده پاک می‌شود از بدیها،جواب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 از کتاب کرام‌الکاتبین محو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تطهیر به معنی پاک گردانیدن است در عقول و أوهام خلایق،به معنی آنکه أحدی از خلایق ایشان را گناهکار ندانند و پاک دانند از گناهان عمدا و سهوا و غلطا و غفلة از جهت آنکه گناه قبیح است و فاعل قبیح ملوّث به قبح می‌شود اگرچه عمدا </w:t>
      </w:r>
      <w:r>
        <w:rPr>
          <w:rStyle w:val="FootnoteAnchor"/>
          <w:rtl w:val="true"/>
        </w:rPr>
        <w:footnoteReference w:id="1173"/>
      </w:r>
      <w:r>
        <w:rPr>
          <w:rFonts w:ascii="IRNazanin" w:hAnsi="IRNazanin" w:eastAsia="IRNazanin"/>
          <w:color w:val="111111"/>
          <w:sz w:val="28"/>
          <w:sz w:val="28"/>
          <w:szCs w:val="28"/>
          <w:rtl w:val="true"/>
          <w:lang w:bidi="fa-IR"/>
        </w:rPr>
        <w:t xml:space="preserve">نکند و مخفی نماند که گناهکار از </w:t>
      </w:r>
    </w:p>
    <w:p>
      <w:pPr>
        <w:pStyle w:val="BookText"/>
        <w:rPr/>
      </w:pPr>
      <w:r>
        <w:rPr>
          <w:rFonts w:ascii="IRNazanin" w:hAnsi="IRNazanin" w:eastAsia="IRNazanin"/>
          <w:color w:val="111111"/>
          <w:sz w:val="28"/>
          <w:sz w:val="28"/>
          <w:szCs w:val="28"/>
          <w:rtl w:val="true"/>
          <w:lang w:bidi="fa-IR"/>
        </w:rPr>
        <w:t>گناه پاک نمی‌شود از جهت آنکه شده ناشده نمی‌شود و کرده ناکرده نمی‌شود مثلا زناکننده زنا کردن از او زایل نمی‌گردد و همچنین سایر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أحدی از آل عبا صلوات اللّه علیهم أجمعین گناهی کرده باشند عمدا یا سهوا یا غلطا یا غفلة،چگونه از آن گناه پاک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بلی،گناه آمرزیده و بخشیده می‌شود چنانچه از برای سایر مردم است مگر حضرت مریم چونکه او هم معصومه بود لفظ تطهیر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قٰالَتِ الْمَلاٰئِکَةُ یٰا مَرْیَمُ إِنَّ اللّٰهَ اصْطَفٰاکِ وَ طَهَّرَکِ وَ اصْطَفٰاکِ عَلیٰ نِسٰاءِ الْعٰالَمِینَ </w:t>
      </w:r>
      <w:r>
        <w:rPr>
          <w:rStyle w:val="FootnoteAnchor"/>
          <w:rtl w:val="true"/>
        </w:rPr>
        <w:footnoteReference w:id="1174"/>
      </w:r>
      <w:r>
        <w:rPr>
          <w:rFonts w:ascii="IRNazanin" w:hAnsi="IRNazanin" w:eastAsia="IRNazanin"/>
          <w:color w:val="111111"/>
          <w:sz w:val="28"/>
          <w:sz w:val="28"/>
          <w:szCs w:val="28"/>
          <w:rtl w:val="true"/>
          <w:lang w:bidi="fa-IR"/>
        </w:rPr>
        <w:t>پس بعد از آنکه معلوم شد که خداوند عالم در مقام چنین حمایتی و چنین إحسانی است از برای ایشان که راضی نباشد أحدی از خلایق توهّم رجس درباره ایشان نماید،پس چگونه راضی می‌شود که گفته شود درباره ایشان که خون ایشان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w:t>
      </w:r>
      <w:r>
        <w:rPr>
          <w:rStyle w:val="FootnoteAnchor"/>
          <w:rtl w:val="true"/>
        </w:rPr>
        <w:footnoteReference w:id="1175"/>
      </w:r>
      <w:r>
        <w:rPr>
          <w:rFonts w:ascii="IRNazanin" w:hAnsi="IRNazanin" w:eastAsia="IRNazanin"/>
          <w:color w:val="111111"/>
          <w:sz w:val="28"/>
          <w:sz w:val="28"/>
          <w:szCs w:val="28"/>
          <w:rtl w:val="true"/>
          <w:lang w:bidi="fa-IR"/>
        </w:rPr>
        <w:t>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بالإتمام</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اینست که راضی نباشد که أحدی نسبت نجاست به ایشان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فقره زیارت چهارم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دمک سکن فی الخلد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خون تو ساکن است در 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خونی که ساکن شده است در بهشت خلد چگونه می‌شود که نجس باشد؟و حال آنکه از أحادیث ظاهر می‌شود که بهشت محلّ کثافت و خباثت نیست؛پس خونی که قبل از قیام قیامت ساکن بهشت خلد شود باید پاک‌ترین پاکهای </w:t>
      </w:r>
      <w:r>
        <w:rPr>
          <w:rStyle w:val="FootnoteAnchor"/>
          <w:rtl w:val="true"/>
        </w:rPr>
        <w:footnoteReference w:id="1178"/>
      </w:r>
      <w:r>
        <w:rPr>
          <w:rFonts w:ascii="IRNazanin" w:hAnsi="IRNazanin" w:eastAsia="IRNazanin"/>
          <w:color w:val="111111"/>
          <w:sz w:val="28"/>
          <w:sz w:val="28"/>
          <w:szCs w:val="28"/>
          <w:rtl w:val="true"/>
          <w:lang w:bidi="fa-IR"/>
        </w:rPr>
        <w:t xml:space="preserve">عالم بوده باشد و حال آنکه هرکس که مستحقّ بهشت است </w:t>
      </w:r>
    </w:p>
    <w:p>
      <w:pPr>
        <w:pStyle w:val="BookText"/>
        <w:rPr/>
      </w:pPr>
      <w:r>
        <w:rPr>
          <w:rFonts w:ascii="IRNazanin" w:hAnsi="IRNazanin" w:eastAsia="IRNazanin"/>
          <w:color w:val="111111"/>
          <w:sz w:val="28"/>
          <w:sz w:val="28"/>
          <w:szCs w:val="28"/>
          <w:rtl w:val="true"/>
          <w:lang w:bidi="fa-IR"/>
        </w:rPr>
        <w:t>الحال به بهشت آخرت نمی‌برند او را بلکه در بهشت برزخی می‌برند که وادی السّلام بوده باشد تا آنکه قیامت قیام کند،آن وقت قابلیّت بهشت آخرت را پیدا می‌کند و خون آن بزرگوار به مجرّد شهادت ساکن شد در بهشت 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بهشتی مقتضی تغیّر و تبدّل است که آن خون را طیّب و طاهر گرداند،در جواب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حسب عوالم یکسان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عالم ذر بوده‌اند در عالم دنیوی و برزخی و آخرتی همان می‌باشند که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چنین نیست که عوالم مغیّر و مبدّل ایشان بشود زیرا که عوالم در تحت رتبه ایشان می‌باشد و تصرّف آنها در وجود ایشان محال و ممتنع است؛زیرا که ایشان ولیّ مطلقند و ولیّ مطلق تصرّف در همه موجودات می‌کند،بدون عکس</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کسی اگر بگوید که در باقی أئمّه علیهم السّلام چه می‌گوئی،عرض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أرواحکم و نورکم و طینتکم واحدة</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پس قائل به فصلی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زیارت مفجعه می‌خوانی </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 و علی الدّمآء السّآئلات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بر خونهای جاری بونده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نمی‌شود که در چنین مقامی شخص بر آن جناب سلام کند و در عقب آن بر خونهای نجس سلام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هرگاه شخص أوّلا به پادشاه سلام کند و در عقب آن به قاطرچی یا جاروب‌کش سلام نمی‌کند،بلکه سلام می‌کند به کسی که تالی مرتبه پادشاه باشد مثل وزیر و ولیعهد او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سیاق سلام که أوّل سلام می‌کنی به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طاهر مطهّر من طهر طاهر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است،باید کسی باشد که تالی مرتبه او باشد نظر به این‌که در زیارت ششم </w:t>
      </w:r>
    </w:p>
    <w:p>
      <w:pPr>
        <w:pStyle w:val="BookText"/>
        <w:rPr/>
      </w:pPr>
      <w:r>
        <w:rPr>
          <w:rFonts w:ascii="IRNazanin" w:hAnsi="IRNazanin" w:eastAsia="IRNazanin"/>
          <w:color w:val="111111"/>
          <w:sz w:val="28"/>
          <w:sz w:val="28"/>
          <w:szCs w:val="28"/>
          <w:rtl w:val="true"/>
          <w:lang w:bidi="fa-IR"/>
        </w:rPr>
        <w:t>حضرت أمیر المؤمنین صلوات اللّه علیه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انّک طهر طاهر مطهر من طهر طاهر مطهر</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و جناب إمام حسین صلوات اللّه و سلامه علیه از صلب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به روایت منتخب حدیث مرغ خون‌آلود که پرواز نمود به باغستان مدینه بر سر درختی قرار گرفت؛در همه آن شب گریه و زاری می‌نمود؛از اتّفاق یهودی دختر کور و شل و زمین‌گیری داشت که مبتلا شده بود به جذام و از مدینه بیرون کرده بودند او را و در بستانی از بستانهای مدینه مانده بود هر شب پدر آن دختر نزد او می‌رفت به تسلّی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آن شب را به سبب مانعی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 به انتظار پدر خواب نرفت تا وقت سحر صدای گریه و ناله‌ای می‌شنید خود را به زمین کشیده از پی صدا رفت تا به آن درخت که مرغ در آن بود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ناله سوزناکی با أثری بود او نیز با مرغ هم‌ناله و گریه شد،ناگاه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خون به یک چشم او بچکید فی‌الفور بینا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دیگرش چکید آن نیز بینا شد،و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دستهایش چکید فی الفور شفا یافت،و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پایش چکید شفا یافت،و هر قطره‌ای که به بدنش می‌رسید به أعضایش می‌مالید فی‌الفور جمیع أعضایش صحیح شد</w:t>
      </w:r>
      <w:r>
        <w:rPr>
          <w:rFonts w:eastAsia="IRNazanin" w:cs="IRNazanin"/>
          <w:color w:val="111111"/>
          <w:sz w:val="28"/>
          <w:szCs w:val="28"/>
          <w:rtl w:val="true"/>
          <w:lang w:bidi="fa-IR"/>
        </w:rPr>
        <w:t xml:space="preserve">. </w:t>
      </w:r>
      <w:r>
        <w:rPr>
          <w:rStyle w:val="FootnoteAnchor"/>
          <w:rtl w:val="true"/>
        </w:rPr>
        <w:footnoteReference w:id="118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حال إنصاف بدهید که خونی که دختر یهودیّه را شفا دهد فی‌الفور،چگونه می‌شود که نجس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شفآء به این کیفیّت بجز معجزه بودن چیزی دیگر نیست و چیز نجس قابلیّت معجزه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چیزهای حرام و أدویه محرّمه موجب شفای بعض أمراض می‌شود،جواب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آنکه معصوم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شفآء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ببینی که چیز حرامی در مزاج کسی نافع شد و شفا یافت اعتقاد کن بر این‌که تقدیر خداوند عالم شده بود که آن شخص شفا یابد لکن مقارن شد آن تقدیر با آن چیز حرام،نه آنکه آن چیز حرام شفا داده باشد؛زیرا که کلام إمام علیه السّلام،کلام خداوند عالم است،و در کلام خداوند عالم خلافی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که گفته‌اند که در مقام ضرورت دیگر حرامی نیست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شفآء بالحرام</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در کار باشد،جواب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ضرورتی که موجب حلیّت حرامی </w:t>
      </w:r>
    </w:p>
    <w:p>
      <w:pPr>
        <w:pStyle w:val="BookText"/>
        <w:rPr/>
      </w:pPr>
      <w:r>
        <w:rPr>
          <w:rFonts w:ascii="IRNazanin" w:hAnsi="IRNazanin" w:eastAsia="IRNazanin"/>
          <w:color w:val="111111"/>
          <w:sz w:val="28"/>
          <w:sz w:val="28"/>
          <w:szCs w:val="28"/>
          <w:rtl w:val="true"/>
          <w:lang w:bidi="fa-IR"/>
        </w:rPr>
        <w:t>می‌گردد،آن ضرورتی است که إمام معصوم سلام اللّه علیه بفرماید ضرورت است و تنصیص نماید که در این ضرورت باید این حرام را مرتکب شد؛مثل این‌که می‌فرماید اگر کسی بخواهد تو را بکشد از جهت نخوردن شراب،شراب را بخور به جهت حفظ نفس؛نه آن ضرورتی که خود ضرورت فهمیده باشی،زیرا که ضرورت تو معتبر نیست</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به این نحو و به این کیفیّت معجزه است،و چیز نالایق و نجس معجزه را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أخبار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ما نسبت داده شود اگر نقص ما است قبول نکنید و اگر فضل ما باشد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نیست که نجس بودن خون ایشان نقص ایشان و طاهر بودن آن فضل ایشان است،پس باید طاهر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متّقیان صلوات اللّه </w:t>
      </w:r>
      <w:r>
        <w:rPr>
          <w:rStyle w:val="FootnoteAnchor"/>
          <w:rtl w:val="true"/>
        </w:rPr>
        <w:footnoteReference w:id="1186"/>
      </w:r>
      <w:r>
        <w:rPr>
          <w:rFonts w:ascii="IRNazanin" w:hAnsi="IRNazanin" w:eastAsia="IRNazanin"/>
          <w:color w:val="111111"/>
          <w:sz w:val="28"/>
          <w:sz w:val="28"/>
          <w:szCs w:val="28"/>
          <w:rtl w:val="true"/>
          <w:lang w:bidi="fa-IR"/>
        </w:rPr>
        <w:t>و سلامه علیه به سلمان و أبو ذر فرمودند</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و یا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الرّبوبیّة و ارفعوا عنّا حظوظ البشریّة فإنّا عنها مبعدون و قولوا فینا ما استطعتم فإنّ البحر لا ینزف و سرّ اللّه لا یعرف و کلمة اللّه لا توصف، فمن قال هنا بم و ممّ و لم فقد کفر</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و ای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دهید و فرود آورید ما را از مرتبه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خدا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بردارید از ما بهره‌ها و نصیبهای بشریّت را که ذنب و خطا و سهوها و نسیان و غفلت بوده باشد؛پس بدرستی که ما از آنها دور هستیم؛و بگوئید و قائل شوید در حق ما آنچه را قدرت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نسخ </w:t>
      </w:r>
      <w:r>
        <w:rPr>
          <w:rStyle w:val="FootnoteAnchor"/>
          <w:rtl w:val="true"/>
        </w:rPr>
        <w:footnoteReference w:id="1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بدرستی که </w:t>
      </w:r>
      <w:r>
        <w:rPr>
          <w:rStyle w:val="FootnoteAnchor"/>
          <w:rtl w:val="true"/>
        </w:rPr>
        <w:footnoteReference w:id="1189"/>
      </w:r>
      <w:r>
        <w:rPr>
          <w:rFonts w:ascii="IRNazanin" w:hAnsi="IRNazanin" w:eastAsia="IRNazanin"/>
          <w:color w:val="111111"/>
          <w:sz w:val="28"/>
          <w:sz w:val="28"/>
          <w:szCs w:val="28"/>
          <w:rtl w:val="true"/>
          <w:lang w:bidi="fa-IR"/>
        </w:rPr>
        <w:t>دریا تمام نمی‌شود و سرّ خداوند عالم شناخته نمی‌شود و کلمه خداوند عالم وصف کرده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که در این مقام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جهت و از چه راه و به چه علّت این مرتبه را دارند؟،پس بتحقیق که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قائل شود به طهارت خون آن أنوار مقدّسه إلهیّه،نه إفراط کرده است که ایشان را خدا دانسته باشد،و نه تفریط نموده است که ایشان را با سایر خلق مساوی دانسته باشد در نجاست خون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طهارت دم داخل است در تحت عموم قدرت و خواستن</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هفتم در خطبه صد و هشتاد و یکم </w:t>
      </w:r>
      <w:r>
        <w:rPr>
          <w:rStyle w:val="FootnoteAnchor"/>
          <w:rtl w:val="true"/>
        </w:rPr>
        <w:footnoteReference w:id="1191"/>
      </w:r>
      <w:r>
        <w:rPr>
          <w:rFonts w:ascii="IRNazanin" w:hAnsi="IRNazanin" w:eastAsia="IRNazanin"/>
          <w:color w:val="111111"/>
          <w:sz w:val="28"/>
          <w:sz w:val="28"/>
          <w:szCs w:val="28"/>
          <w:rtl w:val="true"/>
          <w:lang w:bidi="fa-IR"/>
        </w:rPr>
        <w:t>نهج البلاغه است که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 من أصحاب محمّد صلّی اللّه علیه و آله أنّی لم أردّ علی اللّه و لا علی رسوله ساعة قطّ و لقد اسیته بنفسی فی مواطن الّتی تنکص فیها الأبطال و تأخّر فیها الأقدام نجدة أکرمنی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رسول اللّه و إنّ راسه لعلی صدری،و لقد سالت نفسه فی کفّی،فأمررتها علی وجهی</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عالم و آگاه هستند ضبطکنندگان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حفظکنندگان أحادیث از أصحاب محمّد صلّی اللّه علیه و آله آنکه من رد نکردم بر خداوند عالم و نه </w:t>
      </w:r>
    </w:p>
    <w:p>
      <w:pPr>
        <w:pStyle w:val="BookText"/>
        <w:rPr/>
      </w:pPr>
      <w:r>
        <w:rPr>
          <w:rFonts w:ascii="IRNazanin" w:hAnsi="IRNazanin" w:eastAsia="IRNazanin"/>
          <w:color w:val="111111"/>
          <w:sz w:val="28"/>
          <w:sz w:val="28"/>
          <w:szCs w:val="28"/>
          <w:rtl w:val="true"/>
          <w:lang w:bidi="fa-IR"/>
        </w:rPr>
        <w:t xml:space="preserve">بر رسول او ساعتی هرگز و هر آینه بتحقیق که مواسات نموم با آن جناب به نفس خود در مواطن و مقاماتی که رجوع و فرار کردند شجاعان روزگار و پاکشیدند و عقب کشیدند آنها در آن مقامات،به علّت آن شجاعتی که إکرام نموده بود خداوند عالم به من و هر آینه بتحقیق که قبض روح رسول اللّه صلّی اللّه علیه و آله و حال آنکه بدرستی که سر مبارک او هر آینه بر سینه من بود </w:t>
      </w:r>
      <w:r>
        <w:rPr>
          <w:rStyle w:val="FootnoteAnchor"/>
          <w:rtl w:val="true"/>
        </w:rPr>
        <w:footnoteReference w:id="1193"/>
      </w:r>
      <w:r>
        <w:rPr>
          <w:rFonts w:ascii="IRNazanin" w:hAnsi="IRNazanin" w:eastAsia="IRNazanin"/>
          <w:color w:val="111111"/>
          <w:sz w:val="28"/>
          <w:sz w:val="28"/>
          <w:szCs w:val="28"/>
          <w:rtl w:val="true"/>
          <w:lang w:bidi="fa-IR"/>
        </w:rPr>
        <w:t>هر آینه بتحقیق که جاری شده بود خون آن بزرگوار در کف دست من پس مرور دادم آن خون را بر صورت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مجرم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 آن بزرگوار هرگاه پاک نباشد چگونه آن جناب به صورت خود مسح می‌نماید؟و این واضح است که آن بزرگوار در مقام افتخار بوده است به این عمل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مؤیّد این مطلب آن‌که أبو الحنوق </w:t>
      </w:r>
      <w:r>
        <w:rPr>
          <w:rStyle w:val="FootnoteAnchor"/>
          <w:rtl w:val="true"/>
        </w:rPr>
        <w:footnoteReference w:id="1194"/>
      </w:r>
      <w:r>
        <w:rPr>
          <w:rFonts w:ascii="IRNazanin" w:hAnsi="IRNazanin" w:eastAsia="IRNazanin"/>
          <w:color w:val="111111"/>
          <w:sz w:val="28"/>
          <w:sz w:val="28"/>
          <w:szCs w:val="28"/>
          <w:rtl w:val="true"/>
          <w:lang w:bidi="fa-IR"/>
        </w:rPr>
        <w:t xml:space="preserve">ملعون وقتی که تیر سه شعبه را انداخت به </w:t>
      </w:r>
    </w:p>
    <w:p>
      <w:pPr>
        <w:pStyle w:val="BookText"/>
        <w:rPr/>
      </w:pPr>
      <w:r>
        <w:rPr>
          <w:rFonts w:ascii="IRNazanin" w:hAnsi="IRNazanin" w:eastAsia="IRNazanin"/>
          <w:color w:val="111111"/>
          <w:sz w:val="28"/>
          <w:sz w:val="28"/>
          <w:szCs w:val="28"/>
          <w:rtl w:val="true"/>
          <w:lang w:bidi="fa-IR"/>
        </w:rPr>
        <w:t>پیشانی سیّد مظلومان،أبی عبد اللّه الحسین 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تیر را کشید خون مثل ناودان جاری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خون مبارک را می‌گرفت و به سوی أفلاک می‌فشاند قطره‌ای از آن خون برنمی‌گشت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فشاندنِ شهِ دین خون به سویِ چرخ بلاشک</w:t>
      </w:r>
    </w:p>
    <w:p>
      <w:pPr>
        <w:pStyle w:val="BookText"/>
        <w:rPr/>
      </w:pPr>
      <w:r>
        <w:rPr>
          <w:rFonts w:ascii="Amiri" w:hAnsi="Amiri" w:eastAsia="Amiri" w:cs="Amiri"/>
          <w:color w:val="111111"/>
          <w:sz w:val="28"/>
          <w:sz w:val="28"/>
          <w:szCs w:val="28"/>
          <w:rtl w:val="true"/>
          <w:lang w:bidi="ar-SA"/>
        </w:rPr>
        <w:t xml:space="preserve">بُرون </w:t>
      </w:r>
      <w:r>
        <w:rPr>
          <w:rStyle w:val="FootnoteAnchor"/>
          <w:rtl w:val="true"/>
        </w:rPr>
        <w:footnoteReference w:id="1195"/>
      </w:r>
      <w:r>
        <w:rPr>
          <w:rFonts w:ascii="IRNazanin" w:hAnsi="IRNazanin" w:eastAsia="IRNazanin"/>
          <w:color w:val="111111"/>
          <w:sz w:val="28"/>
          <w:sz w:val="28"/>
          <w:szCs w:val="28"/>
          <w:rtl w:val="true"/>
          <w:lang w:bidi="fa-IR"/>
        </w:rPr>
        <w:t>ز مصلحتی نیست پیشِ صاحبِ مدرک</w:t>
      </w:r>
    </w:p>
    <w:p>
      <w:pPr>
        <w:pStyle w:val="BookText"/>
        <w:rPr/>
      </w:pPr>
      <w:r>
        <w:rPr>
          <w:rFonts w:ascii="Amiri" w:hAnsi="Amiri" w:eastAsia="Amiri" w:cs="Amiri"/>
          <w:color w:val="111111"/>
          <w:sz w:val="28"/>
          <w:sz w:val="28"/>
          <w:szCs w:val="28"/>
          <w:rtl w:val="true"/>
          <w:lang w:bidi="ar-SA"/>
        </w:rPr>
        <w:t>به روزِ حشر دهد تا بها به جرمِ محبّان</w:t>
      </w:r>
    </w:p>
    <w:p>
      <w:pPr>
        <w:pStyle w:val="BookText"/>
        <w:rPr/>
      </w:pPr>
      <w:r>
        <w:rPr>
          <w:rFonts w:ascii="IRNazanin" w:hAnsi="IRNazanin" w:eastAsia="IRNazanin"/>
          <w:color w:val="111111"/>
          <w:sz w:val="28"/>
          <w:sz w:val="28"/>
          <w:szCs w:val="28"/>
          <w:rtl w:val="true"/>
          <w:lang w:bidi="fa-IR"/>
        </w:rPr>
        <w:t>به جبرئیل أمانت سپرد خونِ مبارک</w:t>
      </w:r>
    </w:p>
    <w:p>
      <w:pPr>
        <w:pStyle w:val="BookText"/>
        <w:rPr/>
      </w:pPr>
      <w:r>
        <w:rPr>
          <w:rFonts w:ascii="IRNazanin" w:hAnsi="IRNazanin" w:eastAsia="IRNazanin"/>
          <w:color w:val="111111"/>
          <w:sz w:val="28"/>
          <w:sz w:val="28"/>
          <w:szCs w:val="28"/>
          <w:rtl w:val="true"/>
          <w:lang w:bidi="fa-IR"/>
        </w:rPr>
        <w:t>پس کفی دیگر از آن خون پاک بر سر و روی خویش مالید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اللّه تعالی و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مظلوم ملطخ بدم یعنی ملاقات خواهم کرد پروردگار </w:t>
      </w:r>
      <w:r>
        <w:rPr>
          <w:rStyle w:val="FootnoteAnchor"/>
          <w:rtl w:val="true"/>
        </w:rPr>
        <w:footnoteReference w:id="1196"/>
      </w:r>
      <w:r>
        <w:rPr>
          <w:rFonts w:ascii="IRNazanin" w:hAnsi="IRNazanin" w:eastAsia="IRNazanin"/>
          <w:color w:val="111111"/>
          <w:sz w:val="28"/>
          <w:sz w:val="28"/>
          <w:szCs w:val="28"/>
          <w:rtl w:val="true"/>
          <w:lang w:bidi="fa-IR"/>
        </w:rPr>
        <w:t>و جدّ خود أحمد مختار را در حالتی که مظلوم و به خون خود خضاب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بحرِ خون سپردن مایه إرشادِ ماست</w:t>
      </w:r>
    </w:p>
    <w:p>
      <w:pPr>
        <w:pStyle w:val="BookText"/>
        <w:rPr/>
      </w:pPr>
      <w:r>
        <w:rPr>
          <w:rFonts w:ascii="IRNazanin" w:hAnsi="IRNazanin" w:eastAsia="IRNazanin"/>
          <w:color w:val="111111"/>
          <w:sz w:val="28"/>
          <w:sz w:val="28"/>
          <w:szCs w:val="28"/>
          <w:rtl w:val="true"/>
          <w:lang w:bidi="fa-IR"/>
        </w:rPr>
        <w:t>جان‌نثاری مایه صبرِ قوی بنیادِ ماست</w:t>
      </w:r>
    </w:p>
    <w:p>
      <w:pPr>
        <w:pStyle w:val="BookText"/>
        <w:rPr/>
      </w:pPr>
      <w:r>
        <w:rPr>
          <w:rFonts w:ascii="IRNazanin" w:hAnsi="IRNazanin" w:eastAsia="IRNazanin"/>
          <w:color w:val="111111"/>
          <w:sz w:val="28"/>
          <w:sz w:val="28"/>
          <w:szCs w:val="28"/>
          <w:rtl w:val="true"/>
          <w:lang w:bidi="fa-IR"/>
        </w:rPr>
        <w:t>زیبِ مردانست خونِ چهره،ما را ننگ نیست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سرخْ‌رو بودن ز خون،اِرثیّه از أجدادِ ماست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پس خونی را که آن مظلوم به صورت خود بمالد 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می‌خواهم ملاقات کنم خدا و جدّم را </w:t>
      </w:r>
      <w:r>
        <w:rPr>
          <w:rStyle w:val="FootnoteAnchor"/>
          <w:rtl w:val="true"/>
        </w:rPr>
        <w:footnoteReference w:id="1198"/>
      </w:r>
      <w:r>
        <w:rPr>
          <w:rFonts w:ascii="IRNazanin" w:hAnsi="IRNazanin" w:eastAsia="IRNazanin"/>
          <w:color w:val="111111"/>
          <w:sz w:val="28"/>
          <w:sz w:val="28"/>
          <w:szCs w:val="28"/>
          <w:rtl w:val="true"/>
          <w:lang w:bidi="fa-IR"/>
        </w:rPr>
        <w:t>،و به او فخر کند،البتّه باید أطهر و أطیب أشیاء باشد</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مؤلّف مجرم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خون است چنانچه روایتی دیگر وارد است که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وفات خون قلیلی را قی نمودند و حضرت أسد اللّه الغالب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آن را مسح کردند به صورت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خون سبب بقای نفس است لهذا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مسبّب شده است و إراده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مجرم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عامّ إلاّ و قد خصّ</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،یجوز أن یخصّص دم الرّسول صلّی اللّه علیه و آله،کما روی فی حدیث الحجّام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کتاب را به اینجا ختم نمودم و لکن همیشه در تفحّص و تجسّس بودم که یک نفر از علما را پیدا کنم که او هم در مقام إثبات طهارت دماء طاهرات آن أنوار مقدّسه إلهیّه برآمده باشد و شوری به سر داشته باشد در این خصوص و إخلاص کاملی داشته باشد به أهل بیت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أجمعین و در میان علما و مجتهدین اجتهاد و فضل او مسلّم بوده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باشد،تا این‌که در این أوان که سنه هزار و دویست و هشتاد و هشت بوده باشد،دو کتاب از مرحوم مغفور جنّت و رضوان آرامگاه،فاضل دربندی </w:t>
      </w:r>
      <w:r>
        <w:rPr>
          <w:rStyle w:val="FootnoteAnchor"/>
          <w:rtl w:val="true"/>
        </w:rPr>
        <w:footnoteReference w:id="1202"/>
      </w:r>
      <w:r>
        <w:rPr>
          <w:rFonts w:ascii="IRNazanin" w:hAnsi="IRNazanin" w:eastAsia="IRNazanin"/>
          <w:color w:val="111111"/>
          <w:sz w:val="28"/>
          <w:sz w:val="28"/>
          <w:szCs w:val="28"/>
          <w:rtl w:val="true"/>
          <w:lang w:bidi="fa-IR"/>
        </w:rPr>
        <w:t>أعلی اللّه مقامه،به دست حقیر آمد که در هردو کتاب استدلال می‌نماید و ثابت می‌نماید طهارت دم آن أنوار مقدّسه إلهیّه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کتاب مسمّی است به سعادات النّاصریّة و فارسی است </w:t>
      </w:r>
      <w:r>
        <w:rPr>
          <w:rStyle w:val="FootnoteAnchor"/>
          <w:rtl w:val="true"/>
        </w:rPr>
        <w:footnoteReference w:id="1203"/>
      </w:r>
      <w:r>
        <w:rPr>
          <w:rFonts w:ascii="IRNazanin" w:hAnsi="IRNazanin" w:eastAsia="IRNazanin"/>
          <w:color w:val="111111"/>
          <w:sz w:val="28"/>
          <w:sz w:val="28"/>
          <w:szCs w:val="28"/>
          <w:rtl w:val="true"/>
          <w:lang w:bidi="fa-IR"/>
        </w:rPr>
        <w:t xml:space="preserve">، و دیگری مسمّی است به أسرار الشّهادة و عربی است </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مطالعه آن دو کتاب عقده از دلم گشوده شد و سرور کاملی در قلبم حاصل شد و در مقام ترحّم و طلب مغفرت از برای آن مرحوم برآمدم و اعتقادم چنین شد که اگر آن مرحوم گناه ثقلین را </w:t>
      </w:r>
    </w:p>
    <w:p>
      <w:pPr>
        <w:pStyle w:val="BookText"/>
        <w:rPr/>
      </w:pPr>
      <w:r>
        <w:rPr>
          <w:rFonts w:ascii="IRNazanin" w:hAnsi="IRNazanin" w:eastAsia="IRNazanin"/>
          <w:color w:val="111111"/>
          <w:sz w:val="28"/>
          <w:sz w:val="28"/>
          <w:szCs w:val="28"/>
          <w:rtl w:val="true"/>
          <w:lang w:bidi="fa-IR"/>
        </w:rPr>
        <w:t>نموده بود خداوند عالم به جهت این حمایت و اعتقاد او به طهارت دم آن أنوار مقدّسه إلهیّه آمرزید گناهان او را و در أعلی درجات بهشت منزل خواهد داد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حقیر عبارات او را از کتاب فارسی او نقل می‌نمایم و این است عبارات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کردن أموری که متعلّق است به خون أنور أطهر </w:t>
      </w:r>
      <w:r>
        <w:rPr>
          <w:rStyle w:val="FootnoteAnchor"/>
          <w:rtl w:val="true"/>
        </w:rPr>
        <w:footnoteReference w:id="1205"/>
      </w:r>
      <w:r>
        <w:rPr>
          <w:rFonts w:ascii="IRNazanin" w:hAnsi="IRNazanin" w:eastAsia="IRNazanin"/>
          <w:color w:val="111111"/>
          <w:sz w:val="28"/>
          <w:sz w:val="28"/>
          <w:szCs w:val="28"/>
          <w:rtl w:val="true"/>
          <w:lang w:bidi="fa-IR"/>
        </w:rPr>
        <w:t xml:space="preserve">جناب سیّد الشّهدا روحی له الفداء،خواه آن أمور از آن قسم باشد که در ضمن وقایعی که رو داده است در روز عاشورا </w:t>
      </w:r>
      <w:r>
        <w:rPr>
          <w:rStyle w:val="FootnoteAnchor"/>
          <w:rtl w:val="true"/>
        </w:rPr>
        <w:footnoteReference w:id="1206"/>
      </w:r>
      <w:r>
        <w:rPr>
          <w:rFonts w:ascii="IRNazanin" w:hAnsi="IRNazanin" w:eastAsia="IRNazanin"/>
          <w:color w:val="111111"/>
          <w:sz w:val="28"/>
          <w:sz w:val="28"/>
          <w:szCs w:val="28"/>
          <w:rtl w:val="true"/>
          <w:lang w:bidi="fa-IR"/>
        </w:rPr>
        <w:t xml:space="preserve">یا غیر روز عاشوراء </w:t>
      </w:r>
      <w:r>
        <w:rPr>
          <w:rStyle w:val="FootnoteAnchor"/>
          <w:rtl w:val="true"/>
        </w:rPr>
        <w:footnoteReference w:id="1207"/>
      </w:r>
      <w:r>
        <w:rPr>
          <w:rFonts w:ascii="IRNazanin" w:hAnsi="IRNazanin" w:eastAsia="IRNazanin"/>
          <w:color w:val="111111"/>
          <w:sz w:val="28"/>
          <w:sz w:val="28"/>
          <w:szCs w:val="28"/>
          <w:rtl w:val="true"/>
          <w:lang w:bidi="fa-IR"/>
        </w:rPr>
        <w:t>متحقّق شده باشد و خواه از آن قسم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کلام در این باب در </w:t>
      </w:r>
      <w:r>
        <w:rPr>
          <w:rStyle w:val="FootnoteAnchor"/>
          <w:rtl w:val="true"/>
        </w:rPr>
        <w:footnoteReference w:id="1208"/>
      </w:r>
      <w:r>
        <w:rPr>
          <w:rFonts w:ascii="IRNazanin" w:hAnsi="IRNazanin" w:eastAsia="IRNazanin"/>
          <w:color w:val="111111"/>
          <w:sz w:val="28"/>
          <w:sz w:val="28"/>
          <w:szCs w:val="28"/>
          <w:rtl w:val="true"/>
          <w:lang w:bidi="fa-IR"/>
        </w:rPr>
        <w:t>چند مجلس و در چند مقام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و مقام أوّل در بیان حال دماء طاهره نورانیّه خلفآء اللّه </w:t>
      </w:r>
      <w:r>
        <w:rPr>
          <w:rStyle w:val="FootnoteAnchor"/>
          <w:rtl w:val="true"/>
        </w:rPr>
        <w:footnoteReference w:id="1209"/>
      </w:r>
      <w:r>
        <w:rPr>
          <w:rFonts w:ascii="IRNazanin" w:hAnsi="IRNazanin" w:eastAsia="IRNazanin"/>
          <w:color w:val="111111"/>
          <w:sz w:val="28"/>
          <w:sz w:val="28"/>
          <w:szCs w:val="28"/>
          <w:rtl w:val="true"/>
          <w:lang w:bidi="fa-IR"/>
        </w:rPr>
        <w:t xml:space="preserve">یعنی محمّد و آله </w:t>
      </w:r>
      <w:r>
        <w:rPr>
          <w:rStyle w:val="FootnoteAnchor"/>
          <w:rtl w:val="true"/>
        </w:rPr>
        <w:footnoteReference w:id="1210"/>
      </w:r>
      <w:r>
        <w:rPr>
          <w:rFonts w:ascii="IRNazanin" w:hAnsi="IRNazanin" w:eastAsia="IRNazanin"/>
          <w:color w:val="111111"/>
          <w:sz w:val="28"/>
          <w:sz w:val="28"/>
          <w:szCs w:val="28"/>
          <w:rtl w:val="true"/>
          <w:lang w:bidi="fa-IR"/>
        </w:rPr>
        <w:t xml:space="preserve">المعصومین صلوات اللّه علیه و علیهم أجمعین است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دماء ایشان أطهر أشیاء طاهرات و أطیب أجسام و جواهر نورانیّه </w:t>
      </w:r>
      <w:r>
        <w:rPr>
          <w:rStyle w:val="FootnoteAnchor"/>
          <w:rtl w:val="true"/>
        </w:rPr>
        <w:footnoteReference w:id="1212"/>
      </w:r>
      <w:r>
        <w:rPr>
          <w:rFonts w:ascii="IRNazanin" w:hAnsi="IRNazanin" w:eastAsia="IRNazanin"/>
          <w:color w:val="111111"/>
          <w:sz w:val="28"/>
          <w:sz w:val="28"/>
          <w:szCs w:val="28"/>
          <w:rtl w:val="true"/>
          <w:lang w:bidi="fa-IR"/>
        </w:rPr>
        <w:t xml:space="preserve">است و عقول کامله و ألباب نورانیّة </w:t>
      </w:r>
      <w:r>
        <w:rPr>
          <w:rStyle w:val="FootnoteAnchor"/>
          <w:rtl w:val="true"/>
        </w:rPr>
        <w:footnoteReference w:id="1213"/>
      </w:r>
      <w:r>
        <w:rPr>
          <w:rFonts w:ascii="IRNazanin" w:hAnsi="IRNazanin" w:eastAsia="IRNazanin"/>
          <w:color w:val="111111"/>
          <w:sz w:val="28"/>
          <w:sz w:val="28"/>
          <w:szCs w:val="28"/>
          <w:rtl w:val="true"/>
          <w:lang w:bidi="fa-IR"/>
        </w:rPr>
        <w:t xml:space="preserve">بر این مدّعا حاکم مثل شرع ساطع و آن أوّلا آیة </w:t>
      </w:r>
      <w:r>
        <w:rPr>
          <w:rStyle w:val="FootnoteAnchor"/>
          <w:rtl w:val="true"/>
        </w:rPr>
        <w:footnoteReference w:id="1214"/>
      </w:r>
      <w:r>
        <w:rPr>
          <w:rFonts w:ascii="IRNazanin" w:hAnsi="IRNazanin" w:eastAsia="IRNazanin"/>
          <w:color w:val="111111"/>
          <w:sz w:val="28"/>
          <w:sz w:val="28"/>
          <w:szCs w:val="28"/>
          <w:rtl w:val="true"/>
          <w:lang w:bidi="fa-IR"/>
        </w:rPr>
        <w:t xml:space="preserve">محکمه است و آن قول حق تعالی است </w:t>
      </w:r>
      <w:r>
        <w:rPr>
          <w:rStyle w:val="FootnoteAnchor"/>
          <w:rtl w:val="true"/>
        </w:rPr>
        <w:footnoteReference w:id="1215"/>
      </w:r>
      <w:r>
        <w:rPr>
          <w:rFonts w:ascii="Amiri" w:hAnsi="Amiri" w:eastAsia="Amiri" w:cs="Amiri"/>
          <w:color w:val="111111"/>
          <w:sz w:val="28"/>
          <w:sz w:val="28"/>
          <w:szCs w:val="28"/>
          <w:rtl w:val="true"/>
          <w:lang w:bidi="ar-SA"/>
        </w:rPr>
        <w:t>در کتاب مجیدش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216"/>
      </w:r>
      <w:r>
        <w:rPr>
          <w:rFonts w:ascii="IRNazanin" w:hAnsi="IRNazanin" w:eastAsia="IRNazanin"/>
          <w:color w:val="111111"/>
          <w:sz w:val="28"/>
          <w:sz w:val="28"/>
          <w:szCs w:val="28"/>
          <w:rtl w:val="true"/>
          <w:lang w:bidi="fa-IR"/>
        </w:rPr>
        <w:t>و إفاده آن این مطلب را و شمولش بر مدّعای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نزد محقّقین علوم و مدقّقین فنون در غایت وضوح است زیرا که این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w:t>
      </w:r>
      <w:r>
        <w:rPr>
          <w:rStyle w:val="FootnoteAnchor"/>
          <w:rtl w:val="true"/>
        </w:rPr>
        <w:footnoteReference w:id="1218"/>
      </w:r>
      <w:r>
        <w:rPr>
          <w:rFonts w:ascii="IRNazanin" w:hAnsi="IRNazanin" w:eastAsia="IRNazanin"/>
          <w:color w:val="111111"/>
          <w:sz w:val="28"/>
          <w:sz w:val="28"/>
          <w:szCs w:val="28"/>
          <w:rtl w:val="true"/>
          <w:lang w:bidi="fa-IR"/>
        </w:rPr>
        <w:t xml:space="preserve">وافی هدایت و شافی دلالت چنانچه عصمة تامّة </w:t>
      </w:r>
      <w:r>
        <w:rPr>
          <w:rStyle w:val="FootnoteAnchor"/>
          <w:rtl w:val="true"/>
        </w:rPr>
        <w:footnoteReference w:id="1219"/>
      </w:r>
      <w:r>
        <w:rPr>
          <w:rFonts w:ascii="IRNazanin" w:hAnsi="IRNazanin" w:eastAsia="IRNazanin"/>
          <w:color w:val="111111"/>
          <w:sz w:val="28"/>
          <w:sz w:val="28"/>
          <w:szCs w:val="28"/>
          <w:rtl w:val="true"/>
          <w:lang w:bidi="fa-IR"/>
        </w:rPr>
        <w:t xml:space="preserve">کامله بلکه به نهج استکفاء </w:t>
      </w:r>
      <w:r>
        <w:rPr>
          <w:rStyle w:val="FootnoteAnchor"/>
          <w:rtl w:val="true"/>
        </w:rPr>
        <w:footnoteReference w:id="1220"/>
      </w:r>
      <w:r>
        <w:rPr>
          <w:rFonts w:ascii="IRNazanin" w:hAnsi="IRNazanin" w:eastAsia="IRNazanin"/>
          <w:color w:val="111111"/>
          <w:sz w:val="28"/>
          <w:sz w:val="28"/>
          <w:szCs w:val="28"/>
          <w:rtl w:val="true"/>
          <w:lang w:bidi="fa-IR"/>
        </w:rPr>
        <w:t xml:space="preserve">برای محمّد و آل محمّد المعصومین صلوات اللّه و سلامه علیه و علیهم أجمعین إثبات می‌کند </w:t>
      </w:r>
      <w:r>
        <w:rPr>
          <w:rStyle w:val="FootnoteAnchor"/>
          <w:rtl w:val="true"/>
        </w:rPr>
        <w:footnoteReference w:id="1221"/>
      </w:r>
      <w:r>
        <w:rPr>
          <w:rFonts w:ascii="IRNazanin" w:hAnsi="IRNazanin" w:eastAsia="IRNazanin"/>
          <w:color w:val="111111"/>
          <w:sz w:val="28"/>
          <w:sz w:val="28"/>
          <w:szCs w:val="28"/>
          <w:rtl w:val="true"/>
          <w:lang w:bidi="fa-IR"/>
        </w:rPr>
        <w:t xml:space="preserve">همچنین بسیار أمور دیگر را </w:t>
      </w:r>
      <w:r>
        <w:rPr>
          <w:rStyle w:val="FootnoteAnchor"/>
          <w:rtl w:val="true"/>
        </w:rPr>
        <w:footnoteReference w:id="1222"/>
      </w:r>
      <w:r>
        <w:rPr>
          <w:rFonts w:ascii="IRNazanin" w:hAnsi="IRNazanin" w:eastAsia="IRNazanin"/>
          <w:color w:val="111111"/>
          <w:sz w:val="28"/>
          <w:sz w:val="28"/>
          <w:szCs w:val="28"/>
          <w:rtl w:val="true"/>
          <w:lang w:bidi="fa-IR"/>
        </w:rPr>
        <w:t xml:space="preserve">إثبات می‌کند، </w:t>
      </w:r>
      <w:r>
        <w:rPr>
          <w:rStyle w:val="FootnoteAnchor"/>
          <w:rtl w:val="true"/>
        </w:rPr>
        <w:footnoteReference w:id="1223"/>
      </w:r>
      <w:r>
        <w:rPr>
          <w:rFonts w:ascii="IRNazanin" w:hAnsi="IRNazanin" w:eastAsia="IRNazanin"/>
          <w:color w:val="111111"/>
          <w:sz w:val="28"/>
          <w:sz w:val="28"/>
          <w:szCs w:val="28"/>
          <w:rtl w:val="true"/>
          <w:lang w:bidi="fa-IR"/>
        </w:rPr>
        <w:t>یعنی بسیار أصول 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ملکوتیّه</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و قواعد متقنه نورانیّه را </w:t>
      </w:r>
      <w:r>
        <w:rPr>
          <w:rStyle w:val="FootnoteAnchor"/>
          <w:rtl w:val="true"/>
        </w:rPr>
        <w:footnoteReference w:id="1225"/>
      </w:r>
      <w:r>
        <w:rPr>
          <w:rFonts w:ascii="IRNazanin" w:hAnsi="IRNazanin" w:eastAsia="IRNazanin"/>
          <w:color w:val="111111"/>
          <w:sz w:val="28"/>
          <w:sz w:val="28"/>
          <w:szCs w:val="28"/>
          <w:rtl w:val="true"/>
          <w:lang w:bidi="fa-IR"/>
        </w:rPr>
        <w:t>إفاده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إنصاف خوب کرده است و چه نهج خوب فهمیده است </w:t>
      </w:r>
      <w:r>
        <w:rPr>
          <w:rStyle w:val="FootnoteAnchor"/>
          <w:rtl w:val="true"/>
        </w:rPr>
        <w:footnoteReference w:id="1227"/>
      </w:r>
      <w:r>
        <w:rPr>
          <w:rFonts w:ascii="IRNazanin" w:hAnsi="IRNazanin" w:eastAsia="IRNazanin"/>
          <w:color w:val="111111"/>
          <w:sz w:val="28"/>
          <w:sz w:val="28"/>
          <w:szCs w:val="28"/>
          <w:rtl w:val="true"/>
          <w:lang w:bidi="fa-IR"/>
        </w:rPr>
        <w:t xml:space="preserve">بعض أکامل علماء و أکابر عرفاء أهل سنّت أمری را که به این مقام مناسب </w:t>
      </w:r>
      <w:r>
        <w:rPr>
          <w:rStyle w:val="FootnoteAnchor"/>
          <w:rtl w:val="true"/>
        </w:rPr>
        <w:footnoteReference w:id="1228"/>
      </w:r>
      <w:r>
        <w:rPr>
          <w:rFonts w:ascii="IRNazanin" w:hAnsi="IRNazanin" w:eastAsia="IRNazanin"/>
          <w:color w:val="111111"/>
          <w:sz w:val="28"/>
          <w:sz w:val="28"/>
          <w:szCs w:val="28"/>
          <w:rtl w:val="true"/>
          <w:lang w:bidi="fa-IR"/>
        </w:rPr>
        <w:t xml:space="preserve">بلکه در غایت التصاق </w:t>
      </w:r>
      <w:r>
        <w:rPr>
          <w:rStyle w:val="FootnoteAnchor"/>
          <w:rtl w:val="true"/>
        </w:rPr>
        <w:footnoteReference w:id="1229"/>
      </w:r>
      <w:r>
        <w:rPr>
          <w:rFonts w:ascii="IRNazanin" w:hAnsi="IRNazanin" w:eastAsia="IRNazanin"/>
          <w:color w:val="111111"/>
          <w:sz w:val="28"/>
          <w:sz w:val="28"/>
          <w:szCs w:val="28"/>
          <w:rtl w:val="true"/>
          <w:lang w:bidi="fa-IR"/>
        </w:rPr>
        <w:t>است و آن قول آنست که چنانچه این آیه شریفه إفاده می‌نماید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صلوات اللّه و سلامه علیه و علیهم أجمعین را </w:t>
      </w:r>
      <w:r>
        <w:rPr>
          <w:rStyle w:val="FootnoteAnchor"/>
          <w:rtl w:val="true"/>
        </w:rPr>
        <w:footnoteReference w:id="1231"/>
      </w:r>
      <w:r>
        <w:rPr>
          <w:rFonts w:ascii="IRNazanin" w:hAnsi="IRNazanin" w:eastAsia="IRNazanin"/>
          <w:color w:val="111111"/>
          <w:sz w:val="28"/>
          <w:sz w:val="28"/>
          <w:szCs w:val="28"/>
          <w:rtl w:val="true"/>
          <w:lang w:bidi="fa-IR"/>
        </w:rPr>
        <w:t xml:space="preserve">از جمیع معاصی و ذنوب و خطاها و جرایم </w:t>
      </w:r>
      <w:r>
        <w:rPr>
          <w:rStyle w:val="FootnoteAnchor"/>
          <w:rtl w:val="true"/>
        </w:rPr>
        <w:footnoteReference w:id="1232"/>
      </w:r>
      <w:r>
        <w:rPr>
          <w:rFonts w:ascii="IRNazanin" w:hAnsi="IRNazanin" w:eastAsia="IRNazanin"/>
          <w:color w:val="111111"/>
          <w:sz w:val="28"/>
          <w:sz w:val="28"/>
          <w:szCs w:val="28"/>
          <w:rtl w:val="true"/>
          <w:lang w:bidi="fa-IR"/>
        </w:rPr>
        <w:t xml:space="preserve">همچنین تطهیر ایشان را از هر زشتی و پلیدی </w:t>
      </w:r>
      <w:r>
        <w:rPr>
          <w:rStyle w:val="FootnoteAnchor"/>
          <w:rtl w:val="true"/>
        </w:rPr>
        <w:footnoteReference w:id="1233"/>
      </w:r>
      <w:r>
        <w:rPr>
          <w:rFonts w:ascii="IRNazanin" w:hAnsi="IRNazanin" w:eastAsia="IRNazanin"/>
          <w:color w:val="111111"/>
          <w:sz w:val="28"/>
          <w:sz w:val="28"/>
          <w:szCs w:val="28"/>
          <w:rtl w:val="true"/>
          <w:lang w:bidi="fa-IR"/>
        </w:rPr>
        <w:t>،پس نسبت دادن جهل بر ایشان از حمق و جهالت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حاصل کلامش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آفرین،صدآفرین بر این کلامش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سؤال نماید که جمعی از فقهاء این مسأله را عنوان کرده‌اند و ظاهر کلمات ایشان اینست که مسأله طهارت دمآء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آله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المعصومین </w:t>
      </w:r>
      <w:r>
        <w:rPr>
          <w:rStyle w:val="FootnoteAnchor"/>
          <w:rtl w:val="true"/>
        </w:rPr>
        <w:footnoteReference w:id="1235"/>
      </w:r>
      <w:r>
        <w:rPr>
          <w:rFonts w:ascii="IRNazanin" w:hAnsi="IRNazanin" w:eastAsia="IRNazanin"/>
          <w:color w:val="111111"/>
          <w:sz w:val="28"/>
          <w:sz w:val="28"/>
          <w:szCs w:val="28"/>
          <w:rtl w:val="true"/>
          <w:lang w:bidi="fa-IR"/>
        </w:rPr>
        <w:t xml:space="preserve">از مسائل خلافیّه است،نه از مسائل إجتماعیّة </w:t>
      </w:r>
      <w:r>
        <w:rPr>
          <w:rStyle w:val="FootnoteAnchor"/>
          <w:rtl w:val="true"/>
        </w:rPr>
        <w:footnoteReference w:id="1236"/>
      </w:r>
      <w:r>
        <w:rPr>
          <w:rFonts w:ascii="IRNazanin" w:hAnsi="IRNazanin" w:eastAsia="IRNazanin"/>
          <w:color w:val="111111"/>
          <w:sz w:val="28"/>
          <w:sz w:val="28"/>
          <w:szCs w:val="28"/>
          <w:rtl w:val="true"/>
          <w:lang w:bidi="fa-IR"/>
        </w:rPr>
        <w:t xml:space="preserve">،پس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 xml:space="preserve">از این سؤال که به محض احتمال خلاف </w:t>
      </w:r>
      <w:r>
        <w:rPr>
          <w:rStyle w:val="FootnoteAnchor"/>
          <w:rtl w:val="true"/>
        </w:rPr>
        <w:footnoteReference w:id="1238"/>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مسأله از مسائل خلافیّه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که این مسأله أوّلا مختلف فیه بود،و نظیر این در مسائل اعتقادات،مسأله بقاء أرواح در عالم برزخ بعد از مردن و این مسأله نیز در زمان علاّمه حلّی رحمه اللّه و قبل از آن از مسائل خلافیّه بود حتّی أکثر متکلّمین از عامّه و خاصّه بر آن بودند که عالم برزخ نیست زیرا که روح أمر عرضی است،به محض مردن فانی خواهد شد و أمر عذاب و عقاب و ثواب و درجات منحصر است به مابعد حشر و نشر و قیامت و همین قول را خود علاّمه اختیار کرده است و تخطئه </w:t>
      </w:r>
      <w:r>
        <w:rPr>
          <w:rStyle w:val="FootnoteAnchor"/>
          <w:rtl w:val="true"/>
        </w:rPr>
        <w:footnoteReference w:id="1239"/>
      </w:r>
      <w:r>
        <w:rPr>
          <w:rFonts w:ascii="IRNazanin" w:hAnsi="IRNazanin" w:eastAsia="IRNazanin"/>
          <w:color w:val="111111"/>
          <w:sz w:val="28"/>
          <w:sz w:val="28"/>
          <w:szCs w:val="28"/>
          <w:rtl w:val="true"/>
          <w:lang w:bidi="fa-IR"/>
        </w:rPr>
        <w:t>کرده است هر کسی که قائل به بقآء روح باشد در عالم برزخ و لکن مخالف در هردو مسأله منقرض شده بحمد اللّه تبارک و تعالی و بعد از آن أزمنه إجماع منعقد شده بر طبق أدلّه کثیره قاطعه ساطعه،بلکه در کثرت از حدّ و إحصآء افزون،در هردو مسأله؛یعنی إجماع منعقد شده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حرف می‌زنیم به طهارت دماء ایشان </w:t>
      </w:r>
      <w:r>
        <w:rPr>
          <w:rStyle w:val="FootnoteAnchor"/>
          <w:rtl w:val="true"/>
        </w:rPr>
        <w:footnoteReference w:id="1240"/>
      </w:r>
      <w:r>
        <w:rPr>
          <w:rFonts w:ascii="IRNazanin" w:hAnsi="IRNazanin" w:eastAsia="IRNazanin"/>
          <w:color w:val="111111"/>
          <w:sz w:val="28"/>
          <w:sz w:val="28"/>
          <w:szCs w:val="28"/>
          <w:rtl w:val="true"/>
          <w:lang w:bidi="fa-IR"/>
        </w:rPr>
        <w:t xml:space="preserve">و در مسأله دویّم </w:t>
      </w:r>
      <w:r>
        <w:rPr>
          <w:rStyle w:val="FootnoteAnchor"/>
          <w:rtl w:val="true"/>
        </w:rPr>
        <w:footnoteReference w:id="1241"/>
      </w:r>
      <w:r>
        <w:rPr>
          <w:rFonts w:ascii="IRNazanin" w:hAnsi="IRNazanin" w:eastAsia="IRNazanin"/>
          <w:color w:val="111111"/>
          <w:sz w:val="28"/>
          <w:sz w:val="28"/>
          <w:szCs w:val="28"/>
          <w:rtl w:val="true"/>
          <w:lang w:bidi="fa-IR"/>
        </w:rPr>
        <w:t xml:space="preserve">به بقآء أرواح در عالم برزخ و بودن أرواح از قسم جواهر،نه از قسم أعراض و متنعّم </w:t>
      </w:r>
      <w:r>
        <w:rPr>
          <w:rStyle w:val="FootnoteAnchor"/>
          <w:rtl w:val="true"/>
        </w:rPr>
        <w:footnoteReference w:id="1242"/>
      </w:r>
      <w:r>
        <w:rPr>
          <w:rFonts w:ascii="IRNazanin" w:hAnsi="IRNazanin" w:eastAsia="IRNazanin"/>
          <w:color w:val="111111"/>
          <w:sz w:val="28"/>
          <w:sz w:val="28"/>
          <w:szCs w:val="28"/>
          <w:rtl w:val="true"/>
          <w:lang w:bidi="fa-IR"/>
        </w:rPr>
        <w:t xml:space="preserve">و ملتذ </w:t>
      </w:r>
      <w:r>
        <w:rPr>
          <w:rStyle w:val="FootnoteAnchor"/>
          <w:rtl w:val="true"/>
        </w:rPr>
        <w:footnoteReference w:id="1243"/>
      </w:r>
      <w:r>
        <w:rPr>
          <w:rFonts w:ascii="IRNazanin" w:hAnsi="IRNazanin" w:eastAsia="IRNazanin"/>
          <w:color w:val="111111"/>
          <w:sz w:val="28"/>
          <w:sz w:val="28"/>
          <w:szCs w:val="28"/>
          <w:rtl w:val="true"/>
          <w:lang w:bidi="fa-IR"/>
        </w:rPr>
        <w:t xml:space="preserve">شدن سعداء در عالم برزخ به أنواع نعم و آلاء و أقسام مشتهیات و معذّب شدن </w:t>
      </w:r>
      <w:r>
        <w:rPr>
          <w:rStyle w:val="FootnoteAnchor"/>
          <w:rtl w:val="true"/>
        </w:rPr>
        <w:footnoteReference w:id="1244"/>
      </w:r>
      <w:r>
        <w:rPr>
          <w:rFonts w:ascii="IRNazanin" w:hAnsi="IRNazanin" w:eastAsia="IRNazanin"/>
          <w:color w:val="111111"/>
          <w:sz w:val="28"/>
          <w:sz w:val="28"/>
          <w:szCs w:val="28"/>
          <w:rtl w:val="true"/>
          <w:lang w:bidi="fa-IR"/>
        </w:rPr>
        <w:t xml:space="preserve">و معاقب شدن أشقیآء </w:t>
      </w:r>
      <w:r>
        <w:rPr>
          <w:rStyle w:val="FootnoteAnchor"/>
          <w:rtl w:val="true"/>
        </w:rPr>
        <w:footnoteReference w:id="1245"/>
      </w:r>
      <w:r>
        <w:rPr>
          <w:rFonts w:ascii="IRNazanin" w:hAnsi="IRNazanin" w:eastAsia="IRNazanin"/>
          <w:color w:val="111111"/>
          <w:sz w:val="28"/>
          <w:sz w:val="28"/>
          <w:szCs w:val="28"/>
          <w:rtl w:val="true"/>
          <w:lang w:bidi="fa-IR"/>
        </w:rPr>
        <w:t>به أنواع و أقسام عذاب و 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أدلّه مفیده طهارت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المعصومین از آن أکثر است و أزید است که به حدّ و إحصاء بیاید یا احتیاج داشته باشد به استدلال کردن به خوردن یکی از أصحاب خون حجامت رسول اللّه را و فرمودن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جحیم بر بدن تو حرام شد و لکن دیگر عود مکن به مثل این 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تحقیق اینست که خون جمیع معصومین از أنبیآء و أوصیآء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خوب فهمیده است تحقیق این مقام را </w:t>
      </w:r>
      <w:r>
        <w:rPr>
          <w:rStyle w:val="FootnoteAnchor"/>
          <w:rtl w:val="true"/>
        </w:rPr>
        <w:footnoteReference w:id="1246"/>
      </w:r>
      <w:r>
        <w:rPr>
          <w:rFonts w:ascii="IRNazanin" w:hAnsi="IRNazanin" w:eastAsia="IRNazanin"/>
          <w:color w:val="111111"/>
          <w:sz w:val="28"/>
          <w:sz w:val="28"/>
          <w:szCs w:val="28"/>
          <w:rtl w:val="true"/>
          <w:lang w:bidi="fa-IR"/>
        </w:rPr>
        <w:t xml:space="preserve">آقا سیّد مهدی طباطبائی رحمه اللّه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منظومه فقه‌ش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أکثر من الصّلوة فی المشاهد خیر البقاع أفضل المعابد</w:t>
      </w:r>
    </w:p>
    <w:p>
      <w:pPr>
        <w:pStyle w:val="BookText"/>
        <w:rPr/>
      </w:pPr>
      <w:r>
        <w:rPr>
          <w:rFonts w:ascii="IRNazanin" w:hAnsi="IRNazanin" w:eastAsia="IRNazanin"/>
          <w:color w:val="111111"/>
          <w:sz w:val="28"/>
          <w:sz w:val="28"/>
          <w:szCs w:val="28"/>
          <w:rtl w:val="true"/>
          <w:lang w:bidi="fa-IR"/>
        </w:rPr>
        <w:t>و السّرّ فی فضل صلوة المسجد قبر لمعصوم به مستشهد</w:t>
      </w:r>
    </w:p>
    <w:p>
      <w:pPr>
        <w:pStyle w:val="BookText"/>
        <w:rPr/>
      </w:pPr>
      <w:r>
        <w:rPr>
          <w:rFonts w:ascii="Amiri" w:hAnsi="Amiri" w:eastAsia="Amiri" w:cs="Amiri"/>
          <w:color w:val="111111"/>
          <w:sz w:val="28"/>
          <w:sz w:val="28"/>
          <w:szCs w:val="28"/>
          <w:rtl w:val="true"/>
          <w:lang w:bidi="ar-SA"/>
        </w:rPr>
        <w:t xml:space="preserve">برشّة من دمه </w:t>
      </w:r>
      <w:r>
        <w:rPr>
          <w:rStyle w:val="FootnoteAnchor"/>
          <w:rtl w:val="true"/>
        </w:rPr>
        <w:footnoteReference w:id="1248"/>
      </w:r>
      <w:r>
        <w:rPr>
          <w:rFonts w:ascii="Amiri" w:hAnsi="Amiri" w:eastAsia="Amiri" w:cs="Amiri"/>
          <w:color w:val="111111"/>
          <w:sz w:val="28"/>
          <w:sz w:val="28"/>
          <w:szCs w:val="28"/>
          <w:rtl w:val="true"/>
          <w:lang w:bidi="ar-SA"/>
        </w:rPr>
        <w:t>مطهّرة طهّره اللّه لعبد ذکره</w:t>
      </w:r>
    </w:p>
    <w:p>
      <w:pPr>
        <w:pStyle w:val="BookText"/>
        <w:rPr/>
      </w:pPr>
      <w:r>
        <w:rPr>
          <w:rFonts w:ascii="IRNazanin" w:hAnsi="IRNazanin" w:eastAsia="IRNazanin"/>
          <w:color w:val="111111"/>
          <w:sz w:val="28"/>
          <w:sz w:val="28"/>
          <w:szCs w:val="28"/>
          <w:rtl w:val="true"/>
          <w:lang w:bidi="fa-IR"/>
        </w:rPr>
        <w:t xml:space="preserve">و جناب سیّد أجلّ،این أحکام را از یک حدیث صحیح فهمیده است،بلکه آنچه در این أبیات است مضمون آن حدیث صحیح </w:t>
      </w:r>
      <w:r>
        <w:rPr>
          <w:rStyle w:val="FootnoteAnchor"/>
          <w:rtl w:val="true"/>
        </w:rPr>
        <w:footnoteReference w:id="1249"/>
      </w:r>
      <w:r>
        <w:rPr>
          <w:rFonts w:ascii="IRNazanin" w:hAnsi="IRNazanin" w:eastAsia="IRNazanin"/>
          <w:color w:val="111111"/>
          <w:sz w:val="28"/>
          <w:sz w:val="28"/>
          <w:szCs w:val="28"/>
          <w:rtl w:val="true"/>
          <w:lang w:bidi="fa-IR"/>
        </w:rPr>
        <w:t>است و آن حدیث به این نهج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أکره </w:t>
      </w:r>
      <w:r>
        <w:rPr>
          <w:rStyle w:val="FootnoteAnchor"/>
          <w:rtl w:val="true"/>
        </w:rPr>
        <w:footnoteReference w:id="1250"/>
      </w:r>
      <w:r>
        <w:rPr>
          <w:rFonts w:ascii="IRNazanin" w:hAnsi="IRNazanin" w:eastAsia="IRNazanin"/>
          <w:color w:val="111111"/>
          <w:sz w:val="28"/>
          <w:sz w:val="28"/>
          <w:szCs w:val="28"/>
          <w:rtl w:val="true"/>
          <w:lang w:bidi="fa-IR"/>
        </w:rPr>
        <w:t>أن أصلّی فی مساجدهم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و اللّه ما من مسجد </w:t>
      </w:r>
      <w:r>
        <w:rPr>
          <w:rStyle w:val="FootnoteAnchor"/>
          <w:rtl w:val="true"/>
        </w:rPr>
        <w:footnoteReference w:id="1251"/>
      </w:r>
      <w:r>
        <w:rPr>
          <w:rFonts w:ascii="Amiri" w:hAnsi="Amiri" w:eastAsia="Amiri" w:cs="Amiri"/>
          <w:color w:val="111111"/>
          <w:sz w:val="28"/>
          <w:sz w:val="28"/>
          <w:szCs w:val="28"/>
          <w:rtl w:val="true"/>
          <w:lang w:bidi="ar-SA"/>
        </w:rPr>
        <w:t xml:space="preserve">إلاّ </w:t>
      </w:r>
      <w:r>
        <w:rPr>
          <w:rStyle w:val="FootnoteAnchor"/>
          <w:rtl w:val="true"/>
        </w:rPr>
        <w:footnoteReference w:id="1252"/>
      </w:r>
      <w:r>
        <w:rPr>
          <w:rFonts w:ascii="IRNazanin" w:hAnsi="IRNazanin" w:eastAsia="IRNazanin"/>
          <w:color w:val="111111"/>
          <w:sz w:val="28"/>
          <w:sz w:val="28"/>
          <w:szCs w:val="28"/>
          <w:rtl w:val="true"/>
          <w:lang w:bidi="fa-IR"/>
        </w:rPr>
        <w:t xml:space="preserve">و قد بنی </w:t>
      </w:r>
      <w:r>
        <w:rPr>
          <w:rStyle w:val="FootnoteAnchor"/>
          <w:rtl w:val="true"/>
        </w:rPr>
        <w:footnoteReference w:id="1253"/>
      </w:r>
      <w:r>
        <w:rPr>
          <w:rFonts w:ascii="Amiri" w:hAnsi="Amiri" w:eastAsia="Amiri" w:cs="Amiri"/>
          <w:color w:val="111111"/>
          <w:sz w:val="28"/>
          <w:sz w:val="28"/>
          <w:szCs w:val="28"/>
          <w:rtl w:val="true"/>
          <w:lang w:bidi="ar-SA"/>
        </w:rPr>
        <w:t xml:space="preserve">علی قبر نبیّ أو وصیّ نبیّ قتل </w:t>
      </w:r>
      <w:r>
        <w:rPr>
          <w:rStyle w:val="FootnoteAnchor"/>
          <w:rtl w:val="true"/>
        </w:rPr>
        <w:footnoteReference w:id="1254"/>
      </w:r>
      <w:r>
        <w:rPr>
          <w:rFonts w:ascii="IRNazanin" w:hAnsi="IRNazanin" w:eastAsia="IRNazanin"/>
          <w:color w:val="111111"/>
          <w:sz w:val="28"/>
          <w:sz w:val="28"/>
          <w:szCs w:val="28"/>
          <w:rtl w:val="true"/>
          <w:lang w:bidi="fa-IR"/>
        </w:rPr>
        <w:t xml:space="preserve">فأصاب تلک البقعة </w:t>
      </w:r>
      <w:r>
        <w:rPr>
          <w:rStyle w:val="FootnoteAnchor"/>
          <w:rtl w:val="true"/>
        </w:rPr>
        <w:footnoteReference w:id="1255"/>
      </w:r>
      <w:r>
        <w:rPr>
          <w:rFonts w:ascii="Amiri" w:hAnsi="Amiri" w:eastAsia="Amiri" w:cs="Amiri"/>
          <w:color w:val="111111"/>
          <w:sz w:val="28"/>
          <w:sz w:val="28"/>
          <w:szCs w:val="28"/>
          <w:rtl w:val="true"/>
          <w:lang w:bidi="ar-SA"/>
        </w:rPr>
        <w:t xml:space="preserve">قطرة </w:t>
      </w:r>
      <w:r>
        <w:rPr>
          <w:rStyle w:val="FootnoteAnchor"/>
          <w:rtl w:val="true"/>
        </w:rPr>
        <w:footnoteReference w:id="1256"/>
      </w:r>
      <w:r>
        <w:rPr>
          <w:rFonts w:ascii="IRNazanin" w:hAnsi="IRNazanin" w:eastAsia="IRNazanin"/>
          <w:color w:val="111111"/>
          <w:sz w:val="28"/>
          <w:sz w:val="28"/>
          <w:szCs w:val="28"/>
          <w:rtl w:val="true"/>
          <w:lang w:bidi="fa-IR"/>
        </w:rPr>
        <w:t xml:space="preserve">من دمه،فأحبّ اللّه أن یذکر فیها،فأدّوا فیها الفرائض </w:t>
      </w:r>
      <w:r>
        <w:rPr>
          <w:rStyle w:val="FootnoteAnchor"/>
          <w:rtl w:val="true"/>
        </w:rPr>
        <w:footnoteReference w:id="1257"/>
      </w:r>
      <w:r>
        <w:rPr>
          <w:rFonts w:ascii="IRNazanin" w:hAnsi="IRNazanin" w:eastAsia="IRNazanin"/>
          <w:color w:val="111111"/>
          <w:sz w:val="28"/>
          <w:sz w:val="28"/>
          <w:szCs w:val="28"/>
          <w:rtl w:val="true"/>
          <w:lang w:bidi="fa-IR"/>
        </w:rPr>
        <w:t xml:space="preserve">و أکثروا فیها من النّوافل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این حدیث شریف اینست که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ثقه عدل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کردم به خدمت إمام </w:t>
      </w:r>
      <w:r>
        <w:rPr>
          <w:rStyle w:val="FootnoteAnchor"/>
          <w:rtl w:val="true"/>
        </w:rPr>
        <w:footnoteReference w:id="1259"/>
      </w:r>
      <w:r>
        <w:rPr>
          <w:rFonts w:ascii="IRNazanin" w:hAnsi="IRNazanin" w:eastAsia="IRNazanin"/>
          <w:color w:val="111111"/>
          <w:sz w:val="28"/>
          <w:sz w:val="28"/>
          <w:szCs w:val="28"/>
          <w:rtl w:val="true"/>
          <w:lang w:bidi="fa-IR"/>
        </w:rPr>
        <w:t>جعفر صادق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مکروه دارم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مساجد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و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نه یعنی همچنین نیست </w:t>
      </w:r>
      <w:r>
        <w:rPr>
          <w:rStyle w:val="FootnoteAnchor"/>
          <w:rtl w:val="true"/>
        </w:rPr>
        <w:footnoteReference w:id="1261"/>
      </w:r>
      <w:r>
        <w:rPr>
          <w:rFonts w:ascii="IRNazanin" w:hAnsi="IRNazanin" w:eastAsia="IRNazanin"/>
          <w:color w:val="111111"/>
          <w:sz w:val="28"/>
          <w:sz w:val="28"/>
          <w:szCs w:val="28"/>
          <w:rtl w:val="true"/>
          <w:lang w:bidi="fa-IR"/>
        </w:rPr>
        <w:t xml:space="preserve">و اللّه در روی زمین هیچ مسجدی نمی‌باشد،خواه کوچک و خواه بزرگ،خواه او را از شیعیان ما </w:t>
      </w:r>
      <w:r>
        <w:rPr>
          <w:rStyle w:val="FootnoteAnchor"/>
          <w:rtl w:val="true"/>
        </w:rPr>
        <w:footnoteReference w:id="1262"/>
      </w:r>
      <w:r>
        <w:rPr>
          <w:rFonts w:ascii="IRNazanin" w:hAnsi="IRNazanin" w:eastAsia="IRNazanin"/>
          <w:color w:val="111111"/>
          <w:sz w:val="28"/>
          <w:sz w:val="28"/>
          <w:szCs w:val="28"/>
          <w:rtl w:val="true"/>
          <w:lang w:bidi="fa-IR"/>
        </w:rPr>
        <w:t xml:space="preserve">کسی بنا کرده باشد </w:t>
      </w:r>
      <w:r>
        <w:rPr>
          <w:rStyle w:val="FootnoteAnchor"/>
          <w:rtl w:val="true"/>
        </w:rPr>
        <w:footnoteReference w:id="1263"/>
      </w:r>
      <w:r>
        <w:rPr>
          <w:rFonts w:ascii="IRNazanin" w:hAnsi="IRNazanin" w:eastAsia="IRNazanin"/>
          <w:color w:val="111111"/>
          <w:sz w:val="28"/>
          <w:sz w:val="28"/>
          <w:szCs w:val="28"/>
          <w:rtl w:val="true"/>
          <w:lang w:bidi="fa-IR"/>
        </w:rPr>
        <w:t xml:space="preserve">یا از مخالفان و أهل سنّت،مگر آنکه آن مسجد بنا شده است در واقع و نفس الأمر بر قبر نبیّی </w:t>
      </w:r>
      <w:r>
        <w:rPr>
          <w:rStyle w:val="FootnoteAnchor"/>
          <w:rtl w:val="true"/>
        </w:rPr>
        <w:footnoteReference w:id="1264"/>
      </w:r>
      <w:r>
        <w:rPr>
          <w:rFonts w:ascii="IRNazanin" w:hAnsi="IRNazanin" w:eastAsia="IRNazanin"/>
          <w:color w:val="111111"/>
          <w:sz w:val="28"/>
          <w:sz w:val="28"/>
          <w:szCs w:val="28"/>
          <w:rtl w:val="true"/>
          <w:lang w:bidi="fa-IR"/>
        </w:rPr>
        <w:t xml:space="preserve">از أنبیآء یا بر قبر وصیّ نبیّ و همچنین وصیّی </w:t>
      </w:r>
      <w:r>
        <w:rPr>
          <w:rStyle w:val="FootnoteAnchor"/>
          <w:rtl w:val="true"/>
        </w:rPr>
        <w:footnoteReference w:id="1265"/>
      </w:r>
      <w:r>
        <w:rPr>
          <w:rFonts w:ascii="IRNazanin" w:hAnsi="IRNazanin" w:eastAsia="IRNazanin"/>
          <w:color w:val="111111"/>
          <w:sz w:val="28"/>
          <w:sz w:val="28"/>
          <w:szCs w:val="28"/>
          <w:rtl w:val="true"/>
          <w:lang w:bidi="fa-IR"/>
        </w:rPr>
        <w:t xml:space="preserve">که او را کشته باشند </w:t>
      </w:r>
      <w:r>
        <w:rPr>
          <w:rStyle w:val="FootnoteAnchor"/>
          <w:rtl w:val="true"/>
        </w:rPr>
        <w:footnoteReference w:id="1266"/>
      </w:r>
      <w:r>
        <w:rPr>
          <w:rFonts w:ascii="IRNazanin" w:hAnsi="IRNazanin" w:eastAsia="IRNazanin"/>
          <w:color w:val="111111"/>
          <w:sz w:val="28"/>
          <w:sz w:val="28"/>
          <w:szCs w:val="28"/>
          <w:rtl w:val="true"/>
          <w:lang w:bidi="fa-IR"/>
        </w:rPr>
        <w:t xml:space="preserve">و شهید کرده باشند </w:t>
      </w:r>
      <w:r>
        <w:rPr>
          <w:rStyle w:val="FootnoteAnchor"/>
          <w:rtl w:val="true"/>
        </w:rPr>
        <w:footnoteReference w:id="1267"/>
      </w:r>
      <w:r>
        <w:rPr>
          <w:rFonts w:ascii="IRNazanin" w:hAnsi="IRNazanin" w:eastAsia="IRNazanin"/>
          <w:color w:val="111111"/>
          <w:sz w:val="28"/>
          <w:sz w:val="28"/>
          <w:szCs w:val="28"/>
          <w:rtl w:val="true"/>
          <w:lang w:bidi="fa-IR"/>
        </w:rPr>
        <w:t>،پس رسیده است به آن بقعه که مسجد در آن بنا شده است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268"/>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خون آن و به سبب رسیدن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 xml:space="preserve">از خون آن در سابقه عنایت أزلیّة </w:t>
      </w:r>
      <w:r>
        <w:rPr>
          <w:rStyle w:val="FootnoteAnchor"/>
          <w:rtl w:val="true"/>
        </w:rPr>
        <w:footnoteReference w:id="1270"/>
      </w:r>
      <w:r>
        <w:rPr>
          <w:rFonts w:ascii="IRNazanin" w:hAnsi="IRNazanin" w:eastAsia="IRNazanin"/>
          <w:color w:val="111111"/>
          <w:sz w:val="28"/>
          <w:sz w:val="28"/>
          <w:szCs w:val="28"/>
          <w:rtl w:val="true"/>
          <w:lang w:bidi="fa-IR"/>
        </w:rPr>
        <w:t>مقدّر شد که آن مسجد باشد پس حق تعالی دوست داشت به سبب رسیدن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از خون آن وصیّ شهید به آنجا که آن موضع مسجد باشد و حق تعالی را مؤمنین و مصلّین در آنجا ذکر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أداء </w:t>
      </w:r>
      <w:r>
        <w:rPr>
          <w:rStyle w:val="FootnoteAnchor"/>
          <w:rtl w:val="true"/>
        </w:rPr>
        <w:footnoteReference w:id="1272"/>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مساجد نمازهای واجبی </w:t>
      </w:r>
      <w:r>
        <w:rPr>
          <w:rStyle w:val="FootnoteAnchor"/>
          <w:rtl w:val="true"/>
        </w:rPr>
        <w:footnoteReference w:id="1273"/>
      </w:r>
      <w:r>
        <w:rPr>
          <w:rFonts w:ascii="IRNazanin" w:hAnsi="IRNazanin" w:eastAsia="IRNazanin"/>
          <w:color w:val="111111"/>
          <w:sz w:val="28"/>
          <w:sz w:val="28"/>
          <w:szCs w:val="28"/>
          <w:rtl w:val="true"/>
          <w:lang w:bidi="fa-IR"/>
        </w:rPr>
        <w:t>را و بسیار کنید در مساجد نوافل را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این که ذکر کرده‌ام،ترجمه این حدیث شریف </w:t>
      </w:r>
      <w:r>
        <w:rPr>
          <w:rStyle w:val="FootnoteAnchor"/>
          <w:rtl w:val="true"/>
        </w:rPr>
        <w:footnoteReference w:id="1274"/>
      </w:r>
      <w:r>
        <w:rPr>
          <w:rFonts w:ascii="IRNazanin" w:hAnsi="IRNazanin" w:eastAsia="IRNazanin"/>
          <w:color w:val="111111"/>
          <w:sz w:val="28"/>
          <w:sz w:val="28"/>
          <w:szCs w:val="28"/>
          <w:rtl w:val="true"/>
          <w:lang w:bidi="fa-IR"/>
        </w:rPr>
        <w:t xml:space="preserve">به نهج تفسیر ألفاظ و بیان فقرات آن است </w:t>
      </w:r>
      <w:r>
        <w:rPr>
          <w:rStyle w:val="FootnoteAnchor"/>
          <w:rtl w:val="true"/>
        </w:rPr>
        <w:footnoteReference w:id="1275"/>
      </w:r>
      <w:r>
        <w:rPr>
          <w:rFonts w:ascii="IRNazanin" w:hAnsi="IRNazanin" w:eastAsia="IRNazanin"/>
          <w:color w:val="111111"/>
          <w:sz w:val="28"/>
          <w:sz w:val="28"/>
          <w:szCs w:val="28"/>
          <w:rtl w:val="true"/>
          <w:lang w:bidi="fa-IR"/>
        </w:rPr>
        <w:t xml:space="preserve">و لکن در مقام فهم مطلب و مراد از آن به این‌طور باید گفت که مقصود إمام علیه السّلام </w:t>
      </w:r>
      <w:r>
        <w:rPr>
          <w:rStyle w:val="FootnoteAnchor"/>
          <w:rtl w:val="true"/>
        </w:rPr>
        <w:footnoteReference w:id="1276"/>
      </w: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مساجد در هر جا و </w:t>
      </w:r>
      <w:r>
        <w:rPr>
          <w:rStyle w:val="FootnoteAnchor"/>
          <w:rtl w:val="true"/>
        </w:rPr>
        <w:footnoteReference w:id="1277"/>
      </w:r>
      <w:r>
        <w:rPr>
          <w:rFonts w:ascii="IRNazanin" w:hAnsi="IRNazanin" w:eastAsia="IRNazanin"/>
          <w:color w:val="111111"/>
          <w:sz w:val="28"/>
          <w:sz w:val="28"/>
          <w:szCs w:val="28"/>
          <w:rtl w:val="true"/>
          <w:lang w:bidi="fa-IR"/>
        </w:rPr>
        <w:t xml:space="preserve">هر موضع از بلاد </w:t>
      </w:r>
      <w:r>
        <w:rPr>
          <w:rStyle w:val="FootnoteAnchor"/>
          <w:rtl w:val="true"/>
        </w:rPr>
        <w:footnoteReference w:id="1278"/>
      </w:r>
      <w:r>
        <w:rPr>
          <w:rFonts w:ascii="IRNazanin" w:hAnsi="IRNazanin" w:eastAsia="IRNazanin"/>
          <w:color w:val="111111"/>
          <w:sz w:val="28"/>
          <w:sz w:val="28"/>
          <w:szCs w:val="28"/>
          <w:rtl w:val="true"/>
          <w:lang w:bidi="fa-IR"/>
        </w:rPr>
        <w:t xml:space="preserve">بلکه در صحراها </w:t>
      </w:r>
      <w:r>
        <w:rPr>
          <w:rStyle w:val="FootnoteAnchor"/>
          <w:rtl w:val="true"/>
        </w:rPr>
        <w:footnoteReference w:id="1279"/>
      </w:r>
      <w:r>
        <w:rPr>
          <w:rFonts w:ascii="IRNazanin" w:hAnsi="IRNazanin" w:eastAsia="IRNazanin"/>
          <w:color w:val="111111"/>
          <w:sz w:val="28"/>
          <w:sz w:val="28"/>
          <w:szCs w:val="28"/>
          <w:rtl w:val="true"/>
          <w:lang w:bidi="fa-IR"/>
        </w:rPr>
        <w:t xml:space="preserve">و رؤوس جبال از أعمال فاضله و مندوبه مؤکّده است هرچند آن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1280"/>
      </w:r>
      <w:r>
        <w:rPr>
          <w:rFonts w:ascii="IRNazanin" w:hAnsi="IRNazanin" w:eastAsia="IRNazanin"/>
          <w:color w:val="111111"/>
          <w:sz w:val="28"/>
          <w:sz w:val="28"/>
          <w:szCs w:val="28"/>
          <w:rtl w:val="true"/>
          <w:lang w:bidi="fa-IR"/>
        </w:rPr>
        <w:t xml:space="preserve">در غایت صغر و کوچکی بوده باشد و لکن تحقّق و ثبوت مسجد شدن یک قطعه از زمین در سابقه عنایت أزلیّه همچنین مقضی و مقدّر شده است که بدون بودن </w:t>
      </w:r>
      <w:r>
        <w:rPr>
          <w:rStyle w:val="FootnoteAnchor"/>
          <w:rtl w:val="true"/>
        </w:rPr>
        <w:footnoteReference w:id="1281"/>
      </w:r>
      <w:r>
        <w:rPr>
          <w:rFonts w:ascii="Amiri" w:hAnsi="Amiri" w:eastAsia="Amiri" w:cs="Amiri"/>
          <w:color w:val="111111"/>
          <w:sz w:val="28"/>
          <w:sz w:val="28"/>
          <w:szCs w:val="28"/>
          <w:rtl w:val="true"/>
          <w:lang w:bidi="ar-SA"/>
        </w:rPr>
        <w:t xml:space="preserve">قبر نبیّی </w:t>
      </w:r>
      <w:r>
        <w:rPr>
          <w:rStyle w:val="FootnoteAnchor"/>
          <w:rtl w:val="true"/>
        </w:rPr>
        <w:footnoteReference w:id="1282"/>
      </w:r>
      <w:r>
        <w:rPr>
          <w:rFonts w:ascii="IRNazanin" w:hAnsi="IRNazanin" w:eastAsia="IRNazanin"/>
          <w:color w:val="111111"/>
          <w:sz w:val="28"/>
          <w:sz w:val="28"/>
          <w:szCs w:val="28"/>
          <w:rtl w:val="true"/>
          <w:lang w:bidi="fa-IR"/>
        </w:rPr>
        <w:t xml:space="preserve">از أنبیآء در آنجا یا بدون رسیدن یک قطره یا یک ذرّه از خون وصیّ معصوم مقتول به آنجا ممکن و میسّر و مقدّر </w:t>
      </w:r>
      <w:r>
        <w:rPr>
          <w:rStyle w:val="FootnoteAnchor"/>
          <w:rtl w:val="true"/>
        </w:rPr>
        <w:footnoteReference w:id="1283"/>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هرجا که </w:t>
      </w:r>
      <w:r>
        <w:rPr>
          <w:rStyle w:val="FootnoteAnchor"/>
          <w:rtl w:val="true"/>
        </w:rPr>
        <w:footnoteReference w:id="1284"/>
      </w:r>
      <w:r>
        <w:rPr>
          <w:rFonts w:ascii="IRNazanin" w:hAnsi="IRNazanin" w:eastAsia="IRNazanin"/>
          <w:color w:val="111111"/>
          <w:sz w:val="28"/>
          <w:sz w:val="28"/>
          <w:szCs w:val="28"/>
          <w:rtl w:val="true"/>
          <w:lang w:bidi="fa-IR"/>
        </w:rPr>
        <w:t xml:space="preserve">مسجد بنا شده است یا خواهد شد تا انقراض عالم یک قطره از خون وصیّ معصوم شهید رسیده است به آنجا یا </w:t>
      </w:r>
      <w:r>
        <w:rPr>
          <w:rStyle w:val="FootnoteAnchor"/>
          <w:rtl w:val="true"/>
        </w:rPr>
        <w:footnoteReference w:id="1285"/>
      </w:r>
      <w:r>
        <w:rPr>
          <w:rFonts w:ascii="Amiri" w:hAnsi="Amiri" w:eastAsia="Amiri" w:cs="Amiri"/>
          <w:color w:val="111111"/>
          <w:sz w:val="28"/>
          <w:sz w:val="28"/>
          <w:szCs w:val="28"/>
          <w:rtl w:val="true"/>
          <w:lang w:bidi="ar-SA"/>
        </w:rPr>
        <w:t xml:space="preserve">قبر نبیّی </w:t>
      </w:r>
      <w:r>
        <w:rPr>
          <w:rStyle w:val="FootnoteAnchor"/>
          <w:rtl w:val="true"/>
        </w:rPr>
        <w:footnoteReference w:id="1286"/>
      </w:r>
      <w:r>
        <w:rPr>
          <w:rFonts w:ascii="IRNazanin" w:hAnsi="IRNazanin" w:eastAsia="IRNazanin"/>
          <w:color w:val="111111"/>
          <w:sz w:val="28"/>
          <w:sz w:val="28"/>
          <w:szCs w:val="28"/>
          <w:rtl w:val="true"/>
          <w:lang w:bidi="fa-IR"/>
        </w:rPr>
        <w:t>از أنبیآء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سؤال کنید </w:t>
      </w:r>
      <w:r>
        <w:rPr>
          <w:rStyle w:val="FootnoteAnchor"/>
          <w:rtl w:val="true"/>
        </w:rPr>
        <w:footnoteReference w:id="1287"/>
      </w:r>
      <w:r>
        <w:rPr>
          <w:rFonts w:ascii="IRNazanin" w:hAnsi="IRNazanin" w:eastAsia="IRNazanin"/>
          <w:color w:val="111111"/>
          <w:sz w:val="28"/>
          <w:sz w:val="28"/>
          <w:szCs w:val="28"/>
          <w:rtl w:val="true"/>
          <w:lang w:bidi="fa-IR"/>
        </w:rPr>
        <w:t xml:space="preserve">که در این حدیث شریف طاهر بودن </w:t>
      </w:r>
      <w:r>
        <w:rPr>
          <w:rStyle w:val="FootnoteAnchor"/>
          <w:rtl w:val="true"/>
        </w:rPr>
        <w:footnoteReference w:id="1288"/>
      </w:r>
      <w:r>
        <w:rPr>
          <w:rFonts w:ascii="IRNazanin" w:hAnsi="IRNazanin" w:eastAsia="IRNazanin"/>
          <w:color w:val="111111"/>
          <w:sz w:val="28"/>
          <w:sz w:val="28"/>
          <w:szCs w:val="28"/>
          <w:rtl w:val="true"/>
          <w:lang w:bidi="fa-IR"/>
        </w:rPr>
        <w:t xml:space="preserve">خون معصوم،خواه نبی باشد و خواه وصی،ذکر نشده است،پس چه‌طور جناب سیّد </w:t>
      </w:r>
      <w:r>
        <w:rPr>
          <w:rStyle w:val="FootnoteAnchor"/>
          <w:rtl w:val="true"/>
        </w:rPr>
        <w:footnoteReference w:id="1289"/>
      </w:r>
      <w:r>
        <w:rPr>
          <w:rFonts w:ascii="IRNazanin" w:hAnsi="IRNazanin" w:eastAsia="IRNazanin"/>
          <w:color w:val="111111"/>
          <w:sz w:val="28"/>
          <w:sz w:val="28"/>
          <w:szCs w:val="28"/>
          <w:rtl w:val="true"/>
          <w:lang w:bidi="fa-IR"/>
        </w:rPr>
        <w:t xml:space="preserve">أجلّ و أنبل آقا </w:t>
      </w:r>
      <w:r>
        <w:rPr>
          <w:rStyle w:val="FootnoteAnchor"/>
          <w:rtl w:val="true"/>
        </w:rPr>
        <w:footnoteReference w:id="1290"/>
      </w:r>
      <w:r>
        <w:rPr>
          <w:rFonts w:ascii="IRNazanin" w:hAnsi="IRNazanin" w:eastAsia="IRNazanin"/>
          <w:color w:val="111111"/>
          <w:sz w:val="28"/>
          <w:sz w:val="28"/>
          <w:szCs w:val="28"/>
          <w:rtl w:val="true"/>
          <w:lang w:bidi="fa-IR"/>
        </w:rPr>
        <w:t xml:space="preserve">سیّد مهدی طباطبائی و همچنین خودت استدلال می‌کنید به این حدیث شریف بر </w:t>
      </w:r>
      <w:r>
        <w:rPr>
          <w:rStyle w:val="FootnoteAnchor"/>
          <w:rtl w:val="true"/>
        </w:rPr>
        <w:footnoteReference w:id="1291"/>
      </w:r>
      <w:r>
        <w:rPr>
          <w:rFonts w:ascii="IRNazanin" w:hAnsi="IRNazanin" w:eastAsia="IRNazanin"/>
          <w:color w:val="111111"/>
          <w:sz w:val="28"/>
          <w:sz w:val="28"/>
          <w:szCs w:val="28"/>
          <w:rtl w:val="true"/>
          <w:lang w:bidi="fa-IR"/>
        </w:rPr>
        <w:t>طاهر و مطهّر بودن خون معصوم،پس در جواب این سؤال می‌گوئیم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 xml:space="preserve">یا نفهمیده عبارت مشهوره </w:t>
      </w:r>
      <w:r>
        <w:rPr>
          <w:rStyle w:val="FootnoteAnchor"/>
          <w:rtl w:val="true"/>
        </w:rPr>
        <w:footnoteReference w:id="1293"/>
      </w:r>
      <w:r>
        <w:rPr>
          <w:rFonts w:ascii="IRNazanin" w:hAnsi="IRNazanin" w:eastAsia="IRNazanin"/>
          <w:color w:val="111111"/>
          <w:sz w:val="28"/>
          <w:sz w:val="28"/>
          <w:szCs w:val="28"/>
          <w:rtl w:val="true"/>
          <w:lang w:bidi="fa-IR"/>
        </w:rPr>
        <w:t xml:space="preserve">در ألسنه را </w:t>
      </w:r>
      <w:r>
        <w:rPr>
          <w:rStyle w:val="FootnoteAnchor"/>
          <w:rtl w:val="true"/>
        </w:rPr>
        <w:footnoteReference w:id="1294"/>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الکنایة أبلغ من التّصریح؛زیرا که این‌قدر </w:t>
      </w:r>
      <w:r>
        <w:rPr>
          <w:rStyle w:val="FootnoteAnchor"/>
          <w:rtl w:val="true"/>
        </w:rPr>
        <w:footnoteReference w:id="1295"/>
      </w:r>
      <w:r>
        <w:rPr>
          <w:rFonts w:ascii="IRNazanin" w:hAnsi="IRNazanin" w:eastAsia="IRNazanin"/>
          <w:color w:val="111111"/>
          <w:sz w:val="28"/>
          <w:sz w:val="28"/>
          <w:szCs w:val="28"/>
          <w:rtl w:val="true"/>
          <w:lang w:bidi="fa-IR"/>
        </w:rPr>
        <w:t xml:space="preserve">جلالت و علوّ رتبت آن زمین </w:t>
      </w:r>
      <w:r>
        <w:rPr>
          <w:rStyle w:val="FootnoteAnchor"/>
          <w:rtl w:val="true"/>
        </w:rPr>
        <w:footnoteReference w:id="1296"/>
      </w:r>
      <w:r>
        <w:rPr>
          <w:rFonts w:ascii="IRNazanin" w:hAnsi="IRNazanin" w:eastAsia="IRNazanin"/>
          <w:color w:val="111111"/>
          <w:sz w:val="28"/>
          <w:sz w:val="28"/>
          <w:szCs w:val="28"/>
          <w:rtl w:val="true"/>
          <w:lang w:bidi="fa-IR"/>
        </w:rPr>
        <w:t xml:space="preserve">که مسجد شده است به سبب </w:t>
      </w:r>
    </w:p>
    <w:p>
      <w:pPr>
        <w:pStyle w:val="BookText"/>
        <w:rPr/>
      </w:pPr>
      <w:r>
        <w:rPr>
          <w:rFonts w:ascii="IRNazanin" w:hAnsi="IRNazanin" w:eastAsia="IRNazanin"/>
          <w:color w:val="111111"/>
          <w:sz w:val="28"/>
          <w:sz w:val="28"/>
          <w:szCs w:val="28"/>
          <w:rtl w:val="true"/>
          <w:lang w:bidi="fa-IR"/>
        </w:rPr>
        <w:t xml:space="preserve">آن یک قطره خون است که به آن رسیده است و هر زمینی که خون آن </w:t>
      </w:r>
      <w:r>
        <w:rPr>
          <w:rStyle w:val="FootnoteAnchor"/>
          <w:rtl w:val="true"/>
        </w:rPr>
        <w:footnoteReference w:id="1297"/>
      </w:r>
      <w:r>
        <w:rPr>
          <w:rFonts w:ascii="IRNazanin" w:hAnsi="IRNazanin" w:eastAsia="IRNazanin"/>
          <w:color w:val="111111"/>
          <w:sz w:val="28"/>
          <w:sz w:val="28"/>
          <w:szCs w:val="28"/>
          <w:rtl w:val="true"/>
          <w:lang w:bidi="fa-IR"/>
        </w:rPr>
        <w:t xml:space="preserve">معصوم به آن نرسیده است مرتبه مسجد شدن و منزله </w:t>
      </w:r>
      <w:r>
        <w:rPr>
          <w:rStyle w:val="FootnoteAnchor"/>
          <w:rtl w:val="true"/>
        </w:rPr>
        <w:footnoteReference w:id="1298"/>
      </w:r>
      <w:r>
        <w:rPr>
          <w:rFonts w:ascii="IRNazanin" w:hAnsi="IRNazanin" w:eastAsia="IRNazanin"/>
          <w:color w:val="111111"/>
          <w:sz w:val="28"/>
          <w:sz w:val="28"/>
          <w:szCs w:val="28"/>
          <w:rtl w:val="true"/>
          <w:lang w:bidi="fa-IR"/>
        </w:rPr>
        <w:t>و شرافت معبد شدن برای آن مقدّر نشده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دلالت أبلغ و آکد </w:t>
      </w:r>
      <w:r>
        <w:rPr>
          <w:rStyle w:val="FootnoteAnchor"/>
          <w:rtl w:val="true"/>
        </w:rPr>
        <w:footnoteReference w:id="1299"/>
      </w:r>
      <w:r>
        <w:rPr>
          <w:rFonts w:ascii="IRNazanin" w:hAnsi="IRNazanin" w:eastAsia="IRNazanin"/>
          <w:color w:val="111111"/>
          <w:sz w:val="28"/>
          <w:sz w:val="28"/>
          <w:szCs w:val="28"/>
          <w:rtl w:val="true"/>
          <w:lang w:bidi="fa-IR"/>
        </w:rPr>
        <w:t xml:space="preserve">و أوثق و أمتن </w:t>
      </w:r>
      <w:r>
        <w:rPr>
          <w:rStyle w:val="FootnoteAnchor"/>
          <w:rtl w:val="true"/>
        </w:rPr>
        <w:footnoteReference w:id="1300"/>
      </w:r>
      <w:r>
        <w:rPr>
          <w:rFonts w:ascii="IRNazanin" w:hAnsi="IRNazanin" w:eastAsia="IRNazanin"/>
          <w:color w:val="111111"/>
          <w:sz w:val="28"/>
          <w:sz w:val="28"/>
          <w:szCs w:val="28"/>
          <w:rtl w:val="true"/>
          <w:lang w:bidi="fa-IR"/>
        </w:rPr>
        <w:t>کدام دلالت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می‌خواهی مطلب و مقصد از این درجه نیز أوضح و أبین باشد تأمّل و تدبّر کن در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301"/>
      </w:r>
      <w:r>
        <w:rPr>
          <w:rFonts w:ascii="IRNazanin" w:hAnsi="IRNazanin" w:eastAsia="IRNazanin"/>
          <w:color w:val="111111"/>
          <w:sz w:val="28"/>
          <w:sz w:val="28"/>
          <w:szCs w:val="28"/>
          <w:rtl w:val="true"/>
          <w:lang w:bidi="fa-IR"/>
        </w:rPr>
        <w:t xml:space="preserve">که إمام علیه السّلام </w:t>
      </w:r>
      <w:r>
        <w:rPr>
          <w:rStyle w:val="FootnoteAnchor"/>
          <w:rtl w:val="true"/>
        </w:rPr>
        <w:footnoteReference w:id="130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اللّه أن یذکر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معنی این فقره شریفه اینست که حق تعالی دوست می‌دارد به سبب شرافت و </w:t>
      </w:r>
      <w:r>
        <w:rPr>
          <w:rStyle w:val="FootnoteAnchor"/>
          <w:rtl w:val="true"/>
        </w:rPr>
        <w:footnoteReference w:id="1303"/>
      </w:r>
      <w:r>
        <w:rPr>
          <w:rFonts w:ascii="IRNazanin" w:hAnsi="IRNazanin" w:eastAsia="IRNazanin"/>
          <w:color w:val="111111"/>
          <w:sz w:val="28"/>
          <w:sz w:val="28"/>
          <w:szCs w:val="28"/>
          <w:rtl w:val="true"/>
          <w:lang w:bidi="fa-IR"/>
        </w:rPr>
        <w:t xml:space="preserve">قدر و علوّ منزلت و عظم درجه و احترام رسیدن یک قطره خون از </w:t>
      </w:r>
      <w:r>
        <w:rPr>
          <w:rStyle w:val="FootnoteAnchor"/>
          <w:rtl w:val="true"/>
        </w:rPr>
        <w:footnoteReference w:id="1304"/>
      </w:r>
      <w:r>
        <w:rPr>
          <w:rFonts w:ascii="IRNazanin" w:hAnsi="IRNazanin" w:eastAsia="IRNazanin"/>
          <w:color w:val="111111"/>
          <w:sz w:val="28"/>
          <w:sz w:val="28"/>
          <w:szCs w:val="28"/>
          <w:rtl w:val="true"/>
          <w:lang w:bidi="fa-IR"/>
        </w:rPr>
        <w:t xml:space="preserve">معصوم به آن موضع که آن موضع مسجد و معبد باشد که </w:t>
      </w:r>
      <w:r>
        <w:rPr>
          <w:rStyle w:val="FootnoteAnchor"/>
          <w:rtl w:val="true"/>
        </w:rPr>
        <w:footnoteReference w:id="1305"/>
      </w:r>
      <w:r>
        <w:rPr>
          <w:rFonts w:ascii="IRNazanin" w:hAnsi="IRNazanin" w:eastAsia="IRNazanin"/>
          <w:color w:val="111111"/>
          <w:sz w:val="28"/>
          <w:sz w:val="28"/>
          <w:szCs w:val="28"/>
          <w:rtl w:val="true"/>
          <w:lang w:bidi="fa-IR"/>
        </w:rPr>
        <w:t>مسلمین و مؤمنین در آنجا ذکر او را نمایند 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و أشرف قربات را،یعنی نماز را،در آنجا به عمل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 دلالت دلیلی از أدلّه شرعیّه از این دلالت أبلغ و آکد </w:t>
      </w:r>
      <w:r>
        <w:rPr>
          <w:rStyle w:val="FootnoteAnchor"/>
          <w:rtl w:val="true"/>
        </w:rPr>
        <w:footnoteReference w:id="1307"/>
      </w:r>
      <w:r>
        <w:rPr>
          <w:rFonts w:ascii="IRNazanin" w:hAnsi="IRNazanin" w:eastAsia="IRNazanin"/>
          <w:color w:val="111111"/>
          <w:sz w:val="28"/>
          <w:sz w:val="28"/>
          <w:szCs w:val="28"/>
          <w:rtl w:val="true"/>
          <w:lang w:bidi="fa-IR"/>
        </w:rPr>
        <w:t>و أوثق بلکه أوضح و أبین و أصرح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معلوم و واضح است در نزد هر عاقل و فرزانه، بلکه در نزد هر ذی شعوری که حق تعالی هیچ‌چیز را از أفراد پلیدی و زشتی و خباثت و نجاست از هر نوع و </w:t>
      </w:r>
      <w:r>
        <w:rPr>
          <w:rStyle w:val="FootnoteAnchor"/>
          <w:rtl w:val="true"/>
        </w:rPr>
        <w:footnoteReference w:id="1308"/>
      </w:r>
      <w:r>
        <w:rPr>
          <w:rFonts w:ascii="IRNazanin" w:hAnsi="IRNazanin" w:eastAsia="IRNazanin"/>
          <w:color w:val="111111"/>
          <w:sz w:val="28"/>
          <w:sz w:val="28"/>
          <w:szCs w:val="28"/>
          <w:rtl w:val="true"/>
          <w:lang w:bidi="fa-IR"/>
        </w:rPr>
        <w:t>هر صنف بوده باشد دوست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مطلب بحمد اللّه تبارک و تعالی کالشّمس فی رابعة </w:t>
      </w:r>
      <w:r>
        <w:rPr>
          <w:rStyle w:val="FootnoteAnchor"/>
          <w:rtl w:val="true"/>
        </w:rPr>
        <w:footnoteReference w:id="1309"/>
      </w:r>
      <w:r>
        <w:rPr>
          <w:rFonts w:ascii="IRNazanin" w:hAnsi="IRNazanin" w:eastAsia="IRNazanin"/>
          <w:color w:val="111111"/>
          <w:sz w:val="28"/>
          <w:sz w:val="28"/>
          <w:szCs w:val="28"/>
          <w:rtl w:val="true"/>
          <w:lang w:bidi="fa-IR"/>
        </w:rPr>
        <w:t xml:space="preserve">النّهار در حقّ خون جمیع أنبیآء و أوصیآء معصومین است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تمام شد عبارت آن مرحوم از کتاب سعادات النّاصریّه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شروع می‌نمایم به ذکر عبارات آن مرحوم از کتاب أسرار الشّهادة و اینست عبارت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صحح ابن عمر </w:t>
      </w:r>
      <w:r>
        <w:rPr>
          <w:rStyle w:val="FootnoteAnchor"/>
          <w:rtl w:val="true"/>
        </w:rPr>
        <w:footnoteReference w:id="1311"/>
      </w:r>
      <w:r>
        <w:rPr>
          <w:rFonts w:ascii="IRNazanin" w:hAnsi="IRNazanin" w:eastAsia="IRNazanin"/>
          <w:color w:val="111111"/>
          <w:sz w:val="28"/>
          <w:sz w:val="28"/>
          <w:szCs w:val="28"/>
          <w:rtl w:val="true"/>
          <w:lang w:bidi="fa-IR"/>
        </w:rPr>
        <w:t>عن رجل عن الصّادق علیه السّلام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أصلّی فی مساجدهم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ما من مسجد إلاّ و قد بنی علی قبر نبیّ أو وصیّ نبیّ قتل فأصاب تلک البقعة قطرة من دمه،فأحبّ اللّه أن یذکر فیها،فأدّوا فیها الفرائض </w:t>
      </w:r>
      <w:r>
        <w:rPr>
          <w:rStyle w:val="FootnoteAnchor"/>
          <w:rtl w:val="true"/>
        </w:rPr>
        <w:footnoteReference w:id="1312"/>
      </w:r>
      <w:r>
        <w:rPr>
          <w:rFonts w:ascii="IRNazanin" w:hAnsi="IRNazanin" w:eastAsia="IRNazanin"/>
          <w:color w:val="111111"/>
          <w:sz w:val="28"/>
          <w:sz w:val="28"/>
          <w:szCs w:val="28"/>
          <w:rtl w:val="true"/>
          <w:lang w:bidi="fa-IR"/>
        </w:rPr>
        <w:t>و أکثروا فیها من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الاستدلال بهذا الخبر ظاهر،لأنّه قد استفید منه إنّ العلّة فی فضل المساجد، أیّ مسجد کان،أی من المساجد الصّغار فی محلاّت البلاد و القری إلی المساجد العظام حتّی تنتهی إلی مسجد الحرمین و مسجد بیت المقدس و مسجد الکوفة هی ما أشیر إلیه فی الخبر من أنّ المساجد لا تبنی إلاّ علی قبر نبیّ أو وصیّ نبیّ و </w:t>
      </w:r>
      <w:r>
        <w:rPr>
          <w:rStyle w:val="FootnoteAnchor"/>
          <w:rtl w:val="true"/>
        </w:rPr>
        <w:footnoteReference w:id="1313"/>
      </w:r>
      <w:r>
        <w:rPr>
          <w:rFonts w:ascii="IRNazanin" w:hAnsi="IRNazanin" w:eastAsia="IRNazanin"/>
          <w:color w:val="111111"/>
          <w:sz w:val="28"/>
          <w:sz w:val="28"/>
          <w:szCs w:val="28"/>
          <w:rtl w:val="true"/>
          <w:lang w:bidi="fa-IR"/>
        </w:rPr>
        <w:t>علی ما فیه قطرة من دم نبیّ أو وصیّ نبیّ؛و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التّفاوت و الاختلاف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بحسب مراتب الفضل و درجات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انبعث من التّفاوت و الاختلاف فیما بنی علیه المساجد،بمعنی أنّ أیّ مسجد من المساجد کان مدفن جمع من الأنبیآء و الأوصیآء و ذلک کالحرمین و مسجد بیت المقدس و مسجد الکوفة کان أشرف منزلة و أعظم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الحال فیما یلی ذلک،بمعنی أنّ کلّ مسجد من المساجد الّتی فی سائر </w:t>
      </w:r>
      <w:r>
        <w:rPr>
          <w:rStyle w:val="FootnoteAnchor"/>
          <w:rtl w:val="true"/>
        </w:rPr>
        <w:footnoteReference w:id="1314"/>
      </w:r>
      <w:r>
        <w:rPr>
          <w:rFonts w:ascii="IRNazanin" w:hAnsi="IRNazanin" w:eastAsia="IRNazanin"/>
          <w:color w:val="111111"/>
          <w:sz w:val="28"/>
          <w:sz w:val="28"/>
          <w:szCs w:val="28"/>
          <w:rtl w:val="true"/>
          <w:lang w:bidi="fa-IR"/>
        </w:rPr>
        <w:t>البلاد إن کان بنی علی قبر نبیّ أو وصیّ نبیّ،کان مسجدا أعظم فی ذلک البلد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یکون مسجدا أعظم فی ذلک البلد،إن کانت الدّمآء المصبوبة </w:t>
      </w:r>
      <w:r>
        <w:rPr>
          <w:rStyle w:val="FootnoteAnchor"/>
          <w:rtl w:val="true"/>
        </w:rPr>
        <w:footnoteReference w:id="1315"/>
      </w:r>
      <w:r>
        <w:rPr>
          <w:rFonts w:ascii="Amiri" w:hAnsi="Amiri" w:eastAsia="Amiri" w:cs="Amiri"/>
          <w:color w:val="111111"/>
          <w:sz w:val="28"/>
          <w:sz w:val="28"/>
          <w:szCs w:val="28"/>
          <w:rtl w:val="true"/>
          <w:lang w:bidi="ar-SA"/>
        </w:rPr>
        <w:t xml:space="preserve">فیه من نبیّ أو وصیّ </w:t>
      </w:r>
    </w:p>
    <w:p>
      <w:pPr>
        <w:pStyle w:val="BookText"/>
        <w:rPr/>
      </w:pPr>
      <w:r>
        <w:rPr>
          <w:rFonts w:ascii="IRNazanin" w:hAnsi="IRNazanin" w:eastAsia="IRNazanin"/>
          <w:color w:val="111111"/>
          <w:sz w:val="28"/>
          <w:sz w:val="28"/>
          <w:szCs w:val="28"/>
          <w:rtl w:val="true"/>
          <w:lang w:bidi="fa-IR"/>
        </w:rPr>
        <w:t xml:space="preserve">نبیّ أکثر من الدّماء المصبوبة </w:t>
      </w:r>
      <w:r>
        <w:rPr>
          <w:rStyle w:val="FootnoteAnchor"/>
          <w:rtl w:val="true"/>
        </w:rPr>
        <w:footnoteReference w:id="1316"/>
      </w:r>
      <w:r>
        <w:rPr>
          <w:rFonts w:ascii="IRNazanin" w:hAnsi="IRNazanin" w:eastAsia="IRNazanin"/>
          <w:color w:val="111111"/>
          <w:sz w:val="28"/>
          <w:sz w:val="28"/>
          <w:szCs w:val="28"/>
          <w:rtl w:val="true"/>
          <w:lang w:bidi="fa-IR"/>
        </w:rPr>
        <w:t xml:space="preserve">فی سائر </w:t>
      </w:r>
      <w:r>
        <w:rPr>
          <w:rStyle w:val="FootnoteAnchor"/>
          <w:rtl w:val="true"/>
        </w:rPr>
        <w:footnoteReference w:id="1317"/>
      </w:r>
      <w:r>
        <w:rPr>
          <w:rFonts w:ascii="IRNazanin" w:hAnsi="IRNazanin" w:eastAsia="IRNazanin"/>
          <w:color w:val="111111"/>
          <w:sz w:val="28"/>
          <w:sz w:val="28"/>
          <w:szCs w:val="28"/>
          <w:rtl w:val="true"/>
          <w:lang w:bidi="fa-IR"/>
        </w:rPr>
        <w:t>مساجد ذلک البلد،فهذه القطرات من دمآء نبیّ أو وصیّ نبیّ قد توجد فی ذلک المکان بنقل الملائکة إیّاها من مقتل النّبیّ صلّی اللّه علیه و آله أو الوصیّ علیه السّلام إلی ذلک المکان و إن کانت المسافة بینهما بعیدة،ثمّ انّ کلّ مسجد یکون فیه الدّم قلیلا یکون مسجد محلّة أو سوق أو قریة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فإنّه لا یوجد فی وجه الأرض مسجد إلاّ أنّه قد بنی علی قبر جمع من الأنبیآء،أو علی قبر جمع من الأوصیآء،أو علی قبر نبیّ واحد أو وصیّ واحد،أو علی قطرات من دم نبیّ أو وصیّ،أو علی قطرة واحدة من نبیّ أو علی قطرة واحدة من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علمت أنّ اختلاف المثوبات و الدّرجات فی الصّلوة فی المساجد إنّما انبعث عن عظم قدر المسجد و کثرة شرفه،و هکذا عن صغر قدر المسجد و قلّة شرفه،و أنّ الاختلاف و التّفاوت بحسب عظم القدر و کثرة الشّرف و صغر القدر و قلّة الشّرف إنّما انبعث عن الاختلاف و التّفاوت فیما أشرنا إلیه،کنت علی یقین و قطع بما أشرنا إلیه من أنّ الصّلوة عند قبر رسول اللّه صلّی اللّه علیه و آله و هکذا عند قبور آله المعصومین ممّا لا حدّ و لا حصر لفضله و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هذا الخبر الشّریف یفید أمورا مهمّة و أحکاما کثیرة،فنشیر هاهنا </w:t>
      </w:r>
      <w:r>
        <w:rPr>
          <w:rStyle w:val="FootnoteAnchor"/>
          <w:rtl w:val="true"/>
        </w:rPr>
        <w:footnoteReference w:id="1318"/>
      </w:r>
      <w:r>
        <w:rPr>
          <w:rFonts w:ascii="IRNazanin" w:hAnsi="IRNazanin" w:eastAsia="IRNazanin"/>
          <w:color w:val="111111"/>
          <w:sz w:val="28"/>
          <w:sz w:val="28"/>
          <w:szCs w:val="28"/>
          <w:rtl w:val="true"/>
          <w:lang w:bidi="fa-IR"/>
        </w:rPr>
        <w:t>إلی بعض منها،و ذلک مثل طهارة دم نبیّ أو وصیّ نبیّ قتل و هذا یستفاد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تلک البقعة قطرة من دمه فأحبّ اللّه أن یذکر فیها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التّقریب ظاهر،فإنّ محبّة اللّه لتلک البقعة قد فرع علی إصابة الدّم إیّاها،فاللّه تعالی لا یحبّ الرّجس مطلقا،و یمکن التّعمیم بعد ذلک بأن یشمل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 کلّ الأنبیآء و دماء کلّ الأوصیآء بعدم القول بالفصل،و هذا المطلب بالنّسبة إلی دمآء نبیّنا و آله المعصومین صلوات اللّه علیه و علیهم أجمعین ممّا لا إشکال فیه،فیدلّ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الآیة </w:t>
      </w:r>
    </w:p>
    <w:p>
      <w:pPr>
        <w:pStyle w:val="BookText"/>
        <w:rPr/>
      </w:pPr>
      <w:r>
        <w:rPr>
          <w:rFonts w:ascii="IRNazanin" w:hAnsi="IRNazanin" w:eastAsia="IRNazanin"/>
          <w:color w:val="111111"/>
          <w:sz w:val="28"/>
          <w:sz w:val="28"/>
          <w:szCs w:val="28"/>
          <w:rtl w:val="true"/>
          <w:lang w:bidi="fa-IR"/>
        </w:rPr>
        <w:t>کما أنّها من الأدلّة القاطعة لعصمة أهل الکساء،فکذا إنّها من الأدلّة الدّالة علی مطلبنا هذا، فهذا المطلب ممّا یستفاد من جملة کثیرة من فقرات الأدعیة و الزّیارات،بل إنّ المستفاد من جملة من فقرات جملة من الزّیارات طهارة دمآء المستشهدین بین یدی سیّد الشّهداء أیضا و لکن دمآئهم الّتی سفکت فی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أراد أن یطّلع علی البسط فی شرح هذا الخبر فعلیه المراجعة إلی کتابنا شرح المنظومة فی فقه الإمامیّة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شد عبارات آن مرحوم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فارسی عمدة الفقهاء،وحید العصر،مرجع الخواص و العوام، جناب آقا شیخ زین العابدین کربلائی </w:t>
      </w:r>
      <w:r>
        <w:rPr>
          <w:rStyle w:val="FootnoteAnchor"/>
          <w:rtl w:val="true"/>
        </w:rPr>
        <w:footnoteReference w:id="1322"/>
      </w:r>
      <w:r>
        <w:rPr>
          <w:rFonts w:ascii="IRNazanin" w:hAnsi="IRNazanin" w:eastAsia="IRNazanin"/>
          <w:color w:val="111111"/>
          <w:sz w:val="28"/>
          <w:sz w:val="28"/>
          <w:szCs w:val="28"/>
          <w:rtl w:val="true"/>
          <w:lang w:bidi="fa-IR"/>
        </w:rPr>
        <w:t xml:space="preserve">به دست حقیر آمد </w:t>
      </w:r>
      <w:r>
        <w:rPr>
          <w:rStyle w:val="FootnoteAnchor"/>
          <w:rtl w:val="true"/>
        </w:rPr>
        <w:footnoteReference w:id="1323"/>
      </w:r>
      <w:r>
        <w:rPr>
          <w:rFonts w:ascii="IRNazanin" w:hAnsi="IRNazanin" w:eastAsia="IRNazanin"/>
          <w:color w:val="111111"/>
          <w:sz w:val="28"/>
          <w:sz w:val="28"/>
          <w:szCs w:val="28"/>
          <w:rtl w:val="true"/>
          <w:lang w:bidi="fa-IR"/>
        </w:rPr>
        <w:t>و اینست عبارت آن</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خون و فضلات أئمّه روحی لهم الفداء،پس نجس به معنی خبیث نیست،بلکه تبرّک به آنها باید نمود و لکن باید شست از جهت پیروی ایشان و امتثال فرمایش ایشان مثل این‌که بدن پیغمبر صلّی اللّه علیه و آله و إمام را باید غسل داد بعد از ممات از جهت فرمایش ایشان با اینکه </w:t>
      </w:r>
      <w:r>
        <w:rPr>
          <w:rStyle w:val="FootnoteAnchor"/>
          <w:rtl w:val="true"/>
        </w:rPr>
        <w:footnoteReference w:id="1324"/>
      </w:r>
      <w:r>
        <w:rPr>
          <w:rFonts w:ascii="IRNazanin" w:hAnsi="IRNazanin" w:eastAsia="IRNazanin"/>
          <w:color w:val="111111"/>
          <w:sz w:val="28"/>
          <w:sz w:val="28"/>
          <w:szCs w:val="28"/>
          <w:rtl w:val="true"/>
          <w:lang w:bidi="fa-IR"/>
        </w:rPr>
        <w:t>بدن ایشان أطهر أبدان می‌باشد حتّی آنکه بعد از فوت پیغمبر صلّی اللّه علیه و آله ندائی ظاهر شد که بدن پیغمبر را غسل ندهید که حاجت به غسل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أمیر علیه السّلام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ازین نداء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که خود آن حضرت وصیّت فرموده که او را غسل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شستن به جهت این‌که خود ایشان می‌شستند و أمر به شستن می‌نمودند و أبدا إظهار به این‌که حاجت به شستن نیست نکرده‌اند حتّی این‌که از أبی بصیر که بی‌چشم بود منقول است که روزی داخل شدم بر مولای خود إمام محمّد باقر علیه السّلام و آن بزرگوار مشغول نماز بوده؛پس عصاکش من به من گفت که در جامه حضرت خون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بزرگوار از نماز فارغ شد عرض کردم که عصاکش من به من گفت که جامه شما خون‌آلوده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نفرمودند که خون ما أهل بیت پاک است و حاجت به شستن ندارد با این‌که مانعی به حسب ظاهر نبوده،بلکه عذر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دمل زیاد دارم و نمی‌شویم جامه را تا این‌که خوب شود</w:t>
      </w:r>
      <w:r>
        <w:rPr>
          <w:rFonts w:eastAsia="IRNazanin" w:cs="IRNazanin"/>
          <w:color w:val="111111"/>
          <w:sz w:val="28"/>
          <w:szCs w:val="28"/>
          <w:rtl w:val="true"/>
          <w:lang w:bidi="fa-IR"/>
        </w:rPr>
        <w:t xml:space="preserve">». </w:t>
      </w:r>
      <w:r>
        <w:rPr>
          <w:rStyle w:val="FootnoteAnchor"/>
          <w:rtl w:val="true"/>
        </w:rPr>
        <w:footnoteReference w:id="132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عاقل لبیب و صاحب ذوق سلیم و دوست حقیقی ایشان بعد از مطالعه این </w:t>
      </w:r>
    </w:p>
    <w:p>
      <w:pPr>
        <w:pStyle w:val="BookText"/>
        <w:rPr/>
      </w:pPr>
      <w:r>
        <w:rPr>
          <w:rFonts w:ascii="IRNazanin" w:hAnsi="IRNazanin" w:eastAsia="IRNazanin"/>
          <w:color w:val="111111"/>
          <w:sz w:val="28"/>
          <w:sz w:val="28"/>
          <w:szCs w:val="28"/>
          <w:rtl w:val="true"/>
          <w:lang w:bidi="fa-IR"/>
        </w:rPr>
        <w:t>کتاب شبهه از برای او باقی نخواهد ماند که دماء آن أنوار مقدّسه إلهیّه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و أطیب أشیاء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اعتقادی،فمن شآء فلیؤمن و من شآء فلیکفر؛و صلّی اللّه علی محمّد و آله الطّاهرین،و لعنة اللّه علی أعدائهم و منکری فضائلهم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الرّسالة الشّریفة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الطّاهریّة علی ید أحقر المحبّین و المخلصین سیّد محمود بن محمّد مهدی غفر اللّه لهما فی سنة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مؤلّف بر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مؤلّف خود مقابله نمودم این نسخه را با نسخه أصل خود؛مطابق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مهر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مجرمم عبد الرّحیم</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2937_139425"/>
      <w:bookmarkStart w:id="503" w:name="pg12937_139425"/>
      <w:bookmarkEnd w:id="503"/>
    </w:p>
    <w:p>
      <w:pPr>
        <w:pStyle w:val="Heading3"/>
        <w:numPr>
          <w:ilvl w:val="2"/>
          <w:numId w:val="1"/>
        </w:numPr>
        <w:rPr/>
      </w:pPr>
      <w:bookmarkStart w:id="504" w:name="pg12937_139425"/>
      <w:bookmarkStart w:id="505" w:name="__RefHeading___Toc4067151_3224264995"/>
      <w:bookmarkStart w:id="506" w:name="_Toc189"/>
      <w:bookmarkEnd w:id="504"/>
      <w:bookmarkEnd w:id="505"/>
      <w:r>
        <w:rPr>
          <w:rtl w:val="true"/>
        </w:rPr>
        <w:t>کتابنامه پژوهش</w:t>
      </w:r>
      <w:bookmarkEnd w:id="506"/>
    </w:p>
    <w:p>
      <w:pPr>
        <w:pStyle w:val="BookText"/>
        <w:rPr/>
      </w:pPr>
      <w:r>
        <w:rPr>
          <w:rStyle w:val="FootnoteAnchor"/>
          <w:rtl w:val="true"/>
        </w:rPr>
        <w:footnoteReference w:id="132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أمّ المؤمنین عائشه،السّیّد مرتضی العسکریّ،ج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المجمع العلمیّ الإسلامیّ،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اتّهام و رفع 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موسی حائری اسکوئی</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محمّد عیدی خسروشاهی،ج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روشن ضمیر،</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استفتائات،آیة اللّه عبد اللّه جوادی آملی،چ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نشر إسراء،تابستان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أبو الحسن علی بن أبی الکرم محمّد بن محمّد بن عبد الکریم بن عبد الواحد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رسالة الاعتقادات شیخ بهاء الدّین محمّد عاملی،به همراه سه ترجمه و شرح فارسی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و پژوهش جویا جهانبخش،چ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أساطیر،</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الشّیعة،السّیّد محسن الأمین،حقّقه 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الأمین،بیروت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إکسیر العبادات فی أسرار الشّهادات،الشّیخ آغا بن عابد الشّیروانیّ الحائریّ </w:t>
      </w:r>
    </w:p>
    <w:p>
      <w:pPr>
        <w:pStyle w:val="BookText"/>
        <w:rPr/>
      </w:pP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جمعه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ملاّ عطیّه الجمری،ط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ذوی القربی،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 المثانی،ابن أبی عاصم</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باسم فیصل أحمد الجوابرة،ط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الدّرایة،</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الحسینیّة،آیة اللّه حاج میرزا محمّد إشراقی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 و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أسوه،</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محمّد بن النّعمان العکبریّ البغدادیّ</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 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الأعلام،خیر الدّین الزّرکلی،ط</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فیما تضمّنه الکشّاف من الاعتزال،ناصر الدّین أحمد بن محمّد بن المنیر الاسکندریّ المالکیّ؛مطبوع در ذیل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الإلهیّة فی المسائل العقائدیّة،آیة اللّه المیرزا جواد التّبریزیّ،ط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الصّدّیقة الشّهیدة سلام اللّه علیها،</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النّهایة،أبو الفداء إسماعیل بن کثیر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دقّق أصوله و علّق 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القرآن،شیخ الطّائفة أبو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حبیب قصیر العاملیّ،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إلی الإمام أبی محمّد الحسن بن علیّ العسکریّ علیهم السّلام، </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 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الموحّد الأبطحیّ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الحبیر فی تخریج الرّافعیّ الکبیر،أبو الفضل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إلهیّات الشّرح الجدید للتّجرید،المولی أحمد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العابدیّ،ط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انتشارات دفتر تبلیغات إسلامی حوزه علمیّه 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 المتین،الشّیخ بهاء الدّین محمّد بن الحسین بن عبد الصّمد الحارثیّ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فی أحکام العترة الطّاهرة،یوسف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 علّق علیه و أشرف علی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تقی الایروانیّ،ج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الجرائح،قطب الدّین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الإمام المهدی علیه السّلام،قم</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اللّبیب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الخلاف،شیخ الطّائفة أبو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جماعة من المحقّقین،ج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الرّفیعة فی طبقات الشّیعة،صدر الدّین السّیّد علی خان المدنی الشّیرازیّ الحسینیّ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محمّد صادق بحر العلوم،ط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بصیرتی،</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النّجفیّة،آیة اللّه السّید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الدّیباج علی صحیح مسلم بن الحجّاج،جلال الدّین عبد الرّحمن بن أبی بکر </w:t>
      </w:r>
    </w:p>
    <w:p>
      <w:pPr>
        <w:pStyle w:val="BookText"/>
        <w:rPr/>
      </w:pPr>
      <w:r>
        <w:rPr>
          <w:rFonts w:ascii="IRNazanin" w:hAnsi="IRNazanin" w:eastAsia="IRNazanin"/>
          <w:color w:val="111111"/>
          <w:sz w:val="28"/>
          <w:sz w:val="28"/>
          <w:szCs w:val="28"/>
          <w:rtl w:val="true"/>
          <w:lang w:bidi="fa-IR"/>
        </w:rPr>
        <w:t>السّیوطی،حقّقه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إسحاق الحوینی الأثری،ج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،دار ابن عفّان،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الشّیعة،الشّیخ آقا بزرگ الطّهرانیّ،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الشّیعة،الشّیخ آقا بزرگ الطّهرانیّ،ج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 تنسیق و 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الأضواء،</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السّرائر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الکبری،أبو بکر أحمد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الحلبیّة،الحلبی،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 الثّواقب لرجم شیاطین النّواصب،محمّد بن عبد علی آل عبد الجبّار القطیفی،تحقیق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 السّنان،ط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الحکمة الإسلامیّة،عبد الرّسول زین الدّین،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حماد الجوهریّ،تحقیق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عبد الغفور عطّار،ط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مقارن لأهمّ موضوعاتها من مصادر السّنّة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بإعداده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للدّراسات الإسلامیّة،ط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للدّراسات الإسلامیّة،</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الغدیر،علاّمه شیخ عبد الحسین أمینی نجفی،ترجمه أکبر ثبوت،ج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بعثت،</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الأدب،عبد الحسین أحمد الأمینیّ النّجفیّ،بیروت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أصول الأئمّة،محمّد بن الحسن الحرّ العاملیّ،تحقیق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الحسین القائینی،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معارف إسلامی إمام رضا علیه السّلام،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أحمد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وثّق أصوله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الغریری،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و وقعة الجمل،روایة سیف بن عمر الضبی الأسدی،جمع و 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راتب عرموش،ط</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النّفائس،</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المدنیّة،المولی محمّد أمین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الشّواهد المکّیّة،السّیّد نور الدّین الموسویّ العاملیّ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الرّحمتیّ الأراکی،ط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الإسلامیّ،</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الکافی،أبو جعفر محمّد بن یعقوب بن إسحاق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 قابله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أبو الحسن علیّ بن أبی الکرم محمّد بن محمّد بن عبد الکریم بن عبد الواحد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 عیون الأقاویل فی وجوه التّأویل،أبو القاسم جار اللّه محمود بن عمر الزّمخشریّ الخوارزمیّ</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مکتبة و مطبعة مصطفی البابی الحلبیّ و أولاده بمصر،</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البیضاء فی شرح خطبة الزّهراء علیها السّلام،المولی محمّد علیّ بن أحمد القراچه داغی التّبریزیّ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المیلانیّ،ط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نشر الهادی،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زکریّا محیی الدّین بن شرف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المراجعات،عبد الحسین شرف الدّین الموسویّ،تحقیق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الرّاضی،ط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السّرویّة،الشّیخ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محمّد بن نعمان 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عبد الحمید،ط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الصّحیحین،أبو عبد اللّه الحاکم النّیسابوریّ؛و بذیله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الذّهبیّ،باهتمام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المعارف،ابن قتیبة،تحقیق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عکاشة،القاهرة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الکبیر،أبو القاسم سلیمان بن أحمد الطّبرانیّ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خرّج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فی معاییر أشعار العجم،شمس الدّین محمّد بن قیس الرّازی،به تصحیح محمّد بن عبد الوهّاب قزوینی،با تصحیح مجدّد سیّد محمّد تقی مدرّس رضوی،تهران و تبریز،کتابفروشی تهران،بی‌تا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التّحقیق التّابعة لمؤسّسة الإمام الهادی علیه السّلام،قم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الهادی علیه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جمع المراثی و الخطب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الفخری،فخر الدّین الطّریحیّ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ارومیّه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کتاب ذیل المذیل من تاریخ الصّحابة و التّابعین،أبو جعفر محمّد بن جریر الطّبریّ،بیروت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الموطّأ،مالک بن أنس،صحّحه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النّهریّة،المیرزا محمّد باقر الخوانساریّ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ویلیها رسالة الضروریّات المسمّاة تلویح النوریّات من الکلام فی تنقیح الضروریّات من </w:t>
      </w:r>
    </w:p>
    <w:p>
      <w:pPr>
        <w:pStyle w:val="BookText"/>
        <w:rPr/>
      </w:pPr>
      <w:r>
        <w:rPr>
          <w:rFonts w:ascii="IRNazanin" w:hAnsi="IRNazanin" w:eastAsia="IRNazanin"/>
          <w:color w:val="111111"/>
          <w:sz w:val="28"/>
          <w:sz w:val="28"/>
          <w:szCs w:val="28"/>
          <w:rtl w:val="true"/>
          <w:lang w:bidi="fa-IR"/>
        </w:rPr>
        <w:t>الإسلام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المیر سیّد أحمد الرّوضاتی،اصفهان،</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السّیّد المرتضی،الشّریف أبو القاسم علیّ بن الطّاهر أبی أحمد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 ضبط ألفاظه و علّق حواشیه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محمّد بدر الدّین النّعسانیّ الحلبیّ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مکتبة آیة اللّه العظمی المرعشیّ النّجفیّ،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الولایة،ملاّ زین العابدین الگلپایگانی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 نهایة المقتصد،أبو الولید محمّد بن أحمد بن محمّد بن أحمد بن رشد القرطبی الأندلسی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الحفید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العطّار،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الإسلام،الذّهبیّ،تحقیق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 السّلام تدمری،ط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الملوک،أبو جعفر محمّد بن جریر الطّبریّ،بیروت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و ذکر فضلها و تسمیة من حلّها من الأماثل أو اجتاز بنواحیها من واردیها و أهلها،الحافظ أبو القاسم علیّ بن الحسن بن هبة اللّه بن عبد اللّه الشّافعیّ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 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بشرح جامع التّرمذیّ،أبو العلا محمّد عبد الرّحمن بن عبد الرّحیم المبارکفوریّ</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 فی شرح خطبة المعالم،السّیّد جعفر بحر العلوم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الصّادق،</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 و ذیل التّحفة،میر عبد اللّطیف خان شوشتری</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صمد موحّد،چ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طهوری،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تراجم أعلام أکثرهم مغمورون تنشر موادّها التّاریخیّة 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العظمی المرعشیّ النّجفیّ،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الحسین علیه السّلام من کتاب بغیة الطّلب فی تأریخ حلب،کمال الدّین عمر بن أحمد بن أحمد بن أبی جرادة الحلبیّ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العدیم،تصحیح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العزیز الطّباطبائیّ،تحقیق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الطّباطبائیّ،ط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محمّد بن النّعمان العکبریّ البغدادیّ</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درگاهی،ط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تعطیر الأنام فی تعبیر المنام،عبد الغنی النّابلسیّ</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الکلام فی تفسیر الأحلام و الإشارات فی علم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مکتبة و مطبعة مصطفی البابی الحلبی و أولاده بمصر،</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جوامع الجامع،أبو علی الفضل بن الحسن الطّبرسیّ،تحقیق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الإسلامیّ،ج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لاهیجی،بهاء الدّین محمّد بن شیخعلی الشّریف اللاّهیجی،با مقدّمه و تصحیح میر جلال الدّین حسینی 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علمی،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غریب القرآن الکریم،فخر 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بتحقیقه و التّعلیق علیه و 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الطّریحیّ،قم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 وحی القرآن،السّیّد محمّد حسین فضل اللّه،ط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الملاک،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الأنبیاء،أبو القاسم علیّ بن الحسین الموسویّ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الأحکام،شیخ الطّائفة أبو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الموسویّ الخرسان،ط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 فی شرح المختصر النّافع،السّیّد أحمد الخوانساریّ،علّق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أکبر الغفّاریّ،ط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مکتبد الصّدوق،</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جشن‌نامه استاد دکتر محمّد علی موحّد،زیر نظر حسن حبیبی،چ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فرهنگستان زبان و أدب فارسی،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تحریفات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درایتی،چ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استاد أحمد مطهّری،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جوامع الجامع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الإسلام،محمّد حسن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القوچانیّ،ط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الأبرار،السّیّد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مولانا البروجردی،ط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مع فضل اللّه حول الزّهراء علیها السّلام،السّیّد هاشم الهاشمیّ،ط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الهدی للطّباعة و النّشر،</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اینگونه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حضرت آیة اللّه العظمی بهجت،محمّد حسین رخشاد،ج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سماء،</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المعاد،المحقّق السّبزواریّ،قم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المعاد،شیخ زین العابدین حائری مازندرانی،چاپ سنگی،با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نواب جان صاحب ذاکر عظیم آبادی،به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عابد علی،لکهنو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 اثنا عشری،</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جمال الدّین مکّی العاملی الجزینی</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الخاقانیّ،الشّیخ علیّ 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بحر العلوم،عنی بنشره و التّقدیم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الشّیخ حسن الخاقانیّ،ط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المرتضی،تقدیم و 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مهدی الرّجائی،ج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جاوید در تفسیر قرآن مجید،آیة اللّه حاج میرزا محمّد ثقفی تهرانی،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برهان،بی‌تا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سهو النّبیّ الأکرم صلّی اللّه علیه و آله و نظریّة الإسهاء الإلهیّ عند الشّیخ الصّدوق، قصر التّمیمیّ،ط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فی شرح إرشاد الأذهان،الشّهید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الجبعیّ العاملیّ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فی تفسیر القرآن،حسین بن علیّ بن محمّد بن أحمد الخزاعیّ النّیسابوریّ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رازی،به کوشش و تصحیح دکتر محمّد جعفر یاحقّی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مهدی ناصح،چ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إسلامی آستان قدس رضوی علیه السّلام،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فی أحوال العلماء و السّادات،المیرزا محمّد باقر الموسویّ الخوانساریّ،ج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إسماعیلیان،بی‌تا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الفریقین،أبو الرّجاء المؤمّل بن مسرور بن أبی سهل بن مأمون الشّاشیّ العمرکی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تصحیح و تحشیه عبد الحیّ حبیبی،چ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نظر طابع روضة الفریقین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أبو الرّجا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تصنیف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است،نگر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العقل و عمدة المعقول فی إیضاح مبانی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دیگر مقالات فلسفی و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أحمد بن خلف بخاری،به اهتمام نجیب مایل هروی،مشهد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إسلامی آستان قدس رضوی علیه السّلام،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 بیست و پنج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الفقیه،المولی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،نمّقه و علّق علیه و أشرف علی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الموسویّ الکرمانیّ و الشّیخ علی پناه الاشتهاردیّ،قم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 إسلامی حاج محمّد حسین کوشانپور،بی‌تا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تاریخ إسلام،دکتر عبد السّلام ترمانینی،ترجمه جمعی از پژوهشگران،نظارت و 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علیرضا واسعی،چ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فرهنگ إسلامی،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بیان أحکام الشّرع بالدّلائل،السّیّد علی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أدبیّات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پورجوادی،چ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هرمس،</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أحکام القرآن،المقدّس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البهبودیّ،طهران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فی سیرة خیر العباد،محمّد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سعادات ناصری،آقا بن عابین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رمضان بن الزّاهد الشّیروانیّ الدّربندیّ،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تاریخ اختتام کتابت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مشهدی حسن بن محمّد خوانساری در چاپخانه کربلائی محمّد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سعادات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سعادات ناصری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الدّارقطنی،علیّ بن عمر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علیه و خرّج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بن منصور بن سیّد الشّوری،ط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النّبلاء،شمس الدّین محمّد بن أحمد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علی تحقیق الکتاب و خرّج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الارنؤوط،تحقیق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نعیم العرقسوسی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صاغرجی،ج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سلّم،ألّفها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إسحاق بن یسار المطلبی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الملک بن هشام بن أیّوب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 أصلها و ضبط غرائبها و علّق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محیی الدّین عبد الحمید،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محمّد علی صبیح و أولاده،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طوبی،محمّد مهدی الحائریّ،ط</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،النّجف الأشرف،المکتبة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الکافی،المولی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تعالیق المیرزا أبو الحسن الشّعرانیّ،ضبط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عاشور،ط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فی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حنیفة النّعمان بن محمّد التّمیمیّ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الجلالیّ،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البلاغة،ابن أبی الحدید،بتحقیق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إبراهیم،ط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،دار إحیاء الکتب العربیّة،</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المعارف الإسلامیّة و الأصول الاعتقادیّة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آصف المحسنیّ،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طاقدیس و مثنوی طاقدیس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الأئمّة،ابنا بسطام النیسابوریّان،شرح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عقیل،ط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طلیعة النّور،</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السّلام،بروایة أبی عتاب عبد اللّه بن سابور الزّیات و الحسین ابنی بسطام النّیسابوریّین،وضع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مهدی السّیّد حسن الخرسان،ط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آقا بزرگ الطّهرانیّ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و 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السّیّد محمّد الطّباطبائیّ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و متحف و مرکز وثائق مجلس الشّوری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الإسلامیّة،</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ذر،محمّد علی سلیمانی،چ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،بی‌جا،مؤسّسه اندیشه و فرهنگ دینی،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الاثار،الجبرتی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منظومه‌ای کهن سروده به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سراینده‌ای متخلّص به ربیع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برگردان به قطع أصل نسخه خطّی کتابخانه موزه قونیه،با مقدّمه محمّد رضا شفیعی کدکنی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امید سالار،چ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پژوهشی میراث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کتابخانه،موزه و مرکز أسناد مجلس شورای إسلامی،کتابخانه تخصّصی تاریخ إسلام و ایران؛مؤسّسه مطالعات إسماعیلیّه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القاری،العینی،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و المعارف و الأحوال من الآیات و الأخبار و الأقوال،الشّیخ عبد اللّه البحرانیّ الاصفهانیّ،ج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باقر الموحّد الأبطحیّ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 العزیزیّة فی الأحادیث الدّینیّة،محمّد بن علیّ بن إبراهیم الأحسائی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الحسین علیه السّلام،الدّکتور محمّد هادی الأمینیّ،ط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الزّهراء علیها السّلام العامّة،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 کجوری مازندرانی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حسن‌زاده،چ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آل علی علیه السّلام،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العزیز،أبو القاسم عبد الکریم بن محمّد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دار 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 و وضع ملاحقه و فهارسه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صلاح الدّین المنجّد،القاهرة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 و الأئمّة من ذرّیّتهم علیهم السّلام،إبراهیم بن محمّد بن المؤیّد بن عبد اللّه بن علیّ بن محمّد الجوینیّ الخراسانیّ</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علّق علیه و تصدّی لنشره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lang w:bidi="fa-IR"/>
        </w:rPr>
        <w:t>1398</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رضویّه،حاج شیخ عبّاس قمی،به کوشش عبد الرّحیم عقیقی بخشایشی، 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نوید إسلام،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الرّؤوف المناوی،ضبطه 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عبد السّلام،ج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الرّجال،الشّیخ محمّد تقی التّستریّ،ج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الإسلامیّ،</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 و صمصام بتّار،فرهاد میرزا معتمد الدّوله،با تصحیح و حواشی سیّد محمود محرمی زرندی،چ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کتابچی،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السّرائر الحاوی لتحریر الفتاوی،أبو جعفر محمّد بن منصور بن أحمد بن إدریس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الزّیارات،أبو القاسم جعفر بن محمّد بن قولویه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القیّومی،ط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الفقاهة،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المجروحین من المحدثین و الضعفاء و المتروکین،أبو حاتم محمّد بن حبان بن أحمد التّمیمیّ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إبراهیم زاید،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الباز</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الوافی،محمّد محسن المشتهر بالفیض الکاشانیّ،ج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ضیاء الدّین الحسینیّ العلاّمة الاصفهانیّ،اصفهان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علی علیه السّلام العامّة،</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طاقدیس،ملاّ أحمد نراقی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فرهومند،بی‌تا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طاقدیس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جماعة المدرّسین فی الحوزة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اللّبیب فی خصائص الحبیب،المعروف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 أبو الفضل جلال الدّین عبد الرّحمن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 عن قواعد الأحکام،بهاء الدّین محمّد بن الحسن الاصفهانیّ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کلّیّات فی علم الرّجال،جعفر السّبحانیّ،ط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جمال الدّین محمّد بن مکرم الإفریقیّ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کانت المواجهة،جلال الصّغیر،ط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الهدی،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روته العامّة من مناقب أهل البیت علیهم السّلام،المولی حیدر علی بن محمّد الشّروانی،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الحسّون،بی‌جا،بی‌نا،</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 کتاب تعرّف،به کوشش دکتر محمّد جواد شریعت،چ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أساطیر،</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طاقدیس،ملاّ أحمد نراقی</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حسن نراقی،چ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انتشارات أمیر کبیر،</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طاقدیس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المؤمنین،علاّمه قاضی سیّد،نور 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إسلامیّه،</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القرآن،أبو علی الفضل بن الحسن الطّبرسیّ،ط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فی شرح إرشاد الأذهان،المولی أحمد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نمّقه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 و علی پناه الاشتهاردیّ و حسین الیزدیّ الاصفهانیّ،قم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المدرّسین فی الحوزة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استاد شهید مطهّری،ج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،قم و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غمهای جانسوز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و مصیبتهای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علی نظری منفرد،چ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سرور،</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الأبرابر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مقتل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هشترودی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مرتضی جنّتیان،چ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پژوهش،</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 فی شرح شرائع الإسلام،السّیّد محمّد بن علیّ الموسویّ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لإحیاء التّراث،ج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معاجز الأئمّة الاثنی عشر و دلائل الحجج علی البشر،السّیّد هاشم </w:t>
      </w:r>
    </w:p>
    <w:p>
      <w:pPr>
        <w:pStyle w:val="BookText"/>
        <w:rPr/>
      </w:pPr>
      <w:r>
        <w:rPr>
          <w:rFonts w:ascii="IRNazanin" w:hAnsi="IRNazanin" w:eastAsia="IRNazanin"/>
          <w:color w:val="111111"/>
          <w:sz w:val="28"/>
          <w:sz w:val="28"/>
          <w:szCs w:val="28"/>
          <w:rtl w:val="true"/>
          <w:lang w:bidi="fa-IR"/>
        </w:rPr>
        <w:t>البحرانیّ،تحقیق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اللّه المولائیّ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تراجم أعلام الشّیعة الإمامیّة فی القرنی الثّالث عشر و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الإسلام محمّد أمین الإمامیّ الخوئیّ</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الصّدرائیّ الخوئی،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سماحة آیة اللّه العظمی المرعشیّ النّجفیّ الکبری،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الآخوندیّ،ط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الجوهر،أبو الحسن علیّ 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فهارسه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أسعد داغر،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مزدک‌نامه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 دومین سالگرد درگذشت مزدک کیانفر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و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 کیانفر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استخری،چ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النّاصریّات،علم الهدی السّیّد علیّ بن الحسین بن موسی الشّریف المرتضی،تحقیق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البحوث و الدّراسات العلمیّة،طهران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الثّقافة و العلاقات الإسلامیّة،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آیة اللّه السّیّد أبو القاسم الموسویّ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البروجردی،ج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 فی حقائق أسرار أمیر المؤمنین علیه السّلام،رجب بن محمّد بن رجب البرسیّ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جمال السّیّد عبد الغفّار أشرف المازندرانی،ط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المکتبة الحیدریّة،</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 بحار الأنوار،آیة اللّه الشّیخ محمّد آصف المحسنیّ،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مکتبة عزیزی،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الفقیه،آقا رضا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المدرستین،السّیّد مرتضی العسکریّ،بیروت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النّعمان،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الأخطاء 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یعالج الأخطاء اللّغویّة الشّائعة و یبیّن صوابها مع الشّرح و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العدنانیّ،بیروت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لبنان،</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البلدان،شهاب الدّین أبو عبد اللّه یاقوت بن عبد اللّه الحمویّ الرّومیّ البغدادیّ،بیروت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العربیّة و المعرّبة،یوسف الیان سرکیس،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المحتاج إلی معرفة معانی ألفاظ المنهاج،محمّد الشّربینیّ،ج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،شرکة مکتبة و مطبعة مصطفی البابی الحلبیّ و أولاده بمصر،</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الشّرائع،المولی محمّد محسن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مهدی الرّجائی،ج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الإسلامیّة،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فی شرح قواعد العلاّمة،السّیّد محمّد جواد الحسینیّ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،حقّقه و علّق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الخالصیّ،ج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الإسلامیّ،</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المؤیّد الموفّق بن أحمد المکّی أخطب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السّماویّ،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المفید،بی‌تا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بازنویسی سعادات ناصریّه‌ی ملاّ آقای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و بازنویسی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لک،چ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مدرّسی طباطبائی، </w:t>
      </w:r>
    </w:p>
    <w:p>
      <w:pPr>
        <w:pStyle w:val="BookText"/>
        <w:rPr/>
      </w:pPr>
      <w:r>
        <w:rPr>
          <w:rFonts w:ascii="IRNazanin" w:hAnsi="IRNazanin" w:eastAsia="IRNazanin"/>
          <w:color w:val="111111"/>
          <w:sz w:val="28"/>
          <w:sz w:val="28"/>
          <w:szCs w:val="28"/>
          <w:rtl w:val="true"/>
          <w:lang w:bidi="fa-IR"/>
        </w:rPr>
        <w:t>ترجمه محمّد آصف فکرت،چ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إسلامی آستان قدس رضوی علیه السّلام،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 فی فهم تهذیب الأخبار،العلاّمة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السّیّد مهدی الرّجائیّ،ج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مکتبة آیة اللّه المرعشیّ العامّة،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طالب،أبو جعفر محمّد بن علیّ بن شهر آشوب السّرویّ المازندرانیّ،تحقیق و فهرسة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البقاعی،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 وحی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السّیّد عبد الحسین شرف الدّین،إعداد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العلوم و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إحیاء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المؤرّخ العربیّ،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 علیه السّلام فی الکتاب و السّنّة و التّاریخ،محمّد الرّیشهریّ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کاظم الطّباطبائیّ و محمود الطّباطبائی‌نژاد،ط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لغات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میرزا أبو الحسن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قریب،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إسلامیّه،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نظرات فی أخطاء المنشئین،محمّد جعفر الشّیخ إبراهیم الکرباسیّ،ج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الآداب،</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 فی فضائل سلمان رضی اللّه عنه،الحاج میرزا حسین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قیّومی الجزه‌ای الاصفهانیّ،ط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الآفاق،</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عشر،آقا بزرگ الطّهرانیّ،مع تعلیقات السّیّد عبد العزیز الطّباطبائیّ،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المرتضی للنّشر،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الوحید فی شرح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نعمة اللّه الموسویّ الجزائریّ</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الرّجائی،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النّشر الإسلامیّ،</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البلاغة،تحقیق فارس تبریزیان،ط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البلاغة،ضبط نصّه و ابتکر فهارسه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صبحی الصّالح،ط</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طهران و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الأسوة للطّباعة و النّشر،</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و أنباء أبناء الزّمان،ابن خلّکان،تحقیق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 عبّاس،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اجتهاد و فقه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پویا در مکتب سه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علیرضا فیض،چ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إنسانی و مطالعات فرهنگی،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2937_139447"/>
      <w:bookmarkStart w:id="508" w:name="pg12937_139447"/>
      <w:bookmarkEnd w:id="508"/>
    </w:p>
    <w:p>
      <w:pPr>
        <w:pStyle w:val="Heading2"/>
        <w:numPr>
          <w:ilvl w:val="1"/>
          <w:numId w:val="1"/>
        </w:numPr>
        <w:rPr/>
      </w:pPr>
      <w:bookmarkStart w:id="509" w:name="pg12937_139447"/>
      <w:bookmarkStart w:id="510" w:name="__RefHeading___Toc4067153_3224264995"/>
      <w:bookmarkStart w:id="511" w:name="_Toc190"/>
      <w:bookmarkEnd w:id="509"/>
      <w:bookmarkEnd w:id="510"/>
      <w:r>
        <w:rPr>
          <w:rtl w:val="true"/>
        </w:rPr>
        <w:t>رساله ألانوار اللاّمعة لزوار الجامعة</w:t>
      </w:r>
      <w:bookmarkEnd w:id="511"/>
    </w:p>
    <w:p>
      <w:pPr>
        <w:pStyle w:val="Heading3"/>
        <w:numPr>
          <w:ilvl w:val="2"/>
          <w:numId w:val="1"/>
        </w:numPr>
        <w:rPr/>
      </w:pPr>
      <w:bookmarkStart w:id="512" w:name="__RefHeading___Toc4067155_3224264995"/>
      <w:bookmarkStart w:id="513" w:name="_Toc191"/>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 حسینی نائینی مشهور به مختاری نائینی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نورمحمّدی بسم اللّه الرحمن الرحیم</w:t>
      </w:r>
    </w:p>
    <w:p>
      <w:pPr>
        <w:pStyle w:val="Heading3"/>
        <w:numPr>
          <w:ilvl w:val="2"/>
          <w:numId w:val="1"/>
        </w:numPr>
        <w:rPr/>
      </w:pPr>
      <w:bookmarkStart w:id="514" w:name="__RefHeading___Toc4067157_3224264995"/>
      <w:bookmarkStart w:id="515" w:name="_Toc192"/>
      <w:bookmarkEnd w:id="514"/>
      <w:r>
        <w:rPr>
          <w:rtl w:val="true"/>
        </w:rPr>
        <w:t>مقدمه</w:t>
      </w:r>
      <w:bookmarkEnd w:id="515"/>
    </w:p>
    <w:p>
      <w:pPr>
        <w:pStyle w:val="Heading4"/>
        <w:numPr>
          <w:ilvl w:val="3"/>
          <w:numId w:val="1"/>
        </w:numPr>
        <w:rPr/>
      </w:pPr>
      <w:bookmarkStart w:id="516" w:name="__RefHeading___Toc4067159_3224264995"/>
      <w:bookmarkStart w:id="517" w:name="_Toc193"/>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زیارت جامعه کبیره،از زیارت‌های بلندمضمون و عمیق و نورانی شیعه است که اوحدی از اولیای الهی و عارفان و فقیهان و پارسایان شیعه بر انس به آن اهتمام داشته‌اند و سکوت و فکر و تعمیق و معراج و اشک و آه سحر خویش را به ترنّم آن عطرآگین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زیارتی که چنان در افقی بلند قرار دارد که والایی منزلت و معارف آن را دلیلی استوار بر صحت صدور آن از معصوم علیه السّلام دانسته‌اند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سند افتخاری است که بر تارک معارف توحیدی شیعه می‌درخشد و به یقین پژوهش در همه ابعاد آن سزا و بجا است و می‌طلبد که جامعه پژوهشی خوش ذوق و فرهیخته ما،همه شروح،ترجمه‌ها و پژوهش‌های پیرامون آن را اعم از خطّی و چاپی و سنگی را بکاود و در مجموعه‌ای گرانبها جمع‌آوری کند</w:t>
      </w:r>
      <w:r>
        <w:rPr>
          <w:rFonts w:eastAsia="IRNazanin" w:cs="IRNazanin"/>
          <w:color w:val="111111"/>
          <w:sz w:val="28"/>
          <w:szCs w:val="28"/>
          <w:rtl w:val="true"/>
          <w:lang w:bidi="fa-IR"/>
        </w:rPr>
        <w:t xml:space="preserve">. </w:t>
      </w:r>
      <w:bookmarkStart w:id="518" w:name="pg12937_139448"/>
    </w:p>
    <w:p>
      <w:pPr>
        <w:pStyle w:val="Heading4"/>
        <w:numPr>
          <w:ilvl w:val="3"/>
          <w:numId w:val="1"/>
        </w:numPr>
        <w:rPr/>
      </w:pPr>
      <w:bookmarkStart w:id="519" w:name="__RefHeading___Toc4067161_3224264995"/>
      <w:bookmarkStart w:id="520" w:name="_Toc194"/>
      <w:bookmarkEnd w:id="518"/>
      <w:bookmarkEnd w:id="519"/>
      <w:r>
        <w:rPr>
          <w:rtl w:val="true"/>
        </w:rPr>
        <w:t>زیارت جامعه و پژوهش‌های پیرامون آن</w:t>
      </w:r>
      <w:bookmarkEnd w:id="520"/>
    </w:p>
    <w:p>
      <w:pPr>
        <w:pStyle w:val="BookText"/>
        <w:rPr/>
      </w:pPr>
      <w:r>
        <w:rPr>
          <w:rFonts w:ascii="IRNazanin" w:hAnsi="IRNazanin" w:eastAsia="IRNazanin"/>
          <w:color w:val="111111"/>
          <w:sz w:val="28"/>
          <w:sz w:val="28"/>
          <w:szCs w:val="28"/>
          <w:rtl w:val="true"/>
          <w:lang w:bidi="fa-IR"/>
        </w:rPr>
        <w:t>در میان اندیشمندان شیعه عده‌ای از بزرگان به شرح و توضیح معارف بلند این زیارت برگزیده،پرداخته‌اند که ما به نمونه‌ای از این شروح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اللامعة؛علامه محقق و عارف کامل سید حسین همدانی درودآبادی از شاگردان شیخ المراقبین مولی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؛مؤلّف،این شرح را در ذیقعده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اللامعة فی شرح الجامعة؛سید محمد بروجردی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اللامعة فی شرح الجامعة؛سید عبد اللّه شبّر</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الزیارة الجامعة الکبیرة؛شیخ احمد احسائی</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زیاره جامعة کبیره؛میرزا علی نقی طباطبائی حائری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زیاره جامعة کبیره؛میرزا محمد علی چهاردهی رشتی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الشموس الطالعة فی شرح الزیارة الجامعة؛ریحان اللّه دارابی بروجردی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فنای مقربان؛حکیم متألّه آیت اللّه جوادی آملی 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پرچم‌داران هدایت،تدبّری بر زیارت جامعه کبیره؛سید احمد سجادی،چاپ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ولایت،در شرح زیارت جامعه کبیره؛احمد زمرّدیان،چاپ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نافعه شریفه در شرح زیارت جامعه کبیره؛میرزا محمد توتونچی،چاپ </w:t>
      </w:r>
      <w:r>
        <w:rPr>
          <w:rFonts w:eastAsia="IRNazanin" w:cs="IRNazanin"/>
          <w:color w:val="111111"/>
          <w:sz w:val="28"/>
          <w:szCs w:val="28"/>
          <w:lang w:bidi="fa-IR"/>
        </w:rPr>
        <w:t>1341</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زیارت جامعه کبیره؛سید محمد تقی نقوی،چاپ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521" w:name="pg12937_139449"/>
    </w:p>
    <w:p>
      <w:pPr>
        <w:pStyle w:val="BookText"/>
        <w:rPr/>
      </w:pPr>
      <w:bookmarkEnd w:id="521"/>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متین؛محمد ضیاء آبادی،چاپ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زیارت جامعه کبیره؛علامه محمد تقی مجلسی،چاپ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ناطق یا شرح زیارت جامعه کبیره؛محمد محمدی ری شهری، چاپ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تفسیر زیارت جامعه کبیره؛رحیم توکل،چاپ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آنچه در اینجا آمده بخشی از شروحی است که به صورت مستقل چاپ شده،علاوه بر این در شروح تهذیب شیخ طوسی نیز شارحان به شرح این زیارت نیز پرداخته‌اند که در این مجال فرصت ذکر آن نیست</w:t>
      </w:r>
      <w:r>
        <w:rPr>
          <w:rFonts w:eastAsia="IRNazanin" w:cs="IRNazanin"/>
          <w:color w:val="111111"/>
          <w:sz w:val="28"/>
          <w:szCs w:val="28"/>
          <w:rtl w:val="true"/>
          <w:lang w:bidi="fa-IR"/>
        </w:rPr>
        <w:t>.</w:t>
      </w:r>
    </w:p>
    <w:p>
      <w:pPr>
        <w:pStyle w:val="Heading4"/>
        <w:numPr>
          <w:ilvl w:val="3"/>
          <w:numId w:val="1"/>
        </w:numPr>
        <w:rPr/>
      </w:pPr>
      <w:bookmarkStart w:id="522" w:name="__RefHeading___Toc4067163_3224264995"/>
      <w:bookmarkStart w:id="523" w:name="_Toc195"/>
      <w:bookmarkEnd w:id="522"/>
      <w:r>
        <w:rPr>
          <w:rtl w:val="true"/>
        </w:rPr>
        <w:t>بررسی سندی زیارت جامعه کبیره</w:t>
      </w:r>
      <w:bookmarkEnd w:id="523"/>
    </w:p>
    <w:p>
      <w:pPr>
        <w:pStyle w:val="BookText"/>
        <w:rPr/>
      </w:pPr>
      <w:r>
        <w:rPr>
          <w:rFonts w:ascii="IRNazanin" w:hAnsi="IRNazanin" w:eastAsia="IRNazanin"/>
          <w:color w:val="111111"/>
          <w:sz w:val="28"/>
          <w:sz w:val="28"/>
          <w:szCs w:val="28"/>
          <w:rtl w:val="true"/>
          <w:lang w:bidi="fa-IR"/>
        </w:rPr>
        <w:t>در اغلب شرح‌های زیارت جامعه عالمان شیعه کمتر به بحث سندی زیارت جامعه پرداخته‌اند،شاید نظر مبارک آنها استدلال بر عدم ضرورت بحث سندی همان باشد که در کلام حکیم متألّه آیت اللّه جوادی آملی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چنین فرموده‌اند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مقدمات رایج برای استنباط احکام شرعی فقهی،بحث سندی روایات منقول از معصومان علیهم السّلام است و بر این اساس روایات را به دسته‌های صحیح،حسن، موثّق،ضعیف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می‌کنند و برای هریک از این دسته‌ها جایگاه خاص و کاربرد ویژه‌ای قائل هستند،یعنی برخی از اینها به تنهایی می‌تواند مستند فتوا قرار گیرد،برخی از اینها در حد تأیید کارایی دارد،برخی از اعتبار ساقط است و اصلا کارایی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چنان‌که روشن است اصل این بحث موضوعیت و ارزش ذاتی ندارد،بلکه طریقیّت دارد و ارزش آن به این است که راهی برای اطمینان به صدور حدیث از معصوم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راهی که این اطمینان حاصل شود،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عدالت راوی باشد یا به وثاقت وی،به علوّ متن روایت باشد یا به عمل کردن فقها به متن و اسناد به آن در مقام استدلال یا هر راه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تصریح کرده‌اند که اگر متن روایت به گونه‌ای بود که صدور آن از غیر معصوم ممکن نبود، </w:t>
      </w:r>
    </w:p>
    <w:p>
      <w:pPr>
        <w:pStyle w:val="BookText"/>
        <w:rPr/>
      </w:pPr>
      <w:r>
        <w:rPr>
          <w:rFonts w:ascii="IRNazanin" w:hAnsi="IRNazanin" w:eastAsia="IRNazanin"/>
          <w:color w:val="111111"/>
          <w:sz w:val="28"/>
          <w:sz w:val="28"/>
          <w:szCs w:val="28"/>
          <w:rtl w:val="true"/>
          <w:lang w:bidi="fa-IR"/>
        </w:rPr>
        <w:t>اطمینان مورد اشاره حاصل می‌شود و می‌توان به صدور آن از حجت بالغه الهی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زیارت جامعه کبیره به گونه‌ای است که هر منصفی صدور این معارف بلند را از غیر معصوم محال عادی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آن‌که خطوط کلی آن را با خطوط کلی معارف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مرجع نهایی در بررسی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می‌بیند و این چیزی است که ما را از بحث سندی آن بی‌نیاز می‌کند</w:t>
      </w:r>
      <w:r>
        <w:rPr>
          <w:rFonts w:eastAsia="IRNazanin" w:cs="IRNazanin"/>
          <w:color w:val="111111"/>
          <w:sz w:val="28"/>
          <w:szCs w:val="28"/>
          <w:rtl w:val="true"/>
          <w:lang w:bidi="fa-IR"/>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این وصف طرح اسناد زیارت جامعه در این اثر شایسته است که تتمیمی باشد بر شرح ارزنده این زیارت نورانی توسط فقیه ذوفنون مختاری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 توسط شیخ طوسی و شیخ صدوق،در سه روایت نقل شده است که در اینجا هر سه روایت را می‌آوریم و سند آن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الاحکام شیخ طوسی آمده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علیّ بن الحسین بن بابویه،قال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 بن موسی و الحسین بن إبراهیم بن أحمد الکاتب،قالا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عبد اللّه الکوفیّ عن محمّد بن إسماعیل البرمکیّ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عبد اللّه النّخعیّ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یا ابن رسول اللّه قولا أقوله بلیغا کاملا إذا زرت واحدا منکم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صرت إلی الباب فقف و اشهد الشّهادتین و أنت علی غسل فإذا دخلت فقف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ثلاثین مرّة ثمّ امش قلیلا و علیک السّکینة و الوقار و قارب بین خطاک ثمّ قف و کبّر اللّه عزّ و جلّ ثلاثین مرّة ثمّ ادن من القبر و کبّر اللّه أربعین تکبیرة تمام المائة تکبیرة 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أهل بیت النّبوّة و معدن الرّسالة و مختلف الملائکة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موسی و حسین بن ابراهیم بن احمد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رجال موجود در سند روایت اوّل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وثوق می‌باشد و درباره‌اش توثقات فراوانی رسیده است؛از جمله در رجال شیخ طوسی،درباره 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القدر،حفظة،بصیر بالفقه و الأخبار و الرجال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أبی عبد اللّه مشیخة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إلی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أبی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إلی ما کان فیه من حدیث سلیمان بن داود و إلی جابر بن عبد اللّه الأنصاری،و إلی عبد العظیم بن عبد اللّه الحسنی و إلی محمد بن إسماعیل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محمد بن علی بن الحسین بن بابویه</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 روی عن محمد بن جعفر الأسدی الکوفی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الفقیه فی طریقه إلی محمد بن جعفر الأسدی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جعفر الکوفی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إلی إسماعیل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مشیخة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طریقه إلی محمد بن یعقوب الکلینی</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مشایخ الصدوق ذکره مترضیا علیه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بنابراین درباره علی بن احمد بن موسی توثیقی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را باید بدانیم که راه‌های کشف وثاقت راوی یکی این است که درباره او توثیقی از امام علیه السّلام رسیده باشد، این راه مورد اتفاق همه رجالیون است و راه دیگر این است که از یکی از اعلام متقدمین یا متأخرین درباره‌اش توثیق آمده باشد و نص بر وثاقت او کرده باشند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دو راه ذکر شده در کشف وثاقت راوی،یکی دیگر از راه‌هایی که بعضی برای کشف وثاقت راوی ملاک می‌دانند این است که بزرگان و اجلاء از او کثیرا روایت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تعاریف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که بزرگی و جلالت او بر کسی پوشیده نیست از علی بن احمد بن موسی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می‌کند در حالی که بنایش بر نقل روایاتی است که حجت بین او و خداست و بر اساس آنها فتوی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ندارد علی بن احمد بن موسی ضعیف باشد و شخصیت جلیل‌القدری مثل شیخ صدوق از او این همه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کثرت نقل شیخ صدوق،توثیق عملی شیخ صدوق بر وثاقت علی بن احمد بن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ابراهیم بن احمد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محمد بن أبی عبد اللّه الکوفی و روی عنه محمد بن علی بن الحسین بن بابویه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حسین بن ابراهیم نیز توثیقی نیامده است؛امّا چنانکه گفتیم،کثرت 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اجلاء و بزرگان دلیل وثاقت است،و شیخ صدوق از وی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که یکی زیارت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علی بن أحمد بن موسی و علی بن حاتم</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نجاشی در رجال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صحیح الحدیث إلا أنه روی عن الضعفاء و کان یقول بالجبر و التشبیه و کان ابوه وجها روی عنه احمد بن محمد بن عیسی</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تصریح نجاشی بر وثاقت او دلیل بر اطمینان از نقل اوست و نقل روایت در اینجا مانع از این اطمینان نیست،زیرا کسی که در اینجا از او روایت نقل کرده،محمد بن اسماعیل برمکی است که به تصریح خود نجاشی مورد وثوق است،و ضعیف نیست که در ذیل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جبر و تشبیه نیز مانع از قبول نقل او نمی‌شود زیرا قول به جبر و تشبیه به فرض ثبوت،ارتباطی به وثاقت و یا عدم وثاقت او در نقل حدیث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البرمکی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أحمد بن بشیر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بصاحب الصومعة، أبو عبد اللّه،سکن قم و لیس أصله منها؛ذکر ذلک أبو العباس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 مستقیما، له کتب،منها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علی بن نوح،قال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الأسدی عن محمد بن إسماعیل بکتابه</w:t>
      </w:r>
      <w:r>
        <w:rPr>
          <w:rFonts w:eastAsia="IRNazanin" w:cs="IRNazanin"/>
          <w:color w:val="111111"/>
          <w:sz w:val="28"/>
          <w:szCs w:val="28"/>
          <w:rtl w:val="true"/>
          <w:lang w:bidi="fa-IR"/>
        </w:rPr>
        <w:t xml:space="preserve">». </w:t>
      </w:r>
      <w:r>
        <w:rPr>
          <w:rStyle w:val="FootnoteAnchor"/>
          <w:rtl w:val="true"/>
        </w:rPr>
        <w:footnoteReference w:id="134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أحمد بن بشیر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بصاحب الصومعة،أبو عبد اللّه،سکن بقم و لیس أصله منها؛ذکر ذلک أبو العباس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علماؤنا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ثقة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النجاشی عندی أرجح</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أحمد بن بشیر البرمکی المعروف بصاحب الصومعة أبو عبد اللّه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قم و لیس أصله منها؛ذکر ذلک أبو العباس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 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الغضائری و الثقة ارجح</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و روی عن موسی بن عبد اللّه النخعی و روی الصدوق بطریقه عنه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عنه محمد بن أبی عبد اللّه الکوفی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الزیارة الجامعة عن الهادی علیه السّلام و روی عنه محمد بن إسماعیل البرمکی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رواها الشیخ بإسناده عن الصدوق قدّس سرّه مثله </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الصدوق قدّس سرّه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،فی ذکر زیارة الرضا علیه السّلام بطوس،الحدیث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موسی بن عمران النخعی</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لازم به ذکر است که تعداد روایت‌های نقل شده محمد بن اسماعیل البرمکی از موسی بن عبد اللّه به ده عدد می‌رسد و تعداد نقل او هم از امام هادی علیه السّلام به ده عدد می‌رسد و از امام دیگری نقل ندارد و در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او به موسی بن عمران النخعی نام برده شده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موسی بن عبد اللّه النخعی توثیقی یافت نشد اما می‌توان ده نقل محمد بن </w:t>
      </w:r>
    </w:p>
    <w:p>
      <w:pPr>
        <w:pStyle w:val="BookText"/>
        <w:rPr/>
      </w:pPr>
      <w:r>
        <w:rPr>
          <w:rFonts w:ascii="IRNazanin" w:hAnsi="IRNazanin" w:eastAsia="IRNazanin"/>
          <w:color w:val="111111"/>
          <w:sz w:val="28"/>
          <w:sz w:val="28"/>
          <w:szCs w:val="28"/>
          <w:rtl w:val="true"/>
          <w:lang w:bidi="fa-IR"/>
        </w:rPr>
        <w:t>اسماعیل البرمکی از او را با توجه به آنچه درباره این شخصیت از نجاشی و دیگران آمده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 مستقیما</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شاهدی بر وثاقت او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کتاب من لا یحضره الفقیه سند زیارت جامعه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إسماعیل البرمکیّ،قال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عبد اللّه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موسی و محمد بن أحمد السنانی و الحسین بن إبراهیم بن أحمد بن هشام المکتب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که در سند زیارت در روایت اول به عمل آمد در اینجا فقط به ذکر مشیخه شیخ صدوق در این کتاب و بررسی احوال آنها 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معجم رجال الحدیث اینگونه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الصدوق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موسی و محمد بن أحمد السنانی و الحسین بن إبراهیم بن أحمد بن هشام المکتب رضی اللّه عنهم،عن محمد بن أبی عبد اللّه الکوفی عن محمد بن إسماعیل البرمکی</w:t>
      </w:r>
      <w:r>
        <w:rPr>
          <w:rFonts w:eastAsia="IRNazanin" w:cs="IRNazanin"/>
          <w:color w:val="111111"/>
          <w:sz w:val="28"/>
          <w:szCs w:val="28"/>
          <w:rtl w:val="true"/>
          <w:lang w:bidi="fa-IR"/>
        </w:rPr>
        <w:t xml:space="preserve">». </w:t>
      </w:r>
      <w:r>
        <w:rPr>
          <w:rStyle w:val="FootnoteAnchor"/>
          <w:rtl w:val="true"/>
        </w:rPr>
        <w:footnoteReference w:id="135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موسی شرح حال او در روایت قبل بیان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السنانی من مشایخ الصدوق قدّس سرّه و قد أکثر الروایة عنه فی کتبه مترضیا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یصفه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بالمکتب</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شیخ صدوق او را ثقه می‌داند و بسیار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کثرت روایت شخصیت جلیل‌القدری مانند شیخ صدوق دلیل وثاقت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أحمد بن هشام المکتب در روایت قبل شرح حال او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الکوفی و محمد بن اسماعیل البرمکی و موسی بن عبد اللّه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سه شخصیت در روایت قبل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عیون أخبار الرضا علیه السّلام حدثنا علی بن أحمد بن محمد بن عمران الدقاق رضی اللّه عنه و محمد بن أحمد السنانی و علی بن عبد اللّه الوراق و الحسین بن إبراهیم بن أحمد بن هشام المکتب،قالوا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أبی عبد اللّه الکوفی و أبو الحسن الأسدی،قالوا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 المکی البرمکی،قال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عمران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بن عمران الدقاق و محمد بن أحمد السنانی و علی بن عبد اللّه الوراق و الحسین بن إبراهیم بن أحمد بن هشام المکتب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بن عمران الدقاق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عنوان علی بن احمد بن موسی از او نام برده شده است و شرح حال او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السنانی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در روایت قبل بررسی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الوراق من مشایخ الصدوق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الصدوق فی سائر کتبه أیضا و وصفه بالرازی،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النصوص علی الرضا بالإمامة فی جملة الأئمة الاثنی عشر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علیه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،فی السبب الذی قیل من أجله بالوقف علی موسی بن جعفر علیه السّلام،الحدیث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این شخص هم مورد اطمینان است زیرا طبق نقل فوق،از مشایخ صدوق و مورد اطمینان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أحمد بن هشام المکتب شرح حال او در روایت قبل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الکوفی توصیف او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الأسدی درباره او تضعیف یا توثیقی پیدا نشد اما وجود افراد ثقه دیگری در طبقه او در مقام نقل این زیارت از طبقه قبل کافی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المکی البرمکی وصف او بیان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النخعی وصف او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در هر سه روایت در همه طبقات،روایت ثقات وجود دارند،حال برخی طبقات همه یا یک نفر که شواهد کافی بر وثاقت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بررسی محتوایی هم که عده‌ای از اندیشه‌وران چون حضرت آیت اللّه جوادی آملی فرموده‌اند یا آنچه علامه مجلسی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اصح الزیارات سندا و اعمها موردا و افصحها لفظا و ابلغها معنی و اعلاها شأنا</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صحت سند آن نیز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ادلّه رجالی بر صحت سند روایت زیارت جامعه دلالت دارد؛آگاهان و آنان نیز که خبیر به روایات اهل بیت علیهم السّلام هستند اذعان به علو مکانت این دعای عظیم‌الشأن دارند و بر صدور آن از معصوم صحه گذاشته‌اند،که یکی از این دسته نیز مختاری نائینی است که در رساله حاضر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دو فصل علمی مؤیداتی نیز برای اتقان و استواری و استحکام متن این زیارت و صدور آن از معصوم وجود دارد که از آن جمله عنایت خاصّ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مکاشفه عالم عارف و وحید عصر علاّمه محمّد تقی مجلسی است که 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در ذیل این زیارت می‌فرماید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نجف مشرّف شدم،برای اینکه لیاقت تشرّف به حرم علوی را پیدا کنم، تصمیم گرفتم که چند روزی عبادت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در مقام مقائم و شب‌ها در رواق مطهّر مشغول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عالم مکاشفه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 اللّه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حرم پدر بزرگوارش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چون وارد حرم شدم مهدی روحی فداه آن پاره ماه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ایستادم و از دور به طور مدّاحی و در حالی که با انگشت،اشاره به او می‌کردم،زیارت جامعه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ابهّت </w:t>
      </w:r>
      <w:bookmarkStart w:id="524" w:name="pg12937_139459"/>
    </w:p>
    <w:p>
      <w:pPr>
        <w:pStyle w:val="BookText"/>
        <w:rPr/>
      </w:pPr>
      <w:bookmarkEnd w:id="524"/>
      <w:r>
        <w:rPr>
          <w:rFonts w:ascii="IRNazanin" w:hAnsi="IRNazanin" w:eastAsia="IRNazanin"/>
          <w:color w:val="111111"/>
          <w:sz w:val="28"/>
          <w:sz w:val="28"/>
          <w:szCs w:val="28"/>
          <w:rtl w:val="true"/>
          <w:lang w:bidi="fa-IR"/>
        </w:rPr>
        <w:t>و عظمت او مانع می‌شد،تا بالاخره جلو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تلطّف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الزیارة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زیارتی است این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جدّتان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قبر مطهّر امام هادی علیه السّلام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از جدّم صادر شده است</w:t>
      </w:r>
      <w:r>
        <w:rPr>
          <w:rFonts w:eastAsia="IRNazanin" w:cs="IRNazanin"/>
          <w:color w:val="111111"/>
          <w:sz w:val="28"/>
          <w:szCs w:val="28"/>
          <w:rtl w:val="true"/>
          <w:lang w:bidi="fa-IR"/>
        </w:rPr>
        <w:t xml:space="preserve">.» </w:t>
      </w:r>
      <w:r>
        <w:rPr>
          <w:rStyle w:val="FootnoteAnchor"/>
          <w:rtl w:val="true"/>
        </w:rPr>
        <w:footnoteReference w:id="1354"/>
      </w:r>
    </w:p>
    <w:p>
      <w:pPr>
        <w:pStyle w:val="Heading4"/>
        <w:numPr>
          <w:ilvl w:val="3"/>
          <w:numId w:val="1"/>
        </w:numPr>
        <w:rPr/>
      </w:pPr>
      <w:bookmarkStart w:id="525" w:name="__RefHeading___Toc4067165_3224264995"/>
      <w:bookmarkStart w:id="526" w:name="_Toc196"/>
      <w:bookmarkEnd w:id="525"/>
      <w:r>
        <w:rPr>
          <w:rtl w:val="true"/>
        </w:rPr>
        <w:t>شرح زیارت جامعه مختاری نائینی</w:t>
      </w:r>
      <w:bookmarkEnd w:id="526"/>
    </w:p>
    <w:p>
      <w:pPr>
        <w:pStyle w:val="BookText"/>
        <w:rPr/>
      </w:pPr>
      <w:r>
        <w:rPr>
          <w:rFonts w:ascii="IRNazanin" w:hAnsi="IRNazanin" w:eastAsia="IRNazanin"/>
          <w:color w:val="111111"/>
          <w:sz w:val="28"/>
          <w:sz w:val="28"/>
          <w:szCs w:val="28"/>
          <w:rtl w:val="true"/>
          <w:lang w:bidi="fa-IR"/>
        </w:rPr>
        <w:t>از این شرح بر زیارت جامعه،دو تحریر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 گمان می‌رفت تنها نسخه موجود از این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 آیت اللّه گلپایگانی رحمه اللّه قم به شماره و با عنوان ضبط شده است و در رساله هم مؤلف،نام خاصی بر آن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راهنمایی دوست فاضل و محقق ارجمند،جناب آقای جویا جهانبخش به سرور عزیزم حضرت آقای محمد برکت شیرازی دلالت شدم و پس از آن تصوّر این بود که نسخه ایشان کاملتر است،امّا با مطابقتی ابتدایی و ملاحظه نسخه،متوجّه شدیم نسخه جناب حاج شیخ محمد برکت تحریر دوّمی از این رساله و خیلی کاملتر و افزودگی‌های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نسخه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اللامعة لزوّار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کتابخانه آستان قدس رضوی به شماره عمومی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درخواست کردم که با توجّه به کیفیت نسخه ایشان تحقیق این اثر را حضرت ایشان به عهده بگیرند امّا با کرامت نفس که از خصلت‌های بزرگان است؛نسخه خویش را برای حقیر فرستادند و حقیر را با سماحت خویش رهین منت خود کردند؛و للّه درّه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هردو نسخه یکی است و از همگونی و بررسی چند رساله دیگر این مجموعه در کتابخانه آیت اللّه گلپایگانی رحمه اللّه به نظر می‌رسد خط مؤلّف بزرگوار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شرح زیارت جامعه را از ابتدا آغاز کرده و در شرح جمله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نگارش آن باز ایستاده است</w:t>
      </w:r>
      <w:r>
        <w:rPr>
          <w:rFonts w:eastAsia="IRNazanin" w:cs="IRNazanin"/>
          <w:color w:val="111111"/>
          <w:sz w:val="28"/>
          <w:szCs w:val="28"/>
          <w:rtl w:val="true"/>
          <w:lang w:bidi="fa-IR"/>
        </w:rPr>
        <w:t xml:space="preserve">. </w:t>
      </w:r>
      <w:bookmarkStart w:id="527" w:name="pg12937_139460"/>
    </w:p>
    <w:p>
      <w:pPr>
        <w:pStyle w:val="Heading4"/>
        <w:numPr>
          <w:ilvl w:val="3"/>
          <w:numId w:val="1"/>
        </w:numPr>
        <w:rPr/>
      </w:pPr>
      <w:bookmarkStart w:id="528" w:name="__RefHeading___Toc4067167_3224264995"/>
      <w:bookmarkStart w:id="529" w:name="_Toc197"/>
      <w:bookmarkEnd w:id="527"/>
      <w:bookmarkEnd w:id="528"/>
      <w:r>
        <w:rPr>
          <w:rtl w:val="true"/>
        </w:rPr>
        <w:t>شیوه تصحیح و تحقیق</w:t>
      </w:r>
      <w:bookmarkEnd w:id="529"/>
    </w:p>
    <w:p>
      <w:pPr>
        <w:pStyle w:val="BookText"/>
        <w:rPr/>
      </w:pPr>
      <w:r>
        <w:rPr>
          <w:rFonts w:ascii="IRNazanin" w:hAnsi="IRNazanin" w:eastAsia="IRNazanin"/>
          <w:color w:val="111111"/>
          <w:sz w:val="28"/>
          <w:sz w:val="28"/>
          <w:szCs w:val="28"/>
          <w:rtl w:val="true"/>
          <w:lang w:bidi="fa-IR"/>
        </w:rPr>
        <w:t>در این تصحیح برخی اضافات تحریر اول را که در تحریر دوم نیامده،ذکر و گزارشی مفید و مناسب از دو نسخه ارائه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این تصحیح شرحی بر احوالات سید الاعاظم سیّد بهاء الدین محمد حسینی نائینی مشهور به مختاری نائینی نگاشته‌ام که امید دارم مسئله‌آموز و نکته‌دار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 فاضل و ارجمندم جناب حجة الاسلام سید محمود نریمانی که زحمت مقابله و آماده‌سازی‌های نهایی را بر خود هموار کردند صمیمانه تشکر می‌کنم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محمّد جواد نورمحمّدی جمادی الثانی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530" w:name="pg12937_139461"/>
    </w:p>
    <w:p>
      <w:pPr>
        <w:pStyle w:val="Heading4"/>
        <w:numPr>
          <w:ilvl w:val="3"/>
          <w:numId w:val="1"/>
        </w:numPr>
        <w:rPr/>
      </w:pPr>
      <w:bookmarkStart w:id="531" w:name="__RefHeading___Toc4067169_3224264995"/>
      <w:bookmarkStart w:id="532" w:name="_Toc198"/>
      <w:bookmarkEnd w:id="530"/>
      <w:bookmarkEnd w:id="531"/>
      <w:r>
        <w:rPr>
          <w:rtl w:val="true"/>
        </w:rPr>
        <w:t>زندگی‌نامه و حیات علمی و آثار مختاری نائینی</w:t>
      </w:r>
      <w:bookmarkEnd w:id="532"/>
    </w:p>
    <w:p>
      <w:pPr>
        <w:pStyle w:val="Heading5"/>
        <w:numPr>
          <w:ilvl w:val="4"/>
          <w:numId w:val="1"/>
        </w:numPr>
        <w:rPr/>
      </w:pPr>
      <w:bookmarkStart w:id="533" w:name="__RefHeading___Toc4067171_3224264995"/>
      <w:bookmarkStart w:id="534" w:name="_Toc199"/>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سیّد بهاء الدین محمّد فرزند محمّد باقر حسینی نائینی اصفهانی عالمی فاضل، محققی جامع و فقیهی متکلّم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اطلاعات مناسبی درباره ایشان و حیات علمی‌شان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بسیاری از بزرگان علم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دکتر سید محمد باقر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ارکان فقها و اکابر حکما و متکلّمین</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 xml:space="preserve">و یا به نوشته مرحوم میر سید علی جناب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فقها و حکمای زمان سلطان حسین بوده است</w:t>
      </w:r>
      <w:r>
        <w:rPr>
          <w:rFonts w:eastAsia="IRNazanin" w:cs="IRNazanin"/>
          <w:color w:val="111111"/>
          <w:sz w:val="28"/>
          <w:szCs w:val="28"/>
          <w:rtl w:val="true"/>
          <w:lang w:bidi="fa-IR"/>
        </w:rPr>
        <w:t xml:space="preserve">».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ایشان پس از دوران کودکی به تحصیل علم مشغول گشت و نزد بزرگان علمای عصر خود شاگردی کرد از جمله استادان وی را علاّمه مجلسی و فاضل هندی و عموی خود سیّد روح الامین مختاری رحمه اللّه شمرده‌اند</w:t>
      </w:r>
      <w:r>
        <w:rPr>
          <w:rFonts w:eastAsia="IRNazanin" w:cs="IRNazanin"/>
          <w:color w:val="111111"/>
          <w:sz w:val="28"/>
          <w:szCs w:val="28"/>
          <w:rtl w:val="true"/>
          <w:lang w:bidi="fa-IR"/>
        </w:rPr>
        <w:t>.</w:t>
      </w:r>
    </w:p>
    <w:p>
      <w:pPr>
        <w:pStyle w:val="Heading5"/>
        <w:numPr>
          <w:ilvl w:val="4"/>
          <w:numId w:val="1"/>
        </w:numPr>
        <w:rPr/>
      </w:pPr>
      <w:bookmarkStart w:id="535" w:name="__RefHeading___Toc4067173_3224264995"/>
      <w:bookmarkStart w:id="536" w:name="_Toc200"/>
      <w:bookmarkEnd w:id="535"/>
      <w:r>
        <w:rPr>
          <w:rtl w:val="true"/>
        </w:rPr>
        <w:t>آثار و تألیفات</w:t>
      </w:r>
      <w:bookmarkEnd w:id="53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بزرگوار متجاوز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در موضوعات مختلف در فهرست‌ها، کتاب‌شناسی‌ها و کتابهای تراجم ذکر گردیده است که بیانگر مراتب عالیه علمی و فلسفی و ادبی ایشان است و به فرموده برخی از بزرگان رجال،ایشان از فحول اعاظم و فقهای اصفهان بوده‌اند</w:t>
      </w:r>
      <w:r>
        <w:rPr>
          <w:rFonts w:eastAsia="IRNazanin" w:cs="IRNazanin"/>
          <w:color w:val="111111"/>
          <w:sz w:val="28"/>
          <w:szCs w:val="28"/>
          <w:rtl w:val="true"/>
          <w:lang w:bidi="fa-IR"/>
        </w:rPr>
        <w:t xml:space="preserve">. </w:t>
      </w:r>
      <w:r>
        <w:rPr>
          <w:rStyle w:val="FootnoteAnchor"/>
          <w:rtl w:val="true"/>
        </w:rPr>
        <w:footnoteReference w:id="1357"/>
      </w:r>
      <w:r>
        <w:rPr>
          <w:rFonts w:ascii="IRNazanin" w:hAnsi="IRNazanin" w:eastAsia="IRNazanin"/>
          <w:color w:val="111111"/>
          <w:sz w:val="28"/>
          <w:sz w:val="28"/>
          <w:szCs w:val="28"/>
          <w:rtl w:val="true"/>
          <w:lang w:bidi="fa-IR"/>
        </w:rPr>
        <w:t>در اینجا به یادکرد آثار مختاری نائینی می‌پردازیم</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إرتشاف الصافی من سلاف الشافی،مختصر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أفضلیة القیام فی نافلة العشاء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 الایمان من اخطار الأذهان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إنارة الطروس فی شرح عبارة الدّروس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اللامعة لزوار الجامعة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علی النبی فی التشهد الأخیر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تعدیل المیزان فی تعلیق علم المیزان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بر شرح صمدیه سیّد علی خان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تفریج القاصد لتوضیح المقاصد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المیراث فی تقسیم المیراث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أنوار التنزیل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حاشیه میر سید شریف جرجانی بر شرح مطالع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تحریر القواعد المنطقیة فی شرح الشمسیة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شرح مطالع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مطول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معالم الاصول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حثیث الفلجة فی شرح حدیث الفرجة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حدائق العارف فی طرائق المعارف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الیواقیت فی بیان المواقیت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آیات الاحکام مقدس اردبیلی قدّس سرّه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شرح حال خود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احکام الاموات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زواهر الجواهر فی نوادر الزواجر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الفوائد الصمدیة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الفوائد الصمدیة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بر الفوائد الصمدیة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لسان المیزان لوزن أفکار الأذهان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صفوة الصافی من رغوة الشافی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عروض العروض،در عروض و قافیه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الناظر فی عقدة الناذر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العین فی سقی المتبایعین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الفوائد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البهیة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قباله قبیله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قسام المواریث فی اقسام التواریث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الفصل فی المسح و الغسل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الغموض فی شرح ألطف العروض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لطائف المیراث لطائف الورّاث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مصفاة السفاء لإستصغاء الشفاء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المطرز فی اللغز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مقالید القصود و موالید العقود فی تفاصیل صیغ العقود </w:t>
      </w:r>
      <w:bookmarkStart w:id="537" w:name="pg12937_139463"/>
    </w:p>
    <w:p>
      <w:pPr>
        <w:pStyle w:val="BookText"/>
        <w:rPr/>
      </w:pPr>
      <w:bookmarkEnd w:id="537"/>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الأشباه و النظایر سیوطی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میر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اللئالی فی الأیام و اللیالی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البدایة لبدایة الهدایة</w:t>
      </w:r>
      <w:r>
        <w:rPr>
          <w:rFonts w:eastAsia="IRNazanin" w:cs="IRNazanin"/>
          <w:color w:val="111111"/>
          <w:sz w:val="28"/>
          <w:szCs w:val="28"/>
          <w:rtl w:val="true"/>
          <w:lang w:bidi="fa-IR"/>
        </w:rPr>
        <w:t>.</w:t>
      </w:r>
    </w:p>
    <w:p>
      <w:pPr>
        <w:pStyle w:val="Heading5"/>
        <w:numPr>
          <w:ilvl w:val="4"/>
          <w:numId w:val="1"/>
        </w:numPr>
        <w:rPr/>
      </w:pPr>
      <w:bookmarkStart w:id="538" w:name="__RefHeading___Toc4067175_3224264995"/>
      <w:bookmarkStart w:id="539" w:name="_Toc201"/>
      <w:bookmarkEnd w:id="538"/>
      <w:r>
        <w:rPr>
          <w:rtl w:val="true"/>
        </w:rPr>
        <w:t>وفات</w:t>
      </w:r>
      <w:bookmarkEnd w:id="53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دقیق رحلت آن جناب مشخص نیست؛اما می‌دانیم که در میان سالهای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در کتاب رجال و مشاهیر اصفهان میر سید علی جناب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 را از مفقودین دوره افغان شمرده‌اند</w:t>
      </w:r>
      <w:r>
        <w:rPr>
          <w:rFonts w:eastAsia="IRNazanin" w:cs="IRNazanin"/>
          <w:color w:val="111111"/>
          <w:sz w:val="28"/>
          <w:szCs w:val="28"/>
          <w:rtl w:val="true"/>
          <w:lang w:bidi="fa-IR"/>
        </w:rPr>
        <w:t xml:space="preserve">». </w:t>
      </w:r>
      <w:r>
        <w:rPr>
          <w:rStyle w:val="FootnoteAnchor"/>
          <w:rtl w:val="true"/>
        </w:rPr>
        <w:footnoteReference w:id="135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العظمی گلپایگانی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العظمی گلپایگانی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اوّل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آستان قدس رضوی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 آخر 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آستان قدس رضوی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2937_139469"/>
      <w:bookmarkStart w:id="541" w:name="pg12937_139469"/>
      <w:bookmarkEnd w:id="541"/>
    </w:p>
    <w:p>
      <w:pPr>
        <w:pStyle w:val="BookText"/>
        <w:rPr/>
      </w:pPr>
      <w:bookmarkStart w:id="542" w:name="pg12937_139469"/>
      <w:bookmarkEnd w:id="542"/>
      <w:r>
        <w:rPr>
          <w:rFonts w:ascii="IRNazanin" w:hAnsi="IRNazanin" w:eastAsia="IRNazanin"/>
          <w:color w:val="111111"/>
          <w:sz w:val="28"/>
          <w:sz w:val="28"/>
          <w:szCs w:val="28"/>
          <w:rtl w:val="true"/>
          <w:lang w:bidi="fa-IR"/>
        </w:rPr>
        <w:t>هو الموفق</w:t>
      </w:r>
    </w:p>
    <w:p>
      <w:pPr>
        <w:pStyle w:val="Heading3"/>
        <w:numPr>
          <w:ilvl w:val="2"/>
          <w:numId w:val="1"/>
        </w:numPr>
        <w:rPr/>
      </w:pPr>
      <w:bookmarkStart w:id="543" w:name="__RefHeading___Toc4067177_3224264995"/>
      <w:bookmarkStart w:id="544" w:name="_Toc202"/>
      <w:bookmarkEnd w:id="543"/>
      <w:r>
        <w:rPr>
          <w:rtl w:val="true"/>
        </w:rPr>
        <w:t>[</w:t>
      </w:r>
      <w:r>
        <w:rPr>
          <w:rtl w:val="true"/>
        </w:rPr>
        <w:t>خطبه الکتاب</w:t>
      </w:r>
      <w:r>
        <w:rPr>
          <w:rtl w:val="true"/>
        </w:rPr>
        <w:t>]</w:t>
      </w:r>
      <w:bookmarkEnd w:id="5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أوجب إکرام الزایر علی المزور </w:t>
      </w:r>
      <w:r>
        <w:rPr>
          <w:rStyle w:val="FootnoteAnchor"/>
          <w:rtl w:val="true"/>
        </w:rPr>
        <w:footnoteReference w:id="1360"/>
      </w:r>
      <w:r>
        <w:rPr>
          <w:rFonts w:ascii="IRNazanin" w:hAnsi="IRNazanin" w:eastAsia="IRNazanin"/>
          <w:color w:val="111111"/>
          <w:sz w:val="28"/>
          <w:sz w:val="28"/>
          <w:szCs w:val="28"/>
          <w:rtl w:val="true"/>
          <w:lang w:bidi="fa-IR"/>
        </w:rPr>
        <w:t xml:space="preserve">و ندب </w:t>
      </w:r>
      <w:r>
        <w:rPr>
          <w:rStyle w:val="FootnoteAnchor"/>
          <w:rtl w:val="true"/>
        </w:rPr>
        <w:footnoteReference w:id="1361"/>
      </w:r>
      <w:r>
        <w:rPr>
          <w:rFonts w:ascii="IRNazanin" w:hAnsi="IRNazanin" w:eastAsia="IRNazanin"/>
          <w:color w:val="111111"/>
          <w:sz w:val="28"/>
          <w:sz w:val="28"/>
          <w:szCs w:val="28"/>
          <w:rtl w:val="true"/>
          <w:lang w:bidi="fa-IR"/>
        </w:rPr>
        <w:t xml:space="preserve">إلی زیارة الغابر لأهل القبور، و جعل روضات المقرّبین و مشاهد الأبرار،معارج الزایرین و معاهد الأنوار و مدارک الحاجات و مبارک البرکات فهی خزاین </w:t>
      </w:r>
      <w:r>
        <w:rPr>
          <w:rStyle w:val="FootnoteAnchor"/>
          <w:rtl w:val="true"/>
        </w:rPr>
        <w:footnoteReference w:id="1362"/>
      </w:r>
      <w:r>
        <w:rPr>
          <w:rFonts w:ascii="IRNazanin" w:hAnsi="IRNazanin" w:eastAsia="IRNazanin"/>
          <w:color w:val="111111"/>
          <w:sz w:val="28"/>
          <w:sz w:val="28"/>
          <w:szCs w:val="28"/>
          <w:rtl w:val="true"/>
          <w:lang w:bidi="fa-IR"/>
        </w:rPr>
        <w:t>الأوطار لمن أفرخ فیها أوطار و مکفّرات الأوزار لمن توطّنها أوزار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الصلاة علی من زایره یزور </w:t>
      </w:r>
      <w:r>
        <w:rPr>
          <w:rStyle w:val="FootnoteAnchor"/>
          <w:rtl w:val="true"/>
        </w:rPr>
        <w:footnoteReference w:id="1363"/>
      </w:r>
      <w:r>
        <w:rPr>
          <w:rFonts w:ascii="IRNazanin" w:hAnsi="IRNazanin" w:eastAsia="IRNazanin"/>
          <w:color w:val="111111"/>
          <w:sz w:val="28"/>
          <w:sz w:val="28"/>
          <w:szCs w:val="28"/>
          <w:rtl w:val="true"/>
          <w:lang w:bidi="fa-IR"/>
        </w:rPr>
        <w:t xml:space="preserve">فی یوم النشور و یدخله السرور من الرّب الغفور </w:t>
      </w:r>
      <w:r>
        <w:rPr>
          <w:rStyle w:val="FootnoteAnchor"/>
          <w:rtl w:val="true"/>
        </w:rPr>
        <w:footnoteReference w:id="1364"/>
      </w:r>
      <w:r>
        <w:rPr>
          <w:rFonts w:ascii="IRNazanin" w:hAnsi="IRNazanin" w:eastAsia="IRNazanin"/>
          <w:color w:val="111111"/>
          <w:sz w:val="28"/>
          <w:sz w:val="28"/>
          <w:szCs w:val="28"/>
          <w:rtl w:val="true"/>
          <w:lang w:bidi="fa-IR"/>
        </w:rPr>
        <w:t>سکینة المدینة و السفینة الحصینة محمد و آله الأبرار و الأئمة الأجلة الأخیار ما نثر علی مشاهدهم نور علی نور و نزلت علیها ملائکة البیت المعمور و تعانقت علی مراقدهم أیدی الضرایح و استنشق الفوز غاد و الفیض رایح</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بعد؛فیقول فقیر رحمة ربه بهاء الدین محمد بن محمد باقر الحسینی رزقه اللّه عین الیقین و الیقین العینی،أنّ من المعلوم الواضح و المکشوف اللایح </w:t>
      </w:r>
      <w:r>
        <w:rPr>
          <w:rStyle w:val="FootnoteAnchor"/>
          <w:rtl w:val="true"/>
        </w:rPr>
        <w:footnoteReference w:id="1365"/>
      </w:r>
      <w:r>
        <w:rPr>
          <w:rFonts w:ascii="IRNazanin" w:hAnsi="IRNazanin" w:eastAsia="IRNazanin"/>
          <w:color w:val="111111"/>
          <w:sz w:val="28"/>
          <w:sz w:val="28"/>
          <w:szCs w:val="28"/>
          <w:rtl w:val="true"/>
          <w:lang w:bidi="fa-IR"/>
        </w:rPr>
        <w:t xml:space="preserve">إتفاق اللاحق </w:t>
      </w:r>
    </w:p>
    <w:p>
      <w:pPr>
        <w:pStyle w:val="BookText"/>
        <w:rPr/>
      </w:pPr>
      <w:r>
        <w:rPr>
          <w:rFonts w:ascii="IRNazanin" w:hAnsi="IRNazanin" w:eastAsia="IRNazanin"/>
          <w:color w:val="111111"/>
          <w:sz w:val="28"/>
          <w:sz w:val="28"/>
          <w:szCs w:val="28"/>
          <w:rtl w:val="true"/>
          <w:lang w:bidi="fa-IR"/>
        </w:rPr>
        <w:t xml:space="preserve">و السالف من الموافق و المخالف علی جلالة أئمتنا الإثنی عشر و فضایلهم المنتشرة فی </w:t>
      </w:r>
      <w:r>
        <w:rPr>
          <w:rStyle w:val="FootnoteAnchor"/>
          <w:rtl w:val="true"/>
        </w:rPr>
        <w:footnoteReference w:id="1366"/>
      </w:r>
      <w:r>
        <w:rPr>
          <w:rFonts w:ascii="IRNazanin" w:hAnsi="IRNazanin" w:eastAsia="IRNazanin"/>
          <w:color w:val="111111"/>
          <w:sz w:val="28"/>
          <w:sz w:val="28"/>
          <w:szCs w:val="28"/>
          <w:rtl w:val="true"/>
          <w:lang w:bidi="fa-IR"/>
        </w:rPr>
        <w:t xml:space="preserve">من سمع و بصر و لا سیما فصاحتهم و بلاغتهم البالغة إلی منتهی النهایة و غایة الغایة، فإنّ شواهدها مشهودة حاضرة </w:t>
      </w:r>
      <w:r>
        <w:rPr>
          <w:rStyle w:val="FootnoteAnchor"/>
          <w:rtl w:val="true"/>
        </w:rPr>
        <w:footnoteReference w:id="1367"/>
      </w:r>
      <w:r>
        <w:rPr>
          <w:rFonts w:ascii="IRNazanin" w:hAnsi="IRNazanin" w:eastAsia="IRNazanin"/>
          <w:color w:val="111111"/>
          <w:sz w:val="28"/>
          <w:sz w:val="28"/>
          <w:szCs w:val="28"/>
          <w:rtl w:val="true"/>
          <w:lang w:bidi="fa-IR"/>
        </w:rPr>
        <w:t xml:space="preserve">لکل ذی أذن واعیة </w:t>
      </w:r>
      <w:r>
        <w:rPr>
          <w:rStyle w:val="FootnoteAnchor"/>
          <w:rtl w:val="true"/>
        </w:rPr>
        <w:footnoteReference w:id="1368"/>
      </w:r>
      <w:r>
        <w:rPr>
          <w:rFonts w:ascii="IRNazanin" w:hAnsi="IRNazanin" w:eastAsia="IRNazanin"/>
          <w:color w:val="111111"/>
          <w:sz w:val="28"/>
          <w:sz w:val="28"/>
          <w:szCs w:val="28"/>
          <w:rtl w:val="true"/>
          <w:lang w:bidi="fa-IR"/>
        </w:rPr>
        <w:t xml:space="preserve">و عین ناظرة فهذه خطبهم تسهّل الخطب علی کل یابس و رطب و فی صحایفهم تثیر إخلاص حائفهم و علم حاسدهم بالتحاق لاحقهم بسالفهم فی مناقبهم و محاسدهم و ذی رسایلهم أعدل الوسایل لکل جاهل وسایل إلی ما خصّهم اللّه به من أوصاف لا یعقلها إلاّ ذهن مصفی أوصاف و إن لم یبلغ کنهها أحد و إن بالغ و إن قل منها فبلغ ما بلغ فهو استجمع القلم لجمع فنونها سبحه و استطلع لبلع عیونها و رشحه </w:t>
      </w:r>
      <w:r>
        <w:rPr>
          <w:rStyle w:val="FootnoteAnchor"/>
          <w:rtl w:val="true"/>
        </w:rPr>
        <w:footnoteReference w:id="1369"/>
      </w:r>
      <w:r>
        <w:rPr>
          <w:rFonts w:ascii="IRNazanin" w:hAnsi="IRNazanin" w:eastAsia="IRNazanin"/>
          <w:color w:val="111111"/>
          <w:sz w:val="28"/>
          <w:sz w:val="28"/>
          <w:szCs w:val="28"/>
          <w:rtl w:val="true"/>
          <w:lang w:bidi="fa-IR"/>
        </w:rPr>
        <w:t>ثم قوع باب إستقصائها لمنع فتحه و إن صرف فی إستیفائها شقّ لسانه و فتحه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الزیارة الجامعة الکبیرة،المشتملة علی فضایلهم الکثیرة المنسوبة إلی عاشرهم الشاهدة لمعاشرهم بما یرغم أنوف صنوف الجاحدین و یقصم ظهور صدور الحاسدین فإنها أفضل من أن یشهد لها فاضل أو یصف فضله بکنهه بل منها الشاهد بفضل من عرف فضله علی وجهه کما یجده الآنس بمحاسن الکلام و مزایاه الغایص فی لجج کل مقام لإستخراج خفایاه فإنّه یجد مع بلاغته حلاوة سابقة و یری علی جزالته عذوبة سایغة فلیختبرها الطبع السلیم و لیذقها الذوق القویم و إنّی و إن کنت معترفا بالقصور عن الارتقاء علی تلک القصور و عجزی عن استخراج جمیع ما فی کلامهم مغمور إلاّ أن المیسور لا یسقط بالمعسور فشرحتها بحسب المقدور و رجائی من مؤلّفها و آبائه و أبنائه علیهم السّلام موفور أن یمنحنی ربی بمیامنهم التوفیق لتحقیق الحق و حق التحقیق و 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اللامعة لزوار الجامعة</w:t>
      </w:r>
      <w:r>
        <w:rPr>
          <w:rFonts w:eastAsia="IRNazanin" w:cs="IRNazanin"/>
          <w:color w:val="111111"/>
          <w:sz w:val="28"/>
          <w:szCs w:val="28"/>
          <w:rtl w:val="true"/>
          <w:lang w:bidi="fa-IR"/>
        </w:rPr>
        <w:t xml:space="preserve">». </w:t>
      </w:r>
      <w:bookmarkStart w:id="545" w:name="pg12937_139471"/>
    </w:p>
    <w:p>
      <w:pPr>
        <w:pStyle w:val="Heading3"/>
        <w:numPr>
          <w:ilvl w:val="2"/>
          <w:numId w:val="1"/>
        </w:numPr>
        <w:rPr/>
      </w:pPr>
      <w:bookmarkStart w:id="546" w:name="__RefHeading___Toc4067179_3224264995"/>
      <w:bookmarkStart w:id="547" w:name="_Toc203"/>
      <w:bookmarkEnd w:id="545"/>
      <w:bookmarkEnd w:id="546"/>
      <w:r>
        <w:rPr>
          <w:rtl w:val="true"/>
        </w:rPr>
        <w:t>[</w:t>
      </w:r>
      <w:r>
        <w:rPr>
          <w:rtl w:val="true"/>
        </w:rPr>
        <w:t>نبذة من أحوال مولانا علی بن محمد الهادی علیهما السّلام</w:t>
      </w:r>
      <w:r>
        <w:rPr>
          <w:rtl w:val="true"/>
        </w:rPr>
        <w:t>]</w:t>
      </w:r>
      <w:bookmarkEnd w:id="547"/>
    </w:p>
    <w:p>
      <w:pPr>
        <w:pStyle w:val="Heading4"/>
        <w:numPr>
          <w:ilvl w:val="3"/>
          <w:numId w:val="1"/>
        </w:numPr>
        <w:rPr/>
      </w:pPr>
      <w:bookmarkStart w:id="548" w:name="__RefHeading___Toc4067181_3224264995"/>
      <w:bookmarkStart w:id="549" w:name="_Toc204"/>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 xml:space="preserve">و ها أنا أبتدی تیمّنا و تبرّکا بترجمة مؤلفها علیه السّلام و نبذ من أحواله أزین به غرّة وجه الکلام </w:t>
      </w:r>
      <w:r>
        <w:rPr>
          <w:rStyle w:val="FootnoteAnchor"/>
          <w:rtl w:val="true"/>
        </w:rPr>
        <w:footnoteReference w:id="1370"/>
      </w:r>
      <w:r>
        <w:rPr>
          <w:rFonts w:ascii="IRNazanin" w:hAnsi="IRNazanin" w:eastAsia="IRNazanin"/>
          <w:color w:val="111111"/>
          <w:sz w:val="28"/>
          <w:sz w:val="28"/>
          <w:szCs w:val="28"/>
          <w:rtl w:val="true"/>
          <w:lang w:bidi="fa-IR"/>
        </w:rPr>
        <w:t>و هو سیدنا و سندنا و مولانا و معتمدنا الامام المعصوم و الشهید المظلوم أبو الحسن علی بن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لقبه الشریف؛النقی و الهادی،ولد بالمدینة فی عهد المأمون فی ثانی رجب لسنة إثنتی عشرة و مأتین من الهجرة علی ما فی مصباح الکفعمی </w:t>
      </w:r>
      <w:r>
        <w:rPr>
          <w:rStyle w:val="FootnoteAnchor"/>
          <w:rtl w:val="true"/>
        </w:rPr>
        <w:footnoteReference w:id="1371"/>
      </w:r>
      <w:r>
        <w:rPr>
          <w:rFonts w:ascii="IRNazanin" w:hAnsi="IRNazanin" w:eastAsia="IRNazanin"/>
          <w:color w:val="111111"/>
          <w:sz w:val="28"/>
          <w:sz w:val="28"/>
          <w:szCs w:val="28"/>
          <w:rtl w:val="true"/>
          <w:lang w:bidi="fa-IR"/>
        </w:rPr>
        <w:t>و هو المشهور و یدل علیه الدعاء المأثور عن صاحب الامر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أسئلک بالمولودین فی رجب محمّد بن علی الثّانی و ابنه علی بن محمد المنتجب</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منتصف ذی الحجّة من السنة المذکورة؛ </w:t>
      </w:r>
      <w:r>
        <w:rPr>
          <w:rStyle w:val="FootnoteAnchor"/>
          <w:rtl w:val="true"/>
        </w:rPr>
        <w:footnoteReference w:id="1373"/>
      </w:r>
      <w:r>
        <w:rPr>
          <w:rFonts w:ascii="IRNazanin" w:hAnsi="IRNazanin" w:eastAsia="IRNazanin"/>
          <w:color w:val="111111"/>
          <w:sz w:val="28"/>
          <w:sz w:val="28"/>
          <w:szCs w:val="28"/>
          <w:rtl w:val="true"/>
          <w:lang w:bidi="fa-IR"/>
        </w:rPr>
        <w:t>و قال صاحب عمدة المقال فی مناقب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رجب من سنة مأتین و أربعة عشرة سنة من الهجرة و قد سمّه المعتز باللّه فقبض فی رجب کما فی التهذیب </w:t>
      </w:r>
      <w:r>
        <w:rPr>
          <w:rStyle w:val="FootnoteAnchor"/>
          <w:rtl w:val="true"/>
        </w:rPr>
        <w:footnoteReference w:id="1374"/>
      </w:r>
      <w:r>
        <w:rPr>
          <w:rFonts w:ascii="IRNazanin" w:hAnsi="IRNazanin" w:eastAsia="IRNazanin"/>
          <w:color w:val="111111"/>
          <w:sz w:val="28"/>
          <w:sz w:val="28"/>
          <w:szCs w:val="28"/>
          <w:rtl w:val="true"/>
          <w:lang w:bidi="fa-IR"/>
        </w:rPr>
        <w:t xml:space="preserve">و فی یوم الاثنین ثالث رجب کما فی مصباح الکفعمی </w:t>
      </w:r>
      <w:r>
        <w:rPr>
          <w:rStyle w:val="FootnoteAnchor"/>
          <w:rtl w:val="true"/>
        </w:rPr>
        <w:footnoteReference w:id="1375"/>
      </w:r>
      <w:r>
        <w:rPr>
          <w:rFonts w:ascii="IRNazanin" w:hAnsi="IRNazanin" w:eastAsia="IRNazanin"/>
          <w:color w:val="111111"/>
          <w:sz w:val="28"/>
          <w:sz w:val="28"/>
          <w:szCs w:val="28"/>
          <w:rtl w:val="true"/>
          <w:lang w:bidi="fa-IR"/>
        </w:rPr>
        <w:t>من سنة أربع و خمسین و مأتین علی ما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فعمره الشریف إحدی و أربعون سنة کما فی المصباح </w:t>
      </w:r>
      <w:r>
        <w:rPr>
          <w:rStyle w:val="FootnoteAnchor"/>
          <w:rtl w:val="true"/>
        </w:rPr>
        <w:footnoteReference w:id="1376"/>
      </w:r>
      <w:r>
        <w:rPr>
          <w:rFonts w:ascii="IRNazanin" w:hAnsi="IRNazanin" w:eastAsia="IRNazanin"/>
          <w:color w:val="111111"/>
          <w:sz w:val="28"/>
          <w:sz w:val="28"/>
          <w:szCs w:val="28"/>
          <w:rtl w:val="true"/>
          <w:lang w:bidi="fa-IR"/>
        </w:rPr>
        <w:t xml:space="preserve">و بزیادة سبعة أشهر علی ما فی التهذیب و أربعون سنة إلاّ أیاما علی ما فی العمدة و فیها کان مقامه مع أبیه ست سنین و خمسة أشهر و بقی بعد أبیه ستا و ثلاثین سنة و شهورا فهی مدة اقامته و علی ما فی المصباح </w:t>
      </w:r>
      <w:bookmarkStart w:id="550" w:name="pg12937_139472"/>
    </w:p>
    <w:p>
      <w:pPr>
        <w:pStyle w:val="BookText"/>
        <w:rPr/>
      </w:pPr>
      <w:bookmarkEnd w:id="550"/>
      <w:r>
        <w:rPr>
          <w:rFonts w:ascii="IRNazanin" w:hAnsi="IRNazanin" w:eastAsia="IRNazanin"/>
          <w:color w:val="111111"/>
          <w:sz w:val="28"/>
          <w:sz w:val="28"/>
          <w:szCs w:val="28"/>
          <w:rtl w:val="true"/>
          <w:lang w:bidi="fa-IR"/>
        </w:rPr>
        <w:t>مقامه مع أبیه عشر سنین فمدّة امامته إحدی و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أمه أم ولد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اسمها سمانة المغربیة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سمّه المعتز باللّه فقبض فی رجب علی ما فی التهذیب و فی یوم الاثنین ثالث رجب علی ما فی مصباح الکفعمی من سنة أربع و خمسین </w:t>
      </w:r>
      <w:r>
        <w:rPr>
          <w:rStyle w:val="FootnoteAnchor"/>
          <w:rtl w:val="true"/>
        </w:rPr>
        <w:footnoteReference w:id="1377"/>
      </w:r>
      <w:r>
        <w:rPr>
          <w:rFonts w:ascii="IRNazanin" w:hAnsi="IRNazanin" w:eastAsia="IRNazanin"/>
          <w:color w:val="111111"/>
          <w:sz w:val="28"/>
          <w:sz w:val="28"/>
          <w:szCs w:val="28"/>
          <w:rtl w:val="true"/>
          <w:lang w:bidi="fa-IR"/>
        </w:rPr>
        <w:t>و مأتین علی ما فی التهذیب و المصباح و عمدة المقال فعمره الشریف علی الاوّل إحدی و أربعون سنة و سبعة أشهر علی ما فی التهذیب و إحدی و أربعون علی ما فی المصباح الکفعمی و أربعون سنة غیر أیام علی ما فی العمدة و فیها کان مقامه مع أبیه ست سنین و خمسة أشهر و بقی بعد أبیه ستا و ثلاثین سنة و شهورا و فی المصباح و هی مدة إمامته و علی ما فی المصباح کان مقامه مع أبیه عشر سنین فمدة إمامته إحدی و ثلاثون سنة و قبره بسر من رأی قال صاحب العمدة فیها</w:t>
      </w:r>
      <w:r>
        <w:rPr>
          <w:rFonts w:eastAsia="IRNazanin" w:cs="IRNazanin"/>
          <w:color w:val="111111"/>
          <w:sz w:val="28"/>
          <w:szCs w:val="28"/>
          <w:rtl w:val="true"/>
          <w:lang w:bidi="fa-IR"/>
        </w:rPr>
        <w:t>).</w:t>
      </w:r>
    </w:p>
    <w:p>
      <w:pPr>
        <w:pStyle w:val="Heading4"/>
        <w:numPr>
          <w:ilvl w:val="3"/>
          <w:numId w:val="1"/>
        </w:numPr>
        <w:rPr/>
      </w:pPr>
      <w:bookmarkStart w:id="551" w:name="__RefHeading___Toc4067183_3224264995"/>
      <w:bookmarkStart w:id="552" w:name="_Toc205"/>
      <w:bookmarkEnd w:id="551"/>
      <w:r>
        <w:rPr>
          <w:rtl w:val="true"/>
        </w:rPr>
        <w:t>و امّا مناقبه علیه السّلام</w:t>
      </w:r>
      <w:r>
        <w:rPr>
          <w:rtl w:val="true"/>
        </w:rPr>
        <w:t>:</w:t>
      </w:r>
      <w:bookmarkEnd w:id="552"/>
    </w:p>
    <w:p>
      <w:pPr>
        <w:pStyle w:val="BookText"/>
        <w:rPr/>
      </w:pPr>
      <w:r>
        <w:rPr>
          <w:rFonts w:ascii="IRNazanin" w:hAnsi="IRNazanin" w:eastAsia="IRNazanin"/>
          <w:color w:val="111111"/>
          <w:sz w:val="28"/>
          <w:sz w:val="28"/>
          <w:szCs w:val="28"/>
          <w:rtl w:val="true"/>
          <w:lang w:bidi="fa-IR"/>
        </w:rPr>
        <w:t>فکثیرة شهیرة،قال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حل فی الأذان محلا حلاها بأسنافها و اکتنفته شغفا بها اکتناف اللاّلی الیتیمة بأصدافها و شهد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نفسه موصوفة بنفایس أوصافها و إنها نازلة من الدوحة النبویّة فی ذری أشرافها و شرفات أعرافها و ذلک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خرج یوما من سرّ من رأی إلی قریة لهم </w:t>
      </w:r>
      <w:r>
        <w:rPr>
          <w:rStyle w:val="FootnoteAnchor"/>
          <w:rtl w:val="true"/>
        </w:rPr>
        <w:footnoteReference w:id="1378"/>
      </w:r>
      <w:r>
        <w:rPr>
          <w:rFonts w:ascii="IRNazanin" w:hAnsi="IRNazanin" w:eastAsia="IRNazanin"/>
          <w:color w:val="111111"/>
          <w:sz w:val="28"/>
          <w:sz w:val="28"/>
          <w:szCs w:val="28"/>
          <w:rtl w:val="true"/>
          <w:lang w:bidi="fa-IR"/>
        </w:rPr>
        <w:t xml:space="preserve">عرض له فجاء أعرابی </w:t>
      </w:r>
      <w:r>
        <w:rPr>
          <w:rStyle w:val="FootnoteAnchor"/>
          <w:rtl w:val="true"/>
        </w:rPr>
        <w:footnoteReference w:id="1379"/>
      </w:r>
      <w:r>
        <w:rPr>
          <w:rFonts w:ascii="IRNazanin" w:hAnsi="IRNazanin" w:eastAsia="IRNazanin"/>
          <w:color w:val="111111"/>
          <w:sz w:val="28"/>
          <w:sz w:val="28"/>
          <w:szCs w:val="28"/>
          <w:rtl w:val="true"/>
          <w:lang w:bidi="fa-IR"/>
        </w:rPr>
        <w:t>یطلبه فقیل ذهب إلی الموضع الفلانی فقصده فلمّا وصل إلیه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أعراب الکوفة،المتمسّکین بجدّک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رکبنی دین فادح أثقلنی حمله و لم أر من أقصده لقضائه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و قرّ عینا ثم أنزله فلمّا أصبح ذلک الیوم؛قال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منک حاجة،اللّه اللّه أن تخالفنی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أخالفک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ورقة بخطه معترفا فیها أن علیه للأعرابی مالا عیّنه فیها یرجح </w:t>
      </w:r>
      <w:bookmarkStart w:id="553" w:name="pg12937_139473"/>
    </w:p>
    <w:p>
      <w:pPr>
        <w:pStyle w:val="BookText"/>
        <w:rPr/>
      </w:pPr>
      <w:bookmarkEnd w:id="553"/>
      <w:r>
        <w:rPr>
          <w:rFonts w:ascii="IRNazanin" w:hAnsi="IRNazanin" w:eastAsia="IRNazanin"/>
          <w:color w:val="111111"/>
          <w:sz w:val="28"/>
          <w:sz w:val="28"/>
          <w:szCs w:val="28"/>
          <w:rtl w:val="true"/>
          <w:lang w:bidi="fa-IR"/>
        </w:rPr>
        <w:t>علی دینه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فإذا وصلت إلی سر من رأی أحضر إلیّ و عندی جماعة فطالبنی به و أغلظ القول علیّ فی ترک إیفائک إیاه فاللّه اللّه فی مخالفتی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و أخذ الخط فلما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سر من رأی و حضر عنده جماعة من کبراء أصحاب الخلیفة و غیرهم حضر ذلک الرجل و أخرج الخط و طالبه و قال کما أوصاه و ألان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و رفق له و جعل یعتذر إلیه و وعده بوفائه و طیبة نفسه،فنقل ذلک إلی الخلیفة المتوکّل فأمر أن یحمل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ألف درهم،فلما حملت إلیه ترکها إلی أن جاء الأعرابی،فقال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المال إقض منه دینک و أنفق الباقی علی أهلک و عیالک و أعذرنا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أملی کان یقصر عن ثلث هذا و لکن اَللّٰهُ أَعْلَمُ حَیْثُ یَجْعَلُ رِسٰالَتَهُ </w:t>
      </w:r>
      <w:r>
        <w:rPr>
          <w:rStyle w:val="FootnoteAnchor"/>
          <w:rtl w:val="true"/>
        </w:rPr>
        <w:footnoteReference w:id="1380"/>
      </w:r>
      <w:r>
        <w:rPr>
          <w:rFonts w:ascii="IRNazanin" w:hAnsi="IRNazanin" w:eastAsia="IRNazanin"/>
          <w:color w:val="111111"/>
          <w:sz w:val="28"/>
          <w:sz w:val="28"/>
          <w:szCs w:val="28"/>
          <w:rtl w:val="true"/>
          <w:lang w:bidi="fa-IR"/>
        </w:rPr>
        <w:t xml:space="preserve">فأخذ المال و إنصرف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منقبة من سمعها حکم له بمکارم الأخلاق و قضی له بالمناقب المحکوم بشرفها بالإتفاق إنتهی ملخّصا،و کأنه علیه السّلام جعل ذمته مشغولة بالمال للرجل و لو بالوعد فصدق إعترافه من غیر کذب و لا حاجة إلی توریة و قد ثبت من حقوقه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الإمامة و غیرها فی ذمة الخلیفة أضعاف ما رقّمه فی الصحیفة فجاز له أن یستنقذها منه بأی وجه امکن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4067185_3224264995"/>
      <w:bookmarkStart w:id="555" w:name="_Toc206"/>
      <w:bookmarkEnd w:id="554"/>
      <w:r>
        <w:rPr>
          <w:rtl w:val="true"/>
        </w:rPr>
        <w:t>و أما کراماته و معجزاته</w:t>
      </w:r>
      <w:bookmarkEnd w:id="55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فکثیرة أیضا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إبن طاوس فی المهج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الکفعمی فی حواشی مصباحه عن زرافة حاجب المتوکل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المتوکل کان یکرم الفتح بن خاقان و یعظّمه کثیرا حتّی أنّه کان أعزّ علیه من أولاده فأراد إظهار قربه عنده و کرامته علیه فرکب یوما و أمر الفتح بن خاقان بالرکوب معه و الناس کلهم یمشون </w:t>
      </w:r>
      <w:r>
        <w:rPr>
          <w:rStyle w:val="FootnoteAnchor"/>
          <w:rtl w:val="true"/>
        </w:rPr>
        <w:footnoteReference w:id="1383"/>
      </w:r>
      <w:r>
        <w:rPr>
          <w:rFonts w:ascii="IRNazanin" w:hAnsi="IRNazanin" w:eastAsia="IRNazanin"/>
          <w:color w:val="111111"/>
          <w:sz w:val="28"/>
          <w:sz w:val="28"/>
          <w:szCs w:val="28"/>
          <w:rtl w:val="true"/>
          <w:lang w:bidi="fa-IR"/>
        </w:rPr>
        <w:t xml:space="preserve">کلّ فی مرتبته قربا </w:t>
      </w:r>
    </w:p>
    <w:p>
      <w:pPr>
        <w:pStyle w:val="BookText"/>
        <w:rPr/>
      </w:pPr>
      <w:r>
        <w:rPr>
          <w:rFonts w:ascii="IRNazanin" w:hAnsi="IRNazanin" w:eastAsia="IRNazanin"/>
          <w:color w:val="111111"/>
          <w:sz w:val="28"/>
          <w:sz w:val="28"/>
          <w:szCs w:val="28"/>
          <w:rtl w:val="true"/>
          <w:lang w:bidi="fa-IR"/>
        </w:rPr>
        <w:t>و بعدا منه و کان فیهم أبو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أصابه من الحر و المشی أذی کثیر قال زرافة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رأیته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علیّ و اللّه ما یصیبک من الأذی من هذه الطایفة الطاغیة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 علیّ أخذا بیدیّ،فقال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لیس قدر ناقة صالح عند اللّه تعالی اعظم من قدری و منزلتی عنده و کنت أمشی معه إلی ان نزل المتوکل و أمر الناس بالرجوع فرکبوا و رجعوا إلی منازلهم فأتیت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ببغلة فرکبها و رجع و ودعته و رجعت إلی منزلی و کان عندی معلّم شیعیّ یعلم ولدی فحکیت له القصّة و ما سمعته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نأکل الطعام فأمسک المعلّم عن الطعام و رفع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سمعت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فحلفت له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المتوکل لا یمکث فی ملکه و سلطانه أکثر من ثلاثة أیام و إنه سیهلک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زرافة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 مالک و أهلک فإن الخلیفة سیهلک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تقول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 فی قوم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فِی دٰارِکُمْ ثَلاٰثَةَ أَیّٰامٍ ذٰلِکَ وَعْدٌ غَیْرُ مَکْذُوبٍ </w:t>
      </w:r>
      <w:r>
        <w:rPr>
          <w:rStyle w:val="FootnoteAnchor"/>
          <w:rtl w:val="true"/>
        </w:rPr>
        <w:footnoteReference w:id="1384"/>
      </w:r>
      <w:r>
        <w:rPr>
          <w:rFonts w:ascii="IRNazanin" w:hAnsi="IRNazanin" w:eastAsia="IRNazanin"/>
          <w:color w:val="111111"/>
          <w:sz w:val="28"/>
          <w:sz w:val="28"/>
          <w:szCs w:val="28"/>
          <w:rtl w:val="true"/>
          <w:lang w:bidi="fa-IR"/>
        </w:rPr>
        <w:t>و قول الإمام إشارة إلی مثله فی المتوکل و لا یجوز کذب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لم تنقض ثلاثة أیام حتّی هجم علی المتوکل إبنه المنتصر مع جماعة من الأتراک فقطّع المتوکل و الفتح بن خاقان إربا إربا بحیث لم یتمیز جسد أحدهما عن الآخر الحدیث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الراوندی رحمه اللّه فی الخرایج و هی کثیرة أذکر منها ثلاثة؛منها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جماعة من أهل اصفهان منهم أحمد بن نضر </w:t>
      </w:r>
      <w:r>
        <w:rPr>
          <w:rStyle w:val="FootnoteAnchor"/>
          <w:rtl w:val="true"/>
        </w:rPr>
        <w:footnoteReference w:id="1387"/>
      </w:r>
      <w:r>
        <w:rPr>
          <w:rFonts w:ascii="IRNazanin" w:hAnsi="IRNazanin" w:eastAsia="IRNazanin"/>
          <w:color w:val="111111"/>
          <w:sz w:val="28"/>
          <w:sz w:val="28"/>
          <w:szCs w:val="28"/>
          <w:rtl w:val="true"/>
          <w:lang w:bidi="fa-IR"/>
        </w:rPr>
        <w:t>و محمد بن علویّة،قالوا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بإصبهان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و کان شیعیّا،فقیل </w:t>
      </w:r>
      <w:r>
        <w:rPr>
          <w:rStyle w:val="FootnoteAnchor"/>
          <w:rtl w:val="true"/>
        </w:rPr>
        <w:footnoteReference w:id="1388"/>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السبب فی قولک بإمامة </w:t>
      </w:r>
      <w:r>
        <w:rPr>
          <w:rStyle w:val="FootnoteAnchor"/>
          <w:rtl w:val="true"/>
        </w:rPr>
        <w:footnoteReference w:id="1389"/>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النقی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شاهدت منه </w:t>
      </w:r>
      <w:r>
        <w:rPr>
          <w:rStyle w:val="FootnoteAnchor"/>
          <w:rtl w:val="true"/>
        </w:rPr>
        <w:footnoteReference w:id="1391"/>
      </w:r>
      <w:r>
        <w:rPr>
          <w:rFonts w:ascii="IRNazanin" w:hAnsi="IRNazanin" w:eastAsia="IRNazanin"/>
          <w:color w:val="111111"/>
          <w:sz w:val="28"/>
          <w:sz w:val="28"/>
          <w:szCs w:val="28"/>
          <w:rtl w:val="true"/>
          <w:lang w:bidi="fa-IR"/>
        </w:rPr>
        <w:t xml:space="preserve">ما اوجب ذلک علیّ و </w:t>
      </w:r>
      <w:r>
        <w:rPr>
          <w:rStyle w:val="FootnoteAnchor"/>
          <w:rtl w:val="true"/>
        </w:rPr>
        <w:footnoteReference w:id="1392"/>
      </w:r>
      <w:r>
        <w:rPr>
          <w:rFonts w:ascii="IRNazanin" w:hAnsi="IRNazanin" w:eastAsia="IRNazanin"/>
          <w:color w:val="111111"/>
          <w:sz w:val="28"/>
          <w:sz w:val="28"/>
          <w:szCs w:val="28"/>
          <w:rtl w:val="true"/>
          <w:lang w:bidi="fa-IR"/>
        </w:rPr>
        <w:t xml:space="preserve">هو أنّی کنت فقیرا و کان لی لسان و جرأة فأخرجنی أهل إصفهان سنة من السنین </w:t>
      </w:r>
      <w:r>
        <w:rPr>
          <w:rStyle w:val="FootnoteAnchor"/>
          <w:rtl w:val="true"/>
        </w:rPr>
        <w:footnoteReference w:id="1393"/>
      </w:r>
      <w:r>
        <w:rPr>
          <w:rFonts w:ascii="IRNazanin" w:hAnsi="IRNazanin" w:eastAsia="IRNazanin"/>
          <w:color w:val="111111"/>
          <w:sz w:val="28"/>
          <w:sz w:val="28"/>
          <w:szCs w:val="28"/>
          <w:rtl w:val="true"/>
          <w:lang w:bidi="fa-IR"/>
        </w:rPr>
        <w:t xml:space="preserve">فخرجت مع قوم إلی باب المتوکل متظلّمین فبینا نحن بالباب </w:t>
      </w:r>
      <w:r>
        <w:rPr>
          <w:rStyle w:val="FootnoteAnchor"/>
          <w:rtl w:val="true"/>
        </w:rPr>
        <w:footnoteReference w:id="1394"/>
      </w:r>
      <w:r>
        <w:rPr>
          <w:rFonts w:ascii="IRNazanin" w:hAnsi="IRNazanin" w:eastAsia="IRNazanin"/>
          <w:color w:val="111111"/>
          <w:sz w:val="28"/>
          <w:sz w:val="28"/>
          <w:szCs w:val="28"/>
          <w:rtl w:val="true"/>
          <w:lang w:bidi="fa-IR"/>
        </w:rPr>
        <w:t>إذ خرج الأمر بإحضار علی بن محمد بن الرضا علیهم السّلام فقلت لبعض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الرجل الذی </w:t>
      </w:r>
      <w:r>
        <w:rPr>
          <w:rStyle w:val="FootnoteAnchor"/>
          <w:rtl w:val="true"/>
        </w:rPr>
        <w:footnoteReference w:id="1395"/>
      </w:r>
      <w:r>
        <w:rPr>
          <w:rFonts w:ascii="IRNazanin" w:hAnsi="IRNazanin" w:eastAsia="IRNazanin"/>
          <w:color w:val="111111"/>
          <w:sz w:val="28"/>
          <w:sz w:val="28"/>
          <w:szCs w:val="28"/>
          <w:rtl w:val="true"/>
          <w:lang w:bidi="fa-IR"/>
        </w:rPr>
        <w:t>أمر بإحضاره؟فقیل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1396"/>
      </w:r>
      <w:r>
        <w:rPr>
          <w:rFonts w:ascii="IRNazanin" w:hAnsi="IRNazanin" w:eastAsia="IRNazanin"/>
          <w:color w:val="111111"/>
          <w:sz w:val="28"/>
          <w:sz w:val="28"/>
          <w:szCs w:val="28"/>
          <w:rtl w:val="true"/>
          <w:lang w:bidi="fa-IR"/>
        </w:rPr>
        <w:t>رجل علویّ تقول الرّافضة بإمامته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المتوکل یحضره للقتل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أبرح من ههنا حتی أنظر إلی هذا الرجل </w:t>
      </w:r>
      <w:r>
        <w:rPr>
          <w:rStyle w:val="FootnoteAnchor"/>
          <w:rtl w:val="true"/>
        </w:rPr>
        <w:footnoteReference w:id="1398"/>
      </w:r>
      <w:r>
        <w:rPr>
          <w:rFonts w:ascii="IRNazanin" w:hAnsi="IRNazanin" w:eastAsia="IRNazanin"/>
          <w:color w:val="111111"/>
          <w:sz w:val="28"/>
          <w:sz w:val="28"/>
          <w:szCs w:val="28"/>
          <w:rtl w:val="true"/>
          <w:lang w:bidi="fa-IR"/>
        </w:rPr>
        <w:t xml:space="preserve">فأقبل راکبا علی فرس و قد قام الناس یمنة الطریق و یسرتها </w:t>
      </w:r>
      <w:r>
        <w:rPr>
          <w:rStyle w:val="FootnoteAnchor"/>
          <w:rtl w:val="true"/>
        </w:rPr>
        <w:footnoteReference w:id="1399"/>
      </w: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 xml:space="preserve">. </w:t>
      </w:r>
      <w:r>
        <w:rPr>
          <w:rStyle w:val="FootnoteAnchor"/>
          <w:rtl w:val="true"/>
        </w:rPr>
        <w:footnoteReference w:id="140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رأیته وقع حبّه فی قلبی فصرت </w:t>
      </w:r>
      <w:r>
        <w:rPr>
          <w:rStyle w:val="FootnoteAnchor"/>
          <w:rtl w:val="true"/>
        </w:rPr>
        <w:footnoteReference w:id="1401"/>
      </w:r>
      <w:r>
        <w:rPr>
          <w:rFonts w:ascii="IRNazanin" w:hAnsi="IRNazanin" w:eastAsia="IRNazanin"/>
          <w:color w:val="111111"/>
          <w:sz w:val="28"/>
          <w:sz w:val="28"/>
          <w:szCs w:val="28"/>
          <w:rtl w:val="true"/>
          <w:lang w:bidi="fa-IR"/>
        </w:rPr>
        <w:t xml:space="preserve">أدعو له فی نفسی بأن یدفع اللّه عنه شرّ المتوکل فأقبل یسیر بین الناس و هو ینظر إلیّ </w:t>
      </w:r>
      <w:r>
        <w:rPr>
          <w:rStyle w:val="FootnoteAnchor"/>
          <w:rtl w:val="true"/>
        </w:rPr>
        <w:footnoteReference w:id="1402"/>
      </w:r>
      <w:r>
        <w:rPr>
          <w:rFonts w:ascii="IRNazanin" w:hAnsi="IRNazanin" w:eastAsia="IRNazanin"/>
          <w:color w:val="111111"/>
          <w:sz w:val="28"/>
          <w:sz w:val="28"/>
          <w:szCs w:val="28"/>
          <w:rtl w:val="true"/>
          <w:lang w:bidi="fa-IR"/>
        </w:rPr>
        <w:t xml:space="preserve">و لا ینظر یمنة و لا یسرة فأنا </w:t>
      </w:r>
      <w:r>
        <w:rPr>
          <w:rStyle w:val="FootnoteAnchor"/>
          <w:rtl w:val="true"/>
        </w:rPr>
        <w:footnoteReference w:id="1403"/>
      </w:r>
      <w:r>
        <w:rPr>
          <w:rFonts w:ascii="IRNazanin" w:hAnsi="IRNazanin" w:eastAsia="IRNazanin"/>
          <w:color w:val="111111"/>
          <w:sz w:val="28"/>
          <w:sz w:val="28"/>
          <w:szCs w:val="28"/>
          <w:rtl w:val="true"/>
          <w:lang w:bidi="fa-IR"/>
        </w:rPr>
        <w:t xml:space="preserve">أکرّر فی نفسی الدّعاء له فلمّا صار بإزای </w:t>
      </w:r>
      <w:r>
        <w:rPr>
          <w:rStyle w:val="FootnoteAnchor"/>
          <w:rtl w:val="true"/>
        </w:rPr>
        <w:footnoteReference w:id="1404"/>
      </w:r>
      <w:r>
        <w:rPr>
          <w:rFonts w:ascii="IRNazanin" w:hAnsi="IRNazanin" w:eastAsia="IRNazanin"/>
          <w:color w:val="111111"/>
          <w:sz w:val="28"/>
          <w:sz w:val="28"/>
          <w:szCs w:val="28"/>
          <w:rtl w:val="true"/>
          <w:lang w:bidi="fa-IR"/>
        </w:rPr>
        <w:t xml:space="preserve">أقبل بوجهه علیّ </w:t>
      </w:r>
      <w:r>
        <w:rPr>
          <w:rStyle w:val="FootnoteAnchor"/>
          <w:rtl w:val="true"/>
        </w:rPr>
        <w:footnoteReference w:id="140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استجاب اللّه دعاءک و طوّل عمرک و کثّر مالک و ولدک </w:t>
      </w:r>
      <w:r>
        <w:rPr>
          <w:rStyle w:val="FootnoteAnchor"/>
          <w:rtl w:val="true"/>
        </w:rPr>
        <w:footnoteReference w:id="1406"/>
      </w:r>
      <w:r>
        <w:rPr>
          <w:rFonts w:ascii="IRNazanin" w:hAnsi="IRNazanin" w:eastAsia="IRNazanin"/>
          <w:color w:val="111111"/>
          <w:sz w:val="28"/>
          <w:sz w:val="28"/>
          <w:szCs w:val="28"/>
          <w:rtl w:val="true"/>
          <w:lang w:bidi="fa-IR"/>
        </w:rPr>
        <w:t xml:space="preserve">فارتعدت من هیبته و وقعت بین أصحابی فسألونی </w:t>
      </w:r>
      <w:r>
        <w:rPr>
          <w:rStyle w:val="FootnoteAnchor"/>
          <w:rtl w:val="true"/>
        </w:rPr>
        <w:footnoteReference w:id="1407"/>
      </w:r>
      <w:r>
        <w:rPr>
          <w:rFonts w:ascii="IRNazanin" w:hAnsi="IRNazanin" w:eastAsia="IRNazanin"/>
          <w:color w:val="111111"/>
          <w:sz w:val="28"/>
          <w:sz w:val="28"/>
          <w:szCs w:val="28"/>
          <w:rtl w:val="true"/>
          <w:lang w:bidi="fa-IR"/>
        </w:rPr>
        <w:t>ما شأنک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 لم أخبر بذلک مخلوقا </w:t>
      </w:r>
      <w:r>
        <w:rPr>
          <w:rStyle w:val="FootnoteAnchor"/>
          <w:rtl w:val="true"/>
        </w:rPr>
        <w:footnoteReference w:id="1408"/>
      </w:r>
      <w:r>
        <w:rPr>
          <w:rFonts w:ascii="IRNazanin" w:hAnsi="IRNazanin" w:eastAsia="IRNazanin"/>
          <w:color w:val="111111"/>
          <w:sz w:val="28"/>
          <w:sz w:val="28"/>
          <w:szCs w:val="28"/>
          <w:rtl w:val="true"/>
          <w:lang w:bidi="fa-IR"/>
        </w:rPr>
        <w:t xml:space="preserve">ثم إنصرفنا </w:t>
      </w:r>
      <w:r>
        <w:rPr>
          <w:rStyle w:val="FootnoteAnchor"/>
          <w:rtl w:val="true"/>
        </w:rPr>
        <w:footnoteReference w:id="1409"/>
      </w:r>
      <w:r>
        <w:rPr>
          <w:rFonts w:ascii="IRNazanin" w:hAnsi="IRNazanin" w:eastAsia="IRNazanin"/>
          <w:color w:val="111111"/>
          <w:sz w:val="28"/>
          <w:sz w:val="28"/>
          <w:szCs w:val="28"/>
          <w:rtl w:val="true"/>
          <w:lang w:bidi="fa-IR"/>
        </w:rPr>
        <w:t xml:space="preserve">بعد ذلک إلی إصفهان ففتح اللّه </w:t>
      </w:r>
    </w:p>
    <w:p>
      <w:pPr>
        <w:pStyle w:val="BookText"/>
        <w:rPr/>
      </w:pPr>
      <w:r>
        <w:rPr>
          <w:rFonts w:ascii="Amiri" w:hAnsi="Amiri" w:eastAsia="Amiri" w:cs="Amiri"/>
          <w:color w:val="111111"/>
          <w:sz w:val="28"/>
          <w:sz w:val="28"/>
          <w:szCs w:val="28"/>
          <w:rtl w:val="true"/>
          <w:lang w:bidi="ar-SA"/>
        </w:rPr>
        <w:t xml:space="preserve">علیّ بدعائه </w:t>
      </w:r>
      <w:r>
        <w:rPr>
          <w:rStyle w:val="FootnoteAnchor"/>
          <w:rtl w:val="true"/>
        </w:rPr>
        <w:footnoteReference w:id="1410"/>
      </w:r>
      <w:r>
        <w:rPr>
          <w:rFonts w:ascii="IRNazanin" w:hAnsi="IRNazanin" w:eastAsia="IRNazanin"/>
          <w:color w:val="111111"/>
          <w:sz w:val="28"/>
          <w:sz w:val="28"/>
          <w:szCs w:val="28"/>
          <w:rtl w:val="true"/>
          <w:lang w:bidi="fa-IR"/>
        </w:rPr>
        <w:t xml:space="preserve">وجوها من المال حتّی </w:t>
      </w:r>
      <w:r>
        <w:rPr>
          <w:rStyle w:val="FootnoteAnchor"/>
          <w:rtl w:val="true"/>
        </w:rPr>
        <w:footnoteReference w:id="1411"/>
      </w:r>
      <w:r>
        <w:rPr>
          <w:rFonts w:ascii="IRNazanin" w:hAnsi="IRNazanin" w:eastAsia="IRNazanin"/>
          <w:color w:val="111111"/>
          <w:sz w:val="28"/>
          <w:sz w:val="28"/>
          <w:szCs w:val="28"/>
          <w:rtl w:val="true"/>
          <w:lang w:bidi="fa-IR"/>
        </w:rPr>
        <w:t xml:space="preserve">الیوم اغلق بابی علی ما قیمته ألف ألف درهم سوی مالی خارج داری و رزقت عشرة أولاد و مضی </w:t>
      </w:r>
      <w:r>
        <w:rPr>
          <w:rStyle w:val="FootnoteAnchor"/>
          <w:rtl w:val="true"/>
        </w:rPr>
        <w:footnoteReference w:id="1412"/>
      </w:r>
      <w:r>
        <w:rPr>
          <w:rFonts w:ascii="IRNazanin" w:hAnsi="IRNazanin" w:eastAsia="IRNazanin"/>
          <w:color w:val="111111"/>
          <w:sz w:val="28"/>
          <w:sz w:val="28"/>
          <w:szCs w:val="28"/>
          <w:rtl w:val="true"/>
          <w:lang w:bidi="fa-IR"/>
        </w:rPr>
        <w:t xml:space="preserve">من عمری نیف </w:t>
      </w:r>
      <w:r>
        <w:rPr>
          <w:rStyle w:val="FootnoteAnchor"/>
          <w:rtl w:val="true"/>
        </w:rPr>
        <w:footnoteReference w:id="1413"/>
      </w:r>
      <w:r>
        <w:rPr>
          <w:rFonts w:ascii="IRNazanin" w:hAnsi="IRNazanin" w:eastAsia="IRNazanin"/>
          <w:color w:val="111111"/>
          <w:sz w:val="28"/>
          <w:sz w:val="28"/>
          <w:szCs w:val="28"/>
          <w:rtl w:val="true"/>
          <w:lang w:bidi="fa-IR"/>
        </w:rPr>
        <w:t xml:space="preserve">عن سبعین سنة فأنا </w:t>
      </w:r>
      <w:r>
        <w:rPr>
          <w:rStyle w:val="FootnoteAnchor"/>
          <w:rtl w:val="true"/>
        </w:rPr>
        <w:footnoteReference w:id="1414"/>
      </w:r>
      <w:r>
        <w:rPr>
          <w:rFonts w:ascii="IRNazanin" w:hAnsi="IRNazanin" w:eastAsia="IRNazanin"/>
          <w:color w:val="111111"/>
          <w:sz w:val="28"/>
          <w:sz w:val="28"/>
          <w:szCs w:val="28"/>
          <w:rtl w:val="true"/>
          <w:lang w:bidi="fa-IR"/>
        </w:rPr>
        <w:t xml:space="preserve">أقول بامامته إذ </w:t>
      </w:r>
      <w:r>
        <w:rPr>
          <w:rStyle w:val="FootnoteAnchor"/>
          <w:rtl w:val="true"/>
        </w:rPr>
        <w:footnoteReference w:id="1415"/>
      </w:r>
      <w:r>
        <w:rPr>
          <w:rFonts w:ascii="IRNazanin" w:hAnsi="IRNazanin" w:eastAsia="IRNazanin"/>
          <w:color w:val="111111"/>
          <w:sz w:val="28"/>
          <w:sz w:val="28"/>
          <w:szCs w:val="28"/>
          <w:rtl w:val="true"/>
          <w:lang w:bidi="fa-IR"/>
        </w:rPr>
        <w:t xml:space="preserve">علم ما کان فی نفسی </w:t>
      </w:r>
      <w:r>
        <w:rPr>
          <w:rStyle w:val="FootnoteAnchor"/>
          <w:rtl w:val="true"/>
        </w:rPr>
        <w:footnoteReference w:id="1416"/>
      </w:r>
      <w:r>
        <w:rPr>
          <w:rFonts w:ascii="IRNazanin" w:hAnsi="IRNazanin" w:eastAsia="IRNazanin"/>
          <w:color w:val="111111"/>
          <w:sz w:val="28"/>
          <w:sz w:val="28"/>
          <w:szCs w:val="28"/>
          <w:rtl w:val="true"/>
          <w:lang w:bidi="fa-IR"/>
        </w:rPr>
        <w:t xml:space="preserve">و استجاب اللّه دعاءه فی أمری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لهبة اللّه بن أبی منصور الموصلی بدیار ربیعة کاتبا نصرانیّا و کان من أهل کفر توثا یسمّی یوسف بن یعقوب و کان بینه و بین والدی صداقة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فوافانا فنزل عند والدی،فقلت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قدمت فی هذا الوقت؟قال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أحضرنی المتوکل و ما أدری ما یراد منی إلاّ أنّی إشتریت نفسی من اللّه بمائة دینار لعلی بن محمد بن الرضا علیهم السّلام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وفقت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إلی حضرة المتوکل و إنصرف إلینا بعد أیام قلایل فرحا مسرورا فقال له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حدیثک؛قال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إلی سرّ من رأی و ما دخلتها قطّ،فنزلت فی دار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اوصل المائة دینار إلی علی بن محمد علیه السّلام قبل مصیری إلی باب المتوکل و قبل أن یعرف أحد بقدومی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أنّ المتوکل قد منعه من الرکوب و أنه ملازم لداره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رجل نصرانی یسأل عن دار ولد إبن الرضا لا آمن أن یکون ذلک زیادة فیما أحاذره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ففکّرت ساعة فی ذلک فوقع فی نفسی أن أرکب حماری و أخرج من البلد و لا أمنعه من حیث یذهب لعلی أقف علی داره من غیر أن أسأل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فجعلت الدنانیر فی کاغذة و جعلتها فی کمّی و رکبت و کان الحمار یتخرّق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الشوارع و الأسواق و یمرّ بی حیث یشاء إلی أن صرت إلی باب دار فوقف الحمار فجهدت أن یزول </w:t>
      </w:r>
    </w:p>
    <w:p>
      <w:pPr>
        <w:pStyle w:val="BookText"/>
        <w:rPr/>
      </w:pPr>
      <w:r>
        <w:rPr>
          <w:rFonts w:ascii="IRNazanin" w:hAnsi="IRNazanin" w:eastAsia="IRNazanin"/>
          <w:color w:val="111111"/>
          <w:sz w:val="28"/>
          <w:sz w:val="28"/>
          <w:szCs w:val="28"/>
          <w:rtl w:val="true"/>
          <w:lang w:bidi="fa-IR"/>
        </w:rPr>
        <w:t>فلم یزل فقلت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لمن هذه الدار؟فقیل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دار علی بن محمد بن الرضا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أکبر،دلالة 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خادم أسود قد خرج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یوسف بن یعقوب؟قلت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فأقعدنی فی الدهلیز و دخل 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دلالة أخری من أین عرف هذا الغلام إسمی و إسم أبی و لیس فی هذه البلدة من یعرفنی و لا دخلته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المائة دینار التی معک فی کمّک فی الکاغذة هاتها؟ فناولته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ثالثة ثم رجع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فدخلت و هو فی مجلسه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أقواما یزعمون أنّ ولایتنا لا تنفع أمثالک کذبوا و اللّه إنّها لتنفع أمثالک إمض فیما وافیت له فإنک ستری ما تحب و ستولّد لک ولد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إلی باب المتوکل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أردت و إنصرفت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فلقیت إبنه بعد موت أبیه و هو مسلم حسن التشیّع فأخبرنی أنّ أباه مات علی النصرانیة و أنه أسلم بعد موت والده و کان یقول أنا بشارة مولای علیه السّلام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خیران الأسباطی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المدینة علی أبی الحسن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الواثق؟قلت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عافیة،و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جعفر؟قلت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أسوء الناس حالا فی السجن،و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إبن الزیّات؟قلت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أمره و أنا منذ عشرة أیام خرجت من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الواثق و قد أقعد المتوکل جعفر و قتل إبن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خروجک بستة أیام فکان کذلک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المسعودی الدمشقی عن العامّة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التحقیق</w:t>
      </w:r>
      <w:r>
        <w:rPr>
          <w:rFonts w:eastAsia="IRNazanin" w:cs="IRNazanin"/>
          <w:color w:val="111111"/>
          <w:sz w:val="28"/>
          <w:szCs w:val="28"/>
          <w:rtl w:val="true"/>
          <w:lang w:bidi="fa-IR"/>
        </w:rPr>
        <w:t xml:space="preserve">» </w:t>
      </w:r>
      <w:r>
        <w:rPr>
          <w:rStyle w:val="FootnoteAnchor"/>
          <w:rtl w:val="true"/>
        </w:rPr>
        <w:footnoteReference w:id="1420"/>
      </w:r>
      <w:r>
        <w:rPr>
          <w:rFonts w:ascii="IRNazanin" w:hAnsi="IRNazanin" w:eastAsia="IRNazanin"/>
          <w:color w:val="111111"/>
          <w:sz w:val="28"/>
          <w:sz w:val="28"/>
          <w:szCs w:val="28"/>
          <w:rtl w:val="true"/>
          <w:lang w:bidi="fa-IR"/>
        </w:rPr>
        <w:t>أحادیث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تلّ المخالی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هبیرة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المتوکل إلی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فأحضره ثمّ أمر عسکره بأن یتزیّنوا و یلبسوا السلاح و یأخذ کلّ منهم بمخلاة فرسه ترابا و یکوّمه کومة واحدة فصار جبلا عظیما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 المخالی فأخذ بید </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صعد التّل فجلس علیّ مع المتوکل،ثم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أنظر إلی عسکری فینظر و إذا بعسکر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عسکرا أکثر من عسکری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عسکر أکثر منه فقال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عسکری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عسکر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فأحبّ أن ترینی إیّاه فقال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عن یمینک،فنظر فإذا ملایکة قایمة بأیدیهم حراب من نار و المتوکل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النار،و الملائکة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صاحب الدار و أحرقوه بالنار فالتفت جعفر إلی المتوکل و قد خفّ عقله و ذهب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الشمال فنظر فإذا عسکر أکثر من الیمین و بأیدیهم حراب من نار فلما رآهم المتوکل غاب رشده و رأی الملائکة ترید أن تطعنه بالحراب الذی فی أیدیهم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الملائکة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صاحب الدار و أحرقوه بالنار فالتفت المتوکل إلی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صحا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 أنت لو تکون لکم عسکر لم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فوحق ربی و جلال ملکه لقد أتی إلیه عسکر و قد طلبوا منه الإذن أن یأمرهم بالبراز فأبی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برزتم إلی هولاء الکفرة و قتلتموهم من یقتلنی من بعدهم فبکوا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نبرح من هذه الأرض حتی نقیم المأتم علیک فی کل سنة إلی أن تقوم القیامة و ها هم بحرم جدی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یظهر قائمنا فینصرونه فأخذ بیده المتوکل و نزل من جبل المخالی ثم أمر له بألف ألف دینار و سفط من الجوهر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أفتؤمننی أن لا تخرج علیّ و لا علی أحد من ولدی،فقال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من شیمتی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إنصرف بحفظ اللّه ودعته یا أبا الحسن فإنصرف و جعل الناس یهنّونه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شکرتم رجلا أعطانا بعض حقّنا و فاز بالباقی،فبلغ جعفر المتوکل ذلک فلم یقل شیئا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ذکره الراوندی أیضا فی الخرائج مختصرا و لما تعذر إستقصاء الباب و لا إستیفاء اللّباب لأن المقصود فی هذا المقام نوع آخر من الکلام إقتصرنا علی ما ذکرنا</w:t>
      </w:r>
      <w:r>
        <w:rPr>
          <w:rFonts w:eastAsia="IRNazanin" w:cs="IRNazanin"/>
          <w:color w:val="111111"/>
          <w:sz w:val="28"/>
          <w:szCs w:val="28"/>
          <w:rtl w:val="true"/>
          <w:lang w:bidi="fa-IR"/>
        </w:rPr>
        <w:t xml:space="preserve">. </w:t>
      </w:r>
      <w:bookmarkStart w:id="556" w:name="pg12937_139479"/>
    </w:p>
    <w:p>
      <w:pPr>
        <w:pStyle w:val="Heading3"/>
        <w:numPr>
          <w:ilvl w:val="2"/>
          <w:numId w:val="1"/>
        </w:numPr>
        <w:rPr/>
      </w:pPr>
      <w:bookmarkStart w:id="557" w:name="__RefHeading___Toc4067187_3224264995"/>
      <w:bookmarkStart w:id="558" w:name="_Toc207"/>
      <w:bookmarkEnd w:id="556"/>
      <w:bookmarkEnd w:id="557"/>
      <w:r>
        <w:rPr>
          <w:rtl w:val="true"/>
        </w:rPr>
        <w:t>[</w:t>
      </w:r>
      <w:r>
        <w:rPr>
          <w:rtl w:val="true"/>
        </w:rPr>
        <w:t>الزیارة الجامعة الکبیرة</w:t>
      </w:r>
      <w:r>
        <w:rPr>
          <w:rtl w:val="true"/>
        </w:rPr>
        <w:t>]</w:t>
      </w:r>
      <w:bookmarkEnd w:id="558"/>
    </w:p>
    <w:p>
      <w:pPr>
        <w:pStyle w:val="Heading4"/>
        <w:numPr>
          <w:ilvl w:val="3"/>
          <w:numId w:val="1"/>
        </w:numPr>
        <w:rPr/>
      </w:pPr>
      <w:bookmarkStart w:id="559" w:name="__RefHeading___Toc4067189_3224264995"/>
      <w:bookmarkStart w:id="560" w:name="_Toc208"/>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w:t>
      </w:r>
      <w:r>
        <w:rPr>
          <w:rStyle w:val="FootnoteAnchor"/>
          <w:rtl w:val="true"/>
        </w:rPr>
        <w:footnoteReference w:id="1421"/>
      </w:r>
      <w:r>
        <w:rPr>
          <w:rFonts w:ascii="IRNazanin" w:hAnsi="IRNazanin" w:eastAsia="IRNazanin"/>
          <w:color w:val="111111"/>
          <w:sz w:val="28"/>
          <w:sz w:val="28"/>
          <w:szCs w:val="28"/>
          <w:rtl w:val="true"/>
          <w:lang w:bidi="fa-IR"/>
        </w:rPr>
        <w:t xml:space="preserve">إنّ الزیارة الجامعة الکبیرة رواها الصدوق محمد بن علی بن بابویه فی الفقیه بسند معتبر و إن کان فیه ما فیه لأنّ </w:t>
      </w:r>
      <w:r>
        <w:rPr>
          <w:rStyle w:val="FootnoteAnchor"/>
          <w:rtl w:val="true"/>
        </w:rPr>
        <w:footnoteReference w:id="1422"/>
      </w:r>
      <w:r>
        <w:rPr>
          <w:rFonts w:ascii="IRNazanin" w:hAnsi="IRNazanin" w:eastAsia="IRNazanin"/>
          <w:color w:val="111111"/>
          <w:sz w:val="28"/>
          <w:sz w:val="28"/>
          <w:szCs w:val="28"/>
          <w:rtl w:val="true"/>
          <w:lang w:bidi="fa-IR"/>
        </w:rPr>
        <w:t>هذه الزیارة بما فیها من البلاغة و جزالة العبارة تشهد بصحة الإسناد و الإستناد و لا حاجة إلی تصحیح الأسناد علی وفق ما إصطلح علیه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 بن موسی و الحسین بن إبراهیم بن أحمد الکاتب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عبد اللّه الکوفی عن محمد بن إسمعیل البرمکی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عبد اللّه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البرمکی ثقة و هو المشهور بصاحب الصومعة و الباقون 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لعلی بن محمد بن علی بن موسی بن جعفر بن محمد بن علی بن الحسین بن علی بن أبی طالب علیهم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علّمنی یابن رسول اللّه قولا أقوله بلیغا کاملا اذا زرت واحدا منکم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لأقول و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الضمیر المنصوب أو نعت لقولا لأن جملة أقوله أیضا مع قیوده نعت له فلا یلزم فصل النعت عن المنعوت بالأجنبی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 لا یزار بهذه الزیارة فی کلّ مرة أکثر من واحد منهم علیهم السّلام فینبغی أن یزار بها فی الکاظمین و العسکریین أحد الإمامین ثم یقول مرة ثانیة یزار بها الآخر و لا یشرّک فی الزیارة بها بین الإثنین منهم فصاعدا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الغرابة بمکان فإن فی زیارة واحد مبهم منهم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علیه و یخاطبه بصیغة المفرد و المعانی العامة للکل و لا یأتی بما یخص بعضهم دون بعض</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علی الجمیع بصیغة الجمع و المعانی العامة الجامعة لهم لیندرج کل واحد منهم فی اللفظ و المعنی و إنما أجاب علیه السّلام سؤال السائل بالوجه الثانی کما هو واضح إما تبرّعا ببیان الأکمل أو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بمقصود السائل فکیف لا یزار بهذه الجامعة اثنان فصاعدا،بل مقتضی ألفاظها و معانیها أن یحضر الزایر فی قلبه و نظره جمیع الإثنی عشر و إنه بهذه الکلمات یخاطب الجمیع لحضور أرواحهم و لا سیّما صاحب القبر الحاضر </w:t>
      </w:r>
    </w:p>
    <w:p>
      <w:pPr>
        <w:pStyle w:val="BookText"/>
        <w:rPr/>
      </w:pPr>
      <w:r>
        <w:rPr>
          <w:rFonts w:ascii="IRNazanin" w:hAnsi="IRNazanin" w:eastAsia="IRNazanin"/>
          <w:color w:val="111111"/>
          <w:sz w:val="28"/>
          <w:sz w:val="28"/>
          <w:szCs w:val="28"/>
          <w:rtl w:val="true"/>
          <w:lang w:bidi="fa-IR"/>
        </w:rPr>
        <w:t>عنده لأن علاقة الخطاب فیه أکثر و أظهر لحضور روحه و جسده المقدّسین،إن قلنا بکونه فی القبر کما هو الأظهر و لحضور روحه و الأرض المماسة لجسده إن قلنا بعروجه إلی السماء و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مع غیره أم لا فیعم الواحد المتحقق فی ضمن العدد و أیضا إذا جاز خطاب الواحد بصیغ الجمع فخطاب الإثنین بها أولی لجواز،لأنهما أقرب إلی الجمع بل جمع عند جمع من الأصولیین و فی عرف المنطقیین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فإنما أقصد خطاب الجمع أعنی الإثنی عشر بأجمعهم فالجمیع مزورون صاحب الروضة واحدا أم إثنین من قرب و الباقون من بعد إذ الغیبة و الحضور باعتبار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صرت إلی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باب الروضة إن ثبت کون العمارة یومئذ و إلاّ فباب الصحن فالإتیان بالتکبیرات عند البابین الیوم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 خارج الباب و أشهد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الإمتثال معنی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أقرب إلی الإمتثال بحسب لفظ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علی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؛للزّیارة </w:t>
      </w:r>
      <w:r>
        <w:rPr>
          <w:rStyle w:val="FootnoteAnchor"/>
          <w:rtl w:val="true"/>
        </w:rPr>
        <w:footnoteReference w:id="1424"/>
      </w:r>
      <w:r>
        <w:rPr>
          <w:rFonts w:ascii="IRNazanin" w:hAnsi="IRNazanin" w:eastAsia="IRNazanin"/>
          <w:color w:val="111111"/>
          <w:sz w:val="28"/>
          <w:sz w:val="28"/>
          <w:szCs w:val="28"/>
          <w:rtl w:val="true"/>
          <w:lang w:bidi="fa-IR"/>
        </w:rPr>
        <w:t xml:space="preserve">و الواو للحال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هل هو صفة کمال للزیارة أو شرط لها کالطهارة للصلاة المندوبة؟وجهان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أظهرهما الأول لأصالة جواز الزیارة بلا غسل حتّی یثبت المنع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خلو بعض الزیارات المأثورة عنه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و لا تدن من القبر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أکبر بثلاثین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 إنما التکریر لبیان الکیفیة و الموالاة دون العدد حتی تصیر الثلاثون ستین و الأربعون ثمانین و المائة 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طمأنینة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سکون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قارب </w:t>
      </w:r>
      <w:bookmarkStart w:id="561" w:name="pg12937_139481"/>
    </w:p>
    <w:p>
      <w:pPr>
        <w:pStyle w:val="BookText"/>
        <w:rPr/>
      </w:pPr>
      <w:bookmarkEnd w:id="561"/>
      <w:r>
        <w:rPr>
          <w:rFonts w:ascii="IRNazanin" w:hAnsi="IRNazanin" w:eastAsia="IRNazanin"/>
          <w:color w:val="111111"/>
          <w:sz w:val="28"/>
          <w:sz w:val="28"/>
          <w:szCs w:val="28"/>
          <w:rtl w:val="true"/>
          <w:lang w:bidi="fa-IR"/>
        </w:rPr>
        <w:t>بین خطاک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جمع الخطوة کذلک و هی ما بین القدمین لأن تقریب الخطی یوجب تکثیرها و فیه تکثیر الثواب الموهوب علی ذلک الحساب و لأن تقریبها أقرب إلی 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قف و کبّر اللّه عز و جل ثلاثین مرّة ثم أدن من القبر و کبّر اللّه أربعین تکبیرة تمام المائة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 أی لا تمامها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أربعین أو عطف بیان له،أی متمّمها و ظاهره هنا إجزاء التکبیر حال الدنو و المشی إذ لم یقل،ثم قف و کبّر کما فی الأوّلین</w:t>
      </w:r>
      <w:r>
        <w:rPr>
          <w:rFonts w:eastAsia="IRNazanin" w:cs="IRNazanin"/>
          <w:color w:val="111111"/>
          <w:sz w:val="28"/>
          <w:szCs w:val="28"/>
          <w:rtl w:val="true"/>
          <w:lang w:bidi="fa-IR"/>
        </w:rPr>
        <w:t>.</w:t>
      </w:r>
    </w:p>
    <w:p>
      <w:pPr>
        <w:pStyle w:val="Heading4"/>
        <w:numPr>
          <w:ilvl w:val="3"/>
          <w:numId w:val="1"/>
        </w:numPr>
        <w:rPr/>
      </w:pPr>
      <w:bookmarkStart w:id="562" w:name="__RefHeading___Toc4067191_3224264995"/>
      <w:bookmarkStart w:id="563" w:name="_Toc209"/>
      <w:bookmarkEnd w:id="562"/>
      <w:r>
        <w:rPr>
          <w:rtl w:val="true"/>
        </w:rPr>
        <w:t>[</w:t>
      </w:r>
      <w:r>
        <w:rPr>
          <w:rtl w:val="true"/>
        </w:rPr>
        <w:t>السلام علیکم یا اهل بیت النبوة</w:t>
      </w:r>
      <w:r>
        <w:rPr>
          <w:rtl w:val="true"/>
        </w:rPr>
        <w:t>]</w:t>
      </w:r>
      <w:bookmarkEnd w:id="563"/>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طلب السایل ما یزور واحدا منهم علیهم السّلام أی واحد کان تبرع علیه السّلام بالزیارة الجامعة للجمیع لأنه أکمل و أولی و لعله علیه السّلام علم أنّ مقصوده الجامعة لیزور بها أی واحد منهم أراد فالجواب علی وفق الطلاب من غیر 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النیة یدل علی أنه أمر قلبی لا ینفک عن شروع العاقل فی أفعاله الإختیاریة حتی لو کلّفنا بتجریدها عنه کان تکلیفا بما لا یطاق و لا ینافی کون التلفظ أحسن لیتبعه ذلک القصد القلبی لکن النیة لیست مجرد التصور و الإخطار بالقلب فالمرائی لا ینفعه تصور التقرب و لا مجرد دعواه،بل حقیقة التقرب إنطواء قلبه علی التصدیق بأنّه یفعل العبادة للتقرب إلی اللّه سبحانه و مرجعه إلی کونه فقط الباعث علی الفعل لا غیر و أین هذا من مجرد تصور المعنی و التلفّظ بما یدل علیه و کیف تحصل حقیقة الشیء بمجرد تصوّره و التلفّظ به فإن المشبع مثلا هو حقیقة الطعام لا تصوره و التلفّظ به فکذا المقرب هو خلوص النفس فی الإنبعاث بهذا الباعث عن سایر البواعث لا تصوّره و إدعاؤه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بمعنی السلامة و إنّما سمّی به اللّه سبحانه مبالغة أو بمعنی السالم أو ذی السلامة و هو ساد مسدّ الفعل فأصله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السلام بالنصب فرفع بالإبتداء لغرض الثبات و الدوام و علیهما جاء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سَلاٰماً قٰالَ سَلاٰمٌ </w:t>
      </w:r>
      <w:r>
        <w:rPr>
          <w:rStyle w:val="FootnoteAnchor"/>
          <w:rtl w:val="true"/>
        </w:rPr>
        <w:footnoteReference w:id="1425"/>
      </w:r>
      <w:r>
        <w:rPr>
          <w:rFonts w:ascii="IRNazanin" w:hAnsi="IRNazanin" w:eastAsia="IRNazanin"/>
          <w:color w:val="111111"/>
          <w:sz w:val="28"/>
          <w:sz w:val="28"/>
          <w:szCs w:val="28"/>
          <w:rtl w:val="true"/>
          <w:lang w:bidi="fa-IR"/>
        </w:rPr>
        <w:t xml:space="preserve">فالرد بالأحسن </w:t>
      </w:r>
    </w:p>
    <w:p>
      <w:pPr>
        <w:pStyle w:val="BookText"/>
        <w:rPr/>
      </w:pPr>
      <w:r>
        <w:rPr>
          <w:rFonts w:ascii="IRNazanin" w:hAnsi="IRNazanin" w:eastAsia="IRNazanin"/>
          <w:color w:val="111111"/>
          <w:sz w:val="28"/>
          <w:sz w:val="28"/>
          <w:szCs w:val="28"/>
          <w:rtl w:val="true"/>
          <w:lang w:bidi="fa-IR"/>
        </w:rPr>
        <w:t>و المعنی الدعاء للمخاطب بالسلامة عن المکاره و الآفات و لذا سمّی تحیة لأن الموت من أعظم المکاره فیکون طلبا لحیاة المخاطب و اللام إمّا عوض عن المضاف الیه،أی سلامی،أی دعایی به و طلبی له أو سلام اللّه أی السلامة الحاصلة من فعله و تقدیره أو الأعم أی سلام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إمّا لتعریف الإستغراق لجمیع أفراد السلامة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الجنس أو العهد الخارجی إلی المستغرق إذ لا وجه للتخصیص و 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الإستغراق إنّ إرادة جمیع الأفراد هنا من حیث العهد إلاّ أنه إتّفق تعلّقه بالکل فحصل الإستغراق و هناک من حیث الإستغراق أولا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من أن مقتضی المقابلة کون المعهود دون الجمیع و هم شنیع؛إذ الفرق بالعهد و عدمه و اما عدد المعهود فتابع للعهود فقد یکون أقلّ ما یصدق علیه الاسم و قد یرتقی إلی حیث یستوعب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العهد الذهنی فلا یناسب المقام إذ المعهود حینئذ هو البعض المبهم و لا وقع لإبهام السلام بین أفراده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تفید الضرر إلاّ فیما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إنها إن استعملت مع صریح النفع و ما یرادفه أو یستلزمه لم تفد الضرر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أنعمت علیهم و یصلّون علیهم و سلام علیکم کما أن اللاّم لا تفید النفع مع صریح الضرّ و ما یرادفه أو یستلزمه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اللَّعْنَةُ وَ لَهُمْ سُوءُ الدّٰارِ </w:t>
      </w:r>
      <w:r>
        <w:rPr>
          <w:rStyle w:val="FootnoteAnchor"/>
          <w:rtl w:val="true"/>
        </w:rPr>
        <w:footnoteReference w:id="1426"/>
      </w:r>
      <w:r>
        <w:rPr>
          <w:rFonts w:ascii="Amiri" w:hAnsi="Amiri" w:eastAsia="Amiri" w:cs="Amiri"/>
          <w:color w:val="111111"/>
          <w:sz w:val="28"/>
          <w:sz w:val="28"/>
          <w:szCs w:val="28"/>
          <w:rtl w:val="true"/>
          <w:lang w:bidi="ar-SA"/>
        </w:rPr>
        <w:t xml:space="preserve">وَ لَهُمْ عَذٰابٌ عَظِیمٌ </w:t>
      </w:r>
      <w:r>
        <w:rPr>
          <w:rStyle w:val="FootnoteAnchor"/>
          <w:rtl w:val="true"/>
        </w:rPr>
        <w:footnoteReference w:id="1427"/>
      </w:r>
      <w:r>
        <w:rPr>
          <w:rFonts w:ascii="IRNazanin" w:hAnsi="IRNazanin" w:eastAsia="IRNazanin"/>
          <w:color w:val="111111"/>
          <w:sz w:val="28"/>
          <w:sz w:val="28"/>
          <w:szCs w:val="28"/>
          <w:rtl w:val="true"/>
          <w:lang w:bidi="fa-IR"/>
        </w:rPr>
        <w:t>و إن کان المتعلق المذکور أو المحذوف من المفهومات العامة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بالنّداء القریب و البعید و یمکن هنا إرادة الأول نظرا إلی قرب قبورهم و أرواحهم و مساواة میّتهم لحیّهم،و الثانی نظرا إلی الموت لأنه فی حکم البعد و إلی بعد قبور البعض بل الأکثر و یمکن إرادة الأعم بتوزیع القرب و البعد و لو علی عموم المشترک أو المجاز </w:t>
      </w:r>
    </w:p>
    <w:p>
      <w:pPr>
        <w:pStyle w:val="BookText"/>
        <w:rPr/>
      </w:pPr>
      <w:r>
        <w:rPr>
          <w:rFonts w:ascii="IRNazanin" w:hAnsi="IRNazanin" w:eastAsia="IRNazanin"/>
          <w:color w:val="111111"/>
          <w:sz w:val="28"/>
          <w:sz w:val="28"/>
          <w:szCs w:val="28"/>
          <w:rtl w:val="true"/>
          <w:lang w:bidi="fa-IR"/>
        </w:rPr>
        <w:t>و أهل الرجل،عشیرته و أقاربه و أهل الامر،ولاته و أهل البیت،سکّانه و البیت بناء تبیت فیه من شعر کان أو مدر و قد یستعار للشّرف و الشریف بجامع الجمع و الحفظ و الإضافة الأولی لامیة و الثانیة یحتملها و البیانیة علی کون البیت للشریف و النبوة بمعنی النبیّ أو ذی النبوة أو علی تشبیهها بالبیت و إذا أضفته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فلامیّة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غیر و قد رویت روایات کثیرة من طرق الخاصة و العامة إنّه 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428"/>
      </w:r>
      <w:r>
        <w:rPr>
          <w:rFonts w:ascii="IRNazanin" w:hAnsi="IRNazanin" w:eastAsia="IRNazanin"/>
          <w:color w:val="111111"/>
          <w:sz w:val="28"/>
          <w:sz w:val="28"/>
          <w:szCs w:val="28"/>
          <w:rtl w:val="true"/>
          <w:lang w:bidi="fa-IR"/>
        </w:rPr>
        <w:t>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کسائه و وضع یده علیهم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r>
        <w:rPr>
          <w:rStyle w:val="FootnoteAnchor"/>
          <w:rtl w:val="true"/>
        </w:rPr>
        <w:footnoteReference w:id="1429"/>
      </w:r>
      <w:r>
        <w:rPr>
          <w:rFonts w:ascii="IRNazanin" w:hAnsi="IRNazanin" w:eastAsia="IRNazanin"/>
          <w:color w:val="111111"/>
          <w:sz w:val="28"/>
          <w:sz w:val="28"/>
          <w:szCs w:val="28"/>
          <w:rtl w:val="true"/>
          <w:lang w:bidi="fa-IR"/>
        </w:rPr>
        <w:t>و أرادت أم سلمة أن یدخل فیه فمنعها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w:t>
      </w:r>
      <w:r>
        <w:rPr>
          <w:rFonts w:eastAsia="Amiri" w:cs="Amiri" w:ascii="Amiri" w:hAnsi="Amiri"/>
          <w:color w:val="111111"/>
          <w:sz w:val="28"/>
          <w:szCs w:val="28"/>
          <w:rtl w:val="true"/>
          <w:lang w:bidi="ar-SA"/>
        </w:rPr>
        <w:t xml:space="preserve">» </w:t>
      </w:r>
      <w:r>
        <w:rPr>
          <w:rStyle w:val="FootnoteAnchor"/>
          <w:rtl w:val="true"/>
        </w:rPr>
        <w:footnoteReference w:id="1430"/>
      </w:r>
      <w:r>
        <w:rPr>
          <w:rFonts w:ascii="IRNazanin" w:hAnsi="IRNazanin" w:eastAsia="IRNazanin"/>
          <w:color w:val="111111"/>
          <w:sz w:val="28"/>
          <w:sz w:val="28"/>
          <w:szCs w:val="28"/>
          <w:rtl w:val="true"/>
          <w:lang w:bidi="fa-IR"/>
        </w:rPr>
        <w:t>فکیف یعم أهل البیت هنا جمیع الأئمة؟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الکلام فی هذا المقام صریح فی العموم و علیه بناء عموم الآیة لعصمة الجمیع و الروایات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تدل علی خروج الزوجات دون باقی الأئمة لعدم الحصر فی الأربعة و إنّما إقتصر علیهم لانّ غیرهم لم یکونوا حینئذ 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نعم؛أصحاب الکساء منحصر فی الأربعة و یرشد إلی العموم ما استفاض بین الفریقین من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لأن المراد نفی الإفتراق فی الدنیا فلا بدّ من إقتران الکتاب أبدا بأحد من أهل البیت الأطیاب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الصدوق فی معانی الأخبار باسناده عن سلیمان الدیلمی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الأهل؟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علیهم السّلام </w:t>
      </w:r>
      <w:r>
        <w:rPr>
          <w:rStyle w:val="FootnoteAnchor"/>
          <w:rtl w:val="true"/>
        </w:rPr>
        <w:footnoteReference w:id="1432"/>
      </w:r>
      <w:r>
        <w:rPr>
          <w:rFonts w:ascii="IRNazanin" w:hAnsi="IRNazanin" w:eastAsia="IRNazanin"/>
          <w:color w:val="111111"/>
          <w:sz w:val="28"/>
          <w:sz w:val="28"/>
          <w:szCs w:val="28"/>
          <w:rtl w:val="true"/>
          <w:lang w:bidi="fa-IR"/>
        </w:rPr>
        <w:t>و عن أبی بصیر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الأوصیاء </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64" w:name="pg12937_139484"/>
    </w:p>
    <w:p>
      <w:pPr>
        <w:pStyle w:val="Heading4"/>
        <w:numPr>
          <w:ilvl w:val="3"/>
          <w:numId w:val="1"/>
        </w:numPr>
        <w:rPr/>
      </w:pPr>
      <w:bookmarkStart w:id="565" w:name="__RefHeading___Toc4067193_3224264995"/>
      <w:bookmarkStart w:id="566" w:name="_Toc210"/>
      <w:bookmarkEnd w:id="564"/>
      <w:bookmarkEnd w:id="565"/>
      <w:r>
        <w:rPr>
          <w:rtl w:val="true"/>
        </w:rPr>
        <w:t>«</w:t>
      </w:r>
      <w:r>
        <w:rPr>
          <w:rtl w:val="true"/>
        </w:rPr>
        <w:t>و معدن</w:t>
      </w:r>
      <w:r>
        <w:rPr>
          <w:rtl w:val="true"/>
        </w:rPr>
        <w:t>» [</w:t>
      </w:r>
      <w:r>
        <w:rPr>
          <w:rtl w:val="true"/>
        </w:rPr>
        <w:t>الرسالة</w:t>
      </w:r>
      <w:r>
        <w:rPr>
          <w:rtl w:val="true"/>
        </w:rPr>
        <w:t>]</w:t>
      </w:r>
      <w:bookmarkEnd w:id="566"/>
    </w:p>
    <w:p>
      <w:pPr>
        <w:pStyle w:val="BookText"/>
        <w:rPr/>
      </w:pPr>
      <w:r>
        <w:rPr>
          <w:rFonts w:ascii="IRNazanin" w:hAnsi="IRNazanin" w:eastAsia="IRNazanin"/>
          <w:color w:val="111111"/>
          <w:sz w:val="28"/>
          <w:sz w:val="28"/>
          <w:szCs w:val="28"/>
          <w:rtl w:val="true"/>
          <w:lang w:bidi="fa-IR"/>
        </w:rPr>
        <w:t>بکسر الدال و النصب بالعطف علی الأهل اسم مکان من عدن یعدن بالکسر بالمکان أی أقام به و منه جنة العدن أی الإقامة أی محل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بالنصب عطف علی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الأئمة محل الرسالة واضح إن جعلت </w:t>
      </w:r>
      <w:r>
        <w:rPr>
          <w:rStyle w:val="FootnoteAnchor"/>
          <w:rtl w:val="true"/>
        </w:rPr>
        <w:footnoteReference w:id="1434"/>
      </w:r>
      <w:r>
        <w:rPr>
          <w:rFonts w:ascii="IRNazanin" w:hAnsi="IRNazanin" w:eastAsia="IRNazanin"/>
          <w:color w:val="111111"/>
          <w:sz w:val="28"/>
          <w:sz w:val="28"/>
          <w:szCs w:val="28"/>
          <w:rtl w:val="true"/>
          <w:lang w:bidi="fa-IR"/>
        </w:rPr>
        <w:t>بمعنی الأحکام المرسل بها لأنّهم محلّ علمها و مجاز إن جعلت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الانسان رسولا من عند اللّه لأنهم علیهم السّلام محال لوازمها من العلوم و الکمالات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النبوة الخاصة لأنّ محلّها الحقیقی هو النبی صلّی اللّه علیه و اله دون الأیمة و وجه التجوز کونهم علیهم السّلام محال لوازمها من العصمة و العلوم و المعجزات أو محال النیابة عن الرسول أو زیاده قربهم منه و إختصاصهم به حتی کأنهم هو کما جعل أمیر المؤمنین علیه السّلام نفس الرسول صلّی اللّه علیه و اله فی آیة المباهلة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علی البیت أو النبوة فمعدن الرسالة هو الرسول صلّی اللّه علیه و اله و أهله و أهل بیته هم الأئمة علیهم السّلام</w:t>
      </w:r>
      <w:r>
        <w:rPr>
          <w:rFonts w:eastAsia="IRNazanin" w:cs="IRNazanin"/>
          <w:color w:val="111111"/>
          <w:sz w:val="28"/>
          <w:szCs w:val="28"/>
          <w:rtl w:val="true"/>
          <w:lang w:bidi="fa-IR"/>
        </w:rPr>
        <w:t>.</w:t>
      </w:r>
    </w:p>
    <w:p>
      <w:pPr>
        <w:pStyle w:val="Heading4"/>
        <w:numPr>
          <w:ilvl w:val="3"/>
          <w:numId w:val="1"/>
        </w:numPr>
        <w:rPr/>
      </w:pPr>
      <w:bookmarkStart w:id="567" w:name="__RefHeading___Toc4067195_3224264995"/>
      <w:bookmarkStart w:id="568" w:name="_Toc211"/>
      <w:bookmarkEnd w:id="567"/>
      <w:r>
        <w:rPr>
          <w:rtl w:val="true"/>
        </w:rPr>
        <w:t>«</w:t>
      </w:r>
      <w:r>
        <w:rPr>
          <w:rtl w:val="true"/>
        </w:rPr>
        <w:t>و مختلف الملائکة</w:t>
      </w:r>
      <w:r>
        <w:rPr>
          <w:rtl w:val="true"/>
        </w:rPr>
        <w:t>»</w:t>
      </w:r>
      <w:bookmarkEnd w:id="568"/>
    </w:p>
    <w:p>
      <w:pPr>
        <w:pStyle w:val="BookText"/>
        <w:rPr/>
      </w:pPr>
      <w:r>
        <w:rPr>
          <w:rFonts w:ascii="IRNazanin" w:hAnsi="IRNazanin" w:eastAsia="IRNazanin"/>
          <w:color w:val="111111"/>
          <w:sz w:val="28"/>
          <w:sz w:val="28"/>
          <w:szCs w:val="28"/>
          <w:rtl w:val="true"/>
          <w:lang w:bidi="fa-IR"/>
        </w:rPr>
        <w:t>بفتح اللام علی زنة اسم المفعول اسم مکان اختلاف القوم مجیء بعضهم خلف مجیء البعض الآخر أی محل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 غیر صاحب الوحی للمقابلة أو مطلقا سواء کان مجیئهم لوحی أو غیره فهو أعم من مهبط الوحی أو النظر هنا إلی نزول الملایکة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عمّا نزلوا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إلی ما نزل به الوحی فیتغایران و لا یتداخلان</w:t>
      </w:r>
      <w:r>
        <w:rPr>
          <w:rFonts w:eastAsia="IRNazanin" w:cs="IRNazanin"/>
          <w:color w:val="111111"/>
          <w:sz w:val="28"/>
          <w:szCs w:val="28"/>
          <w:rtl w:val="true"/>
          <w:lang w:bidi="fa-IR"/>
        </w:rPr>
        <w:t>.</w:t>
      </w:r>
    </w:p>
    <w:p>
      <w:pPr>
        <w:pStyle w:val="Heading4"/>
        <w:numPr>
          <w:ilvl w:val="3"/>
          <w:numId w:val="1"/>
        </w:numPr>
        <w:rPr/>
      </w:pPr>
      <w:bookmarkStart w:id="569" w:name="__RefHeading___Toc4067197_3224264995"/>
      <w:bookmarkStart w:id="570" w:name="_Toc212"/>
      <w:bookmarkEnd w:id="569"/>
      <w:r>
        <w:rPr>
          <w:rtl w:val="true"/>
        </w:rPr>
        <w:t>«</w:t>
      </w:r>
      <w:r>
        <w:rPr>
          <w:rtl w:val="true"/>
        </w:rPr>
        <w:t>و مهبط الوحی</w:t>
      </w:r>
      <w:r>
        <w:rPr>
          <w:rtl w:val="true"/>
        </w:rPr>
        <w:t>»</w:t>
      </w:r>
      <w:bookmarkEnd w:id="57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مهبط بفتح الباء الموحدة اسم مکان من هبط یهبط بکسرها کمضرب أی محل هبوط الوحی قال ابن فارس </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ألقیته إلی غیرک لتعلّمه فهو وحی و هو مصدر وحی إلیه یحی کوعد یعد و أوحی إلیه بالالف مثله ثم غلب فیما یلقی إلی الأنبیاء من عند اللّه تعالی إنتهی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یستعمل بمعنی الإلهام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Style w:val="FootnoteAnchor"/>
          <w:rtl w:val="true"/>
        </w:rPr>
        <w:footnoteReference w:id="1437"/>
      </w:r>
      <w:r>
        <w:rPr>
          <w:rFonts w:ascii="IRNazanin" w:hAnsi="IRNazanin" w:eastAsia="IRNazanin"/>
          <w:color w:val="111111"/>
          <w:sz w:val="28"/>
          <w:sz w:val="28"/>
          <w:szCs w:val="28"/>
          <w:rtl w:val="true"/>
          <w:lang w:bidi="fa-IR"/>
        </w:rPr>
        <w:t xml:space="preserve">و هو هنا إما بمعنی المصدر أو اسم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المفعول أو الفاعل أی الکلام الموحی أو الملک النازل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حینئذ تخصیصا بعد تعمیم و إن عمّت الملائکة صاحب الوحی منهم أیضا للفرق بین اختلاف الجمیع و هبوط واحد منهم بالوحی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 مختلف و مهبط، کاعراب معدن،فالجرّ واضح و فی النصب تجوز لأن اختلاف الملایکة و هبوطهم للوحی إنما هو إلی الرسول صلّی اللّه علیه و اله علیه لا علی الأئمة علیهم السّلام و إلیهم فإن اطلاق المختلف و المهبط علی الرسول صلّی اللّه علیه و اله أیضا و ان کان علی التجوز لان حقیقتهما إنما هو البیت فلا بد من القول بأن الملائکة لما اختلفوا إلی مکان من البیت یقرب من مکانه صلّی اللّه علیه و اله و هبطوا علی ذلک المکان جعل صلّی اللّه علیه و اله مختلفا و مهبطا مجازا کما قالوا فی مررت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المرور علی مکان یقرب من مکان زید و إنما أوقعوه علی زید مجازا لکن هذا التجوز إنما هو فیه صلّی اللّه علیه و اله ابتداء و بالذات و فی الأئمة ثانیا و بالعرض و بتوسطه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تجوز ثان هو ان زیادة اختصاصهم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 بالوحی أوجب لهم بالتجوّز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یفسر الوحی بالإلهام أو تحدیث الملائکة مع الأیمة بغیر الأحکام فإنهم محدّثون کما وردت به الأخبار و قال تعالی فی سورة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w:t>
      </w:r>
      <w:r>
        <w:rPr>
          <w:rStyle w:val="FootnoteAnchor"/>
          <w:rtl w:val="true"/>
        </w:rPr>
        <w:footnoteReference w:id="1438"/>
      </w:r>
      <w:r>
        <w:rPr>
          <w:rFonts w:ascii="IRNazanin" w:hAnsi="IRNazanin" w:eastAsia="IRNazanin"/>
          <w:color w:val="111111"/>
          <w:sz w:val="28"/>
          <w:sz w:val="28"/>
          <w:szCs w:val="28"/>
          <w:rtl w:val="true"/>
          <w:lang w:bidi="fa-IR"/>
        </w:rPr>
        <w:t>الآیة و روی أبو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الأئمة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إلیهم بالروح فی صدورهم</w:t>
      </w:r>
      <w:r>
        <w:rPr>
          <w:rFonts w:eastAsia="IRNazanin" w:cs="IRNazanin"/>
          <w:color w:val="111111"/>
          <w:sz w:val="28"/>
          <w:szCs w:val="28"/>
          <w:rtl w:val="true"/>
          <w:lang w:bidi="fa-IR"/>
        </w:rPr>
        <w:t xml:space="preserve">. </w:t>
      </w:r>
      <w:r>
        <w:rPr>
          <w:rStyle w:val="FootnoteAnchor"/>
          <w:rtl w:val="true"/>
        </w:rPr>
        <w:footnoteReference w:id="143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الملائکة تتنزّل علی الأئمة فی لیلة القدر بما یکون فی السنة و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Style w:val="FootnoteAnchor"/>
          <w:rtl w:val="true"/>
        </w:rPr>
        <w:footnoteReference w:id="1440"/>
      </w:r>
      <w:r>
        <w:rPr>
          <w:rFonts w:ascii="IRNazanin" w:hAnsi="IRNazanin" w:eastAsia="IRNazanin"/>
          <w:color w:val="111111"/>
          <w:sz w:val="28"/>
          <w:sz w:val="28"/>
          <w:szCs w:val="28"/>
          <w:rtl w:val="true"/>
          <w:lang w:bidi="fa-IR"/>
        </w:rPr>
        <w:t>و روی الکلینی باسناده عن الوشا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بالنحل أن </w:t>
      </w:r>
    </w:p>
    <w:p>
      <w:pPr>
        <w:pStyle w:val="BookText"/>
        <w:rPr/>
      </w:pPr>
      <w:r>
        <w:rPr>
          <w:rFonts w:ascii="IRNazanin" w:hAnsi="IRNazanin" w:eastAsia="IRNazanin"/>
          <w:color w:val="111111"/>
          <w:sz w:val="28"/>
          <w:sz w:val="28"/>
          <w:szCs w:val="28"/>
          <w:rtl w:val="true"/>
          <w:lang w:bidi="fa-IR"/>
        </w:rPr>
        <w:t xml:space="preserve">یوحی إلیها بل فینا نزلت نحن النحل و نحن المقیمون للّه فی أرضه بأمره و الجبال شیعتنا و الشجر النساء المؤمنات </w:t>
      </w:r>
      <w:r>
        <w:rPr>
          <w:rStyle w:val="FootnoteAnchor"/>
          <w:rtl w:val="true"/>
        </w:rPr>
        <w:footnoteReference w:id="1441"/>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شبهوا بالنحل فکما یخرج من بطونها شراب مختلف ألوانه فیه شفاء للناس کذلک یخرج من صدورهم علوم تشربها قلوب المؤمنین فها لها شفاء و قد جاء فی أسماء أمیر المؤمنین علیه السّلام أمیر النحل </w:t>
      </w:r>
      <w:r>
        <w:rPr>
          <w:rStyle w:val="FootnoteAnchor"/>
          <w:rtl w:val="true"/>
        </w:rPr>
        <w:footnoteReference w:id="1442"/>
      </w:r>
      <w:r>
        <w:rPr>
          <w:rFonts w:ascii="IRNazanin" w:hAnsi="IRNazanin" w:eastAsia="IRNazanin"/>
          <w:color w:val="111111"/>
          <w:sz w:val="28"/>
          <w:sz w:val="28"/>
          <w:szCs w:val="28"/>
          <w:rtl w:val="true"/>
          <w:lang w:bidi="fa-IR"/>
        </w:rPr>
        <w:t>فقد جاء فیه یعسوب الدین و الیعسوب أمیر النحل و ذکرها الرئیس الکبیر فالأئمة من ولده أیضا نحل إلاّ أنه أمیرهم و کبیرهم و الشیعة جبال فی رفعة و رجامهم و هم أوتاد الأرض و النساء اشجار فإنها تسقی تفرعت منه الغصون و حصلت منها الثمار و النساء یلحقن من ماء الفحول و یتفرع منهن فروع علی الأصول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إعلم إنه اختلف فی حقیقة الوحی إلی النبی صلّی اللّه علیه و اله؛و کیفیته فقالت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نفس النّبی إذا فاض علیها معنی عقلی إرتسم فی خیاله و حسه صورة مناسبة له یبصرها و یسمع کلامها </w:t>
      </w:r>
      <w:r>
        <w:rPr>
          <w:rStyle w:val="FootnoteAnchor"/>
          <w:rtl w:val="true"/>
        </w:rPr>
        <w:footnoteReference w:id="1443"/>
      </w:r>
      <w:r>
        <w:rPr>
          <w:rFonts w:ascii="IRNazanin" w:hAnsi="IRNazanin" w:eastAsia="IRNazanin"/>
          <w:color w:val="111111"/>
          <w:sz w:val="28"/>
          <w:sz w:val="28"/>
          <w:szCs w:val="28"/>
          <w:rtl w:val="true"/>
          <w:lang w:bidi="fa-IR"/>
        </w:rPr>
        <w:t xml:space="preserve">و هذا بظاهره کما قیل إنکار لظاهر الشرع من وجود ملک مجسم محسوس یأتیه بکلام مسموع فی الخارج و إنکار لکلام خارجی و إنما هو تقریر و اثبات لأمور ذهنیّة </w:t>
      </w:r>
      <w:r>
        <w:rPr>
          <w:rStyle w:val="FootnoteAnchor"/>
          <w:rtl w:val="true"/>
        </w:rPr>
        <w:footnoteReference w:id="1444"/>
      </w:r>
      <w:r>
        <w:rPr>
          <w:rFonts w:ascii="IRNazanin" w:hAnsi="IRNazanin" w:eastAsia="IRNazanin"/>
          <w:color w:val="111111"/>
          <w:sz w:val="28"/>
          <w:sz w:val="28"/>
          <w:szCs w:val="28"/>
          <w:rtl w:val="true"/>
          <w:lang w:bidi="fa-IR"/>
        </w:rPr>
        <w:t xml:space="preserve">و صور عقلیة و إتّفق الملیّون علی أن ملک الوحی جبرئیل و هو حی مدرک </w:t>
      </w:r>
    </w:p>
    <w:p>
      <w:pPr>
        <w:pStyle w:val="BookText"/>
        <w:rPr/>
      </w:pPr>
      <w:r>
        <w:rPr>
          <w:rFonts w:ascii="IRNazanin" w:hAnsi="IRNazanin" w:eastAsia="IRNazanin"/>
          <w:color w:val="111111"/>
          <w:sz w:val="28"/>
          <w:sz w:val="28"/>
          <w:szCs w:val="28"/>
          <w:rtl w:val="true"/>
          <w:lang w:bidi="fa-IR"/>
        </w:rPr>
        <w:t xml:space="preserve">للکلّیات متحرّک بالإرادة معصوم </w:t>
      </w:r>
      <w:r>
        <w:rPr>
          <w:rStyle w:val="FootnoteAnchor"/>
          <w:rtl w:val="true"/>
        </w:rPr>
        <w:footnoteReference w:id="1445"/>
      </w:r>
      <w:r>
        <w:rPr>
          <w:rFonts w:ascii="IRNazanin" w:hAnsi="IRNazanin" w:eastAsia="IRNazanin"/>
          <w:color w:val="111111"/>
          <w:sz w:val="28"/>
          <w:sz w:val="28"/>
          <w:szCs w:val="28"/>
          <w:rtl w:val="true"/>
          <w:lang w:bidi="fa-IR"/>
        </w:rPr>
        <w:t>کغیره من الملائکة،و الوحی لفظ ینزل به یسمعه فی السماء أو یراها منقوشة فی اللوح فیقرأها و یأمره اللّه بأن ینزل بها علی النبی فیأتیه و یقرأه علیه کما دلّت علیه ظواهر الشرع و جمع من المتأخرین جمعوا بین الروحانی و الجسمانی،قال السید الفاضل نظام الدین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الأشبه أن نزول الوحی و الملک علی الأنبیاء علیهم السّلام إنما هو بأن تتلقی نفس النبی أوّلا ما یوحی إلیه تلقّیا روحانیا ثمّ یتمثل و یتصور ما یوحی إلیه فقط أو مع الملک الموحی فی الحس المشترک ثمّ فی القوّة العقلیة لأن الوحی لو کان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نزول ملک جسمانی یتکلّم معه فی الخارج فقط من غیر تلق روحانی لما عرض للنبی حین الوحی شبه غشیّ و لحواسه الظاهرة شبه دهشة علی ما هو مشهور منقول من حال النّبی حین نزول الوحی علیه،بل کان ینبغی أن یکون توجّه نفسه الکاملة علی هذا التقدیر إلی الظاهر أتم و أکمل و تکون حواسه الظاهرة أصحّ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الملک و الکلام المعجز من عمل المتخیّلة بأن تحدثهما فی الحس المشترک کما هو المشهور عن الفلاسفة مستبعد مستنکر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کون الکلام المعجز من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الحق أن محدث ذلک کله هو الواجب جل شأنه یحدثه فی حسه المشترک أولا ثم فی الخارج و لا استبعاد فی ذلک أصلا و لا یبعد أن یکون للقوّة المتخیّلة التی للنّبی مدخل ما فی هذین الإحداثین بأن تکون معدة فقط علی أن ظاهر قوله تعالی فی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کٰانَ عَدُوًّا لِجِبْرِیلَ فَإِنَّهُ نَزَّلَهُ عَلیٰ قَلْبِکَ </w:t>
      </w:r>
      <w:r>
        <w:rPr>
          <w:rStyle w:val="FootnoteAnchor"/>
          <w:rtl w:val="true"/>
        </w:rPr>
        <w:footnoteReference w:id="1446"/>
      </w:r>
      <w:r>
        <w:rPr>
          <w:rFonts w:ascii="Amiri" w:hAnsi="Amiri" w:eastAsia="Amiri" w:cs="Amiri"/>
          <w:color w:val="111111"/>
          <w:sz w:val="28"/>
          <w:sz w:val="28"/>
          <w:szCs w:val="28"/>
          <w:rtl w:val="true"/>
          <w:lang w:bidi="ar-SA"/>
        </w:rPr>
        <w:t>و قوله فی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w:t>
      </w:r>
      <w:r>
        <w:rPr>
          <w:rStyle w:val="FootnoteAnchor"/>
          <w:rtl w:val="true"/>
        </w:rPr>
        <w:footnoteReference w:id="1447"/>
      </w:r>
      <w:r>
        <w:rPr>
          <w:rFonts w:ascii="IRNazanin" w:hAnsi="IRNazanin" w:eastAsia="IRNazanin"/>
          <w:color w:val="111111"/>
          <w:sz w:val="28"/>
          <w:sz w:val="28"/>
          <w:szCs w:val="28"/>
          <w:rtl w:val="true"/>
          <w:lang w:bidi="fa-IR"/>
        </w:rPr>
        <w:t>یدل علی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کیفیة نزول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التأویل خلاف الظاهر فما قاله بعض المفسرین من أن أکثر الأمة علی أن القرآن 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قلبه؛لکن خصّ القلب بالذکر لأن السبب فی تمکنه من الأداء إثباته فی قلبه و معنی 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 إیاه و فهمک له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قلبک متصفا بأخلاق القرآن و متأدّبا بآدابه کما فی حدیث عایشة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خلقه القرآن </w:t>
      </w:r>
      <w:r>
        <w:rPr>
          <w:rStyle w:val="FootnoteAnchor"/>
          <w:rtl w:val="true"/>
        </w:rPr>
        <w:footnoteReference w:id="1448"/>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صرف لظاهر الآیة و هو خلاف الظاهر و یؤیّد ما اخترناه أیضا قول القاضی فی آیة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به الروح فذاک و إن أراد به العضو المخصوص فتخصیصه،لأن المعانی الروحانیة إنّما تنزل أولا علی الروح ثم تنتقل منه إلی القلب لما بینهما من التعلق ثم تصعد منه إلی الدماغ فینتقش بها لوح المتخیلة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إن ما اخترناه لیس مخالفا لقول الأکثر بل هو قول بما قالوه مع زیادة لم یصرّحوا بها،إنتهی کلام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الفاضل صدر الدین الشیرازی فقال فی وجه مشاهدة الرسول لجبرئیل و سماع کلامه بسمعه الحسی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المعرفة العقلیة إذا قویت و اشتدّت تصوّرت بصورة مطابقة لها و ربما تعدّت من معدن الخیال إلی مظهر خارجی کالهواء الصافی فیکون الهواء کالمرآة لها فیراها النبیّ یکلّمه معاینة و مشاهدة و یسمع کلامها بجارحته السامعة إنتهی</w:t>
      </w:r>
      <w:r>
        <w:rPr>
          <w:rFonts w:eastAsia="IRNazanin" w:cs="IRNazanin"/>
          <w:color w:val="111111"/>
          <w:sz w:val="28"/>
          <w:szCs w:val="28"/>
          <w:rtl w:val="true"/>
          <w:lang w:bidi="fa-IR"/>
        </w:rPr>
        <w:t xml:space="preserve">. </w:t>
      </w:r>
      <w:r>
        <w:rPr>
          <w:rStyle w:val="FootnoteAnchor"/>
          <w:rtl w:val="true"/>
        </w:rPr>
        <w:footnoteReference w:id="144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یحققه التجربة فربما تنبهت من النوم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أنا أسمع الصوت الذی کان فی الرؤیا و کنت أسمعه فی النوم و إن جاز کونه من أغلاط الحواس فإن حضور المحسوس فی المتخیّلة و الحس المشترک یوجب غلط الحاسّة فی إحساسها به بعد غیبته لقرب عهدها به کما فی الدائرة المحسوسة من الشعلة الجوالة المتحرکة بسرعة فإن البصر یبصرها فی محلها السابق بعد انتقالها منه للسرعة و قرب العهد و فی اللاحق أیضا فیراها دایرة و لیست إلاّ نقطة بل هذا هو الحق لکن لا داعی ظاهرا إلی إنکارهم ظاهر الشرع سوی تجرد الملک الوحی عندهم و عروض الغشی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نزوله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قولهم تقدم التلقی الروحانی علی الجسمانی و الذی ورد به الشرع عکسه و إنّه صلّی اللّه علیه و اله کان یسمع الوحی و یفهم معناه و ربما کان یسأل الملک الموحی فیفسره له و لا داعی إلی انکار ظاهر الشرع سوی انکار تجسم الملک الموحی و لو سلّم تجرده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أنه لا یمتنع تعلّق المجرد بمثال یراه النبی و یسمع کلامه و یعرضه الغشی لعظم </w:t>
      </w:r>
      <w:bookmarkStart w:id="571" w:name="pg12937_139489"/>
    </w:p>
    <w:p>
      <w:pPr>
        <w:pStyle w:val="BookText"/>
        <w:rPr/>
      </w:pPr>
      <w:bookmarkEnd w:id="571"/>
      <w:r>
        <w:rPr>
          <w:rFonts w:ascii="IRNazanin" w:hAnsi="IRNazanin" w:eastAsia="IRNazanin"/>
          <w:color w:val="111111"/>
          <w:sz w:val="28"/>
          <w:sz w:val="28"/>
          <w:szCs w:val="28"/>
          <w:rtl w:val="true"/>
          <w:lang w:bidi="fa-IR"/>
        </w:rPr>
        <w:t>المرئی و غرابته و ایحاشه الرائی کما فی المغشی علیه من رؤیة الجن و غیره من الحیوانات المهیبة و الصور العجیبة فلا حاجة إلی هذه التخیلات و التمحّلات</w:t>
      </w:r>
      <w:r>
        <w:rPr>
          <w:rFonts w:eastAsia="IRNazanin" w:cs="IRNazanin"/>
          <w:color w:val="111111"/>
          <w:sz w:val="28"/>
          <w:szCs w:val="28"/>
          <w:rtl w:val="true"/>
          <w:lang w:bidi="fa-IR"/>
        </w:rPr>
        <w:t>.</w:t>
      </w:r>
    </w:p>
    <w:p>
      <w:pPr>
        <w:pStyle w:val="Heading4"/>
        <w:numPr>
          <w:ilvl w:val="3"/>
          <w:numId w:val="1"/>
        </w:numPr>
        <w:rPr/>
      </w:pPr>
      <w:bookmarkStart w:id="572" w:name="__RefHeading___Toc4067199_3224264995"/>
      <w:bookmarkStart w:id="573" w:name="_Toc213"/>
      <w:bookmarkEnd w:id="572"/>
      <w:r>
        <w:rPr>
          <w:rtl w:val="true"/>
        </w:rPr>
        <w:t>«</w:t>
      </w:r>
      <w:r>
        <w:rPr>
          <w:rtl w:val="true"/>
        </w:rPr>
        <w:t>و معدن الرحمة</w:t>
      </w:r>
      <w:r>
        <w:rPr>
          <w:rtl w:val="true"/>
        </w:rPr>
        <w:t>»</w:t>
      </w:r>
      <w:bookmarkEnd w:id="573"/>
    </w:p>
    <w:p>
      <w:pPr>
        <w:pStyle w:val="BookText"/>
        <w:rPr/>
      </w:pPr>
      <w:r>
        <w:rPr>
          <w:rFonts w:ascii="IRNazanin" w:hAnsi="IRNazanin" w:eastAsia="IRNazanin"/>
          <w:color w:val="111111"/>
          <w:sz w:val="28"/>
          <w:sz w:val="28"/>
          <w:szCs w:val="28"/>
          <w:rtl w:val="true"/>
          <w:lang w:bidi="fa-IR"/>
        </w:rPr>
        <w:t>بالنصب أو الجر و علی الأول معدن الرحمة هم أهل البیت فالمعدن للجنس لیقبل التعدد و علی الثانی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یا أهل بیت معدن الرحمة أی رحمته سبحانه فمعدنها مرحوم،أو رحمة المعدن علی غیره فهو الراحم و لک حملها ما علی الأعم أی الرحمة الصادرة عنه و الواردة علیه و علی الأول فالمراد رحمة اللّه سبحانه علی معدن أو علی غیره بوساطته أو الأعم</w:t>
      </w:r>
      <w:r>
        <w:rPr>
          <w:rFonts w:eastAsia="IRNazanin" w:cs="IRNazanin"/>
          <w:color w:val="111111"/>
          <w:sz w:val="28"/>
          <w:szCs w:val="28"/>
          <w:rtl w:val="true"/>
          <w:lang w:bidi="fa-IR"/>
        </w:rPr>
        <w:t>.</w:t>
      </w:r>
    </w:p>
    <w:p>
      <w:pPr>
        <w:pStyle w:val="Heading4"/>
        <w:numPr>
          <w:ilvl w:val="3"/>
          <w:numId w:val="1"/>
        </w:numPr>
        <w:rPr/>
      </w:pPr>
      <w:bookmarkStart w:id="574" w:name="__RefHeading___Toc4067201_3224264995"/>
      <w:bookmarkStart w:id="575" w:name="_Toc214"/>
      <w:bookmarkEnd w:id="574"/>
      <w:r>
        <w:rPr>
          <w:rtl w:val="true"/>
        </w:rPr>
        <w:t>«</w:t>
      </w:r>
      <w:r>
        <w:rPr>
          <w:rtl w:val="true"/>
        </w:rPr>
        <w:t>و خزّان</w:t>
      </w:r>
      <w:r>
        <w:rPr>
          <w:rtl w:val="true"/>
        </w:rPr>
        <w:t>» [</w:t>
      </w:r>
      <w:r>
        <w:rPr>
          <w:rtl w:val="true"/>
        </w:rPr>
        <w:t>العلم</w:t>
      </w:r>
      <w:r>
        <w:rPr>
          <w:rtl w:val="true"/>
        </w:rPr>
        <w:t>]</w:t>
      </w:r>
      <w:bookmarkEnd w:id="575"/>
    </w:p>
    <w:p>
      <w:pPr>
        <w:pStyle w:val="BookText"/>
        <w:rPr/>
      </w:pPr>
      <w:r>
        <w:rPr>
          <w:rFonts w:ascii="IRNazanin" w:hAnsi="IRNazanin" w:eastAsia="IRNazanin"/>
          <w:color w:val="111111"/>
          <w:sz w:val="28"/>
          <w:sz w:val="28"/>
          <w:szCs w:val="28"/>
          <w:rtl w:val="true"/>
          <w:lang w:bidi="fa-IR"/>
        </w:rPr>
        <w:t>بالنصب جمع خازن کطلاّب و طالب أی خزنة العلم</w:t>
      </w:r>
      <w:r>
        <w:rPr>
          <w:rFonts w:eastAsia="IRNazanin" w:cs="IRNazanin"/>
          <w:color w:val="111111"/>
          <w:sz w:val="28"/>
          <w:szCs w:val="28"/>
          <w:rtl w:val="true"/>
          <w:lang w:bidi="fa-IR"/>
        </w:rPr>
        <w:t>.</w:t>
      </w:r>
    </w:p>
    <w:p>
      <w:pPr>
        <w:pStyle w:val="Heading4"/>
        <w:numPr>
          <w:ilvl w:val="3"/>
          <w:numId w:val="1"/>
        </w:numPr>
        <w:rPr/>
      </w:pPr>
      <w:bookmarkStart w:id="576" w:name="__RefHeading___Toc4067203_3224264995"/>
      <w:bookmarkStart w:id="577" w:name="_Toc215"/>
      <w:bookmarkEnd w:id="576"/>
      <w:r>
        <w:rPr>
          <w:rtl w:val="true"/>
        </w:rPr>
        <w:t>«</w:t>
      </w:r>
      <w:r>
        <w:rPr>
          <w:rtl w:val="true"/>
        </w:rPr>
        <w:t>و منتهی الحلم</w:t>
      </w:r>
      <w:r>
        <w:rPr>
          <w:rtl w:val="true"/>
        </w:rPr>
        <w:t>»</w:t>
      </w:r>
      <w:bookmarkEnd w:id="577"/>
    </w:p>
    <w:p>
      <w:pPr>
        <w:pStyle w:val="BookText"/>
        <w:rPr/>
      </w:pPr>
      <w:r>
        <w:rPr>
          <w:rFonts w:ascii="IRNazanin" w:hAnsi="IRNazanin" w:eastAsia="IRNazanin"/>
          <w:color w:val="111111"/>
          <w:sz w:val="28"/>
          <w:sz w:val="28"/>
          <w:szCs w:val="28"/>
          <w:rtl w:val="true"/>
          <w:lang w:bidi="fa-IR"/>
        </w:rPr>
        <w:t xml:space="preserve">إما عطف علی العلم أی و خزنة نهایة الحلم و اقصی مدارج کماله أو علی الخزّان أی الذین إلیهم ینتهی الحلم لأنه مکتسب منهم و مأخوذ عنهم علما و عملا،و الخزّان هم الأئمة علیهم السّلام فالأربعة السابقة إن فسّرت بالنبیّ کما فی جرّها فجمعه و إفرادها علی ظاهرهما واضحان و إن فسّر الجمیع بالأئمة علیهم السّلام کما فی النصب فالنکتة فی جمع الخزّان و إفراد ما قبله الإشارة إلی تعدّد صفة العلم لتعدد الصورة الذهنیة بتعدد محالها و إن إتحد المعلوم بخلاف ما اضیفت إلیه الأربعة السابقة لأن </w:t>
      </w:r>
      <w:r>
        <w:rPr>
          <w:rStyle w:val="FootnoteAnchor"/>
          <w:rtl w:val="true"/>
        </w:rPr>
        <w:footnoteReference w:id="1450"/>
      </w:r>
      <w:r>
        <w:rPr>
          <w:rFonts w:ascii="IRNazanin" w:hAnsi="IRNazanin" w:eastAsia="IRNazanin"/>
          <w:color w:val="111111"/>
          <w:sz w:val="28"/>
          <w:sz w:val="28"/>
          <w:szCs w:val="28"/>
          <w:rtl w:val="true"/>
          <w:lang w:bidi="fa-IR"/>
        </w:rPr>
        <w:t>فی الجمیع الرسالة أمر واحد لا یتعدد لا فی نفسه و لا بسبب اتصافهم بکونهم معدن الرسالة کما أن العلم یتعدد بسبب اتصافهم بکونهم خزّانا له و کذا الملائکة و الوحی و الرحمة إن فسّرت برحمة اللّه سبحانه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فسّرت برحمتهم علیهم السّلام فإفراد معدن الرحمة إشارة إلی إتحاد سبب الرحمة و طریقتها و غایتها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تعددت فی ذواتها فجعل توحید الموصوف و هو المعدن اشاره </w:t>
      </w:r>
      <w:bookmarkStart w:id="578" w:name="pg12937_139490"/>
    </w:p>
    <w:p>
      <w:pPr>
        <w:pStyle w:val="BookText"/>
        <w:rPr/>
      </w:pPr>
      <w:bookmarkEnd w:id="578"/>
      <w:r>
        <w:rPr>
          <w:rFonts w:ascii="IRNazanin" w:hAnsi="IRNazanin" w:eastAsia="IRNazanin"/>
          <w:color w:val="111111"/>
          <w:sz w:val="28"/>
          <w:sz w:val="28"/>
          <w:szCs w:val="28"/>
          <w:rtl w:val="true"/>
          <w:lang w:bidi="fa-IR"/>
        </w:rPr>
        <w:t>إلی اتّحاد الصفة و هو الرحمة حتی کان الجمع معدن واحد لرحمة واحدة لا لأنّ اتّحاد الموصوف یستلزم اتّحاد الصفة لیرد النقض بل للعکس لأن عرضا واحدا لا یقوم بمحلین فیکون الإنتقال من الملزوم إلی لازمه و الحکم ملکة نفسانیة تبعث علی ترک المسارعة إلی الغضب المذموم أو کف النفس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 فإن رحمتهم للّه و فی اللّه لا غیر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عطف علی العلم فإفراده واضح و أما إن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عطف علی الخزّان فإفراده إشارة إلی إتّحاد مرتبة الجمیع فی الحلم و تساویهم فیها علی أن الرحمة و العلم و الحلم أرید بها الجنس و هو لا یثنّی و لا یجمع</w:t>
      </w:r>
      <w:r>
        <w:rPr>
          <w:rFonts w:eastAsia="IRNazanin" w:cs="IRNazanin"/>
          <w:color w:val="111111"/>
          <w:sz w:val="28"/>
          <w:szCs w:val="28"/>
          <w:rtl w:val="true"/>
          <w:lang w:bidi="fa-IR"/>
        </w:rPr>
        <w:t>.</w:t>
      </w:r>
    </w:p>
    <w:p>
      <w:pPr>
        <w:pStyle w:val="Heading4"/>
        <w:numPr>
          <w:ilvl w:val="3"/>
          <w:numId w:val="1"/>
        </w:numPr>
        <w:rPr/>
      </w:pPr>
      <w:bookmarkStart w:id="579" w:name="__RefHeading___Toc4067205_3224264995"/>
      <w:bookmarkStart w:id="580" w:name="_Toc216"/>
      <w:bookmarkEnd w:id="579"/>
      <w:r>
        <w:rPr>
          <w:rtl w:val="true"/>
        </w:rPr>
        <w:t>«</w:t>
      </w:r>
      <w:r>
        <w:rPr>
          <w:rtl w:val="true"/>
        </w:rPr>
        <w:t>و اصول الکرم</w:t>
      </w:r>
      <w:r>
        <w:rPr>
          <w:rtl w:val="true"/>
        </w:rPr>
        <w:t>»</w:t>
      </w:r>
      <w:bookmarkEnd w:id="580"/>
    </w:p>
    <w:p>
      <w:pPr>
        <w:pStyle w:val="BookText"/>
        <w:rPr/>
      </w:pPr>
      <w:r>
        <w:rPr>
          <w:rFonts w:ascii="IRNazanin" w:hAnsi="IRNazanin" w:eastAsia="IRNazanin"/>
          <w:color w:val="111111"/>
          <w:sz w:val="28"/>
          <w:sz w:val="28"/>
          <w:szCs w:val="28"/>
          <w:rtl w:val="true"/>
          <w:lang w:bidi="fa-IR"/>
        </w:rPr>
        <w:t>و السخاوة أو الکرامة و العزازة أو کرم الاصل و النجابة و المراد إنهم معادن الکرم و مبادیه أو أن کرم العباد مأخوذ منهم أو إنهم أسباب لکرم اللّه و إکرامه للعباد و جمع الأصول علی الأصل فی التعبیر عن الجمع و أفرد الکرم لأن المراد به الجنس و لأنه لو جمع أیضا لتوهم التوزیع</w:t>
      </w:r>
      <w:r>
        <w:rPr>
          <w:rFonts w:eastAsia="IRNazanin" w:cs="IRNazanin"/>
          <w:color w:val="111111"/>
          <w:sz w:val="28"/>
          <w:szCs w:val="28"/>
          <w:rtl w:val="true"/>
          <w:lang w:bidi="fa-IR"/>
        </w:rPr>
        <w:t>.</w:t>
      </w:r>
    </w:p>
    <w:p>
      <w:pPr>
        <w:pStyle w:val="Heading4"/>
        <w:numPr>
          <w:ilvl w:val="3"/>
          <w:numId w:val="1"/>
        </w:numPr>
        <w:rPr/>
      </w:pPr>
      <w:bookmarkStart w:id="581" w:name="__RefHeading___Toc4067207_3224264995"/>
      <w:bookmarkStart w:id="582" w:name="_Toc217"/>
      <w:bookmarkEnd w:id="581"/>
      <w:r>
        <w:rPr>
          <w:rtl w:val="true"/>
        </w:rPr>
        <w:t>«</w:t>
      </w:r>
      <w:r>
        <w:rPr>
          <w:rtl w:val="true"/>
        </w:rPr>
        <w:t>و قادة</w:t>
      </w:r>
      <w:r>
        <w:rPr>
          <w:rtl w:val="true"/>
        </w:rPr>
        <w:t>» [</w:t>
      </w:r>
      <w:r>
        <w:rPr>
          <w:rtl w:val="true"/>
        </w:rPr>
        <w:t>الأمم</w:t>
      </w:r>
      <w:r>
        <w:rPr>
          <w:rtl w:val="true"/>
        </w:rPr>
        <w:t>]</w:t>
      </w:r>
      <w:bookmarkEnd w:id="582"/>
    </w:p>
    <w:p>
      <w:pPr>
        <w:pStyle w:val="BookText"/>
        <w:rPr/>
      </w:pPr>
      <w:r>
        <w:rPr>
          <w:rFonts w:ascii="IRNazanin" w:hAnsi="IRNazanin" w:eastAsia="IRNazanin"/>
          <w:color w:val="111111"/>
          <w:sz w:val="28"/>
          <w:sz w:val="28"/>
          <w:szCs w:val="28"/>
          <w:rtl w:val="true"/>
          <w:lang w:bidi="fa-IR"/>
        </w:rPr>
        <w:t>جمع قاید أصله قودة قلبت واوه ألفا لتحرکها و انفتاح ما قبلها أی قایدی جمیع الأمم إلی الحق أو الجنة أو أسباب دخولها و لا بدّ من تخصیصها بالأمم المنقادة لهم أو إشتراط الإنقیاد فی العموم أو تفسیر القود بالدلالة دون الإیصال کما هو ظاهره و قد روی إنتفاع الأمم الماضیة أیضا بهداهم علیهم السّلام و برکاتهم</w:t>
      </w:r>
      <w:r>
        <w:rPr>
          <w:rFonts w:eastAsia="IRNazanin" w:cs="IRNazanin"/>
          <w:color w:val="111111"/>
          <w:sz w:val="28"/>
          <w:szCs w:val="28"/>
          <w:rtl w:val="true"/>
          <w:lang w:bidi="fa-IR"/>
        </w:rPr>
        <w:t>.</w:t>
      </w:r>
    </w:p>
    <w:p>
      <w:pPr>
        <w:pStyle w:val="Heading4"/>
        <w:numPr>
          <w:ilvl w:val="3"/>
          <w:numId w:val="1"/>
        </w:numPr>
        <w:rPr/>
      </w:pPr>
      <w:bookmarkStart w:id="583" w:name="__RefHeading___Toc4067209_3224264995"/>
      <w:bookmarkStart w:id="584" w:name="_Toc218"/>
      <w:bookmarkEnd w:id="583"/>
      <w:r>
        <w:rPr>
          <w:rtl w:val="true"/>
        </w:rPr>
        <w:t>«</w:t>
      </w:r>
      <w:r>
        <w:rPr>
          <w:rtl w:val="true"/>
        </w:rPr>
        <w:t>و أولیاء النعم</w:t>
      </w:r>
      <w:r>
        <w:rPr>
          <w:rtl w:val="true"/>
        </w:rPr>
        <w:t>»</w:t>
      </w:r>
      <w:bookmarkEnd w:id="58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النعمة مولیها المنعم بها و کل نعمة فهی منهم حقیقة أو علی مجاز التسبیب أو علی أن النعمة إنما تکون هنیئة لو لم یتعقبها الخلود فی العذاب و ذلک یکون بالإیمان و تمامه بحبّهم و الإقرار بإمامتهم علیهم السّلام</w:t>
      </w:r>
      <w:r>
        <w:rPr>
          <w:rFonts w:eastAsia="IRNazanin" w:cs="IRNazanin"/>
          <w:color w:val="111111"/>
          <w:sz w:val="28"/>
          <w:szCs w:val="28"/>
          <w:rtl w:val="true"/>
          <w:lang w:bidi="fa-IR"/>
        </w:rPr>
        <w:t xml:space="preserve">. </w:t>
      </w:r>
      <w:bookmarkStart w:id="585" w:name="pg12937_139491"/>
    </w:p>
    <w:p>
      <w:pPr>
        <w:pStyle w:val="Heading4"/>
        <w:numPr>
          <w:ilvl w:val="3"/>
          <w:numId w:val="1"/>
        </w:numPr>
        <w:rPr/>
      </w:pPr>
      <w:bookmarkStart w:id="586" w:name="__RefHeading___Toc4067211_3224264995"/>
      <w:bookmarkStart w:id="587" w:name="_Toc219"/>
      <w:bookmarkEnd w:id="585"/>
      <w:bookmarkEnd w:id="586"/>
      <w:r>
        <w:rPr>
          <w:rtl w:val="true"/>
        </w:rPr>
        <w:t>«</w:t>
      </w:r>
      <w:r>
        <w:rPr>
          <w:rtl w:val="true"/>
        </w:rPr>
        <w:t>و عناصر</w:t>
      </w:r>
      <w:r>
        <w:rPr>
          <w:rtl w:val="true"/>
        </w:rPr>
        <w:t>» [</w:t>
      </w:r>
      <w:r>
        <w:rPr>
          <w:rtl w:val="true"/>
        </w:rPr>
        <w:t>الأبرار</w:t>
      </w:r>
      <w:r>
        <w:rPr>
          <w:rtl w:val="true"/>
        </w:rPr>
        <w:t>]</w:t>
      </w:r>
      <w:bookmarkEnd w:id="587"/>
    </w:p>
    <w:p>
      <w:pPr>
        <w:pStyle w:val="BookText"/>
        <w:rPr/>
      </w:pPr>
      <w:r>
        <w:rPr>
          <w:rFonts w:ascii="IRNazanin" w:hAnsi="IRNazanin" w:eastAsia="IRNazanin"/>
          <w:color w:val="111111"/>
          <w:sz w:val="28"/>
          <w:sz w:val="28"/>
          <w:szCs w:val="28"/>
          <w:rtl w:val="true"/>
          <w:lang w:bidi="fa-IR"/>
        </w:rPr>
        <w:t xml:space="preserve">جمع عنصر،کقنفذ بضم أوله و ثالثه أو بفتح ثالثه کما فی القاموس </w:t>
      </w:r>
      <w:r>
        <w:rPr>
          <w:rStyle w:val="FootnoteAnchor"/>
          <w:rtl w:val="true"/>
        </w:rPr>
        <w:footnoteReference w:id="1451"/>
      </w:r>
      <w:r>
        <w:rPr>
          <w:rFonts w:ascii="IRNazanin" w:hAnsi="IRNazanin" w:eastAsia="IRNazanin"/>
          <w:color w:val="111111"/>
          <w:sz w:val="28"/>
          <w:sz w:val="28"/>
          <w:szCs w:val="28"/>
          <w:rtl w:val="true"/>
          <w:lang w:bidi="fa-IR"/>
        </w:rPr>
        <w:t>الأصل أی 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حیث الذات بالولادة الحقیقیة فالأبرار الأیمة و لا محذور فی مدح کل واحد منهم بکونه أصلا و والد الآخرین منهم سوی القایم علیه السّلام أو هم الذریة من فرق أولاد الأیمة فإن أکثرهم إیراد أو من حیث أنهم أبرار بالولادة المجازیة فإنّ المتعلّم من أولاد المعلّمین و من أبناء الطریقة و ظاهر أن برّ کلّ بار فهو من میامن برکات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ناش من الإقتفاء بما لهم من الآثار و فسر العنصر فی القاموس </w:t>
      </w:r>
      <w:r>
        <w:rPr>
          <w:rStyle w:val="FootnoteAnchor"/>
          <w:rtl w:val="true"/>
        </w:rPr>
        <w:footnoteReference w:id="1452"/>
      </w:r>
      <w:r>
        <w:rPr>
          <w:rFonts w:ascii="IRNazanin" w:hAnsi="IRNazanin" w:eastAsia="IRNazanin"/>
          <w:color w:val="111111"/>
          <w:sz w:val="28"/>
          <w:sz w:val="28"/>
          <w:szCs w:val="28"/>
          <w:rtl w:val="true"/>
          <w:lang w:bidi="fa-IR"/>
        </w:rPr>
        <w:t>بالحسب أیضا و هو محتمل هنا فالمعنی إنهم للأبرار کمال و جمال لأنهم سبب ذلک و مثله قوله</w:t>
      </w:r>
      <w:r>
        <w:rPr>
          <w:rFonts w:eastAsia="IRNazanin" w:cs="IRNazanin"/>
          <w:color w:val="111111"/>
          <w:sz w:val="28"/>
          <w:szCs w:val="28"/>
          <w:rtl w:val="true"/>
          <w:lang w:bidi="fa-IR"/>
        </w:rPr>
        <w:t>.</w:t>
      </w:r>
    </w:p>
    <w:p>
      <w:pPr>
        <w:pStyle w:val="Heading4"/>
        <w:numPr>
          <w:ilvl w:val="3"/>
          <w:numId w:val="1"/>
        </w:numPr>
        <w:rPr/>
      </w:pPr>
      <w:bookmarkStart w:id="588" w:name="__RefHeading___Toc4067213_3224264995"/>
      <w:bookmarkStart w:id="589" w:name="_Toc220"/>
      <w:bookmarkEnd w:id="588"/>
      <w:r>
        <w:rPr>
          <w:rtl w:val="true"/>
        </w:rPr>
        <w:t>«</w:t>
      </w:r>
      <w:r>
        <w:rPr>
          <w:rtl w:val="true"/>
        </w:rPr>
        <w:t>و دعایم الأخیار</w:t>
      </w:r>
      <w:r>
        <w:rPr>
          <w:rtl w:val="true"/>
        </w:rPr>
        <w:t>»</w:t>
      </w:r>
      <w:bookmarkEnd w:id="589"/>
    </w:p>
    <w:p>
      <w:pPr>
        <w:pStyle w:val="BookText"/>
        <w:rPr/>
      </w:pPr>
      <w:r>
        <w:rPr>
          <w:rFonts w:ascii="IRNazanin" w:hAnsi="IRNazanin" w:eastAsia="IRNazanin"/>
          <w:color w:val="111111"/>
          <w:sz w:val="28"/>
          <w:sz w:val="28"/>
          <w:szCs w:val="28"/>
          <w:rtl w:val="true"/>
          <w:lang w:bidi="fa-IR"/>
        </w:rPr>
        <w:t>إذ الدعایم بفتح الدال جمع دعامة،بکسرها و هی عماد البیت من دعمه کمنعه إذا أقامه لأنه یقام وسط البیت لیبنی علیه أو الخشب المنصوب للتعرش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الأخیار جمع خیر،الصفة المشبهة مخفّف خیّر بالتشدید دون إسم التفضیل لأنه لم یجمع أصلا؛قالوا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صورته الحالیة تجمع علی أفعال کغیر و أغیار و الأصلیة علی أفاعل کأفاضل فلما تعارض مقتضاهما رفضوهما معا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 الأئمة علیهم السّلام سبب لقیام الأخیار من حیث إنهم اخیار لأنهم دعاتهم إلی الخیرات و معلّموهم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دعایم الأخیار أنفسهم بالولادة کما مر أو من حیث أنهم أخیار بالولادة الروحانیة و الهدایة إلی الخیرات أو المعنی إنهم دعایم بهم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یدعم الأخیار دینهم و دنیاهم و أمر معاشهم و معادهم و بالجملة الأبرار و الأخیار إما أولادهم علیهم السّلام أو أشیاعهم مطلقا أو الأول الأولاد و الثانی الشیعة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590" w:name="pg12937_139492"/>
    </w:p>
    <w:p>
      <w:pPr>
        <w:pStyle w:val="Heading4"/>
        <w:numPr>
          <w:ilvl w:val="3"/>
          <w:numId w:val="1"/>
        </w:numPr>
        <w:rPr/>
      </w:pPr>
      <w:bookmarkStart w:id="591" w:name="__RefHeading___Toc4067215_3224264995"/>
      <w:bookmarkStart w:id="592" w:name="_Toc221"/>
      <w:bookmarkEnd w:id="590"/>
      <w:bookmarkEnd w:id="591"/>
      <w:r>
        <w:rPr>
          <w:rtl w:val="true"/>
        </w:rPr>
        <w:t>«</w:t>
      </w:r>
      <w:r>
        <w:rPr>
          <w:rtl w:val="true"/>
        </w:rPr>
        <w:t>و ساسة</w:t>
      </w:r>
      <w:r>
        <w:rPr>
          <w:rtl w:val="true"/>
        </w:rPr>
        <w:t>» [</w:t>
      </w:r>
      <w:r>
        <w:rPr>
          <w:rtl w:val="true"/>
        </w:rPr>
        <w:t>العباد</w:t>
      </w:r>
      <w:r>
        <w:rPr>
          <w:rtl w:val="true"/>
        </w:rPr>
        <w:t>]</w:t>
      </w:r>
      <w:bookmarkEnd w:id="592"/>
    </w:p>
    <w:p>
      <w:pPr>
        <w:pStyle w:val="BookText"/>
        <w:rPr/>
      </w:pPr>
      <w:r>
        <w:rPr>
          <w:rFonts w:ascii="IRNazanin" w:hAnsi="IRNazanin" w:eastAsia="IRNazanin"/>
          <w:color w:val="111111"/>
          <w:sz w:val="28"/>
          <w:sz w:val="28"/>
          <w:szCs w:val="28"/>
          <w:rtl w:val="true"/>
          <w:lang w:bidi="fa-IR"/>
        </w:rPr>
        <w:t>جمع سایس من ساسه،سیاسة إذا أدّبه و سایسک فی العلم مؤدّبک به أی مؤدّبی العباد بآداب الشرع تعلیما و ترغیبا و ترهیبا</w:t>
      </w:r>
      <w:r>
        <w:rPr>
          <w:rFonts w:eastAsia="IRNazanin" w:cs="IRNazanin"/>
          <w:color w:val="111111"/>
          <w:sz w:val="28"/>
          <w:szCs w:val="28"/>
          <w:rtl w:val="true"/>
          <w:lang w:bidi="fa-IR"/>
        </w:rPr>
        <w:t>.</w:t>
      </w:r>
    </w:p>
    <w:p>
      <w:pPr>
        <w:pStyle w:val="Heading4"/>
        <w:numPr>
          <w:ilvl w:val="3"/>
          <w:numId w:val="1"/>
        </w:numPr>
        <w:rPr/>
      </w:pPr>
      <w:bookmarkStart w:id="593" w:name="__RefHeading___Toc4067217_3224264995"/>
      <w:bookmarkStart w:id="594" w:name="_Toc222"/>
      <w:bookmarkEnd w:id="593"/>
      <w:r>
        <w:rPr>
          <w:rtl w:val="true"/>
        </w:rPr>
        <w:t>«</w:t>
      </w:r>
      <w:r>
        <w:rPr>
          <w:rtl w:val="true"/>
        </w:rPr>
        <w:t>و أرکان البلاد</w:t>
      </w:r>
      <w:r>
        <w:rPr>
          <w:rtl w:val="true"/>
        </w:rPr>
        <w:t>»</w:t>
      </w:r>
      <w:bookmarkEnd w:id="594"/>
    </w:p>
    <w:p>
      <w:pPr>
        <w:pStyle w:val="BookText"/>
        <w:rPr/>
      </w:pPr>
      <w:r>
        <w:rPr>
          <w:rFonts w:ascii="IRNazanin" w:hAnsi="IRNazanin" w:eastAsia="IRNazanin"/>
          <w:color w:val="111111"/>
          <w:sz w:val="28"/>
          <w:sz w:val="28"/>
          <w:szCs w:val="28"/>
          <w:rtl w:val="true"/>
          <w:lang w:bidi="fa-IR"/>
        </w:rPr>
        <w:t xml:space="preserve">أنفسها و أهلها إذ بهم ینتظم لأهلها أمر المعاش و المعاد و للبلاد أنفسها أسباب وجودها و بقائها لأن الأرض لا تخلو عن الحجة فلولاها لساخت بأهلها کما وردت به الروایات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4067219_3224264995"/>
      <w:bookmarkStart w:id="596" w:name="_Toc223"/>
      <w:bookmarkEnd w:id="595"/>
      <w:r>
        <w:rPr>
          <w:rtl w:val="true"/>
        </w:rPr>
        <w:t>«</w:t>
      </w:r>
      <w:r>
        <w:rPr>
          <w:rtl w:val="true"/>
        </w:rPr>
        <w:t>و أبواب الإیمان</w:t>
      </w:r>
      <w:r>
        <w:rPr>
          <w:rtl w:val="true"/>
        </w:rPr>
        <w:t>»</w:t>
      </w:r>
      <w:bookmarkEnd w:id="596"/>
    </w:p>
    <w:p>
      <w:pPr>
        <w:pStyle w:val="BookText"/>
        <w:rPr/>
      </w:pPr>
      <w:r>
        <w:rPr>
          <w:rFonts w:ascii="IRNazanin" w:hAnsi="IRNazanin" w:eastAsia="IRNazanin"/>
          <w:color w:val="111111"/>
          <w:sz w:val="28"/>
          <w:sz w:val="28"/>
          <w:szCs w:val="28"/>
          <w:rtl w:val="true"/>
          <w:lang w:bidi="fa-IR"/>
        </w:rPr>
        <w:t xml:space="preserve">لأنّه یخرج من عندهم العلم به و بأحکامه إلی الناس و بالإقرار بهم و بإمامتهم مدخل الإیمان فی قلوب العارفین بهم و بجحودها یخرج الإیمان عن قلوب جاحدیهم و بالإیمان بهم یدخل الإیمان فی حیّز القبول و بجحدهم یخرج عنه فإن ولایتهم أعظم أجزاء الإیمان لإستلزامه إیّاها من غیر عکس فهم کأبواب الإیمان فی الخروج و الدخول بحسب الحصول و القبول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4067221_3224264995"/>
      <w:bookmarkStart w:id="598" w:name="_Toc224"/>
      <w:bookmarkEnd w:id="597"/>
      <w:r>
        <w:rPr>
          <w:rtl w:val="true"/>
        </w:rPr>
        <w:t>«</w:t>
      </w:r>
      <w:r>
        <w:rPr>
          <w:rtl w:val="true"/>
        </w:rPr>
        <w:t>أمناء الرّحمان</w:t>
      </w:r>
      <w:r>
        <w:rPr>
          <w:rtl w:val="true"/>
        </w:rPr>
        <w:t>»</w:t>
      </w:r>
      <w:bookmarkEnd w:id="598"/>
    </w:p>
    <w:p>
      <w:pPr>
        <w:pStyle w:val="BookText"/>
        <w:rPr/>
      </w:pPr>
      <w:r>
        <w:rPr>
          <w:rFonts w:ascii="IRNazanin" w:hAnsi="IRNazanin" w:eastAsia="IRNazanin"/>
          <w:color w:val="111111"/>
          <w:sz w:val="28"/>
          <w:sz w:val="28"/>
          <w:szCs w:val="28"/>
          <w:rtl w:val="true"/>
          <w:lang w:bidi="fa-IR"/>
        </w:rPr>
        <w:t>حیث ائتمنهم علی سرّه و دینه و عباده و بلاده و أمواله</w:t>
      </w:r>
      <w:r>
        <w:rPr>
          <w:rFonts w:eastAsia="IRNazanin" w:cs="IRNazanin"/>
          <w:color w:val="111111"/>
          <w:sz w:val="28"/>
          <w:szCs w:val="28"/>
          <w:rtl w:val="true"/>
          <w:lang w:bidi="fa-IR"/>
        </w:rPr>
        <w:t>.</w:t>
      </w:r>
    </w:p>
    <w:p>
      <w:pPr>
        <w:pStyle w:val="Heading4"/>
        <w:numPr>
          <w:ilvl w:val="3"/>
          <w:numId w:val="1"/>
        </w:numPr>
        <w:rPr/>
      </w:pPr>
      <w:bookmarkStart w:id="599" w:name="__RefHeading___Toc4067223_3224264995"/>
      <w:bookmarkStart w:id="600" w:name="_Toc225"/>
      <w:bookmarkEnd w:id="599"/>
      <w:r>
        <w:rPr>
          <w:rtl w:val="true"/>
        </w:rPr>
        <w:t>«</w:t>
      </w:r>
      <w:r>
        <w:rPr>
          <w:rtl w:val="true"/>
        </w:rPr>
        <w:t>و سلالة النّبیّین</w:t>
      </w:r>
      <w:r>
        <w:rPr>
          <w:rtl w:val="true"/>
        </w:rPr>
        <w:t>»</w:t>
      </w:r>
      <w:bookmarkEnd w:id="60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أولادهم فإن السلالة بالضم ما أنسل من الشیء و الولد لإنه أنسل من أبیه</w:t>
      </w:r>
      <w:r>
        <w:rPr>
          <w:rFonts w:eastAsia="IRNazanin" w:cs="IRNazanin"/>
          <w:color w:val="111111"/>
          <w:sz w:val="28"/>
          <w:szCs w:val="28"/>
          <w:rtl w:val="true"/>
          <w:lang w:bidi="fa-IR"/>
        </w:rPr>
        <w:t xml:space="preserve">. </w:t>
      </w:r>
      <w:bookmarkStart w:id="601" w:name="pg12937_139493"/>
    </w:p>
    <w:p>
      <w:pPr>
        <w:pStyle w:val="Heading4"/>
        <w:numPr>
          <w:ilvl w:val="3"/>
          <w:numId w:val="1"/>
        </w:numPr>
        <w:rPr/>
      </w:pPr>
      <w:bookmarkStart w:id="602" w:name="__RefHeading___Toc4067225_3224264995"/>
      <w:bookmarkStart w:id="603" w:name="_Toc226"/>
      <w:bookmarkEnd w:id="601"/>
      <w:bookmarkEnd w:id="602"/>
      <w:r>
        <w:rPr>
          <w:rtl w:val="true"/>
        </w:rPr>
        <w:t>«</w:t>
      </w:r>
      <w:r>
        <w:rPr>
          <w:rtl w:val="true"/>
        </w:rPr>
        <w:t>و صفوة المرسلین</w:t>
      </w:r>
      <w:r>
        <w:rPr>
          <w:rtl w:val="true"/>
        </w:rPr>
        <w:t>»</w:t>
      </w:r>
      <w:bookmarkEnd w:id="603"/>
    </w:p>
    <w:p>
      <w:pPr>
        <w:pStyle w:val="BookText"/>
        <w:rPr/>
      </w:pPr>
      <w:r>
        <w:rPr>
          <w:rFonts w:ascii="IRNazanin" w:hAnsi="IRNazanin" w:eastAsia="IRNazanin"/>
          <w:color w:val="111111"/>
          <w:sz w:val="28"/>
          <w:sz w:val="28"/>
          <w:szCs w:val="28"/>
          <w:rtl w:val="true"/>
          <w:lang w:bidi="fa-IR"/>
        </w:rPr>
        <w:t>صفوة الشیء بالکسر أو الفتح ما صفا و خلص منه عن الکدر،و المعنی إنهم مخلوقون من صفوة الرسل أی طینتهم الصافیة أو من نطفتهم الخالصة أو مصطفون من بینهم لأنهم أفضل منهم أجمعین سوی خاتم المرسلین فالإضافة علمهما مثلها فی صفوة الماء و صفوة العسل أو إنّهم الذین اصطفاهم المرسلون من بین العباد فتوسّلوا و استشفعوا بهم إلی اللّه سبحانه فالإضافة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فاعل الاصطفا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مثلها فی صفوة اللّه و لو خفضت </w:t>
      </w:r>
      <w:r>
        <w:rPr>
          <w:rStyle w:val="FootnoteAnchor"/>
          <w:rtl w:val="true"/>
        </w:rPr>
        <w:footnoteReference w:id="1456"/>
      </w:r>
      <w:r>
        <w:rPr>
          <w:rFonts w:ascii="IRNazanin" w:hAnsi="IRNazanin" w:eastAsia="IRNazanin"/>
          <w:color w:val="111111"/>
          <w:sz w:val="28"/>
          <w:sz w:val="28"/>
          <w:szCs w:val="28"/>
          <w:rtl w:val="true"/>
          <w:lang w:bidi="fa-IR"/>
        </w:rPr>
        <w:t>صفوة و عطفتها علی النبیین بمعنی سلالة صفوة المرسلین لکان وجها فصفوتهم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سلالته الأئمة و کان ذکره بعدهم کذکر جبرئیل بعد الملائکة لکن النسخ بالنصب عطفا علی سلالة</w:t>
      </w:r>
      <w:r>
        <w:rPr>
          <w:rFonts w:eastAsia="IRNazanin" w:cs="IRNazanin"/>
          <w:color w:val="111111"/>
          <w:sz w:val="28"/>
          <w:szCs w:val="28"/>
          <w:rtl w:val="true"/>
          <w:lang w:bidi="fa-IR"/>
        </w:rPr>
        <w:t>.</w:t>
      </w:r>
    </w:p>
    <w:p>
      <w:pPr>
        <w:pStyle w:val="Heading4"/>
        <w:numPr>
          <w:ilvl w:val="3"/>
          <w:numId w:val="1"/>
        </w:numPr>
        <w:rPr/>
      </w:pPr>
      <w:bookmarkStart w:id="604" w:name="__RefHeading___Toc4067227_3224264995"/>
      <w:bookmarkStart w:id="605" w:name="_Toc227"/>
      <w:bookmarkEnd w:id="604"/>
      <w:r>
        <w:rPr>
          <w:rtl w:val="true"/>
        </w:rPr>
        <w:t>«</w:t>
      </w:r>
      <w:r>
        <w:rPr>
          <w:rtl w:val="true"/>
        </w:rPr>
        <w:t>و عترة خیرة رب العالمین</w:t>
      </w:r>
      <w:r>
        <w:rPr>
          <w:rtl w:val="true"/>
        </w:rPr>
        <w:t>»</w:t>
      </w:r>
      <w:bookmarkEnd w:id="605"/>
    </w:p>
    <w:p>
      <w:pPr>
        <w:pStyle w:val="BookText"/>
        <w:rPr/>
      </w:pPr>
      <w:r>
        <w:rPr>
          <w:rFonts w:ascii="IRNazanin" w:hAnsi="IRNazanin" w:eastAsia="IRNazanin"/>
          <w:color w:val="111111"/>
          <w:sz w:val="28"/>
          <w:sz w:val="28"/>
          <w:szCs w:val="28"/>
          <w:rtl w:val="true"/>
          <w:lang w:bidi="fa-IR"/>
        </w:rPr>
        <w:t xml:space="preserve">ذکر الصدوق رحمه اللّه فی معانی الأخبار أخبارا کثیرة معتبرة وردت بتفسیر العترة بالأئمة علیهم السّلام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باسناده عن الصادق عن آبائه عن أمیر المؤمنین علیهم السّلام إنه سئل عن قول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مخلّف فیکم الثقلین کتاب اللّه و عترتی أهل بیتی،من العترة؟فقال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الحسن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الحسین و التسعة من ولد الحسین تاسعهم مهدیهم و قایمهم</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أهل بیتی و إنهما لن یفترقا حتی یردا علیّ الحوض کهاتین و ضم بین سبابتیه،فقام الیه جابر بن عبد اللّه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عترتک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الحسن و الحسین و الأئمة من ولد الحسین إلی یوم القیامة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فیکم،الحدیث،فقیل </w:t>
      </w:r>
    </w:p>
    <w:p>
      <w:pPr>
        <w:pStyle w:val="BookText"/>
        <w:rPr/>
      </w:pPr>
      <w:r>
        <w:rPr>
          <w:rFonts w:ascii="IRNazanin" w:hAnsi="IRNazanin" w:eastAsia="IRNazanin"/>
          <w:color w:val="111111"/>
          <w:sz w:val="28"/>
          <w:sz w:val="28"/>
          <w:szCs w:val="28"/>
          <w:rtl w:val="true"/>
          <w:lang w:bidi="fa-IR"/>
        </w:rPr>
        <w:t>لإبی سعید من عترته؟قال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و قد روت العامة أیضا حدیث الثقلین فی کتبهم بطرق کثیرة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أحمد بن حنبل فی مسنده بإسناده عن زید بن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خلیفتین کتاب اللّه حبل ممدود ما بین السماء إلی الأرض و عترتی أهل بیتی </w:t>
      </w:r>
      <w:r>
        <w:rPr>
          <w:rStyle w:val="FootnoteAnchor"/>
          <w:rtl w:val="true"/>
        </w:rPr>
        <w:footnoteReference w:id="1461"/>
      </w:r>
      <w:r>
        <w:rPr>
          <w:rFonts w:ascii="IRNazanin" w:hAnsi="IRNazanin" w:eastAsia="IRNazanin"/>
          <w:color w:val="111111"/>
          <w:sz w:val="28"/>
          <w:sz w:val="28"/>
          <w:szCs w:val="28"/>
          <w:rtl w:val="true"/>
          <w:lang w:bidi="fa-IR"/>
        </w:rPr>
        <w:t xml:space="preserve">و قد ذکر إبن طاوس طرفا منها فی الطرائف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الصدوق فی معانی الأخبار عن أبی العباس تغلب عن إبن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قطاع المسک الکبار فی النافجة و الریقة العذبة و شجرة تنبت علی باب و جار الضب إذا خرجت من وجارها تمرّغت علی تلک الشجرة فهی لذلک لا تثمر و لا تکبر و قول العرب أذل من عترة الضب مثل للذلیل و العترة ولد الرجل و ذریته من صلبه و لذلک سمیت ذریة محمد من علی و فاطمة عترة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أبی بکر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بلدته و بیضته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عترة محمد لا محالة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أن العترة الصخرة العظیمة یتخذ الضب عندها جحرا یأوی إلیه و هذا لقلة هدایته،و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العترة؛أصل الشجرة المقطوعة تنبت من أصولها و عروقها 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فرع و لا عترة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فی الجاهلیة ینذر نذرا اذا بلغت غنمه مائة أن یذبح شاة فکان ربما بخل بشاته فیصید الظباء یذبحها عن غنمه عند آلهتهم لیوفی بها نذره،و 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أیضا الریح و الشجرة الکثیرة اللبن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الذکر،عتر،یعتر،عترا إذا انعظ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الأصمعی عن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نبت مثل المرزنجوش ینبت متفرقا،ثم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ذریته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جمیع معاینها فی لغة العرب لأن الأئمة علیهم السّلام بین بنی هاشم و ولد أبی طالب کقطاع المسک الکبار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النافجة و علومهم عذبة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أهل </w:t>
      </w:r>
    </w:p>
    <w:p>
      <w:pPr>
        <w:pStyle w:val="BookText"/>
        <w:rPr/>
      </w:pPr>
      <w:r>
        <w:rPr>
          <w:rFonts w:ascii="IRNazanin" w:hAnsi="IRNazanin" w:eastAsia="IRNazanin"/>
          <w:color w:val="111111"/>
          <w:sz w:val="28"/>
          <w:sz w:val="28"/>
          <w:szCs w:val="28"/>
          <w:rtl w:val="true"/>
          <w:lang w:bidi="fa-IR"/>
        </w:rPr>
        <w:t>الحکمة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شجرة أصلها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فرعها و الأئمة من ولده أغصانها و شیعتهم ورقها و علمهم ثمرها و هم علیهم السّلام اصول الإسلام علی معنی البلدة و البیضة و هم الهداة علی معنی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التی یتخذ الضب حجرا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أصل الشجرة المقطوعة،لأنهم وتروا و ظلموا و جفوا و قطعوا و لم یوصلوا فنبتوا من أصولهم و عروقهم لا یضرّهم قطع من قطعهم و إدبار من أدبر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کانوا من قبل اللّه تعالی منصوصا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المظلومون المؤاخذون بما لم یجرموه و لم یذنبوه علی معنی الظباء المذبوحة عن الغنم و منافعهم کثیرة کالشجرة الکثیرة اللبن و هم ذکران غیر أناث علی تفسیر العترة بالذکر و هم جند اللّه و حزبه علی معنی الریح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جند اللّه الأکبر و الریح عذاب علی قوم و رحمة لآخرین و هم کذلک کالقرآن المقرون إلیهم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کتاب اللّه و عترتی أهل بیتی؛قال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إِلاّٰ خَسٰاراً </w:t>
      </w:r>
      <w:r>
        <w:rPr>
          <w:rStyle w:val="FootnoteAnchor"/>
          <w:rtl w:val="true"/>
        </w:rPr>
        <w:footnoteReference w:id="14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Style w:val="FootnoteAnchor"/>
          <w:rtl w:val="true"/>
        </w:rPr>
        <w:footnoteReference w:id="1464"/>
      </w:r>
      <w:r>
        <w:rPr>
          <w:rFonts w:ascii="IRNazanin" w:hAnsi="IRNazanin" w:eastAsia="IRNazanin"/>
          <w:color w:val="111111"/>
          <w:sz w:val="28"/>
          <w:sz w:val="28"/>
          <w:szCs w:val="28"/>
          <w:rtl w:val="true"/>
          <w:lang w:bidi="fa-IR"/>
        </w:rPr>
        <w:t>و هم أصحاب المشاهد المتفرقة و برکاتهم منبثة فی المشرق و المغرب علی معنی نبت مثل المرزنجوش ینبت متفرقا</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،إنتهی ملخصه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إتفق اللّغویون </w:t>
      </w:r>
      <w:r>
        <w:rPr>
          <w:rStyle w:val="FootnoteAnchor"/>
          <w:rtl w:val="true"/>
        </w:rPr>
        <w:footnoteReference w:id="1466"/>
      </w:r>
      <w:r>
        <w:rPr>
          <w:rFonts w:ascii="IRNazanin" w:hAnsi="IRNazanin" w:eastAsia="IRNazanin"/>
          <w:color w:val="111111"/>
          <w:sz w:val="28"/>
          <w:sz w:val="28"/>
          <w:szCs w:val="28"/>
          <w:rtl w:val="true"/>
          <w:lang w:bidi="fa-IR"/>
        </w:rPr>
        <w:t xml:space="preserve">علی أن عترة الرجل نسله و رهطه و هذا هو المراد فی إستعمال عترة النّبی فی الأئمة علیهم السّلام و جعلها فی هذا المقام بالمعانی الآخر أو مأخوذة منهما کما فعله الصدوق تمحل و تعسف مستغنی عنه لأن کل معنی له مقام و کل مقام له معنی فإذا أضیفت إلی رجل فهی نسله و أهله لا غیر إلاّ بصارف و لیس علی أن نقلها من </w:t>
      </w:r>
    </w:p>
    <w:p>
      <w:pPr>
        <w:pStyle w:val="BookText"/>
        <w:rPr/>
      </w:pPr>
      <w:r>
        <w:rPr>
          <w:rFonts w:ascii="IRNazanin" w:hAnsi="IRNazanin" w:eastAsia="IRNazanin"/>
          <w:color w:val="111111"/>
          <w:sz w:val="28"/>
          <w:sz w:val="28"/>
          <w:szCs w:val="28"/>
          <w:rtl w:val="true"/>
          <w:lang w:bidi="fa-IR"/>
        </w:rPr>
        <w:t xml:space="preserve">بعض المعانی الآخر أو تشبیهها به لا یتمشی إلا بنوع تحریف أو تصحیف أو تأویل رکیک سخیف و إلاّ ظهر أنّهم </w:t>
      </w:r>
      <w:r>
        <w:rPr>
          <w:rStyle w:val="FootnoteAnchor"/>
          <w:rtl w:val="true"/>
        </w:rPr>
        <w:footnoteReference w:id="1467"/>
      </w:r>
      <w:r>
        <w:rPr>
          <w:rFonts w:ascii="IRNazanin" w:hAnsi="IRNazanin" w:eastAsia="IRNazanin"/>
          <w:color w:val="111111"/>
          <w:sz w:val="28"/>
          <w:sz w:val="28"/>
          <w:szCs w:val="28"/>
          <w:rtl w:val="true"/>
          <w:lang w:bidi="fa-IR"/>
        </w:rPr>
        <w:t>فسّروا العتر بالکسر بالشجر الصغار من أصل و لا یبعد تشبیه ولد الرجل بشجر صغار نابتة من أصل واحد و أما بنو غیره فلا یندفع بما ارتکبه الصدوق، کیف و مجیء العترة بمعنی الجارحة المخصوصة أی الذکر أو إنعاظه لا یصحح اطلاقها علی الذکران المنسوبین إلی رجل بإضافتهم إلیه و لو صحّ لا یصفو مشربه فإنّه یقتضی تشبیههم بذکره و لا یخفی قبحه و رکاکته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المعروف تشبیه الهداة بالعلم و الجبل العالی و نحوه مما یهتدی به الناس لا بصخرة یهتدی به ضب هی علی باب جحره بل هو مستهجن جدا و کذا تسمیتهم بإسم الریح للمشارکة فی الضر و النفع ألا تری أن جل الأشیاء بل کلها کذلک و لا یحسن اطلاق الخیر علی السلطان لأنهما یضران و ینفعان ثم الخیرة بکسر ثم فتح کعنبة إسم بمعنی المختار و قد یسکن یاؤه و المراد النبیّ حیث إختاره اللّه من بین الخلق أجمعین و لذا لقب بالمصطفی 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 بالسکون إسم من الإختیار کالفدیة من الإفتداء و بفتح الیاء بمعنی الخیار و هو الإختیار و قیل إسم من تخیّرت الشیء أی أخترته کالطیرة و هی اسم من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بمعنی واحد و فی البارع خرت الرجل من باب باع أخیر خیرا وزان عنب و خیرا و خیرة إذا فضّلته علی صاحبه و هذه خیرتی بالسکون و هو ما یختار؛إنتهی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منه أن المصدر بفتح الیا و الإسم بسکونها و بالجملة خیرة اللّه بالکسر یروی بفتح الیاء و بسکونها إما إسما بمعنی المختار أو مصدرا من باب إطلاق المصدر علی المفعول إما بمعناه مجازا کالخلق بمعنی المخلوق أو مبالغة کالرضا بمعنی المرضی و إختیاره تعالی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إکرامه و تخصیصه بالرسالة و سیادة الرسل</w:t>
      </w:r>
      <w:r>
        <w:rPr>
          <w:rFonts w:eastAsia="IRNazanin" w:cs="IRNazanin"/>
          <w:color w:val="111111"/>
          <w:sz w:val="28"/>
          <w:szCs w:val="28"/>
          <w:rtl w:val="true"/>
          <w:lang w:bidi="fa-IR"/>
        </w:rPr>
        <w:t xml:space="preserve">. </w:t>
      </w:r>
      <w:bookmarkStart w:id="606" w:name="pg12937_139497"/>
    </w:p>
    <w:p>
      <w:pPr>
        <w:pStyle w:val="BookText"/>
        <w:rPr/>
      </w:pPr>
      <w:bookmarkEnd w:id="606"/>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من خلقه بنی آدم و منهم العرب و منهم قریشا و منهم بنی هاشم و اختارنی منهم فلم أزل خیارا من خیار</w:t>
      </w:r>
      <w:r>
        <w:rPr>
          <w:rFonts w:eastAsia="IRNazanin" w:cs="IRNazanin"/>
          <w:color w:val="111111"/>
          <w:sz w:val="28"/>
          <w:szCs w:val="28"/>
          <w:rtl w:val="true"/>
          <w:lang w:bidi="fa-IR"/>
        </w:rPr>
        <w:t xml:space="preserve">»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إضافة الخیرة إلی رب العالمین تقریر و تأکید لخیریة المختار و بتحقیق للإختیار فإن خالق العالمین و مربیهم أجمعین المطلع علی خفایا المزایا و المفیض علی الطبایع و السجایا هو المانح لکل واجد و المانع کل فاقد فلا یخطأ فی إختیار المختار لإنه لا یجهل بالعلن و الأسرار و تنویه بالمختار لأنه المختار عن جمیع العالمین</w:t>
      </w:r>
      <w:r>
        <w:rPr>
          <w:rFonts w:eastAsia="IRNazanin" w:cs="IRNazanin"/>
          <w:color w:val="111111"/>
          <w:sz w:val="28"/>
          <w:szCs w:val="28"/>
          <w:rtl w:val="true"/>
          <w:lang w:bidi="fa-IR"/>
        </w:rPr>
        <w:t>.</w:t>
      </w:r>
    </w:p>
    <w:p>
      <w:pPr>
        <w:pStyle w:val="Heading4"/>
        <w:numPr>
          <w:ilvl w:val="3"/>
          <w:numId w:val="1"/>
        </w:numPr>
        <w:rPr/>
      </w:pPr>
      <w:bookmarkStart w:id="607" w:name="__RefHeading___Toc4067229_3224264995"/>
      <w:bookmarkStart w:id="608" w:name="_Toc228"/>
      <w:bookmarkEnd w:id="607"/>
      <w:r>
        <w:rPr>
          <w:rtl w:val="true"/>
        </w:rPr>
        <w:t>«</w:t>
      </w:r>
      <w:r>
        <w:rPr>
          <w:rtl w:val="true"/>
        </w:rPr>
        <w:t>و رحمة اللّه و برکاته</w:t>
      </w:r>
      <w:r>
        <w:rPr>
          <w:rtl w:val="true"/>
        </w:rPr>
        <w:t>»</w:t>
      </w:r>
      <w:bookmarkEnd w:id="608"/>
    </w:p>
    <w:p>
      <w:pPr>
        <w:pStyle w:val="BookText"/>
        <w:rPr/>
      </w:pPr>
      <w:r>
        <w:rPr>
          <w:rFonts w:ascii="IRNazanin" w:hAnsi="IRNazanin" w:eastAsia="IRNazanin"/>
          <w:color w:val="111111"/>
          <w:sz w:val="28"/>
          <w:sz w:val="28"/>
          <w:szCs w:val="28"/>
          <w:rtl w:val="true"/>
          <w:lang w:bidi="fa-IR"/>
        </w:rPr>
        <w:t>عطفان علی السلام و البرکة الخیر و النفع و النماء و الزیادة و السعادة</w:t>
      </w:r>
      <w:r>
        <w:rPr>
          <w:rFonts w:eastAsia="IRNazanin" w:cs="IRNazanin"/>
          <w:color w:val="111111"/>
          <w:sz w:val="28"/>
          <w:szCs w:val="28"/>
          <w:rtl w:val="true"/>
          <w:lang w:bidi="fa-IR"/>
        </w:rPr>
        <w:t>.</w:t>
      </w:r>
    </w:p>
    <w:p>
      <w:pPr>
        <w:pStyle w:val="Heading4"/>
        <w:numPr>
          <w:ilvl w:val="3"/>
          <w:numId w:val="1"/>
        </w:numPr>
        <w:rPr/>
      </w:pPr>
      <w:bookmarkStart w:id="609" w:name="__RefHeading___Toc4067231_3224264995"/>
      <w:bookmarkStart w:id="610" w:name="_Toc229"/>
      <w:bookmarkEnd w:id="609"/>
      <w:r>
        <w:rPr>
          <w:rtl w:val="true"/>
        </w:rPr>
        <w:t>«</w:t>
      </w:r>
      <w:r>
        <w:rPr>
          <w:rtl w:val="true"/>
        </w:rPr>
        <w:t>السلام علی أئمة الهدی</w:t>
      </w:r>
      <w:r>
        <w:rPr>
          <w:rtl w:val="true"/>
        </w:rPr>
        <w:t>»</w:t>
      </w:r>
      <w:bookmarkEnd w:id="610"/>
    </w:p>
    <w:p>
      <w:pPr>
        <w:pStyle w:val="BookText"/>
        <w:rPr/>
      </w:pPr>
      <w:r>
        <w:rPr>
          <w:rFonts w:ascii="IRNazanin" w:hAnsi="IRNazanin" w:eastAsia="IRNazanin"/>
          <w:color w:val="111111"/>
          <w:sz w:val="28"/>
          <w:sz w:val="28"/>
          <w:szCs w:val="28"/>
          <w:rtl w:val="true"/>
          <w:lang w:bidi="fa-IR"/>
        </w:rPr>
        <w:t xml:space="preserve">سلّم علیهم خمس تسلیمات کما بنی الإیمان علی خمسة أرکان و کما أوجب اللّه علی عباده خمس صلوات فرض فی کل منها الصلاة علی نبیه و آله و آثر الخطاب فی التسلیمة الأولی تبعا للمتعارف المعهود فی تسلیم أحد المتلاقیین علی الآخر و الغیبة فی البواقی لأن الزایر لما مدحهم علیهم السّلام فی التسلیمة الأولی بما مدحهم به و استحضر </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قلبه کمالاتهم المذکورة ینبغی له التنبه عن الغفلة و أن یحضر فی قلبه أن علّو قدرهم و جلالة شأنهم بالنسبة إلی مرتبة الزایر بعید عن أن یعدّ من نسبة الحاضر إلی الحاضر تنزیلا لرفعة المراتب منزلة بعد الغایب و أن یتذکر إنه لفرط إنحطاطه عن درجاتهم الرفیعة لا یستحق حضور مجالسهم و المخاطبة معهم فی حضرتهم و إنه إذا أذن فی الدخول إلی رفضتهم ینبغی أن لا یغفل عن أن ذلک تفضّل منهم و أن لا یترک حسن الآداب بعد و له إلی الغیبة عن الخطاب إیذانا بالإعتراف بالقصور عن درجة استحقاق الحضور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أئمة جمع إمام کأعمدة و عماد،أصله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اءممة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بهمزتین و میمین؛قلبت الهمزة </w:t>
      </w:r>
      <w:bookmarkStart w:id="611" w:name="pg12937_139498"/>
    </w:p>
    <w:p>
      <w:pPr>
        <w:pStyle w:val="BookText"/>
        <w:rPr/>
      </w:pPr>
      <w:bookmarkEnd w:id="611"/>
      <w:r>
        <w:rPr>
          <w:rFonts w:ascii="IRNazanin" w:hAnsi="IRNazanin" w:eastAsia="IRNazanin"/>
          <w:color w:val="111111"/>
          <w:sz w:val="28"/>
          <w:sz w:val="28"/>
          <w:szCs w:val="28"/>
          <w:rtl w:val="true"/>
          <w:lang w:bidi="fa-IR"/>
        </w:rPr>
        <w:t>الثانیة یاء لمجانستها لکسرتها و أدغمت المیمان بعد إسکان الأولی تخفیفا و منهم من یقرؤه بالهمزة مسهّلة تخفیفا بالتسهیل و إکتفاء به عن التبدیل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الهدی بالضم و القصر،الهدایة و الإهتداء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فَاسْتَحَبُّوا الْعَمیٰ عَلَی الْهُدیٰ </w:t>
      </w:r>
      <w:r>
        <w:rPr>
          <w:rStyle w:val="FootnoteAnchor"/>
          <w:rtl w:val="true"/>
        </w:rPr>
        <w:footnoteReference w:id="1469"/>
      </w:r>
      <w:r>
        <w:rPr>
          <w:rFonts w:ascii="IRNazanin" w:hAnsi="IRNazanin" w:eastAsia="IRNazanin"/>
          <w:color w:val="111111"/>
          <w:sz w:val="28"/>
          <w:sz w:val="28"/>
          <w:szCs w:val="28"/>
          <w:rtl w:val="true"/>
          <w:lang w:bidi="fa-IR"/>
        </w:rPr>
        <w:t>أی أیمة الهدایة المنصوبین لأجلها القایمین بها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أیمة الضلال فالهدی بمعنی المصدر؛و یحتمل کونه بمعنی الفاعل أی أیمة الهداة أی هداة الهداة و أیمة الأئمة فالإضافة لامیة و لک جعلها من إضافة الموصوف إلی صفته أی الأیمة الهادین</w:t>
      </w:r>
      <w:r>
        <w:rPr>
          <w:rFonts w:eastAsia="IRNazanin" w:cs="IRNazanin"/>
          <w:color w:val="111111"/>
          <w:sz w:val="28"/>
          <w:szCs w:val="28"/>
          <w:rtl w:val="true"/>
          <w:lang w:bidi="fa-IR"/>
        </w:rPr>
        <w:t>.</w:t>
      </w:r>
    </w:p>
    <w:p>
      <w:pPr>
        <w:pStyle w:val="Heading4"/>
        <w:numPr>
          <w:ilvl w:val="3"/>
          <w:numId w:val="1"/>
        </w:numPr>
        <w:rPr/>
      </w:pPr>
      <w:bookmarkStart w:id="612" w:name="__RefHeading___Toc4067233_3224264995"/>
      <w:bookmarkStart w:id="613" w:name="_Toc230"/>
      <w:bookmarkEnd w:id="612"/>
      <w:r>
        <w:rPr>
          <w:rtl w:val="true"/>
        </w:rPr>
        <w:t>«</w:t>
      </w:r>
      <w:r>
        <w:rPr>
          <w:rtl w:val="true"/>
        </w:rPr>
        <w:t>و مصابیح الدجی</w:t>
      </w:r>
      <w:r>
        <w:rPr>
          <w:rtl w:val="true"/>
        </w:rPr>
        <w:t>»</w:t>
      </w:r>
      <w:bookmarkEnd w:id="613"/>
    </w:p>
    <w:p>
      <w:pPr>
        <w:pStyle w:val="BookText"/>
        <w:rPr/>
      </w:pPr>
      <w:r>
        <w:rPr>
          <w:rFonts w:ascii="IRNazanin" w:hAnsi="IRNazanin" w:eastAsia="IRNazanin"/>
          <w:color w:val="111111"/>
          <w:sz w:val="28"/>
          <w:sz w:val="28"/>
          <w:szCs w:val="28"/>
          <w:rtl w:val="true"/>
          <w:lang w:bidi="fa-IR"/>
        </w:rPr>
        <w:t xml:space="preserve">المصباح السراج و الدجی کالهدی جمع دجیة بالضم؛کالظلم و الظلمة وزنا و معنی أصله دجی قلبت الیاء ألفا لتحرکها و انفتاح ما قبلها </w:t>
      </w:r>
      <w:r>
        <w:rPr>
          <w:rStyle w:val="FootnoteAnchor"/>
          <w:rtl w:val="true"/>
        </w:rPr>
        <w:footnoteReference w:id="1470"/>
      </w:r>
      <w:r>
        <w:rPr>
          <w:rFonts w:ascii="IRNazanin" w:hAnsi="IRNazanin" w:eastAsia="IRNazanin"/>
          <w:color w:val="111111"/>
          <w:sz w:val="28"/>
          <w:sz w:val="28"/>
          <w:szCs w:val="28"/>
          <w:rtl w:val="true"/>
          <w:lang w:bidi="fa-IR"/>
        </w:rPr>
        <w:t>فی إضافة المصابیح إلی الدجی فواید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الإشعار بأن کل ظلمة تندفع بأنوارهم لأن الدجی جمع معرّف باللاّم فیفید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ضوء المصباح فی الظلمة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نفعها و الإنتفاع بها فی الظلمة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أن زمان کل إمام لولاه کان کلیلة ظلماء تحیط ظلمتها بجمیع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الإشعار بأن المصباح إنّما یتّخذ لوقت الحاجة و حاجة الأزمنة إلی الإمام کحاجة الظلام إلی المصباح فیجب نصب الإمام لدفع الظلام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 إلی أن الناس بلا إمام کجماعة فی ظلام لا یهتدون إلی أمر فضلا عن تعیین أولی الأمر فلا بد من أن یکون بنصب اللّه سبحانه العالم بالسرایر المشرف علی البواطن و الظواهر</w:t>
      </w:r>
      <w:r>
        <w:rPr>
          <w:rFonts w:eastAsia="IRNazanin" w:cs="IRNazanin"/>
          <w:color w:val="111111"/>
          <w:sz w:val="28"/>
          <w:szCs w:val="28"/>
          <w:rtl w:val="true"/>
          <w:lang w:bidi="fa-IR"/>
        </w:rPr>
        <w:t xml:space="preserve">. </w:t>
      </w:r>
      <w:bookmarkStart w:id="614" w:name="pg12937_139499"/>
    </w:p>
    <w:p>
      <w:pPr>
        <w:pStyle w:val="BookText"/>
        <w:rPr/>
      </w:pPr>
      <w:bookmarkEnd w:id="614"/>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إلی الإمام لأجل ظلمة الجهل و العصیان فی الأنام فلا بد من کونه نورا محضا معصوما عن الخطأ و الآثام عالما بجمیع الأحکام و إلاّ لاحتاج إلی إمام آخر و هکذا</w:t>
      </w:r>
      <w:r>
        <w:rPr>
          <w:rFonts w:eastAsia="IRNazanin" w:cs="IRNazanin"/>
          <w:color w:val="111111"/>
          <w:sz w:val="28"/>
          <w:szCs w:val="28"/>
          <w:rtl w:val="true"/>
          <w:lang w:bidi="fa-IR"/>
        </w:rPr>
        <w:t>.</w:t>
      </w:r>
    </w:p>
    <w:p>
      <w:pPr>
        <w:pStyle w:val="Heading4"/>
        <w:numPr>
          <w:ilvl w:val="3"/>
          <w:numId w:val="1"/>
        </w:numPr>
        <w:rPr/>
      </w:pPr>
      <w:bookmarkStart w:id="615" w:name="__RefHeading___Toc4067235_3224264995"/>
      <w:bookmarkStart w:id="616" w:name="_Toc231"/>
      <w:bookmarkEnd w:id="615"/>
      <w:r>
        <w:rPr>
          <w:rtl w:val="true"/>
        </w:rPr>
        <w:t>«</w:t>
      </w:r>
      <w:r>
        <w:rPr>
          <w:rtl w:val="true"/>
        </w:rPr>
        <w:t>و أعلام التقی</w:t>
      </w:r>
      <w:r>
        <w:rPr>
          <w:rtl w:val="true"/>
        </w:rPr>
        <w:t>»</w:t>
      </w:r>
      <w:bookmarkEnd w:id="616"/>
    </w:p>
    <w:p>
      <w:pPr>
        <w:pStyle w:val="BookText"/>
        <w:rPr/>
      </w:pPr>
      <w:r>
        <w:rPr>
          <w:rFonts w:ascii="IRNazanin" w:hAnsi="IRNazanin" w:eastAsia="IRNazanin"/>
          <w:color w:val="111111"/>
          <w:sz w:val="28"/>
          <w:sz w:val="28"/>
          <w:szCs w:val="28"/>
          <w:rtl w:val="true"/>
          <w:lang w:bidi="fa-IR"/>
        </w:rPr>
        <w:t>الأعلام جمع العلم بالتحریک؛و هو الجبل المرتفع،سمی به لأنه علامة یهتدی بها أهل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یهتدون به فلا یضلون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 کالهدی بمعنی التقوی،مصدر وقاه بمعنی إتقاه، و الإسم منه التقوی و التاء فیهما بدلان من الواو،أصلهما وقی و وقوی أبدلت واوهما بالتاء و لزمت فی جمیع تصاریف الکلمة و معناهما لغة التحفظ و اتخاذ الوقایة،و شرعا خشیة اللّه الموجبة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لترک مخالفته و موجبات عقوبته و أجاز بعضهم کونه جمع تقاة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1471"/>
      </w:r>
      <w:r>
        <w:rPr>
          <w:rFonts w:ascii="IRNazanin" w:hAnsi="IRNazanin" w:eastAsia="IRNazanin"/>
          <w:color w:val="111111"/>
          <w:sz w:val="28"/>
          <w:sz w:val="28"/>
          <w:szCs w:val="28"/>
          <w:rtl w:val="true"/>
          <w:lang w:bidi="fa-IR"/>
        </w:rPr>
        <w:t>کرطب علی تقدیره جمعا لرطبة و علیه فجمعها فی هذه الفقرة لقصد الأنواع و مراتب التقوی و هی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التوقی عن العذاب المخلّد بالإسلام و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w:t>
      </w:r>
      <w:r>
        <w:rPr>
          <w:rStyle w:val="FootnoteAnchor"/>
          <w:rtl w:val="true"/>
        </w:rPr>
        <w:footnoteReference w:id="1472"/>
      </w:r>
      <w:r>
        <w:rPr>
          <w:rFonts w:ascii="IRNazanin" w:hAnsi="IRNazanin" w:eastAsia="IRNazanin"/>
          <w:color w:val="111111"/>
          <w:sz w:val="28"/>
          <w:sz w:val="28"/>
          <w:szCs w:val="28"/>
          <w:rtl w:val="true"/>
          <w:lang w:bidi="fa-IR"/>
        </w:rPr>
        <w:t>و فسرت بکلمة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الإثم حتی الصغایر عند قوم و المشهور إعتبار الکبایر و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التنزّه عن شواغل سرّه عن الحق کلّها و الإنقطاع إلیه بکلیته و هو حق التقوی و التقی الحقیقی المأمور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الأعلام لها لوازم و أحکام فإنّها علامات للهدایة و أمارات لطرق السالکین و امور معروفة بما هی به موصوفة و مظاهر لما کان علیها فیمکن تفسیر الکلام نظرا إلی کل لازم بمعنی ففیه وجوه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أیمة یقتدی بهم فی طرق التقی یهتدی بهم الأتقیاء</w:t>
      </w:r>
      <w:r>
        <w:rPr>
          <w:rFonts w:eastAsia="IRNazanin" w:cs="IRNazanin"/>
          <w:color w:val="111111"/>
          <w:sz w:val="28"/>
          <w:szCs w:val="28"/>
          <w:rtl w:val="true"/>
          <w:lang w:bidi="fa-IR"/>
        </w:rPr>
        <w:t xml:space="preserve">. </w:t>
      </w:r>
      <w:bookmarkStart w:id="617" w:name="pg12937_139500"/>
    </w:p>
    <w:p>
      <w:pPr>
        <w:pStyle w:val="BookText"/>
        <w:rPr/>
      </w:pPr>
      <w:bookmarkEnd w:id="61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معالم التقی بهم یعلم ما التقی و کیف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مظاهر التقی فتقواهم کنور علی علم معلوم لأهل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معروفون بالتقوی موصوفون به عند الوری کالعلم یراه من یری حیث ذهب و أین سری و یمکن جعله من إضافة الموصوف إلی صفته،أی الأعلام الأتقیاء علی کون المصدر بمعنی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إنهم علیهم السّلام معروفون بالتقی موصوفون به مشار إلیهم بالتقوی کالجبل المرتفع الذی یراه و یشیر إلیه کل الناس کأنه تفسیر له بمظاهر التقی لأنّ الذی علی العلم یظهر لکل أحد فتقواهم کنور علی علم أو یمکن تفسیره بمعالم التقی أو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اعتبار التقی سالکا مهتدیا بهم کأنه سایر إلی حیّز القبول و مسافر ینبغی الوصول إلی ما لا یهتدی إلیه إلاّ بآل الرسول لأن ولایتهم شرط القبول و یلزمه کونهم أعلاما للأتقیاء أیضا و لغیرهم من المأمورین به،و الوجه الأول مبنیّ علی کون التقی مقصدا للسایر المهتدی بهم لا نفس السایر فلا تغفل</w:t>
      </w:r>
      <w:r>
        <w:rPr>
          <w:rFonts w:eastAsia="IRNazanin" w:cs="IRNazanin"/>
          <w:color w:val="111111"/>
          <w:sz w:val="28"/>
          <w:szCs w:val="28"/>
          <w:rtl w:val="true"/>
          <w:lang w:bidi="fa-IR"/>
        </w:rPr>
        <w:t>.</w:t>
      </w:r>
    </w:p>
    <w:p>
      <w:pPr>
        <w:pStyle w:val="Heading4"/>
        <w:numPr>
          <w:ilvl w:val="3"/>
          <w:numId w:val="1"/>
        </w:numPr>
        <w:rPr/>
      </w:pPr>
      <w:bookmarkStart w:id="618" w:name="__RefHeading___Toc4067237_3224264995"/>
      <w:bookmarkStart w:id="619" w:name="_Toc232"/>
      <w:bookmarkEnd w:id="618"/>
      <w:r>
        <w:rPr>
          <w:rtl w:val="true"/>
        </w:rPr>
        <w:t>«</w:t>
      </w:r>
      <w:r>
        <w:rPr>
          <w:rtl w:val="true"/>
        </w:rPr>
        <w:t>و ذوی النهی</w:t>
      </w:r>
      <w:r>
        <w:rPr>
          <w:rtl w:val="true"/>
        </w:rPr>
        <w:t>»</w:t>
      </w:r>
      <w:bookmarkEnd w:id="619"/>
    </w:p>
    <w:p>
      <w:pPr>
        <w:pStyle w:val="BookText"/>
        <w:rPr/>
      </w:pPr>
      <w:r>
        <w:rPr>
          <w:rFonts w:ascii="IRNazanin" w:hAnsi="IRNazanin" w:eastAsia="IRNazanin"/>
          <w:color w:val="111111"/>
          <w:sz w:val="28"/>
          <w:sz w:val="28"/>
          <w:szCs w:val="28"/>
          <w:rtl w:val="true"/>
          <w:lang w:bidi="fa-IR"/>
        </w:rPr>
        <w:t xml:space="preserve">و هو العقل لأنه ینهی عن القبیح کالنهیة بالضم فیجوز کونه جمعا لها أیضا فقد جاء مفردا و جمعا بهذا المعنی کما فی القاموس فالجمع واضح و النکتة فی الافراد التنبیه علی الإتحاد فی مرتبة الکمال و الرشاد ضرورة أن المراد العقل الکامل القدسی الأقدس دون العقل </w:t>
      </w:r>
      <w:r>
        <w:rPr>
          <w:rStyle w:val="FootnoteAnchor"/>
          <w:rtl w:val="true"/>
        </w:rPr>
        <w:footnoteReference w:id="1475"/>
      </w:r>
      <w:r>
        <w:rPr>
          <w:rFonts w:ascii="IRNazanin" w:hAnsi="IRNazanin" w:eastAsia="IRNazanin"/>
          <w:color w:val="111111"/>
          <w:sz w:val="28"/>
          <w:sz w:val="28"/>
          <w:szCs w:val="28"/>
          <w:rtl w:val="true"/>
          <w:lang w:bidi="fa-IR"/>
        </w:rPr>
        <w:t xml:space="preserve">المشترک بین جمیع المکلفین أو أکثر المؤمنین أعنی مجرد ما عبد به الرحمان و اکتسب به الجنان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کون النهی جمع النهیة بالضم بمعنی النهایة کما فی القاموس </w:t>
      </w:r>
      <w:r>
        <w:rPr>
          <w:rStyle w:val="FootnoteAnchor"/>
          <w:rtl w:val="true"/>
        </w:rPr>
        <w:footnoteReference w:id="1477"/>
      </w:r>
      <w:r>
        <w:rPr>
          <w:rFonts w:ascii="IRNazanin" w:hAnsi="IRNazanin" w:eastAsia="IRNazanin"/>
          <w:color w:val="111111"/>
          <w:sz w:val="28"/>
          <w:sz w:val="28"/>
          <w:szCs w:val="28"/>
          <w:rtl w:val="true"/>
          <w:lang w:bidi="fa-IR"/>
        </w:rPr>
        <w:t xml:space="preserve">أیضا أی </w:t>
      </w:r>
    </w:p>
    <w:p>
      <w:pPr>
        <w:pStyle w:val="BookText"/>
        <w:rPr/>
      </w:pPr>
      <w:r>
        <w:rPr>
          <w:rFonts w:ascii="IRNazanin" w:hAnsi="IRNazanin" w:eastAsia="IRNazanin"/>
          <w:color w:val="111111"/>
          <w:sz w:val="28"/>
          <w:sz w:val="28"/>
          <w:szCs w:val="28"/>
          <w:rtl w:val="true"/>
          <w:lang w:bidi="fa-IR"/>
        </w:rPr>
        <w:t>أصحاب الغایات الواصلین إلی منتهی مراتب الکمالات أو بمعنی النهی المقابل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نهاه ینهاه نهیا،ضد أمر؛و النهیة بالضم،الإسم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إنهم ولاة الخلق و أصحاب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إکتفی بالنهی عن الأمر من باب الإکتفاء بإحد الضدین عن صاحبه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سَرٰابِیلَ تَقِیکُمُ الْحَرَّ </w:t>
      </w:r>
      <w:r>
        <w:rPr>
          <w:rStyle w:val="FootnoteAnchor"/>
          <w:rtl w:val="true"/>
        </w:rPr>
        <w:footnoteReference w:id="1479"/>
      </w:r>
      <w:r>
        <w:rPr>
          <w:rFonts w:ascii="IRNazanin" w:hAnsi="IRNazanin" w:eastAsia="IRNazanin"/>
          <w:color w:val="111111"/>
          <w:sz w:val="28"/>
          <w:sz w:val="28"/>
          <w:szCs w:val="28"/>
          <w:rtl w:val="true"/>
          <w:lang w:bidi="fa-IR"/>
        </w:rPr>
        <w:t>أی و البرد علی أحد الوجهین فیه أو لأن الأمر بالشیء نهی عن ضده کما قد عکس ذلک فاکتفی بالأمر عن النهی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 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أُولِی الْأَمْرِ مِنْکُمْ </w:t>
      </w:r>
      <w:r>
        <w:rPr>
          <w:rStyle w:val="FootnoteAnchor"/>
          <w:rtl w:val="true"/>
        </w:rPr>
        <w:footnoteReference w:id="1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إلی قوله تعالی فی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و ما رواه علی بن إبراهیم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أولوا النهی أخبر اللّه نبیه بما یکون من بعده من إدعاء القوم الخلافة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و أنتهی إلینا </w:t>
      </w:r>
      <w:r>
        <w:rPr>
          <w:rStyle w:val="FootnoteAnchor"/>
          <w:rtl w:val="true"/>
        </w:rPr>
        <w:footnoteReference w:id="1482"/>
      </w:r>
      <w:r>
        <w:rPr>
          <w:rFonts w:ascii="IRNazanin" w:hAnsi="IRNazanin" w:eastAsia="IRNazanin"/>
          <w:color w:val="111111"/>
          <w:sz w:val="28"/>
          <w:sz w:val="28"/>
          <w:szCs w:val="28"/>
          <w:rtl w:val="true"/>
          <w:lang w:bidi="fa-IR"/>
        </w:rPr>
        <w:t>من أمیر المؤمنین فنحن أولوا النهی،إنتهی علم ذلک کله إلینا</w:t>
      </w:r>
      <w:r>
        <w:rPr>
          <w:rFonts w:eastAsia="IRNazanin" w:cs="IRNazanin"/>
          <w:color w:val="111111"/>
          <w:sz w:val="28"/>
          <w:szCs w:val="28"/>
          <w:rtl w:val="true"/>
          <w:lang w:bidi="fa-IR"/>
        </w:rPr>
        <w:t xml:space="preserve">». </w:t>
      </w:r>
      <w:r>
        <w:rPr>
          <w:rStyle w:val="FootnoteAnchor"/>
          <w:rtl w:val="true"/>
        </w:rPr>
        <w:footnoteReference w:id="148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العیاشی بإسناده عن عمار بن هارون </w:t>
      </w:r>
      <w:r>
        <w:rPr>
          <w:rStyle w:val="FootnoteAnchor"/>
          <w:rtl w:val="true"/>
        </w:rPr>
        <w:footnoteReference w:id="1484"/>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یسیر و ظاهرهما أن النهی بمعنی النهایات لانتهاء علم ما یکون إلیهم و یحتمل کونه بمعنی العقول الناهیة عن إفشاء هذه الأسرار و أمثالها بغیر إذن اللّه و یرشد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إلینا علم هذا کله فصبرنا لأمر اللّه فنحن قوام اللّه علی خلقه و خزّانه علی دینه نخزنه و نستره و نکتتم به عن عدونا الخبر</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620" w:name="pg12937_139502"/>
    </w:p>
    <w:p>
      <w:pPr>
        <w:pStyle w:val="Heading4"/>
        <w:numPr>
          <w:ilvl w:val="3"/>
          <w:numId w:val="1"/>
        </w:numPr>
        <w:rPr/>
      </w:pPr>
      <w:bookmarkStart w:id="621" w:name="__RefHeading___Toc4067239_3224264995"/>
      <w:bookmarkStart w:id="622" w:name="_Toc233"/>
      <w:bookmarkEnd w:id="620"/>
      <w:bookmarkEnd w:id="621"/>
      <w:r>
        <w:rPr>
          <w:rtl w:val="true"/>
        </w:rPr>
        <w:t>«</w:t>
      </w:r>
      <w:r>
        <w:rPr>
          <w:rtl w:val="true"/>
        </w:rPr>
        <w:t>و أولی الحجی</w:t>
      </w:r>
      <w:r>
        <w:rPr>
          <w:rtl w:val="true"/>
        </w:rPr>
        <w:t>»</w:t>
      </w:r>
      <w:bookmarkEnd w:id="622"/>
    </w:p>
    <w:p>
      <w:pPr>
        <w:pStyle w:val="BookText"/>
        <w:rPr/>
      </w:pPr>
      <w:r>
        <w:rPr>
          <w:rFonts w:ascii="IRNazanin" w:hAnsi="IRNazanin" w:eastAsia="IRNazanin"/>
          <w:color w:val="111111"/>
          <w:sz w:val="28"/>
          <w:sz w:val="28"/>
          <w:szCs w:val="28"/>
          <w:rtl w:val="true"/>
          <w:lang w:bidi="fa-IR"/>
        </w:rPr>
        <w:t>بالکسر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العقل أو الفطنة </w:t>
      </w:r>
      <w:r>
        <w:rPr>
          <w:rStyle w:val="FootnoteAnchor"/>
          <w:rtl w:val="true"/>
        </w:rPr>
        <w:footnoteReference w:id="1486"/>
      </w:r>
      <w:r>
        <w:rPr>
          <w:rFonts w:ascii="IRNazanin" w:hAnsi="IRNazanin" w:eastAsia="IRNazanin"/>
          <w:color w:val="111111"/>
          <w:sz w:val="28"/>
          <w:sz w:val="28"/>
          <w:szCs w:val="28"/>
          <w:rtl w:val="true"/>
          <w:lang w:bidi="fa-IR"/>
        </w:rPr>
        <w:t xml:space="preserve">و منه الأحجیّة بمعنی اللّغز و المحاجاة </w:t>
      </w:r>
      <w:r>
        <w:rPr>
          <w:rStyle w:val="FootnoteAnchor"/>
          <w:rtl w:val="true"/>
        </w:rPr>
        <w:footnoteReference w:id="1487"/>
      </w:r>
      <w:r>
        <w:rPr>
          <w:rFonts w:ascii="IRNazanin" w:hAnsi="IRNazanin" w:eastAsia="IRNazanin"/>
          <w:color w:val="111111"/>
          <w:sz w:val="28"/>
          <w:sz w:val="28"/>
          <w:szCs w:val="28"/>
          <w:rtl w:val="true"/>
          <w:lang w:bidi="fa-IR"/>
        </w:rPr>
        <w:t>به أی المناظرة فیه لأن المناظرین یمتحن به أحدهما عقل صاحبه أو فطنته</w:t>
      </w:r>
      <w:r>
        <w:rPr>
          <w:rFonts w:eastAsia="IRNazanin" w:cs="IRNazanin"/>
          <w:color w:val="111111"/>
          <w:sz w:val="28"/>
          <w:szCs w:val="28"/>
          <w:rtl w:val="true"/>
          <w:lang w:bidi="fa-IR"/>
        </w:rPr>
        <w:t>.</w:t>
      </w:r>
    </w:p>
    <w:p>
      <w:pPr>
        <w:pStyle w:val="Heading4"/>
        <w:numPr>
          <w:ilvl w:val="3"/>
          <w:numId w:val="1"/>
        </w:numPr>
        <w:rPr/>
      </w:pPr>
      <w:bookmarkStart w:id="623" w:name="__RefHeading___Toc4067241_3224264995"/>
      <w:bookmarkStart w:id="624" w:name="_Toc234"/>
      <w:bookmarkEnd w:id="623"/>
      <w:r>
        <w:rPr>
          <w:rtl w:val="true"/>
        </w:rPr>
        <w:t>«</w:t>
      </w:r>
      <w:r>
        <w:rPr>
          <w:rtl w:val="true"/>
        </w:rPr>
        <w:t>و کهف الوری</w:t>
      </w:r>
      <w:r>
        <w:rPr>
          <w:rtl w:val="true"/>
        </w:rPr>
        <w:t>»</w:t>
      </w:r>
      <w:bookmarkEnd w:id="624"/>
    </w:p>
    <w:p>
      <w:pPr>
        <w:pStyle w:val="BookText"/>
        <w:rPr/>
      </w:pPr>
      <w:r>
        <w:rPr>
          <w:rFonts w:ascii="IRNazanin" w:hAnsi="IRNazanin" w:eastAsia="IRNazanin"/>
          <w:color w:val="111111"/>
          <w:sz w:val="28"/>
          <w:sz w:val="28"/>
          <w:szCs w:val="28"/>
          <w:rtl w:val="true"/>
          <w:lang w:bidi="fa-IR"/>
        </w:rPr>
        <w:t>الکهف،البیت المنقول فی الجبل أو الغار فیه إلاّ أن الکهف أوسع و المراد الحصن و الحرز و الملجأ الذی یأوی إلیه الخایف الهارب من عدو أو محذور لیأمن منه و الوری الخلایق لأنهم یهربون إلی الأیمة من الشیطان و عذاب النیران و ولاة الجور و الطغیان و سایر نوایب الأزمان</w:t>
      </w:r>
      <w:r>
        <w:rPr>
          <w:rFonts w:eastAsia="IRNazanin" w:cs="IRNazanin"/>
          <w:color w:val="111111"/>
          <w:sz w:val="28"/>
          <w:szCs w:val="28"/>
          <w:rtl w:val="true"/>
          <w:lang w:bidi="fa-IR"/>
        </w:rPr>
        <w:t>.</w:t>
      </w:r>
    </w:p>
    <w:p>
      <w:pPr>
        <w:pStyle w:val="Heading4"/>
        <w:numPr>
          <w:ilvl w:val="3"/>
          <w:numId w:val="1"/>
        </w:numPr>
        <w:rPr/>
      </w:pPr>
      <w:bookmarkStart w:id="625" w:name="__RefHeading___Toc4067243_3224264995"/>
      <w:bookmarkStart w:id="626" w:name="_Toc235"/>
      <w:bookmarkEnd w:id="625"/>
      <w:r>
        <w:rPr>
          <w:rtl w:val="true"/>
        </w:rPr>
        <w:t>«</w:t>
      </w:r>
      <w:r>
        <w:rPr>
          <w:rtl w:val="true"/>
        </w:rPr>
        <w:t>و ورثة الأنبیاء</w:t>
      </w:r>
      <w:r>
        <w:rPr>
          <w:rtl w:val="true"/>
        </w:rPr>
        <w:t>»</w:t>
      </w:r>
      <w:bookmarkEnd w:id="626"/>
    </w:p>
    <w:p>
      <w:pPr>
        <w:pStyle w:val="BookText"/>
        <w:rPr/>
      </w:pPr>
      <w:r>
        <w:rPr>
          <w:rFonts w:ascii="IRNazanin" w:hAnsi="IRNazanin" w:eastAsia="IRNazanin"/>
          <w:color w:val="111111"/>
          <w:sz w:val="28"/>
          <w:sz w:val="28"/>
          <w:szCs w:val="28"/>
          <w:rtl w:val="true"/>
          <w:lang w:bidi="fa-IR"/>
        </w:rPr>
        <w:t>من حیث إنهم أنبیاء فمیراثهم العلم و الحکمة و الأمر و النهی أو من حیث القرابة فمیراثهم الأموال أو الأعم و المعنی إنهم ورثوا الولایة و العلوم أو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من الأنبیاء بواسطة نبیّنا،ففیه ردّ علی ما ترویه العامة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نورث،ما ترکناه صدقة</w:t>
      </w:r>
      <w:r>
        <w:rPr>
          <w:rFonts w:eastAsia="IRNazanin" w:cs="IRNazanin"/>
          <w:color w:val="111111"/>
          <w:sz w:val="28"/>
          <w:szCs w:val="28"/>
          <w:rtl w:val="true"/>
          <w:lang w:bidi="fa-IR"/>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4067245_3224264995"/>
      <w:bookmarkStart w:id="628" w:name="_Toc236"/>
      <w:bookmarkEnd w:id="627"/>
      <w:r>
        <w:rPr>
          <w:rtl w:val="true"/>
        </w:rPr>
        <w:t>«</w:t>
      </w:r>
      <w:r>
        <w:rPr>
          <w:rtl w:val="true"/>
        </w:rPr>
        <w:t>و المثل الأعلی</w:t>
      </w:r>
      <w:r>
        <w:rPr>
          <w:rtl w:val="true"/>
        </w:rPr>
        <w:t>»</w:t>
      </w:r>
      <w:bookmarkEnd w:id="62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أراه إشارة إلی المثل الأعلی،المذکور فی القرآن و ذلک فی موضعین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Style w:val="FootnoteAnchor"/>
          <w:rtl w:val="true"/>
        </w:rPr>
        <w:footnoteReference w:id="1489"/>
      </w:r>
      <w:r>
        <w:rPr>
          <w:rFonts w:ascii="Amiri" w:hAnsi="Amiri" w:eastAsia="Amiri" w:cs="Amiri"/>
          <w:color w:val="111111"/>
          <w:sz w:val="28"/>
          <w:sz w:val="28"/>
          <w:szCs w:val="28"/>
          <w:rtl w:val="true"/>
          <w:lang w:bidi="ar-SA"/>
        </w:rPr>
        <w:t>لما حکی اللّه سبحانه قبله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یَجْعَلُونَ لِلّٰهِ الْبَنٰاتِ سُبْحٰانَهُ وَ لَهُمْ مٰا یَشْتَهُونَ </w:t>
      </w:r>
      <w:r>
        <w:rPr>
          <w:rStyle w:val="FootnoteAnchor"/>
          <w:rtl w:val="true"/>
        </w:rPr>
        <w:footnoteReference w:id="1490"/>
      </w:r>
      <w:r>
        <w:rPr>
          <w:rFonts w:ascii="Amiri" w:hAnsi="Amiri" w:eastAsia="Amiri" w:cs="Amiri"/>
          <w:color w:val="111111"/>
          <w:sz w:val="28"/>
          <w:sz w:val="28"/>
          <w:szCs w:val="28"/>
          <w:rtl w:val="true"/>
          <w:lang w:bidi="ar-SA"/>
        </w:rPr>
        <w:t xml:space="preserve">یعنی البنین و إنّه إِذٰا بُشِّرَ أَحَدُهُمْ بِالْأُنْثیٰ ظَلَّ وَجْهُهُ مُسْوَدًّا وَ هُوَ کَظِیمٌ </w:t>
      </w:r>
      <w:r>
        <w:rPr>
          <w:rStyle w:val="FootnoteAnchor"/>
          <w:rtl w:val="true"/>
        </w:rPr>
        <w:footnoteReference w:id="1491"/>
      </w:r>
      <w:r>
        <w:rPr>
          <w:rFonts w:ascii="IRNazanin" w:hAnsi="IRNazanin" w:eastAsia="IRNazanin"/>
          <w:color w:val="111111"/>
          <w:sz w:val="28"/>
          <w:sz w:val="28"/>
          <w:szCs w:val="28"/>
          <w:rtl w:val="true"/>
          <w:lang w:bidi="fa-IR"/>
        </w:rPr>
        <w:t xml:space="preserve">ردّ علیهم بأنهم جعلوا للّه الأرد أو إختاروا الأعلی لأنفسهم و الأمر بالعکس فلهم المثل </w:t>
      </w:r>
    </w:p>
    <w:p>
      <w:pPr>
        <w:pStyle w:val="BookText"/>
        <w:rPr/>
      </w:pPr>
      <w:r>
        <w:rPr>
          <w:rFonts w:ascii="Amiri" w:hAnsi="Amiri" w:eastAsia="Amiri" w:cs="Amiri"/>
          <w:color w:val="111111"/>
          <w:sz w:val="28"/>
          <w:sz w:val="28"/>
          <w:szCs w:val="28"/>
          <w:rtl w:val="true"/>
          <w:lang w:bidi="ar-SA"/>
        </w:rPr>
        <w:t xml:space="preserve">الأخس و مثل السوء أی الحاجة إلی الولد و الإستظهار بالذکور و کراهة الإناث و أدهن و دسّهن فی التراب خشیة الإملاق و العار إلی غیر ذلک وَ لِلّٰهِ الْمَثَلُ الْأَعْلیٰ </w:t>
      </w:r>
      <w:r>
        <w:rPr>
          <w:rStyle w:val="FootnoteAnchor"/>
          <w:rtl w:val="true"/>
        </w:rPr>
        <w:footnoteReference w:id="1492"/>
      </w:r>
      <w:r>
        <w:rPr>
          <w:rFonts w:ascii="IRNazanin" w:hAnsi="IRNazanin" w:eastAsia="IRNazanin"/>
          <w:color w:val="111111"/>
          <w:sz w:val="28"/>
          <w:sz w:val="28"/>
          <w:szCs w:val="28"/>
          <w:rtl w:val="true"/>
          <w:lang w:bidi="fa-IR"/>
        </w:rPr>
        <w:t>من صفات الإلهیّة و الجلال و الجمال و الغنی عن الولد و المال و النزاهة عن 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به مثلوه و للّه المثل الأعلی الذی لا یشبهه شیء و لا یوصف و لا یتوهم فذلک المثل الأعلی</w:t>
      </w:r>
      <w:r>
        <w:rPr>
          <w:rFonts w:eastAsia="IRNazanin" w:cs="IRNazanin"/>
          <w:color w:val="111111"/>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 xml:space="preserve">فالمراد هنا بکون الأئمة المثل الأعلی إنهم المنزّهون عن الرذایل التی هی مثل السّوء و صفات أعدائهم و إنهم المتخلّقون باخلاق اللّه تعالی المتصفون بصفاته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الکمالیة التی سماها المثل الأعلی فجعلهم علیه السّلام هنا المثل الأعلی لإتصافهم به مجازا أو مبالغة أو تشبیها لهم بالمثل الأعلی و صفات الکمال و لأعدائهم بمثل السوء و أقبح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و المراد بالمثل الأعلی،هنا القوة الکاملة و القدرة العامة المتعلقه بالبدایة و الإعادة، بقرینة المقام أو مطلق الکمال الشامل لما مرّ کما روی فی العیون عن الرضا علیه السّلام انّ النبی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المثل الأعلی</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و عن أمیر المؤمنین علیه السّلام أنّه قال فی آخر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کلمة التقوی و سبیل الهدی و المثل الأعلی</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فمراده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 الأعلی هذا اللفظ بعینه المذکور فی القرآن بمعناه المقصود هناک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یرید به مفهومه دون لفظه یعنی أن أفراد المثل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أعلی </w:t>
      </w:r>
    </w:p>
    <w:p>
      <w:pPr>
        <w:pStyle w:val="BookText"/>
        <w:rPr/>
      </w:pPr>
      <w:r>
        <w:rPr>
          <w:rFonts w:ascii="IRNazanin" w:hAnsi="IRNazanin" w:eastAsia="IRNazanin"/>
          <w:color w:val="111111"/>
          <w:sz w:val="28"/>
          <w:sz w:val="28"/>
          <w:szCs w:val="28"/>
          <w:rtl w:val="true"/>
          <w:lang w:bidi="fa-IR"/>
        </w:rPr>
        <w:t xml:space="preserve">لهم علیهم السّلام و مثل سوء لأعدائهم فهم المثل الأعلی أی الممثل لهم به و أعداؤهم مثل السوء فیکون إشارة إلی ما ورد فی أخبار کثیرة أن کلّ ما فی القرآن من الحلال و الطیب و الحسن </w:t>
      </w:r>
      <w:r>
        <w:rPr>
          <w:rStyle w:val="FootnoteAnchor"/>
          <w:rtl w:val="true"/>
        </w:rPr>
        <w:footnoteReference w:id="1497"/>
      </w:r>
      <w:r>
        <w:rPr>
          <w:rFonts w:ascii="IRNazanin" w:hAnsi="IRNazanin" w:eastAsia="IRNazanin"/>
          <w:color w:val="111111"/>
          <w:sz w:val="28"/>
          <w:sz w:val="28"/>
          <w:szCs w:val="28"/>
          <w:rtl w:val="true"/>
          <w:lang w:bidi="fa-IR"/>
        </w:rPr>
        <w:t>فالمراد به فی بطن القرآن الأئمة من أهل البیت و کل ما فیه من اضداد ذلک من حرام و خبیث و قبیح فالمعنی به أئمة الجور من أعداء آل محمد علیهم السّلام فأعلی کل ضدین متقابلین أهل البیت و أدناهما أعداؤهم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الشیخ </w:t>
      </w:r>
      <w:r>
        <w:rPr>
          <w:rStyle w:val="FootnoteAnchor"/>
          <w:rtl w:val="true"/>
        </w:rPr>
        <w:footnoteReference w:id="1498"/>
      </w:r>
      <w:r>
        <w:rPr>
          <w:rFonts w:ascii="IRNazanin" w:hAnsi="IRNazanin" w:eastAsia="IRNazanin"/>
          <w:color w:val="111111"/>
          <w:sz w:val="28"/>
          <w:sz w:val="28"/>
          <w:szCs w:val="28"/>
          <w:rtl w:val="true"/>
          <w:lang w:bidi="fa-IR"/>
        </w:rPr>
        <w:t>بإسناده عن داود بن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الصلاة فی کتاب اللّه عزّ و جل و أنتم الزکاة و أنتم الحج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نحن الصلاة فی کتاب اللّه عزّ و جل و نحن الزکاة و نحن الصیام و نحن الحج و نحن الشهر الحرام و نحن البلد الحرام و نحن کعبة اللّه و نحن قبلة اللّه و نحن وجه اللّه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w:t>
      </w:r>
      <w:r>
        <w:rPr>
          <w:rStyle w:val="FootnoteAnchor"/>
          <w:rtl w:val="true"/>
        </w:rPr>
        <w:footnoteReference w:id="1499"/>
      </w:r>
      <w:r>
        <w:rPr>
          <w:rFonts w:ascii="Amiri" w:hAnsi="Amiri" w:eastAsia="Amiri" w:cs="Amiri"/>
          <w:color w:val="111111"/>
          <w:sz w:val="28"/>
          <w:sz w:val="28"/>
          <w:szCs w:val="28"/>
          <w:rtl w:val="true"/>
          <w:lang w:bidi="ar-SA"/>
        </w:rPr>
        <w:t xml:space="preserve">فَثَمَّ وَجْهُ اللّٰهِ </w:t>
      </w:r>
      <w:r>
        <w:rPr>
          <w:rStyle w:val="FootnoteAnchor"/>
          <w:rtl w:val="true"/>
        </w:rPr>
        <w:footnoteReference w:id="1500"/>
      </w:r>
      <w:r>
        <w:rPr>
          <w:rFonts w:ascii="IRNazanin" w:hAnsi="IRNazanin" w:eastAsia="IRNazanin"/>
          <w:color w:val="111111"/>
          <w:sz w:val="28"/>
          <w:sz w:val="28"/>
          <w:szCs w:val="28"/>
          <w:rtl w:val="true"/>
          <w:lang w:bidi="fa-IR"/>
        </w:rPr>
        <w:t>و نحن الآیات و نحن البینات و عدونا فی کتاب اللّه الفحشاء و المنکر و البغی و الخمر و المیسر و الأنصاب و الأزلام و الأصنام و الأوثان و الجبت و الطاغوت و المیتة و الدم و لحم الخنزیر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خلقنا فأکرم خلقنا و فضلنا و جعلنا أمنائه و حفظته و خزّانه علی ما فی السماوات و ما فی الأرض و جعل لنا أضداد أو أعداء فسمانا فی کتابه و کنی أعدائنا عن أسمائهم و ضرب لهم الأمثال فی کتابه</w:t>
      </w:r>
      <w:r>
        <w:rPr>
          <w:rFonts w:eastAsia="IRNazanin" w:cs="IRNazanin"/>
          <w:color w:val="111111"/>
          <w:sz w:val="28"/>
          <w:szCs w:val="28"/>
          <w:rtl w:val="true"/>
          <w:lang w:bidi="fa-IR"/>
        </w:rPr>
        <w:t xml:space="preserve">». </w:t>
      </w:r>
      <w:r>
        <w:rPr>
          <w:rStyle w:val="FootnoteAnchor"/>
          <w:rtl w:val="true"/>
        </w:rPr>
        <w:footnoteReference w:id="150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الفضل بن شاذان بإسناده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أصل کلّ خیر و من فروعنا کل برّ و مزاولة التوحید و الصلاة و الصیام و کظم الغیظ و العفو عن المسیء و رحمة الفقیر و تعاهد الجار و الإقرار بالفضل لأهله و عدوّنا أصل کلّ شرّ و من فروعهم </w:t>
      </w:r>
    </w:p>
    <w:p>
      <w:pPr>
        <w:pStyle w:val="BookText"/>
        <w:rPr/>
      </w:pPr>
      <w:r>
        <w:rPr>
          <w:rFonts w:ascii="IRNazanin" w:hAnsi="IRNazanin" w:eastAsia="IRNazanin"/>
          <w:color w:val="111111"/>
          <w:sz w:val="28"/>
          <w:sz w:val="28"/>
          <w:szCs w:val="28"/>
          <w:rtl w:val="true"/>
          <w:lang w:bidi="fa-IR"/>
        </w:rPr>
        <w:t>کل قبیح و فاحشة فمنهم الکذب و النمیمة و البخل و القطیعة و أکل الربا و أکل مال الیتیم بغیر حق و تعدّی الحدود و رکوب الفواحش ما ظهر منها و ما بطن من الزنا و السرقة و کل ما وافق ذلک من القبیح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کذب من قال أنه معنا و هو متعلّق بفرع غیرنا</w:t>
      </w:r>
      <w:r>
        <w:rPr>
          <w:rFonts w:eastAsia="IRNazanin" w:cs="IRNazanin"/>
          <w:color w:val="111111"/>
          <w:sz w:val="28"/>
          <w:szCs w:val="28"/>
          <w:rtl w:val="true"/>
          <w:lang w:bidi="fa-IR"/>
        </w:rPr>
        <w:t xml:space="preserve">». </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و روی الصدوق فی إعتقاداته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آیة فی القرآن أولها یٰا أَیُّهَا الَّذِینَ آمَنُوا إلاّ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أمیرها و قایدها و شریفها و أوّلها و ما من آیة تسوق إلی الجنة إلاّ فی النبی و الأئمة علیهم السّلام و أشیاعهم و أتباعهم و ما من آیة تسوق إلی النار إلاّ و هی فی أعدائهم و المخالفین لهم و إن کانت الآیات فی ذکر الأولین فما کان منها من خیر فهو جار فی أهل الخیر و ما کان منها من شر فهو جار فی أهل الشرّ و لیس فی الأنبیاء أفضل من النبی صلّی اللّه علیه و اله و لا فی الأوصیاء أفضل من أوصیائه علیهم السّلام و لا فی الأمم أفضل من هذه الأمة و هی شیعة أهل البیت فی الحقیقة دون غیرهم و لا فی الأشرار أشر من أعدائهم و المخالفین لهم</w:t>
      </w:r>
      <w:r>
        <w:rPr>
          <w:rFonts w:eastAsia="IRNazanin" w:cs="IRNazanin"/>
          <w:color w:val="111111"/>
          <w:sz w:val="28"/>
          <w:szCs w:val="28"/>
          <w:rtl w:val="true"/>
          <w:lang w:bidi="fa-IR"/>
        </w:rPr>
        <w:t xml:space="preserve">». </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بهذا الخبر أن کون الآیة فی قصص الماضین و طوائف الأوّلین لا ینافی تفسیر بطنها بالأئمة أو أعدائهم إذ لیس الغرض من القصص القرآنیة مجرد القصة و الحکایة بل التعلیم و الهدایة بأن نقیس حالنا علی حالهم و نعلم أن مآلنا کمآلهم فأخیارنا کأخیارهم و أشرارنا کأشرارهم فظاهر آیات القصص الأوّلون و باطنها أمثالهم اللاّحقون إلی یوم القیامة فلا تنکر البطون و لا تستبعدها بما یستبعده المفتون بظواهرها المسوقة فی الأمم السابقة فاضبط ذلک فإنه سینفعک فی أکثر المسالک مما سیذکر فی هذا الکتاب و غیره من بطون الآیات و یستشکلها الأوهام لمنافاتها </w:t>
      </w:r>
      <w:r>
        <w:rPr>
          <w:rStyle w:val="FootnoteAnchor"/>
          <w:rtl w:val="true"/>
        </w:rPr>
        <w:footnoteReference w:id="1504"/>
      </w:r>
      <w:r>
        <w:rPr>
          <w:rFonts w:ascii="IRNazanin" w:hAnsi="IRNazanin" w:eastAsia="IRNazanin"/>
          <w:color w:val="111111"/>
          <w:sz w:val="28"/>
          <w:sz w:val="28"/>
          <w:szCs w:val="28"/>
          <w:rtl w:val="true"/>
          <w:lang w:bidi="fa-IR"/>
        </w:rPr>
        <w:t>لظواهر الحکایات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 بالمثل المذکور لنوره تعالی فی سورة النور و آیة النور و إنما کان أعلی لأن الممثل له و هو نوره تعالی أعلی من کلّ شیء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w:t>
      </w:r>
      <w:r>
        <w:rPr>
          <w:rStyle w:val="FootnoteAnchor"/>
          <w:rtl w:val="true"/>
        </w:rPr>
        <w:footnoteReference w:id="1505"/>
      </w:r>
      <w:r>
        <w:rPr>
          <w:rFonts w:ascii="Amiri" w:hAnsi="Amiri" w:eastAsia="Amiri" w:cs="Amiri"/>
          <w:color w:val="111111"/>
          <w:sz w:val="28"/>
          <w:sz w:val="28"/>
          <w:szCs w:val="28"/>
          <w:rtl w:val="true"/>
          <w:lang w:bidi="ar-SA"/>
        </w:rPr>
        <w:t xml:space="preserve">رِجٰالٌ لاٰ تُلْهِیهِمْ تِجٰارَةٌ وَ لاٰ بَیْعٌ عَنْ ذِکْرِ اللّٰهِ </w:t>
      </w:r>
      <w:r>
        <w:rPr>
          <w:rStyle w:val="FootnoteAnchor"/>
          <w:rtl w:val="true"/>
        </w:rPr>
        <w:footnoteReference w:id="1506"/>
      </w:r>
      <w:r>
        <w:rPr>
          <w:rFonts w:ascii="IRNazanin" w:hAnsi="IRNazanin" w:eastAsia="IRNazanin"/>
          <w:color w:val="111111"/>
          <w:sz w:val="28"/>
          <w:sz w:val="28"/>
          <w:szCs w:val="28"/>
          <w:rtl w:val="true"/>
          <w:lang w:bidi="fa-IR"/>
        </w:rPr>
        <w:t>الآیة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صفة لمشکاة أی کمشکاة فی بعض 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وردت أخبار کثیرة فی أن المراد فی بطن الآیة بالمشکوة و الزجاجة و المصباح و الکوکب أنوار محمّد و الأئمة من عترته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الأخبار بتفسیرها ببیوت الأنبیا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بیوت علی و فاطمة و الأئمة من 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عند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فجعلکم فی بیوت أذن اللّه أن ترفع</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یرشد إلیه أیضا أنه بعد تمثیله لهم بنوره ضرب مثلا آخر بضد النور لمن نازعهم و عاداهم فقال بعد آیة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سَحٰابٌ ظُلُمٰاتٌ بَعْضُهٰا فَوْقَ بَعْضٍ إِذٰا أَخْرَجَ یَدَهُ لَمْ یَکَدْ یَرٰاهٰا وَ مَنْ لَمْ یَجْعَلِ اللّٰهُ لَهُ نُوراً فَمٰا لَهُ مِنْ نُورٍ </w:t>
      </w:r>
      <w:r>
        <w:rPr>
          <w:rStyle w:val="FootnoteAnchor"/>
          <w:rtl w:val="true"/>
        </w:rPr>
        <w:footnoteReference w:id="1508"/>
      </w:r>
      <w:r>
        <w:rPr>
          <w:rFonts w:ascii="IRNazanin" w:hAnsi="IRNazanin" w:eastAsia="IRNazanin"/>
          <w:color w:val="111111"/>
          <w:sz w:val="28"/>
          <w:sz w:val="28"/>
          <w:szCs w:val="28"/>
          <w:rtl w:val="true"/>
          <w:lang w:bidi="fa-IR"/>
        </w:rPr>
        <w:t>،فإنّه إذا کان المراد ب مَنْ لَمْ یَجْعَلِ اللّٰهُ لَهُ نُوراً هو الکافر المعاند کان النور عبارة عن نور الإیمان فیکون النور فی الآیة السابقة نور المؤمنین و أولهم و رأوسهم أمیر المؤمنین و أولاده المعصومون علیهم السّلام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ناهیک ما رواه علی بن إبراهیم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بنور نفسه مثل نوره مثل </w:t>
      </w:r>
    </w:p>
    <w:p>
      <w:pPr>
        <w:pStyle w:val="BookText"/>
        <w:rPr/>
      </w:pPr>
      <w:r>
        <w:rPr>
          <w:rFonts w:ascii="IRNazanin" w:hAnsi="IRNazanin" w:eastAsia="IRNazanin"/>
          <w:color w:val="111111"/>
          <w:sz w:val="28"/>
          <w:sz w:val="28"/>
          <w:szCs w:val="28"/>
          <w:rtl w:val="true"/>
          <w:lang w:bidi="fa-IR"/>
        </w:rPr>
        <w:t>هداه فی قلب المؤمن کمشکاة فیها مصباح المشکاة جوف المؤمن و القندیل قلبه و المصباح النور الذی جعله اللّه فیه یوقد من شجرة مبارکة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المؤمن زیتونة لا شرقیة و لا غربیة یکاد زیتها یعنی النور الذی جعله اللّه فی قلبه یضیء و إن لم یتکلم نور علی نور فریضة علی فریضة و سنة علی سنة یهدی اللّه لفرایضه و سننه من یشاء و یضرب اللّه الأمثال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مثل ضربه اللّه المؤمنین فالمؤمن یتقلب فی خمسة من النور مدخله نور و مخرجه نور و علمه نور و کلامه نور و مصیره یوم القیامة إلی الجنة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 مثل نور الرب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لیس للّه مثل،قال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الحدیث علی أن کل مثل ضربه اللّه لنفسه ظاهرا فهو فی الباطن و فی الحقیقة مثل لأهل اللّه من الأنبیاء و الأوصیاء و أن النهی عام أی لا تضربوا للّه نفسه مثلا من الأمثال لأنه أعلی من أن یمثّل له بخلقه،المحدث المتغیر،الزایل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النور ضوء و عرض حادث و المصباح و المشکاة و الزجاجة اجسام حادثة مخلوقة لا یلیق بجنابه المتعال أن یمثل له بهذه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خیّلتموه فی أدق معانیه فهو مخلوق مثلکم مردود إلیکم</w:t>
      </w:r>
      <w:r>
        <w:rPr>
          <w:rFonts w:eastAsia="IRNazanin" w:cs="IRNazanin"/>
          <w:color w:val="111111"/>
          <w:sz w:val="28"/>
          <w:szCs w:val="28"/>
          <w:rtl w:val="true"/>
          <w:lang w:bidi="fa-IR"/>
        </w:rPr>
        <w:t xml:space="preserve">» </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یلیق بجنابه المتعال أن یشبه به أو یمثل له به فضلا عن أن یحکم بأنه هو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الأمثال المضروب فی القرآن کلها کذلک إذ الضابط فی تفهیم الغامض تشبه المعقول بالمحسوس لأنّه المعهود المأنوس و هو جل و علا أعلی من أن تناله أیدی الحواس أو الشبه بالمحسوسات فالأمثال کلها راجعة فی بطن القرآن إلی انبیاء اللّه و أولیائه و حججه علیهم السّلام و ما قیل من أنه قیل عباد عبید و أدخل فی تعظیم الملک من عبادة نفسه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الْأَمْثٰالَ </w:t>
      </w:r>
      <w:r>
        <w:rPr>
          <w:rStyle w:val="FootnoteAnchor"/>
          <w:rtl w:val="true"/>
        </w:rPr>
        <w:footnoteReference w:id="1511"/>
      </w:r>
      <w:r>
        <w:rPr>
          <w:rFonts w:ascii="IRNazanin" w:hAnsi="IRNazanin" w:eastAsia="IRNazanin"/>
          <w:color w:val="111111"/>
          <w:sz w:val="28"/>
          <w:sz w:val="28"/>
          <w:szCs w:val="28"/>
          <w:rtl w:val="true"/>
          <w:lang w:bidi="fa-IR"/>
        </w:rPr>
        <w:t xml:space="preserve">لو سلّم لا ینفی عموم لفظ النهی لأن الأمثال جمع معرف باللام و هو عام؛فالأولی أن لا یخصص المثل الأعلی بمثل النور </w:t>
      </w:r>
    </w:p>
    <w:p>
      <w:pPr>
        <w:pStyle w:val="BookText"/>
        <w:rPr/>
      </w:pPr>
      <w:r>
        <w:rPr>
          <w:rFonts w:ascii="IRNazanin" w:hAnsi="IRNazanin" w:eastAsia="IRNazanin"/>
          <w:color w:val="111111"/>
          <w:sz w:val="28"/>
          <w:sz w:val="28"/>
          <w:szCs w:val="28"/>
          <w:rtl w:val="true"/>
          <w:lang w:bidi="fa-IR"/>
        </w:rPr>
        <w:t>المذکور فی هذه الآیة بل یعمّ ذلک و کل مثل متعلق به سبحانه فأنّه لتعلقه به اعلی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النور فی القرآن مثلا لمحمّد و أوصیائه علیهم السّلام و سایر الأنبیاء و الأوصیاء کان ضده،أعنی الظلمة مثلا لأضدادهم من أعدائهم و جاحدی حقوقهم و غاصبیها المعلنین بعقوقهم کما روی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الکلینی رحمه اللّه بإسناده عن صالح بن سهل الهمدانی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w:t>
      </w:r>
      <w:r>
        <w:rPr>
          <w:rStyle w:val="FootnoteAnchor"/>
          <w:rtl w:val="true"/>
        </w:rPr>
        <w:footnoteReference w:id="1512"/>
      </w:r>
      <w:r>
        <w:rPr>
          <w:rFonts w:ascii="Amiri" w:hAnsi="Amiri" w:eastAsia="Amiri" w:cs="Amiri"/>
          <w:color w:val="111111"/>
          <w:sz w:val="28"/>
          <w:sz w:val="28"/>
          <w:szCs w:val="28"/>
          <w:rtl w:val="true"/>
          <w:lang w:bidi="ar-SA"/>
        </w:rPr>
        <w:t>الأول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یَغْشٰاهُ مَوْجٌ </w:t>
      </w:r>
      <w:r>
        <w:rPr>
          <w:rStyle w:val="FootnoteAnchor"/>
          <w:rtl w:val="true"/>
        </w:rPr>
        <w:footnoteReference w:id="1513"/>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 سَحٰابٌ ظُلُمٰاتٌ بَعْضُهٰا فَوْقَ بَعْضٍ </w:t>
      </w:r>
      <w:r>
        <w:rPr>
          <w:rStyle w:val="FootnoteAnchor"/>
          <w:rtl w:val="true"/>
        </w:rPr>
        <w:footnoteReference w:id="1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 و فتن بنی أمیة؛ إِذٰا أَخْرَجَ یَدَهُ لَمْ یَکَدْ یَرٰاهٰا وَ مَنْ لَمْ یَجْعَلِ اللّٰهُ لَهُ نُوراً إماما من ولد فاطمة فَمٰا لَهُ مِنْ نُورٍ إمام یوم القیامة یسعی بین یدیه</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الحکم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 یَغْشٰاهُ مَوْجٌ مِنْ فَوْقِهِ مَوْجٌ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الجمل و صفّین و النهروان مِنْ فَوْقِهِ سَحٰابٌ ظُلُمٰاتٌ بَعْضُهٰا فَوْقَ بَعْضٍ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أمیة إِذٰا أَخْرَجَ یَدَهُ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ظلماتهم لَمْ یَکَدْ یَرٰاهٰا أی إذا نطق بالحکمة بینهم لم یقبلها منهم أحد إلاّ من أقر بولایته ثم بإمامته وَ مَنْ لَمْ یَجْعَلِ اللّٰهُ لَهُ نُوراً فَمٰا لَهُ مِنْ نُورٍ إماما فی الدنیا فما له فی الآخرة من نور إمام یرشده إلی الجنة</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من العمومات الواردة بأن الأمثال الحسنة و الأمور الطیبة و الخیرات المذکورة فی القرآن أمثال فی البطن للأنبیاء و الأوصیاء و إن أضدادها لأضدادهم أن الغرض الأصلی و المقصود الکلی هو تفسیر الجنس بالجنس و لا یتعلق غرض معتد به فی تعیین الخصوصیات فربّما کانت خصوصیة شیء واحد من الأمثال الحسنة مناسبة لخصوصیات جمع کثیر من أهلها و کذا الأضداد فی الأضداد بل فی تلک العمومات إذن </w:t>
      </w:r>
    </w:p>
    <w:p>
      <w:pPr>
        <w:pStyle w:val="BookText"/>
        <w:rPr/>
      </w:pPr>
      <w:r>
        <w:rPr>
          <w:rFonts w:ascii="IRNazanin" w:hAnsi="IRNazanin" w:eastAsia="IRNazanin"/>
          <w:color w:val="111111"/>
          <w:sz w:val="28"/>
          <w:sz w:val="28"/>
          <w:szCs w:val="28"/>
          <w:rtl w:val="true"/>
          <w:lang w:bidi="fa-IR"/>
        </w:rPr>
        <w:t>و تخییر فی تعیین الخصوصیات فی التفسیر و هذا وجه جیّد للجمع بین الأخبار المختلفة فی تفاسیر البطون؛فقد روی فی آیة النور تفسیره بالمؤمن مطلقا و یؤیده إطلاق الکافر فی مقابله و تشبیهه بالظلمة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الطبرسی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المشکاة و المصباح 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و روی الصدوق فی التوحید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نور العلم فی صدر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الزجاجة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علمه توقد من شجرة لا یهودیة و لا نصرانیة یکاد زیتها یضیء و لو لم تمسسه نار نور علی نور،قال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العالم من آل محمد یتکلّم بالعلم قبل أن یسئل نور علی نور إمام فی أثر إمام من آل محمّد</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و روی العیاشی 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مثلنا فی کتاب اللّه،کمثل مشکاة؛فنحن المشکاة و هی الکوة </w:t>
      </w:r>
      <w:r>
        <w:rPr>
          <w:rStyle w:val="FootnoteAnchor"/>
          <w:rtl w:val="true"/>
        </w:rPr>
        <w:footnoteReference w:id="1519"/>
      </w:r>
      <w:r>
        <w:rPr>
          <w:rFonts w:ascii="IRNazanin" w:hAnsi="IRNazanin" w:eastAsia="IRNazanin"/>
          <w:color w:val="111111"/>
          <w:sz w:val="28"/>
          <w:sz w:val="28"/>
          <w:szCs w:val="28"/>
          <w:rtl w:val="true"/>
          <w:lang w:bidi="fa-IR"/>
        </w:rPr>
        <w:t>فیها المصباح و المصباح فی زجاجة و الزجاجة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کوکب دری توقد من شجرة مبارکة؛قال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 لا غربیة الحدیث</w:t>
      </w:r>
      <w:r>
        <w:rPr>
          <w:rFonts w:eastAsia="IRNazanin" w:cs="IRNazanin"/>
          <w:color w:val="111111"/>
          <w:sz w:val="28"/>
          <w:szCs w:val="28"/>
          <w:rtl w:val="true"/>
          <w:lang w:bidi="fa-IR"/>
        </w:rPr>
        <w:t xml:space="preserve">».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 عن بعض أصحابنا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عبد اللّه بن جندب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مثلنا فی کتاب اللّه کمثل مشکاة و المشکاة فی القندیل فنحن المشکاة و فیها مصباح و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المصباح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فِی زُجٰاجَةٍ </w:t>
      </w:r>
      <w:r>
        <w:rPr>
          <w:rStyle w:val="FootnoteAnchor"/>
          <w:rtl w:val="true"/>
        </w:rPr>
        <w:footnoteReference w:id="1521"/>
      </w:r>
      <w:r>
        <w:rPr>
          <w:rFonts w:ascii="Amiri" w:hAnsi="Amiri" w:eastAsia="Amiri" w:cs="Amiri"/>
          <w:color w:val="111111"/>
          <w:sz w:val="28"/>
          <w:sz w:val="28"/>
          <w:szCs w:val="28"/>
          <w:rtl w:val="true"/>
          <w:lang w:bidi="ar-SA"/>
        </w:rPr>
        <w:t xml:space="preserve">نحن الزجاجة یُوقَدُ مِنْ شَجَرَةٍ مُبٰارَکَةٍ علیّ زَیْتُونَةٍ معروفة لاٰ شَرْقِیَّةٍ وَ لاٰ غَرْبِیَّةٍ لا منکرة و لا دعیّة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صالح بن سهل الهمدانی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p>
    <w:p>
      <w:pPr>
        <w:pStyle w:val="BookText"/>
        <w:rPr/>
      </w:pPr>
      <w:r>
        <w:rPr>
          <w:rFonts w:ascii="Amiri" w:hAnsi="Amiri" w:eastAsia="Amiri" w:cs="Amiri"/>
          <w:color w:val="111111"/>
          <w:sz w:val="28"/>
          <w:sz w:val="28"/>
          <w:szCs w:val="28"/>
          <w:rtl w:val="true"/>
          <w:lang w:bidi="ar-SA"/>
        </w:rPr>
        <w:t>المصباح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اَلزُّجٰاجَةُ کَأَنَّهٰا کَوْکَبٌ دُرِّیٌّ فاطمة کوکب درّیّ بین 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توقد مِنْ شَجَرَةٍ مُبٰارَکَةٍ ابراهیم زَیْتُونَةٍ لاٰ شَرْقِیَّةٍ وَ لاٰ غَرْبِیَّةٍ لا یهودیة و لا نصرانیة</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فی الکافی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کَمِشْکٰاةٍ فاطمة فِیهٰا مِصْبٰاحٌ ،الحسن اَلْمِصْبٰاحُ فِی زُجٰاجَةٍ ،الحسین اَلزُّجٰاجَةُ کَأَنَّهٰا کَوْکَبٌ دُرِّیٌّ فاطمة کوکب درّیّ بین نساء أهل الدنیا </w:t>
      </w:r>
      <w:r>
        <w:rPr>
          <w:rStyle w:val="FootnoteAnchor"/>
          <w:rtl w:val="true"/>
        </w:rPr>
        <w:footnoteReference w:id="1524"/>
      </w:r>
      <w:r>
        <w:rPr>
          <w:rFonts w:ascii="IRNazanin" w:hAnsi="IRNazanin" w:eastAsia="IRNazanin"/>
          <w:color w:val="111111"/>
          <w:sz w:val="28"/>
          <w:sz w:val="28"/>
          <w:szCs w:val="28"/>
          <w:rtl w:val="true"/>
          <w:lang w:bidi="fa-IR"/>
        </w:rPr>
        <w:t xml:space="preserve">و رواه علی بن ابراهیم أیضا فی تفسیره،إلاّ أن فیه المصباح الحسین فی زجاجة </w:t>
      </w:r>
      <w:r>
        <w:rPr>
          <w:rStyle w:val="FootnoteAnchor"/>
          <w:rtl w:val="true"/>
        </w:rPr>
        <w:footnoteReference w:id="152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إن کلّ ذلک صحیح باعتبارات مختلفة مرجعها إلی 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اشکال بعض الفضلا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الخبرین الأخیرین بأن المصباح الثانی فی الآیة عین الأول بناء علی أن اللاّم للعهد و إن النکرة إذا أعیدت کان الثانی عین الأول فکیف یفسّر الأول بالحسن و الثانی بالحسین؟فیمکن دفعه بأنه إشارة إلی أنهما علیهما السّلام لکونهما آخرین کانا کالمتکررین فکأنه قیل کمشکاة فیها مصباحان المصباحان فی زجاجة فإن الإمامة بعدهما لا تکون فی أخوین و أما تکریر فاطمة علیها السّلام بتفسیر المشکاة بها تارة و تفسیر الزجاجة بها أخری فلأن نورها أیضا متکرّر بتکرّرهما فإن نور الحسین من فاطمة کما أن نور الحسن أیضا منها فلعلها کرّرت إشارة إلی تکرّر الإمامة فی ولدیها المتولدین منها بلا واسطة فلا حاجة إلی ما ارتکبه المستشکل من تغایر المصباحین و إن قاعدة تکریر النکرة أغلبیة لا کلیة؛فتأمل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تلخّص لک مما مر أن المراد بالمثل الأعلی علی الوجه الأول هو المعهود بالذکر فی القرآن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الْمَثَلُ الْأَعْلیٰ </w:t>
      </w:r>
      <w:r>
        <w:rPr>
          <w:rStyle w:val="FootnoteAnchor"/>
          <w:rtl w:val="true"/>
        </w:rPr>
        <w:footnoteReference w:id="1526"/>
      </w:r>
      <w:r>
        <w:rPr>
          <w:rFonts w:ascii="IRNazanin" w:hAnsi="IRNazanin" w:eastAsia="IRNazanin"/>
          <w:color w:val="111111"/>
          <w:sz w:val="28"/>
          <w:sz w:val="28"/>
          <w:szCs w:val="28"/>
          <w:rtl w:val="true"/>
          <w:lang w:bidi="fa-IR"/>
        </w:rPr>
        <w:t xml:space="preserve">و کذا علی الوجه الثالث فاللاّم للعهد فیهما </w:t>
      </w:r>
      <w:bookmarkStart w:id="629" w:name="pg12937_139511"/>
    </w:p>
    <w:p>
      <w:pPr>
        <w:pStyle w:val="BookText"/>
        <w:rPr/>
      </w:pPr>
      <w:bookmarkEnd w:id="629"/>
      <w:r>
        <w:rPr>
          <w:rFonts w:ascii="IRNazanin" w:hAnsi="IRNazanin" w:eastAsia="IRNazanin"/>
          <w:color w:val="111111"/>
          <w:sz w:val="28"/>
          <w:sz w:val="28"/>
          <w:szCs w:val="28"/>
          <w:rtl w:val="true"/>
          <w:lang w:bidi="fa-IR"/>
        </w:rPr>
        <w:t>إلاّ أن المعهود فی الأول جنس المثل الأعلی أی هنا المرکب التوصیفی و فی الثالث مثل معین شخصی هو مثل نوره تعالی فی آیة النور أی الموصوف فقط و أما الصفة فخارجة عن المعهود وصف بها للعلم من خارج بأنه أعلی الأمثال و المراد بالمثل الأعلی علی الثانی جنس المثل الأعلی من کل مثلین متقابلین أحدهما أعلی و الآخر أدنی فاللاّم للجنس و یمکن جعل الثانی أعم من الأول و الثالث أی جنس المثل الأعلی سواء کان نفس هذا الجنس من حیث هو جنس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الْمَثَلُ الْأَعْلیٰ أو بعض أفراده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الشخصیة کالشخص المتحقق فی آیة النور لأنه أعلی الأمثال و اللّه یعلم حقیقة الحال</w:t>
      </w:r>
      <w:r>
        <w:rPr>
          <w:rFonts w:eastAsia="IRNazanin" w:cs="IRNazanin"/>
          <w:color w:val="111111"/>
          <w:sz w:val="28"/>
          <w:szCs w:val="28"/>
          <w:rtl w:val="true"/>
          <w:lang w:bidi="fa-IR"/>
        </w:rPr>
        <w:t>.</w:t>
      </w:r>
    </w:p>
    <w:p>
      <w:pPr>
        <w:pStyle w:val="Heading4"/>
        <w:numPr>
          <w:ilvl w:val="3"/>
          <w:numId w:val="1"/>
        </w:numPr>
        <w:rPr/>
      </w:pPr>
      <w:bookmarkStart w:id="630" w:name="__RefHeading___Toc4067247_3224264995"/>
      <w:bookmarkStart w:id="631" w:name="_Toc237"/>
      <w:bookmarkEnd w:id="630"/>
      <w:r>
        <w:rPr>
          <w:rtl w:val="true"/>
        </w:rPr>
        <w:t>«</w:t>
      </w:r>
      <w:r>
        <w:rPr>
          <w:rtl w:val="true"/>
        </w:rPr>
        <w:t>و الدعوة الحسنی</w:t>
      </w:r>
      <w:r>
        <w:rPr>
          <w:rtl w:val="true"/>
        </w:rPr>
        <w:t>»</w:t>
      </w:r>
      <w:bookmarkEnd w:id="631"/>
    </w:p>
    <w:p>
      <w:pPr>
        <w:pStyle w:val="Heading5"/>
        <w:numPr>
          <w:ilvl w:val="4"/>
          <w:numId w:val="1"/>
        </w:numPr>
        <w:rPr/>
      </w:pPr>
      <w:bookmarkStart w:id="632" w:name="__RefHeading___Toc4067249_3224264995"/>
      <w:bookmarkStart w:id="633" w:name="_Toc238"/>
      <w:bookmarkEnd w:id="632"/>
      <w:r>
        <w:rPr>
          <w:rtl w:val="true"/>
        </w:rPr>
        <w:t>[</w:t>
      </w:r>
      <w:r>
        <w:rPr>
          <w:rtl w:val="true"/>
        </w:rPr>
        <w:t>سبعة أوجه فی احتمال معنی</w:t>
      </w:r>
      <w:r>
        <w:rPr>
          <w:rtl w:val="true"/>
        </w:rPr>
        <w:t>«</w:t>
      </w:r>
      <w:r>
        <w:rPr>
          <w:rtl w:val="true"/>
        </w:rPr>
        <w:t>الدعوة الحسنی</w:t>
      </w:r>
      <w:r>
        <w:rPr>
          <w:rtl w:val="true"/>
        </w:rPr>
        <w:t>»]</w:t>
      </w:r>
      <w:bookmarkEnd w:id="633"/>
    </w:p>
    <w:p>
      <w:pPr>
        <w:pStyle w:val="BookText"/>
        <w:rPr/>
      </w:pPr>
      <w:r>
        <w:rPr>
          <w:rFonts w:ascii="IRNazanin" w:hAnsi="IRNazanin" w:eastAsia="IRNazanin"/>
          <w:color w:val="111111"/>
          <w:sz w:val="28"/>
          <w:sz w:val="28"/>
          <w:szCs w:val="28"/>
          <w:rtl w:val="true"/>
          <w:lang w:bidi="fa-IR"/>
        </w:rPr>
        <w:t>یحتمل وجوها؛ أحدها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یراد بها دعوة اللّه سبحانه إیاهم علیهم السّلام إلی طاعته أبدا و ترک معصیته رأسا کما هو مقتضی العصمة فهذه لطف من اللّه عاصم لهم علی ما سیجیء بیانه و هی دعوة اللّه للمعصومین و هی الحسنی بالنسبة إلی دعوته لغیرهم و هی مجرد الطلب التکلیفی من غیر مقارنة اللطف الخاص المسمّی بالعصمة إذا کلّما کانت اللطف أکثر کانت الدعوة أحسن فحمل الدعوة علی الذوات إما بمعنی المصدر مبالغة أو بمعنی المدعوّ أو بتقدیر مضاف أی أهلها أو ذویها و الغرض المدح بالعصمة و إختصاصهم من عند اللّه سبحانه بهذا اللطف الخاص</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یراد بها دعوتهم علیهم السّلام </w:t>
      </w:r>
      <w:r>
        <w:rPr>
          <w:rStyle w:val="FootnoteAnchor"/>
          <w:rtl w:val="true"/>
        </w:rPr>
        <w:footnoteReference w:id="1528"/>
      </w:r>
      <w:r>
        <w:rPr>
          <w:rFonts w:ascii="IRNazanin" w:hAnsi="IRNazanin" w:eastAsia="IRNazanin"/>
          <w:color w:val="111111"/>
          <w:sz w:val="28"/>
          <w:sz w:val="28"/>
          <w:szCs w:val="28"/>
          <w:rtl w:val="true"/>
          <w:lang w:bidi="fa-IR"/>
        </w:rPr>
        <w:t>غیرهم إلی الجنة و یقابلها دعوة أعدائهم الناس إلی النار أی أهل الدعوة الحسنی أو الداعین بتلک الدعوة أو نفس الدعوة بمعناها المصدری علی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أنهم أئمة الدعوة إلی الجنة کما أن اعدائهم ائمة تدعون إلی النار کما سیأتی فی قوله علیه السّلام فی التبرّی و من الأئمة الذین یدعون إلی النار فالدعوة دعوتهم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بها دعوة اللّه عباده إلی الجنة و یقابلها دعوة إبلیس أو أئمة الضلال إیاهم إلی النار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یَدْعُونَ إِلَی النّٰارِ وَ اللّٰهُ یَدْعُوا إِلَی الْجَنَّةِ وَ الْمَغْفِرَةِ بِإِذْنِهِ </w:t>
      </w:r>
      <w:r>
        <w:rPr>
          <w:rStyle w:val="FootnoteAnchor"/>
          <w:rtl w:val="true"/>
        </w:rPr>
        <w:footnoteReference w:id="152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لِیَکُونُوا مِنْ أَصْحٰابِ السَّعِیرِ </w:t>
      </w:r>
      <w:r>
        <w:rPr>
          <w:rStyle w:val="FootnoteAnchor"/>
          <w:rtl w:val="true"/>
        </w:rPr>
        <w:footnoteReference w:id="1530"/>
      </w:r>
      <w:r>
        <w:rPr>
          <w:rFonts w:ascii="IRNazanin" w:hAnsi="IRNazanin" w:eastAsia="IRNazanin"/>
          <w:color w:val="111111"/>
          <w:sz w:val="28"/>
          <w:sz w:val="28"/>
          <w:szCs w:val="28"/>
          <w:rtl w:val="true"/>
          <w:lang w:bidi="fa-IR"/>
        </w:rPr>
        <w:t>یعنی الشیطان فجعلوا علیهم السّلام نفس تلک الدعوة لأنهم الوسایط فیها أو بتقدیر مضاف أو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بها دعوة اللّه سبحانه أو دعوتهم علیهم السّلام بالحکمة و 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تقابلها الدعوة إلیها بالخشونة المخالفة للشرع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بالمجادلة التی هی أحسن فالتقدیر أهل الدعوة الحسنی أو المصدر بمعنی الفاعل أی الداعین بها أو علی المبالغة و علی الوجوه الاربعة فالمراد بالدعوة الدعوة إلی الجنة و دین الحق الموصل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 علی أحد الوجوه الثلاثة المذکورة فی الوجوه الثلاثة المذکورة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بها الدعاء و السؤال من اللّه تعالی فاللاّم للعهد الخارجی و الإشارة إلی دعاء إبراهیم علیه السّلام فی ذریته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ابْعَثْ فِیهِمْ رَسُولاً </w:t>
      </w:r>
      <w:r>
        <w:rPr>
          <w:rStyle w:val="FootnoteAnchor"/>
          <w:rtl w:val="true"/>
        </w:rPr>
        <w:footnoteReference w:id="15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ذُرِّیَّتِی </w:t>
      </w:r>
      <w:r>
        <w:rPr>
          <w:rStyle w:val="FootnoteAnchor"/>
          <w:rtl w:val="true"/>
        </w:rPr>
        <w:footnoteReference w:id="1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Style w:val="FootnoteAnchor"/>
          <w:rtl w:val="true"/>
        </w:rPr>
        <w:footnoteReference w:id="15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Style w:val="FootnoteAnchor"/>
          <w:rtl w:val="true"/>
        </w:rPr>
        <w:footnoteReference w:id="1535"/>
      </w:r>
      <w:r>
        <w:rPr>
          <w:rFonts w:ascii="IRNazanin" w:hAnsi="IRNazanin" w:eastAsia="IRNazanin"/>
          <w:color w:val="111111"/>
          <w:sz w:val="28"/>
          <w:sz w:val="28"/>
          <w:szCs w:val="28"/>
          <w:rtl w:val="true"/>
          <w:lang w:bidi="fa-IR"/>
        </w:rPr>
        <w:t xml:space="preserve">فاستجاب سبحانه دعوته فی رسول اللّه و علیّ و الأئمة من </w:t>
      </w:r>
      <w:bookmarkStart w:id="634" w:name="pg12937_139513"/>
    </w:p>
    <w:p>
      <w:pPr>
        <w:pStyle w:val="BookText"/>
        <w:rPr/>
      </w:pPr>
      <w:bookmarkEnd w:id="634"/>
      <w:r>
        <w:rPr>
          <w:rFonts w:ascii="Amiri" w:hAnsi="Amiri" w:eastAsia="Amiri" w:cs="Amiri"/>
          <w:color w:val="111111"/>
          <w:sz w:val="28"/>
          <w:sz w:val="28"/>
          <w:szCs w:val="28"/>
          <w:rtl w:val="true"/>
          <w:lang w:bidi="ar-SA"/>
        </w:rPr>
        <w:t>ولده علیهم السّلام کما قال فی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عَلِیًّا </w:t>
      </w:r>
      <w:r>
        <w:rPr>
          <w:rStyle w:val="FootnoteAnchor"/>
          <w:rtl w:val="true"/>
        </w:rPr>
        <w:footnoteReference w:id="15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w:t>
      </w:r>
      <w:r>
        <w:rPr>
          <w:rStyle w:val="FootnoteAnchor"/>
          <w:rtl w:val="true"/>
        </w:rPr>
        <w:footnoteReference w:id="1537"/>
      </w:r>
      <w:r>
        <w:rPr>
          <w:rFonts w:ascii="IRNazanin" w:hAnsi="IRNazanin" w:eastAsia="IRNazanin"/>
          <w:color w:val="111111"/>
          <w:sz w:val="28"/>
          <w:sz w:val="28"/>
          <w:szCs w:val="28"/>
          <w:rtl w:val="true"/>
          <w:lang w:bidi="fa-IR"/>
        </w:rPr>
        <w:t>فلما کانوا علیهم السّلام أثر الدعوة الإبراهیمیة جعلوا نفس تلک الدعوة تجوّزا کما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بها دعاؤهم علیهم السّلام و سؤالهم من اللّه فی شفاعة العباد أی أهل الشفاعة الحسنی و کونها حسنی إما باعتبار کون الدعاء بالخیر لا کدعاء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قومه بالعذاب و الهلاک أو کونه للأمور الأخرویة الأبدیة لا للدنیویة الزایلة کالشفاعات الدنیویة و علی الأول صیغة التفضیل منسلخة عن معنی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التفضیل أو مبنی علی حسن دعاء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قومه نظرا إلی الواقع و إن لم یکن حسنا بالنسبة إلی قومه أو علی فرض الحسن و تقدیره فی المفضل علیه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Style w:val="FootnoteAnchor"/>
          <w:rtl w:val="true"/>
        </w:rPr>
        <w:footnoteReference w:id="1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علی بعض الوجوه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بها دعاء الملایکة و مؤمنی الإنس و الجن لهم علیهم السّلام بالصلاة علیهم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540"/>
      </w:r>
      <w:r>
        <w:rPr>
          <w:rFonts w:ascii="IRNazanin" w:hAnsi="IRNazanin" w:eastAsia="IRNazanin"/>
          <w:color w:val="111111"/>
          <w:sz w:val="28"/>
          <w:sz w:val="28"/>
          <w:szCs w:val="28"/>
          <w:rtl w:val="true"/>
          <w:lang w:bidi="fa-IR"/>
        </w:rPr>
        <w:t>حیث قرنهم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الصلاة علیه إلاّ مع الصلاة علی آله و کونها حسنی باعتبار شرف المقارنة للصلاة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635" w:name="__RefHeading___Toc4067251_3224264995"/>
      <w:bookmarkStart w:id="636" w:name="_Toc239"/>
      <w:bookmarkEnd w:id="635"/>
      <w:r>
        <w:rPr>
          <w:rtl w:val="true"/>
        </w:rPr>
        <w:t>«</w:t>
      </w:r>
      <w:r>
        <w:rPr>
          <w:rtl w:val="true"/>
        </w:rPr>
        <w:t>و حجج اللّه علی أهل الدنیا و الآخرة و الأولی</w:t>
      </w:r>
      <w:r>
        <w:rPr>
          <w:rtl w:val="true"/>
        </w:rPr>
        <w:t>»</w:t>
      </w:r>
      <w:bookmarkEnd w:id="63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ضد الآخرة و هی فی الأصل تأنیث الأدنی بمعنی الأقرب سمّیت بها هذه الدار الفانیة لدنوّها و قربها إلینا بالنسبة إلی الآخرة و لذا کانت هذه عاجلة و تلک آجلة لمجیئها بعد أجل و الأصل الدار الدنیا حذفت موصوفها و أجریت الصفة وحدها مجری الإسم و انسلخت عن معنی الوصفیة فصارت علما بالغلبة حتی لا تستعمل صفة إلاّ مع ذکر </w:t>
      </w:r>
    </w:p>
    <w:p>
      <w:pPr>
        <w:pStyle w:val="BookText"/>
        <w:rPr/>
      </w:pPr>
      <w:r>
        <w:rPr>
          <w:rFonts w:ascii="Amiri" w:hAnsi="Amiri" w:eastAsia="Amiri" w:cs="Amiri"/>
          <w:color w:val="111111"/>
          <w:sz w:val="28"/>
          <w:sz w:val="28"/>
          <w:szCs w:val="28"/>
          <w:rtl w:val="true"/>
          <w:lang w:bidi="ar-SA"/>
        </w:rPr>
        <w:t>موصوفها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Style w:val="FootnoteAnchor"/>
          <w:rtl w:val="true"/>
        </w:rPr>
        <w:footnoteReference w:id="1541"/>
      </w:r>
      <w:r>
        <w:rPr>
          <w:rFonts w:ascii="IRNazanin" w:hAnsi="IRNazanin" w:eastAsia="IRNazanin"/>
          <w:color w:val="111111"/>
          <w:sz w:val="28"/>
          <w:sz w:val="28"/>
          <w:szCs w:val="28"/>
          <w:rtl w:val="true"/>
          <w:lang w:bidi="fa-IR"/>
        </w:rPr>
        <w:t>و المراد بالأولی الدنیا فهی تکریر لها ذکرت ثانیا بوصف الأولیّة المقابلة للآخریّة تحقیقا للمقابلة،لأن مقابل الآخر بحسب المفهوم الأصلی هو الأول دون الأدنی و الأقرب و لمراعاة الفواصل و لم یکتف بقوله أهل الآخرة و الأولی لمراعاة تطبیق الوجود الذکری للوجود العینی لتقدم الدنیا علی الآخرة مع ما فی توسیط الآخرة بین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من نکتة لطیفة هی التنبیه علی أن لکلّ منهما بالنسبة إلی صاحبتها تقدما من وجه و تأخّرا من آخر إذ کما أن للدّنیا تقدما من حیث أنها مزرعة للآخرة و سبب لتحصیلها کذلک لها تأخّرا من الآخرة من وجه آخر لأن الآخرة هی الغرض من إیجاد الدنیا و تحصیلها و علة غائیة لها و لا یبعد تخصیص الدنیا بعالم الأبدان و تفسیر الأولی بعالم الأرواح لأنها خلقت قبل الأبدان کما نطقت به الأخبار أو بعالم الذّر علی القول به إذ أخرج بنی آدم من ظهورهم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Style w:val="FootnoteAnchor"/>
          <w:rtl w:val="true"/>
        </w:rPr>
        <w:footnoteReference w:id="1542"/>
      </w:r>
      <w:r>
        <w:rPr>
          <w:rFonts w:ascii="IRNazanin" w:hAnsi="IRNazanin" w:eastAsia="IRNazanin"/>
          <w:color w:val="111111"/>
          <w:sz w:val="28"/>
          <w:sz w:val="28"/>
          <w:szCs w:val="28"/>
          <w:rtl w:val="true"/>
          <w:lang w:bidi="fa-IR"/>
        </w:rPr>
        <w:t>بل لا یبعد أن یراد بالأولی نفس الآخرة فالعطف من باب عطف بعض أوصاف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أسمائه علی بعض و المراد بالنشاة الآخرة ما عدا الدنیا سواء کان قبلها کعالم الأرواح أم بعدها کما بعد الموت و لذلک سمی الموت رجوعا و عودا إلی اللّه سبحانه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إلی تلک النشأة و یمکن إعتبار عطف الأولی بمعنی الدنیا علی الآخرة أوّلا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عطف المجموع علی الدنیا لیکون من باب التّرقی و التعمیم بعد التخصیص کما قیل بمثله فی العطف فی قول ابن الحاجب و أنواعه رفع و نصب و جر و لو عطفتهما علی لفظ اللّه لکان وجها أیضا فإن کونهم حجج اللّه علی أهل الدنیا أعم من أن تکون الحجیة فی الدنیا فقط کما هو الظاهر اللفظ أو فی الآخرة أیضا فلذلک بیّن ثانیا إنهم حجج الدنیا و الآخرة لکونهم هداة الدنیا و شهداء الآخرة فالأول لبیان المحجوج علیهم و الثانی لبیان محل الإحتجاج و الحجیة و إنما لم یقل أوّلا علی أهل الدنیا و الآخرة لئلا یتوهم تغایر أهل الآخرة و أهل الدنیا إذ المحجوجون بهم فی الآخرة هم المکلّفون من أهل الدنیا </w:t>
      </w:r>
      <w:bookmarkStart w:id="637" w:name="pg12937_139515"/>
    </w:p>
    <w:p>
      <w:pPr>
        <w:pStyle w:val="BookText"/>
        <w:rPr/>
      </w:pPr>
      <w:bookmarkEnd w:id="637"/>
      <w:r>
        <w:rPr>
          <w:rFonts w:ascii="IRNazanin" w:hAnsi="IRNazanin" w:eastAsia="IRNazanin"/>
          <w:color w:val="111111"/>
          <w:sz w:val="28"/>
          <w:sz w:val="28"/>
          <w:szCs w:val="28"/>
          <w:rtl w:val="true"/>
          <w:lang w:bidi="fa-IR"/>
        </w:rPr>
        <w:t>لا غیر و عطفهما علی الحجج أبعد و إن أمکن تصحیحه علی الترقی من کونهم حججا علی أهل الدنیا بأنهم عین الدنیا و الآخرة إذ لیس المقصود منهما سواهم علیهم السّلام فهم الدین و الدنیا و ما لیس مع ولایتهم و محبتهم فلیس بدین و لا دنیا؛فتأمّل</w:t>
      </w:r>
      <w:r>
        <w:rPr>
          <w:rFonts w:eastAsia="IRNazanin" w:cs="IRNazanin"/>
          <w:color w:val="111111"/>
          <w:sz w:val="28"/>
          <w:szCs w:val="28"/>
          <w:rtl w:val="true"/>
          <w:lang w:bidi="fa-IR"/>
        </w:rPr>
        <w:t>.</w:t>
      </w:r>
    </w:p>
    <w:p>
      <w:pPr>
        <w:pStyle w:val="Heading4"/>
        <w:numPr>
          <w:ilvl w:val="3"/>
          <w:numId w:val="1"/>
        </w:numPr>
        <w:rPr/>
      </w:pPr>
      <w:bookmarkStart w:id="638" w:name="__RefHeading___Toc4067253_3224264995"/>
      <w:bookmarkStart w:id="639" w:name="_Toc240"/>
      <w:bookmarkEnd w:id="638"/>
      <w:r>
        <w:rPr>
          <w:rtl w:val="true"/>
        </w:rPr>
        <w:t>«</w:t>
      </w:r>
      <w:r>
        <w:rPr>
          <w:rtl w:val="true"/>
        </w:rPr>
        <w:t>و رحمة اللّه و برکاته</w:t>
      </w:r>
      <w:r>
        <w:rPr>
          <w:rtl w:val="true"/>
        </w:rPr>
        <w:t>»</w:t>
      </w:r>
      <w:bookmarkEnd w:id="639"/>
    </w:p>
    <w:p>
      <w:pPr>
        <w:pStyle w:val="BookText"/>
        <w:rPr/>
      </w:pPr>
      <w:r>
        <w:rPr>
          <w:rFonts w:ascii="IRNazanin" w:hAnsi="IRNazanin" w:eastAsia="IRNazanin"/>
          <w:color w:val="111111"/>
          <w:sz w:val="28"/>
          <w:sz w:val="28"/>
          <w:szCs w:val="28"/>
          <w:rtl w:val="true"/>
          <w:lang w:bidi="fa-IR"/>
        </w:rPr>
        <w:t>ختم للتسلیمة الثانیة و شرع فی الثالثة بقوله</w:t>
      </w:r>
      <w:r>
        <w:rPr>
          <w:rFonts w:eastAsia="IRNazanin" w:cs="IRNazanin"/>
          <w:color w:val="111111"/>
          <w:sz w:val="28"/>
          <w:szCs w:val="28"/>
          <w:rtl w:val="true"/>
          <w:lang w:bidi="fa-IR"/>
        </w:rPr>
        <w:t>:</w:t>
      </w:r>
    </w:p>
    <w:p>
      <w:pPr>
        <w:pStyle w:val="Heading4"/>
        <w:numPr>
          <w:ilvl w:val="3"/>
          <w:numId w:val="1"/>
        </w:numPr>
        <w:rPr/>
      </w:pPr>
      <w:bookmarkStart w:id="640" w:name="__RefHeading___Toc4067255_3224264995"/>
      <w:bookmarkStart w:id="641" w:name="_Toc241"/>
      <w:bookmarkEnd w:id="640"/>
      <w:r>
        <w:rPr>
          <w:rtl w:val="true"/>
        </w:rPr>
        <w:t>«</w:t>
      </w:r>
      <w:r>
        <w:rPr>
          <w:rtl w:val="true"/>
        </w:rPr>
        <w:t>السلام علی محالّ معرفة اللّه</w:t>
      </w:r>
      <w:r>
        <w:rPr>
          <w:rtl w:val="true"/>
        </w:rPr>
        <w:t>»</w:t>
      </w:r>
      <w:bookmarkEnd w:id="641"/>
    </w:p>
    <w:p>
      <w:pPr>
        <w:pStyle w:val="Heading5"/>
        <w:numPr>
          <w:ilvl w:val="4"/>
          <w:numId w:val="1"/>
        </w:numPr>
        <w:rPr/>
      </w:pPr>
      <w:bookmarkStart w:id="642" w:name="__RefHeading___Toc4067257_3224264995"/>
      <w:bookmarkStart w:id="643" w:name="_Toc242"/>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بذاته و صفاته الذاتیة الجلالیة و الجمالیة الثبوتیة و السلبیة،لا بکنه شیء من ذلک لإمتناع معرفته للعباد مطلقا حتی الأنبیا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المقرّبین و لذلک قال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Style w:val="FootnoteAnchor"/>
          <w:rtl w:val="true"/>
        </w:rPr>
        <w:footnoteReference w:id="1543"/>
      </w:r>
      <w:r>
        <w:rPr>
          <w:rFonts w:ascii="Amiri" w:hAnsi="Amiri" w:eastAsia="Amiri" w:cs="Amiri"/>
          <w:color w:val="111111"/>
          <w:sz w:val="28"/>
          <w:sz w:val="28"/>
          <w:szCs w:val="28"/>
          <w:rtl w:val="true"/>
          <w:lang w:bidi="ar-SA"/>
        </w:rPr>
        <w:t>و روی الکلینی رحمه اللّه باسناده عن الفضیل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544"/>
      </w:r>
      <w:r>
        <w:rPr>
          <w:rFonts w:ascii="IRNazanin" w:hAnsi="IRNazanin" w:eastAsia="IRNazanin"/>
          <w:color w:val="111111"/>
          <w:sz w:val="28"/>
          <w:sz w:val="28"/>
          <w:szCs w:val="28"/>
          <w:rtl w:val="true"/>
          <w:lang w:bidi="fa-IR"/>
        </w:rPr>
        <w:t>فلا یوصف بقدر إلاّ کان أعظم من ذلک</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و عن عبد اللّه بن سنان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عظیم رفیع لا یقدر العباد علی صفته و لا یبلغون کنه عظمته</w:t>
      </w:r>
      <w:r>
        <w:rPr>
          <w:rFonts w:eastAsia="IRNazanin" w:cs="IRNazanin"/>
          <w:color w:val="111111"/>
          <w:sz w:val="28"/>
          <w:szCs w:val="28"/>
          <w:rtl w:val="true"/>
          <w:lang w:bidi="fa-IR"/>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لو أکل قلبک طایر لم یشبعه و بصرک لو وضع علیه خرق إبرة لغطاه،ترید أن تعرف بهما ملکوت السماوات و الأرض إن کنت صادقا فهذه الشمس خلق من خلق اللّه فإن قدّرت أن تملأ عینیک منها فهو کما تقول</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المفضل بن عمر فی کتاب التوحید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العقل یعرف الخالق من جهة توجب علیه الإقرار و لا یعرفه بما یوجب له الإحاطة بصفته </w:t>
      </w:r>
      <w:bookmarkStart w:id="644" w:name="pg12937_139516"/>
    </w:p>
    <w:p>
      <w:pPr>
        <w:pStyle w:val="BookText"/>
        <w:rPr/>
      </w:pPr>
      <w:bookmarkEnd w:id="644"/>
      <w:r>
        <w:rPr>
          <w:rFonts w:ascii="IRNazanin" w:hAnsi="IRNazanin" w:eastAsia="IRNazanin"/>
          <w:color w:val="111111"/>
          <w:sz w:val="28"/>
          <w:sz w:val="28"/>
          <w:szCs w:val="28"/>
          <w:rtl w:val="true"/>
          <w:lang w:bidi="fa-IR"/>
        </w:rPr>
        <w:t xml:space="preserve">إنّما کلّف العباد عن ذلک ما فی طاقتهم أن یبلغوه و هو أن یوقنوا به و یقفوا عند أمره و نهیه و لم یکلّفوا الإحاطة بصفته کما أن الملک 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یکلّف رعیّته أن یعلموا أطویل هو أم قصیر و أبیض هو أم أسمر إنّما یکلّفهم الإذعان بسلطانه و الإنتهاء إلی أمره ألا تری أن رجلا لو أتی باب الملک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أعرض علیّ نفسک حتی أتقصی معرفتک و إلاّ لم أسمع لک کان قد أهّل نفسه لعقوبته </w:t>
      </w:r>
      <w:r>
        <w:rPr>
          <w:rStyle w:val="FootnoteAnchor"/>
          <w:rtl w:val="true"/>
        </w:rPr>
        <w:footnoteReference w:id="1548"/>
      </w:r>
      <w:r>
        <w:rPr>
          <w:rFonts w:ascii="IRNazanin" w:hAnsi="IRNazanin" w:eastAsia="IRNazanin"/>
          <w:color w:val="111111"/>
          <w:sz w:val="28"/>
          <w:sz w:val="28"/>
          <w:szCs w:val="28"/>
          <w:rtl w:val="true"/>
          <w:lang w:bidi="fa-IR"/>
        </w:rPr>
        <w:t>فکذا القایل إنه لا یقر بالخالق سبحانه حتی یحیط بکنهه متعرض لسخطه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یمکن المخلوق أن یعرفه من الخالق حق معرفته غیر أنه موجود فقط 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و ما هو فممتنع علم کنهه و کمال المعرفة به الحدیث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4067259_3224264995"/>
      <w:bookmarkStart w:id="646" w:name="_Toc243"/>
      <w:bookmarkEnd w:id="645"/>
      <w:r>
        <w:rPr>
          <w:rtl w:val="true"/>
        </w:rPr>
        <w:t>[</w:t>
      </w:r>
      <w:r>
        <w:rPr>
          <w:rtl w:val="true"/>
        </w:rPr>
        <w:t>نقل کلام القاضی فی المواقف</w:t>
      </w:r>
      <w:r>
        <w:rPr>
          <w:rtl w:val="true"/>
        </w:rPr>
        <w:t>]</w:t>
      </w:r>
      <w:bookmarkEnd w:id="646"/>
    </w:p>
    <w:p>
      <w:pPr>
        <w:pStyle w:val="BookText"/>
        <w:rPr/>
      </w:pPr>
      <w:r>
        <w:rPr>
          <w:rFonts w:ascii="IRNazanin" w:hAnsi="IRNazanin" w:eastAsia="IRNazanin"/>
          <w:color w:val="111111"/>
          <w:sz w:val="28"/>
          <w:sz w:val="28"/>
          <w:szCs w:val="28"/>
          <w:rtl w:val="true"/>
          <w:lang w:bidi="fa-IR"/>
        </w:rPr>
        <w:t>و قال العضد القاضی فی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 بحقیقة اللّه و الکلام فی الوقوع و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الوقوع؛إن حقیقة اللّه تعالی غیر معلوم للبشر و علیه جمهور المحققین و خالف فیه کثیر من المتکلمین </w:t>
      </w:r>
      <w:r>
        <w:rPr>
          <w:rStyle w:val="FootnoteAnchor"/>
          <w:rtl w:val="true"/>
        </w:rPr>
        <w:footnoteReference w:id="1550"/>
      </w:r>
      <w:r>
        <w:rPr>
          <w:rFonts w:ascii="IRNazanin" w:hAnsi="IRNazanin" w:eastAsia="IRNazanin"/>
          <w:color w:val="111111"/>
          <w:sz w:val="28"/>
          <w:sz w:val="28"/>
          <w:szCs w:val="28"/>
          <w:rtl w:val="true"/>
          <w:lang w:bidi="fa-IR"/>
        </w:rPr>
        <w:t>،لنا وجهان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المعلوم منه اعراض عامة کالوجود او سلوب ککونه واجبا لیس بجوهر و لا فی مکان أو إضافات ککونه خالقا قادرا عالما و لا شک أن العلم بهذه الصفات لا یوجب العلم بالحقیقة المخصوصة بل یدل علی أن ثمة حقیقة مخصوصة تتمیز </w:t>
      </w:r>
      <w:r>
        <w:rPr>
          <w:rStyle w:val="FootnoteAnchor"/>
          <w:rtl w:val="true"/>
        </w:rPr>
        <w:footnoteReference w:id="1551"/>
      </w:r>
      <w:r>
        <w:rPr>
          <w:rFonts w:ascii="IRNazanin" w:hAnsi="IRNazanin" w:eastAsia="IRNazanin"/>
          <w:color w:val="111111"/>
          <w:sz w:val="28"/>
          <w:sz w:val="28"/>
          <w:szCs w:val="28"/>
          <w:rtl w:val="true"/>
          <w:lang w:bidi="fa-IR"/>
        </w:rPr>
        <w:t>فی نفسها عن سایر الحقایق و إما غیر تلک الحقیقة الموصوفة المتمیّزة فلا کما لا یلزم من علمنا بصدور الأثر الخاص عن المقناطیس العلم بحقیقته المعینة</w:t>
      </w:r>
      <w:r>
        <w:rPr>
          <w:rFonts w:eastAsia="IRNazanin" w:cs="IRNazanin"/>
          <w:color w:val="111111"/>
          <w:sz w:val="28"/>
          <w:szCs w:val="28"/>
          <w:rtl w:val="true"/>
          <w:lang w:bidi="fa-IR"/>
        </w:rPr>
        <w:t xml:space="preserve">. </w:t>
      </w:r>
      <w:bookmarkStart w:id="647" w:name="pg12937_139517"/>
    </w:p>
    <w:p>
      <w:pPr>
        <w:pStyle w:val="BookText"/>
        <w:rPr/>
      </w:pPr>
      <w:bookmarkEnd w:id="64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ما یعلم منه لا یمنع تصوّره الشرکة فیه و لذلک نحتاج فی نفیه </w:t>
      </w:r>
      <w:r>
        <w:rPr>
          <w:rStyle w:val="FootnoteAnchor"/>
          <w:rtl w:val="true"/>
        </w:rPr>
        <w:footnoteReference w:id="1552"/>
      </w:r>
      <w:r>
        <w:rPr>
          <w:rFonts w:ascii="IRNazanin" w:hAnsi="IRNazanin" w:eastAsia="IRNazanin"/>
          <w:color w:val="111111"/>
          <w:sz w:val="28"/>
          <w:sz w:val="28"/>
          <w:szCs w:val="28"/>
          <w:rtl w:val="true"/>
          <w:lang w:bidi="fa-IR"/>
        </w:rPr>
        <w:t xml:space="preserve">عن الغیر إلی الدلیل و ذاته المخصوصة یمنع تصوره عن الشرکة فلیس المعلوم ذاته المخصوصة و عکسه </w:t>
      </w:r>
      <w:r>
        <w:rPr>
          <w:rStyle w:val="FootnoteAnchor"/>
          <w:rtl w:val="true"/>
        </w:rPr>
        <w:footnoteReference w:id="1553"/>
      </w:r>
      <w:r>
        <w:rPr>
          <w:rFonts w:ascii="IRNazanin" w:hAnsi="IRNazanin" w:eastAsia="IRNazanin"/>
          <w:color w:val="111111"/>
          <w:sz w:val="28"/>
          <w:sz w:val="28"/>
          <w:szCs w:val="28"/>
          <w:rtl w:val="true"/>
          <w:lang w:bidi="fa-IR"/>
        </w:rPr>
        <w:t xml:space="preserve">هو المطلوب احتج الخصم بأنه لو لم یکن ذاته متصورا لامتنع الحکم علیها بأنها غیر متصورة و بالصفات الأخر،و الجواب ظاهر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 العلم بحقیقة اللّه تعالی خلاف،منعه الفلاسفة و بعض اصحابنا کالغزالی و امام الحرمین و منهم من توقف کالقاضی أبی بکر و ضرار بن عمرو و کلام الصوفیة فی الأکثر مشعر بالإمتناع لأن المعقول إما بالبدیهة أو بالنظر و النظر إما فی الرسم و </w:t>
      </w:r>
      <w:r>
        <w:rPr>
          <w:rStyle w:val="FootnoteAnchor"/>
          <w:rtl w:val="true"/>
        </w:rPr>
        <w:footnoteReference w:id="1555"/>
      </w:r>
      <w:r>
        <w:rPr>
          <w:rFonts w:ascii="IRNazanin" w:hAnsi="IRNazanin" w:eastAsia="IRNazanin"/>
          <w:color w:val="111111"/>
          <w:sz w:val="28"/>
          <w:sz w:val="28"/>
          <w:szCs w:val="28"/>
          <w:rtl w:val="true"/>
          <w:lang w:bidi="fa-IR"/>
        </w:rPr>
        <w:t>لا یفید الحقیقة و إما فی الحد و حقیقته تعالی لیست بدیهیة و لا یمکن تحدیدها لعدم الترکیب فیها لما مرّ فلا یمکن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الحصر لجواز خلق اللّه تعالی علما متعلقا بما لیس ضروریا فی شخص بلا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الرسم إن لم یجب أن یفید الحقیقة فلا یمتنع أن یفیدها </w:t>
      </w:r>
      <w:r>
        <w:rPr>
          <w:rStyle w:val="FootnoteAnchor"/>
          <w:rtl w:val="true"/>
        </w:rPr>
        <w:footnoteReference w:id="1556"/>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ظاهر الأخبار عدم الجواز و هو الظاهر لإمتناع الإحاطة بغیر المتناهی علی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تنزلنا فعدم الوقوع لا شک فیه فلیس المعنی هنا إنهم علیهم السّلام محال معرفة اللّه تعالی بالکنه ذاتا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صفة لامتناعها أو عدم وقوعها بل المراد المعرفة الممکنة الحاصلة بوجه مّا</w:t>
      </w:r>
      <w:r>
        <w:rPr>
          <w:rFonts w:eastAsia="IRNazanin" w:cs="IRNazanin"/>
          <w:color w:val="111111"/>
          <w:sz w:val="28"/>
          <w:szCs w:val="28"/>
          <w:rtl w:val="true"/>
          <w:lang w:bidi="fa-IR"/>
        </w:rPr>
        <w:t>.</w:t>
      </w:r>
    </w:p>
    <w:p>
      <w:pPr>
        <w:pStyle w:val="Heading5"/>
        <w:numPr>
          <w:ilvl w:val="4"/>
          <w:numId w:val="1"/>
        </w:numPr>
        <w:rPr/>
      </w:pPr>
      <w:bookmarkStart w:id="648" w:name="__RefHeading___Toc4067261_3224264995"/>
      <w:bookmarkStart w:id="649" w:name="_Toc244"/>
      <w:bookmarkEnd w:id="648"/>
      <w:r>
        <w:rPr>
          <w:rtl w:val="true"/>
        </w:rPr>
        <w:t>[</w:t>
      </w:r>
      <w:r>
        <w:rPr>
          <w:rtl w:val="true"/>
        </w:rPr>
        <w:t>وجوه سبعة فی کیفیة معرفتهم علیهم السّلام</w:t>
      </w:r>
      <w:r>
        <w:rPr>
          <w:rtl w:val="true"/>
        </w:rPr>
        <w:t>]</w:t>
      </w:r>
      <w:bookmarkEnd w:id="649"/>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مدحهم علیهم السّلام بما هو حاصل لکل مؤمن و مسلم؟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المعرفة الکاملة بل الأکمل حتی کأنّ معرفة المنحرفین عنهم جهل محض و أما معرفة أتباعهم و أشیاعهم فهی معرفتهم و لا تغایر و لا تخالف بینهما فی النوع، فالمدیحة من خواصهم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إن معرفتهم إلهامیة موهبیة و معرفة غیرهم کسبیة حاصلة من مرشد و معلم من الناس و إن کان أصل المعرفتین متحدا غیر مختلف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إعلاء درجة المعرفة و أنها من أعظم منح اللّه سبحانه بل لا یساویها و لا یسامیها شیء أصلا حتی أنها یلیق أن یمدح بها المعصومون المقرّبون و إن انحطّ بدرها و هان عند الناس قدرها لابتذالها و شیوعها فیهم کما مدح سبحانه فی القرآن أعاظم الأنبیاء بالصلاح و الإسلام و الإیمان و هذا فی الحقیقة من مدح المدیح لا مدح الممدوح بالتمدیح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إختصاص المعرفة الصحیحة بهم و بالآخذین عنهم ففیه تعریض بحرمان مخالفیهم و أعدائهم عن أصل المعرفة أیضا حیث وصفوه بعقولهم و عرفوه بحسب أصولهم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یرقبوا أقوال الأئمة الهداة و لذلک تری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فالحنابلة شبّهوه بل جسّموه و صوّروه و الأشاعرة نسبوه إلی أقبح ظلم زعموه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یعذب العاصی و هو بنفسه أجری علی یده المعاصی من غیر إختیار و تأثیر له و لقدرته فیها و الکل جسّموه من حیث لا یشعرون حیث قالوا برؤیة المؤمنین إیاه فی الآخرة بالعیون و من هنا قال علیه السّلام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بالتوحید،مطلق معرفة الذات و الصفات لا مجرد التصدیق بوحدانیته و نفی الشرکاء کما أنّ المعرفة هنا أیضا تعم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أن یراد بالمحال العارفون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کونهم محال معرفة غیرهم لأنّ معرفة غیرهم للّه سبحانه إنما تحصّل منهم فهم مأخذها و محلها کما ورد فی الجامعة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عرفهم فقد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یعرّفونه إیاه أو لأنهم متخلّقون بأخلاق اللّه فیعرف بما به یعرفون کما قیل فی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557"/>
      </w:r>
      <w:r>
        <w:rPr>
          <w:rFonts w:ascii="IRNazanin" w:hAnsi="IRNazanin" w:eastAsia="IRNazanin"/>
          <w:color w:val="111111"/>
          <w:sz w:val="28"/>
          <w:sz w:val="28"/>
          <w:szCs w:val="28"/>
          <w:rtl w:val="true"/>
          <w:lang w:bidi="fa-IR"/>
        </w:rPr>
        <w:t xml:space="preserve">،إنه سبحانه یعرف تجرّده بتجرّدها </w:t>
      </w:r>
      <w:bookmarkStart w:id="650" w:name="pg12937_139519"/>
    </w:p>
    <w:p>
      <w:pPr>
        <w:pStyle w:val="BookText"/>
        <w:rPr/>
      </w:pPr>
      <w:bookmarkEnd w:id="650"/>
      <w:r>
        <w:rPr>
          <w:rFonts w:ascii="IRNazanin" w:hAnsi="IRNazanin" w:eastAsia="IRNazanin"/>
          <w:color w:val="111111"/>
          <w:sz w:val="28"/>
          <w:sz w:val="28"/>
          <w:szCs w:val="28"/>
          <w:rtl w:val="true"/>
          <w:lang w:bidi="fa-IR"/>
        </w:rPr>
        <w:t>و إستواء نسبته إلی العالم و جمیع الأمکنة و عدم کونه فیها مع تصرفه فی الکل و تعلق الجمیع به بکونها کذلک إلی غیر ذلک من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المعرفة هی العلة الغائیة لخلق الإنس و الجن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أعرف فخلقت الخلق لأعرف</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و یرشد إلیه قوله تعالی 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لولاکم لما خلقت الأفلاک</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کما قد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إضافة المعرفة إلی اللّه من إضافة المصدر إلی الفاعل أی محال معرفته تعالی للمطیع و العاصی حیث یعرفان بهم لأن من أطاعهم أطاع اللّه و من عصاهم عصی اللّه </w:t>
      </w:r>
      <w:r>
        <w:rPr>
          <w:rStyle w:val="FootnoteAnchor"/>
          <w:rtl w:val="true"/>
        </w:rPr>
        <w:footnoteReference w:id="1561"/>
      </w:r>
      <w:r>
        <w:rPr>
          <w:rFonts w:ascii="IRNazanin" w:hAnsi="IRNazanin" w:eastAsia="IRNazanin"/>
          <w:color w:val="111111"/>
          <w:sz w:val="28"/>
          <w:sz w:val="28"/>
          <w:szCs w:val="28"/>
          <w:rtl w:val="true"/>
          <w:lang w:bidi="fa-IR"/>
        </w:rPr>
        <w:t>فبولایتهم یعرف اللّه المطیع من العاصی</w:t>
      </w:r>
      <w:r>
        <w:rPr>
          <w:rFonts w:eastAsia="IRNazanin" w:cs="IRNazanin"/>
          <w:color w:val="111111"/>
          <w:sz w:val="28"/>
          <w:szCs w:val="28"/>
          <w:rtl w:val="true"/>
          <w:lang w:bidi="fa-IR"/>
        </w:rPr>
        <w:t>.</w:t>
      </w:r>
    </w:p>
    <w:p>
      <w:pPr>
        <w:pStyle w:val="Heading4"/>
        <w:numPr>
          <w:ilvl w:val="3"/>
          <w:numId w:val="1"/>
        </w:numPr>
        <w:rPr/>
      </w:pPr>
      <w:bookmarkStart w:id="651" w:name="__RefHeading___Toc4067263_3224264995"/>
      <w:bookmarkStart w:id="652" w:name="_Toc245"/>
      <w:bookmarkEnd w:id="651"/>
      <w:r>
        <w:rPr>
          <w:rtl w:val="true"/>
        </w:rPr>
        <w:t>«</w:t>
      </w:r>
      <w:r>
        <w:rPr>
          <w:rtl w:val="true"/>
        </w:rPr>
        <w:t>و مساکن برکة اللّه</w:t>
      </w:r>
      <w:r>
        <w:rPr>
          <w:rtl w:val="true"/>
        </w:rPr>
        <w:t>»</w:t>
      </w:r>
      <w:bookmarkEnd w:id="652"/>
    </w:p>
    <w:p>
      <w:pPr>
        <w:pStyle w:val="BookText"/>
        <w:rPr/>
      </w:pPr>
      <w:r>
        <w:rPr>
          <w:rFonts w:ascii="IRNazanin" w:hAnsi="IRNazanin" w:eastAsia="IRNazanin"/>
          <w:color w:val="111111"/>
          <w:sz w:val="28"/>
          <w:sz w:val="28"/>
          <w:szCs w:val="28"/>
          <w:rtl w:val="true"/>
          <w:lang w:bidi="fa-IR"/>
        </w:rPr>
        <w:t xml:space="preserve">قد عرفت أنّ البرکة الخیر و النفع و الزیادة و السعادة فالمعنی إنّهم مبارکون أنزل اللّه علیهم برکاته الدنیویّة و الأخرویّة أو إنّهم مبادی البرکات النازلة منه تعالی علی عباده فیما مضی و یأتی و معادنها أو الأعم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4067265_3224264995"/>
      <w:bookmarkStart w:id="654" w:name="_Toc246"/>
      <w:bookmarkEnd w:id="653"/>
      <w:r>
        <w:rPr>
          <w:rtl w:val="true"/>
        </w:rPr>
        <w:t>«</w:t>
      </w:r>
      <w:r>
        <w:rPr>
          <w:rtl w:val="true"/>
        </w:rPr>
        <w:t>و معادن حکمة اللّه</w:t>
      </w:r>
      <w:r>
        <w:rPr>
          <w:rtl w:val="true"/>
        </w:rPr>
        <w:t>»</w:t>
      </w:r>
      <w:bookmarkEnd w:id="65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و العلم و الحلم و النبوة و القرآن </w:t>
      </w:r>
      <w:r>
        <w:rPr>
          <w:rStyle w:val="FootnoteAnchor"/>
          <w:rtl w:val="true"/>
        </w:rPr>
        <w:footnoteReference w:id="1563"/>
      </w:r>
      <w:r>
        <w:rPr>
          <w:rFonts w:ascii="IRNazanin" w:hAnsi="IRNazanin" w:eastAsia="IRNazanin"/>
          <w:color w:val="111111"/>
          <w:sz w:val="28"/>
          <w:sz w:val="28"/>
          <w:szCs w:val="28"/>
          <w:rtl w:val="true"/>
          <w:lang w:bidi="fa-IR"/>
        </w:rPr>
        <w:t>و ظاهر أنّهم علیهم السّلام مظاهر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فعدلهم عدل اللّه و علمهم علمه و حلمهم حلمه و عندهم علوم النبی و علوم القرآن و غیره من کتب اللّه سبحانه</w:t>
      </w:r>
      <w:r>
        <w:rPr>
          <w:rFonts w:eastAsia="IRNazanin" w:cs="IRNazanin"/>
          <w:color w:val="111111"/>
          <w:sz w:val="28"/>
          <w:szCs w:val="28"/>
          <w:rtl w:val="true"/>
          <w:lang w:bidi="fa-IR"/>
        </w:rPr>
        <w:t xml:space="preserve">). </w:t>
      </w:r>
      <w:bookmarkStart w:id="655" w:name="pg12937_139520"/>
    </w:p>
    <w:p>
      <w:pPr>
        <w:pStyle w:val="Heading4"/>
        <w:numPr>
          <w:ilvl w:val="3"/>
          <w:numId w:val="1"/>
        </w:numPr>
        <w:rPr/>
      </w:pPr>
      <w:bookmarkStart w:id="656" w:name="__RefHeading___Toc4067267_3224264995"/>
      <w:bookmarkStart w:id="657" w:name="_Toc247"/>
      <w:bookmarkEnd w:id="655"/>
      <w:bookmarkEnd w:id="656"/>
      <w:r>
        <w:rPr>
          <w:rtl w:val="true"/>
        </w:rPr>
        <w:t>«</w:t>
      </w:r>
      <w:r>
        <w:rPr>
          <w:rtl w:val="true"/>
        </w:rPr>
        <w:t>و حفظة سرّ اللّه</w:t>
      </w:r>
      <w:r>
        <w:rPr>
          <w:rtl w:val="true"/>
        </w:rPr>
        <w:t>»</w:t>
      </w:r>
      <w:bookmarkEnd w:id="657"/>
    </w:p>
    <w:p>
      <w:pPr>
        <w:pStyle w:val="BookText"/>
        <w:rPr/>
      </w:pPr>
      <w:r>
        <w:rPr>
          <w:rFonts w:ascii="IRNazanin" w:hAnsi="IRNazanin" w:eastAsia="IRNazanin"/>
          <w:color w:val="111111"/>
          <w:sz w:val="28"/>
          <w:sz w:val="28"/>
          <w:szCs w:val="28"/>
          <w:rtl w:val="true"/>
          <w:lang w:bidi="fa-IR"/>
        </w:rPr>
        <w:t>أی مراده من کتابه و حقایق أحکامه لأن المعانی أسرار الألفاظ فالحفظ حفظها للناس عن التحریف و التغییر و الإندراس أو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أمرهم بکتمانه </w:t>
      </w:r>
      <w:r>
        <w:rPr>
          <w:rStyle w:val="FootnoteAnchor"/>
          <w:rtl w:val="true"/>
        </w:rPr>
        <w:footnoteReference w:id="1564"/>
      </w:r>
      <w:r>
        <w:rPr>
          <w:rFonts w:ascii="IRNazanin" w:hAnsi="IRNazanin" w:eastAsia="IRNazanin"/>
          <w:color w:val="111111"/>
          <w:sz w:val="28"/>
          <w:sz w:val="28"/>
          <w:szCs w:val="28"/>
          <w:rtl w:val="true"/>
          <w:lang w:bidi="fa-IR"/>
        </w:rPr>
        <w:t xml:space="preserve">کأسمه الأعظم و لیلة القدر و یوم القیامة و قیام القایم علیه السّلام فحفظها إخفاؤها و ترک إذاعتها أو السرّ أعم فکذا الحفظ أو سرّ اللّه </w:t>
      </w:r>
      <w:r>
        <w:rPr>
          <w:rStyle w:val="FootnoteAnchor"/>
          <w:rtl w:val="true"/>
        </w:rPr>
        <w:footnoteReference w:id="1565"/>
      </w:r>
      <w:r>
        <w:rPr>
          <w:rFonts w:ascii="IRNazanin" w:hAnsi="IRNazanin" w:eastAsia="IRNazanin"/>
          <w:color w:val="111111"/>
          <w:sz w:val="28"/>
          <w:sz w:val="28"/>
          <w:szCs w:val="28"/>
          <w:rtl w:val="true"/>
          <w:lang w:bidi="fa-IR"/>
        </w:rPr>
        <w:t>،أسرار المعرفة المتعلقة بذاته و صفاته سبحانه مما لا یحتمله عقول الناس فإنّ عند العارفین الکاملین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أسرارا لا یحتمله من دونهم من العرفاء 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قلب سلمان ما لو علمه أبو ذر لقتله</w:t>
      </w:r>
      <w:r>
        <w:rPr>
          <w:rFonts w:eastAsia="IRNazanin" w:cs="IRNazanin"/>
          <w:color w:val="111111"/>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أی لقتل أبو ذر سلمان لحمله ذلک علی کفر سلمان الموجب لقتله مع أنّه فی قلب سلمان من محض الإیمان أو بالعکس أی لقتل سلمان أبا ذر حیث لا یفهمه أبو ذر علی وجهه فیؤدی إلی کفره أو لقتل ما فی قلب سلمان أبا ذر حیث یوقعه فی الکفر</w:t>
      </w:r>
      <w:r>
        <w:rPr>
          <w:rFonts w:eastAsia="IRNazanin" w:cs="IRNazanin"/>
          <w:color w:val="111111"/>
          <w:sz w:val="28"/>
          <w:szCs w:val="28"/>
          <w:rtl w:val="true"/>
          <w:lang w:bidi="fa-IR"/>
        </w:rPr>
        <w:t>.</w:t>
      </w:r>
    </w:p>
    <w:p>
      <w:pPr>
        <w:pStyle w:val="Heading4"/>
        <w:numPr>
          <w:ilvl w:val="3"/>
          <w:numId w:val="1"/>
        </w:numPr>
        <w:rPr/>
      </w:pPr>
      <w:bookmarkStart w:id="658" w:name="__RefHeading___Toc4067269_3224264995"/>
      <w:bookmarkStart w:id="659" w:name="_Toc248"/>
      <w:bookmarkEnd w:id="658"/>
      <w:r>
        <w:rPr>
          <w:rtl w:val="true"/>
        </w:rPr>
        <w:t>«</w:t>
      </w:r>
      <w:r>
        <w:rPr>
          <w:rtl w:val="true"/>
        </w:rPr>
        <w:t>و حملة کتاب اللّه</w:t>
      </w:r>
      <w:r>
        <w:rPr>
          <w:rtl w:val="true"/>
        </w:rPr>
        <w:t>»</w:t>
      </w:r>
      <w:bookmarkEnd w:id="65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اللوح المحفوظ أو القرآن بلفظه و معناه ظهرا و بطنا فالکتاب هو المحمول، و یحتمل کون المحمول محذوفا </w:t>
      </w:r>
      <w:r>
        <w:rPr>
          <w:rStyle w:val="FootnoteAnchor"/>
          <w:rtl w:val="true"/>
        </w:rPr>
        <w:footnoteReference w:id="1567"/>
      </w:r>
      <w:r>
        <w:rPr>
          <w:rFonts w:ascii="IRNazanin" w:hAnsi="IRNazanin" w:eastAsia="IRNazanin"/>
          <w:color w:val="111111"/>
          <w:sz w:val="28"/>
          <w:sz w:val="28"/>
          <w:szCs w:val="28"/>
          <w:rtl w:val="true"/>
          <w:lang w:bidi="fa-IR"/>
        </w:rPr>
        <w:t xml:space="preserve">أی حملة العلوم و المعارف فی کتاب اللّه فهو المبیّن </w:t>
      </w:r>
      <w:bookmarkStart w:id="660" w:name="pg12937_139521"/>
    </w:p>
    <w:p>
      <w:pPr>
        <w:pStyle w:val="BookText"/>
        <w:rPr/>
      </w:pPr>
      <w:bookmarkEnd w:id="660"/>
      <w:r>
        <w:rPr>
          <w:rFonts w:ascii="IRNazanin" w:hAnsi="IRNazanin" w:eastAsia="IRNazanin"/>
          <w:color w:val="111111"/>
          <w:sz w:val="28"/>
          <w:sz w:val="28"/>
          <w:szCs w:val="28"/>
          <w:rtl w:val="true"/>
          <w:lang w:bidi="fa-IR"/>
        </w:rPr>
        <w:t>لکونهم حملة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مکة أو المشارک لهم فی الحمل أو المقرون معهم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تارک فیکم الثقلین کتاب اللّه و عترتی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568"/>
      </w:r>
      <w:r>
        <w:rPr>
          <w:rFonts w:ascii="Amiri" w:hAnsi="Amiri" w:eastAsia="Amiri" w:cs="Amiri"/>
          <w:color w:val="111111"/>
          <w:sz w:val="28"/>
          <w:sz w:val="28"/>
          <w:szCs w:val="28"/>
          <w:rtl w:val="true"/>
          <w:lang w:bidi="ar-SA"/>
        </w:rPr>
        <w:t>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یراد بالإضافة مجرد المجاورة و الإقتران و یمکن کون الکتاب بمعنی ما کتبه اللّه و فرضه علی عباده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Style w:val="FootnoteAnchor"/>
          <w:rtl w:val="true"/>
        </w:rPr>
        <w:footnoteReference w:id="1569"/>
      </w:r>
      <w:r>
        <w:rPr>
          <w:rFonts w:ascii="IRNazanin" w:hAnsi="IRNazanin" w:eastAsia="IRNazanin"/>
          <w:color w:val="111111"/>
          <w:sz w:val="28"/>
          <w:sz w:val="28"/>
          <w:szCs w:val="28"/>
          <w:rtl w:val="true"/>
          <w:lang w:bidi="fa-IR"/>
        </w:rPr>
        <w:t>،أی و السنن و مقابلاتهما فالإقتصار علی الفرایض من باب الإکتفاء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المتقابلات أی السنن و المکروهات و المباحات و أما المحرمات فداخلة باعتبار تروکها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 من الکتب بمعنی التقدیر و التعیین أو الجمع فیشمل المجموع</w:t>
      </w:r>
      <w:r>
        <w:rPr>
          <w:rFonts w:eastAsia="IRNazanin" w:cs="IRNazanin"/>
          <w:color w:val="111111"/>
          <w:sz w:val="28"/>
          <w:szCs w:val="28"/>
          <w:rtl w:val="true"/>
          <w:lang w:bidi="fa-IR"/>
        </w:rPr>
        <w:t>.</w:t>
      </w:r>
    </w:p>
    <w:p>
      <w:pPr>
        <w:pStyle w:val="Heading4"/>
        <w:numPr>
          <w:ilvl w:val="3"/>
          <w:numId w:val="1"/>
        </w:numPr>
        <w:rPr/>
      </w:pPr>
      <w:bookmarkStart w:id="661" w:name="__RefHeading___Toc4067271_3224264995"/>
      <w:bookmarkStart w:id="662" w:name="_Toc249"/>
      <w:bookmarkEnd w:id="661"/>
      <w:r>
        <w:rPr>
          <w:rtl w:val="true"/>
        </w:rPr>
        <w:t>«</w:t>
      </w:r>
      <w:r>
        <w:rPr>
          <w:rtl w:val="true"/>
        </w:rPr>
        <w:t>و أوصیاء نبی اللّه</w:t>
      </w:r>
      <w:r>
        <w:rPr>
          <w:rtl w:val="true"/>
        </w:rPr>
        <w:t>»</w:t>
      </w:r>
      <w:bookmarkEnd w:id="662"/>
    </w:p>
    <w:p>
      <w:pPr>
        <w:pStyle w:val="BookText"/>
        <w:rPr/>
      </w:pPr>
      <w:r>
        <w:rPr>
          <w:rFonts w:ascii="IRNazanin" w:hAnsi="IRNazanin" w:eastAsia="IRNazanin"/>
          <w:color w:val="111111"/>
          <w:sz w:val="28"/>
          <w:sz w:val="28"/>
          <w:szCs w:val="28"/>
          <w:rtl w:val="true"/>
          <w:lang w:bidi="fa-IR"/>
        </w:rPr>
        <w:t xml:space="preserve">أوصی إلیهم بأمر اللّه و استخلفه لزمانه الذی هو فیه فهم جمیعا أوصیاؤه علی الترتیب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إن کان بعضهم أوصیاء بعض أیضا فلا حاجة إلی التغلیب إذ لا یعتبر إتصال زمان الوصایة بزمان الموصی و لا إلی التجوز باعتبار أنّ وصی الوصی وصی إذ الکل أوصیاؤه صلی اللّه علیه و علیهم بلا واسطة فی الإیصاء و إنما الواسطة و الفاصلة فی أزمنة التصرف؛فتأمّل</w:t>
      </w:r>
      <w:r>
        <w:rPr>
          <w:rFonts w:eastAsia="IRNazanin" w:cs="IRNazanin"/>
          <w:color w:val="111111"/>
          <w:sz w:val="28"/>
          <w:szCs w:val="28"/>
          <w:rtl w:val="true"/>
          <w:lang w:bidi="fa-IR"/>
        </w:rPr>
        <w:t>.</w:t>
      </w:r>
    </w:p>
    <w:p>
      <w:pPr>
        <w:pStyle w:val="Heading4"/>
        <w:numPr>
          <w:ilvl w:val="3"/>
          <w:numId w:val="1"/>
        </w:numPr>
        <w:rPr/>
      </w:pPr>
      <w:bookmarkStart w:id="663" w:name="__RefHeading___Toc4067273_3224264995"/>
      <w:bookmarkStart w:id="664" w:name="_Toc250"/>
      <w:bookmarkEnd w:id="663"/>
      <w:r>
        <w:rPr>
          <w:rtl w:val="true"/>
        </w:rPr>
        <w:t>«</w:t>
      </w:r>
      <w:r>
        <w:rPr>
          <w:rtl w:val="true"/>
        </w:rPr>
        <w:t>و ذرّیة رسول اللّه</w:t>
      </w:r>
      <w:r>
        <w:rPr>
          <w:rtl w:val="true"/>
        </w:rPr>
        <w:t>»</w:t>
      </w:r>
      <w:bookmarkEnd w:id="66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الذرّیة بضم الذال و تشدید الراء و 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النسل و الأولاد للرجال و النساء و الجمع و الآحاد و کسر الذال و فتحها لغتان و قد قرئ بالکسر أیضا فی القرآن و فی أصلها أربعة أقوال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w:t>
      </w:r>
      <w:r>
        <w:rPr>
          <w:rStyle w:val="FootnoteAnchor"/>
          <w:rtl w:val="true"/>
        </w:rPr>
        <w:footnoteReference w:id="1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اللام من ذرأ بمعنی خلق و أنشأ لأنّهم مخلوقون من آبائهم و أمهاتهم فأصلها ذریئة علی فعیلة،قلبت الهمزه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أدغمت تخفیفا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من الذر لصغرهم أوّلا أو لانبثاثهم فالیاءان مزیدتان و وزنها فعلیّة و هو ظاهر أو فعیلة علی أن یکون أصلها ذریرة کثرت الراءات فأبدلت الأخیرة یاء و أدغمت تخفیفا کسریة عند من أخذها من السرّ و هو النکاح أو فعوله فأصلها ذرورة أبدلت الراء الأخیرة یاء لما مرّ،صار ذروّیه،إجتمعت واو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ساکنة قلبت الواو یاء و أدغمت صارت ذریة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من الذرو أو الذری لأن نسل الرجل من ذروه أو ذریه،أی أعلی صلبه فهی فعیلة أو فعولة غیر أنّها علی الأول ذریوة أبدلت الواو و علی الثانی ذرییه بیائین منفکتین فأدغمتا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الذریة علی غیر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واضحة و علیه تغلیب و تجوّز بجعله ولدا مجازا لأنّه صلّی اللّه علیه و اله رباه و علّمه و لا یبعد کل البعد تعمیم رسول اللّه للرسل الماضین أیضا علی معنی الجنس فأمیر المؤمنین من ذریة إبراهیم و نوح علیهما السّلام و باقی الأیمة من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أن الظاهر إنّه إشارة إلی قوله تعالی فی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Style w:val="FootnoteAnchor"/>
          <w:rtl w:val="true"/>
        </w:rPr>
        <w:footnoteReference w:id="1573"/>
      </w:r>
      <w:r>
        <w:rPr>
          <w:rFonts w:ascii="IRNazanin" w:hAnsi="IRNazanin" w:eastAsia="IRNazanin"/>
          <w:color w:val="111111"/>
          <w:sz w:val="28"/>
          <w:sz w:val="28"/>
          <w:szCs w:val="28"/>
          <w:rtl w:val="true"/>
          <w:lang w:bidi="fa-IR"/>
        </w:rPr>
        <w:t>فإن نبینا و عترته علیهم السّلام من آل إبراهیم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العیاشی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تلا الآیة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منهم و نحن بقیة تلک العترة</w:t>
      </w:r>
      <w:r>
        <w:rPr>
          <w:rFonts w:eastAsia="IRNazanin" w:cs="IRNazanin"/>
          <w:color w:val="111111"/>
          <w:sz w:val="28"/>
          <w:szCs w:val="28"/>
          <w:rtl w:val="true"/>
          <w:lang w:bidi="fa-IR"/>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المجالس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اشعث بن قیس الکندی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حرمة لک من رسول اللّه لیست لغیرک؛فتلا الحسین علیه السّلام هذه الآیة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محمدا لمن آل إبراهیم و إن العترة الهادیة لمن آل محمد</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فضّل اللّه العترة علی سایر الناس؟فقال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أبان فضل العترة علی سایر الناس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محکم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ذلک من کتاب اللّه؟فقال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1576"/>
      </w:r>
      <w:r>
        <w:rPr>
          <w:rFonts w:ascii="IRNazanin" w:hAnsi="IRNazanin" w:eastAsia="IRNazanin"/>
          <w:color w:val="111111"/>
          <w:sz w:val="28"/>
          <w:sz w:val="28"/>
          <w:szCs w:val="28"/>
          <w:rtl w:val="true"/>
          <w:lang w:bidi="fa-IR"/>
        </w:rPr>
        <w:t>من البیّن إن ولد البنت مولود من الجد و هو والده بالواسطة حقیقة و هذا مما لا یسعه المنع و الإنکار و لا یختلف فیه النظّار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إستحقاق المولود من هاشم من جانب الأم للخمس فذلک أمر آخر لا ینفی ما مرّ لأنّه مبنی علی أن مستحقه الهاشمی و هو إسم للمنتسب إلی هاشم بالأب و أن المنتسب إلیه بالأم لا یسمی هاشمیا لغة و لا عرفا بل ینسب إلی أبیه لا علی أن ولد البنت لا یکون مولودا من آبائها بواسطتها لأن اللغة و العرف و العقل متفقة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یرشد إلیه قوله تعالی فی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Style w:val="FootnoteAnchor"/>
          <w:rtl w:val="true"/>
        </w:rPr>
        <w:footnoteReference w:id="1577"/>
      </w:r>
      <w:r>
        <w:rPr>
          <w:rFonts w:ascii="IRNazanin" w:hAnsi="IRNazanin" w:eastAsia="IRNazanin"/>
          <w:color w:val="111111"/>
          <w:sz w:val="28"/>
          <w:sz w:val="28"/>
          <w:szCs w:val="28"/>
          <w:rtl w:val="true"/>
          <w:lang w:bidi="fa-IR"/>
        </w:rPr>
        <w:t>سواء جعل الضمیر فی ذریته لنوح أم لإبراهیم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جعل اللّه تعالی عیسی من ذریة إبراهیم أو نوح ففی ذلک دلالة واضحة و حجة قاطعة علی أن أولاد الحسن و الحسین علیهما السّلام ذریة رسول اللّه صلّی اللّه علیه و آله </w:t>
      </w:r>
    </w:p>
    <w:p>
      <w:pPr>
        <w:pStyle w:val="BookText"/>
        <w:rPr/>
      </w:pPr>
      <w:r>
        <w:rPr>
          <w:rFonts w:ascii="IRNazanin" w:hAnsi="IRNazanin" w:eastAsia="IRNazanin"/>
          <w:color w:val="111111"/>
          <w:sz w:val="28"/>
          <w:sz w:val="28"/>
          <w:szCs w:val="28"/>
          <w:rtl w:val="true"/>
          <w:lang w:bidi="fa-IR"/>
        </w:rPr>
        <w:t>علی الإطلاق و إنهما ابنا رسول اللّه و قد صح فی الحدیث أنّه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بعض مشاهیر الشیعة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الحجاج لیلة إلیّ یطلبنی فخفت کثیرا و لبست کفنی و حنطت تحت ثیابی و ذهبت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أن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ذریة رسول اللّه صلّی اللّه علیه و اله و أولاده؟فإن لم تأت علیه بدلیل من القرآن ضربت عنقک فألهمنی اللّه عز و جل هذه الآیة فحججت علیه بها و نجوت منه و قد نبّه علیه أیمتنا علیهم السّلام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علی بن إبراهیم باسناده عن أبی جارود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علینا أنهما ابنا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إحتججت علیهم</w:t>
      </w:r>
      <w:r>
        <w:rPr>
          <w:rFonts w:eastAsia="IRNazanin" w:cs="IRNazanin"/>
          <w:color w:val="111111"/>
          <w:sz w:val="28"/>
          <w:szCs w:val="28"/>
          <w:rtl w:val="true"/>
          <w:lang w:bidi="fa-IR"/>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العیاشی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نسب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إلی إبراهیم علیه السّلام من قبل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 xml:space="preserve">و فی العیون عن الکاظم علیه السّلام فی جواب هارون عن هذه المسئلة إنما ألحق عیسی بذراری الأنبیاء من طریق مریم و کذلک ألحقنا بذراری النبی صلّی اللّه علیه و اله من قبل أمّنا فاطمة </w:t>
      </w:r>
      <w:r>
        <w:rPr>
          <w:rStyle w:val="FootnoteAnchor"/>
          <w:rtl w:val="true"/>
        </w:rPr>
        <w:footnoteReference w:id="1582"/>
      </w:r>
      <w:r>
        <w:rPr>
          <w:rFonts w:ascii="IRNazanin" w:hAnsi="IRNazanin" w:eastAsia="IRNazanin"/>
          <w:color w:val="111111"/>
          <w:sz w:val="28"/>
          <w:sz w:val="28"/>
          <w:szCs w:val="28"/>
          <w:rtl w:val="true"/>
          <w:lang w:bidi="fa-IR"/>
        </w:rPr>
        <w:t>علیها السّلام،و الخبر الأول،یدل علی عود الضمیر إلی إبراهیم؛و الثانی،علی دلالة الآیة علی المقصود علی التقدیرین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بذراری الأنبیاء و لم یقل بذراری إبراهیم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لإبراهیم إذ الکلام فیه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لنوح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لأنه أقرب و لأن </w:t>
      </w:r>
    </w:p>
    <w:p>
      <w:pPr>
        <w:pStyle w:val="BookText"/>
        <w:rPr/>
      </w:pPr>
      <w:r>
        <w:rPr>
          <w:rFonts w:ascii="IRNazanin" w:hAnsi="IRNazanin" w:eastAsia="IRNazanin"/>
          <w:color w:val="111111"/>
          <w:sz w:val="28"/>
          <w:sz w:val="28"/>
          <w:szCs w:val="28"/>
          <w:rtl w:val="true"/>
          <w:lang w:bidi="fa-IR"/>
        </w:rPr>
        <w:t>یونس و لوطا لیسا من ذریة إبراهیم فلو کان الضمیر لإبراهیم إختص البیان بالمعدودین فی تلک الآیة و التی بعدها و المذکورون فی الآیة الثالثة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هو ابن مریم و فی ذکره دلیل علی أن الذرّیة تتناول أولاد البنت</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دلیل فیه لجواز أن یکون المذکورون فی الآیة الثانیة أیضا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بیانا للذریة سواء عاد الضمیر إلی إبراهیم أو إلی نوح 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الآیات الثلاث هو البیان أو العطف حینئذ علی الأقرب و إنما عدل عن الظاهر فی الثالثة علی تقدیر عود الضمیر إلی إبراهیم للضرورة الداعیة إلی العدول و لا ضرورة فی الثانیة فحجیة الظاهر باقیة مع أن المحدث عنه هو إبراهیم فعود العطف إلی مبینات ذریته ألیق و أولی من عوده إلی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إبراهیم فی تفسیره باسناده عن أبی الجارود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یقولون فی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علینا أنهما ابنا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احتججت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 فی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نَجْزِی الْمُحْسِنِینَ </w:t>
      </w:r>
      <w:r>
        <w:rPr>
          <w:rStyle w:val="FootnoteAnchor"/>
          <w:rtl w:val="true"/>
        </w:rPr>
        <w:footnoteReference w:id="1584"/>
      </w:r>
      <w:r>
        <w:rPr>
          <w:rFonts w:ascii="IRNazanin" w:hAnsi="IRNazanin" w:eastAsia="IRNazanin"/>
          <w:color w:val="111111"/>
          <w:sz w:val="28"/>
          <w:sz w:val="28"/>
          <w:szCs w:val="28"/>
          <w:rtl w:val="true"/>
          <w:lang w:bidi="fa-IR"/>
        </w:rPr>
        <w:t>فجعل عیسی من ذریة ابراهیم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قالوا لکم؟قلت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ولد البنت من الولد و لا یکون من الصلب،قال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احتججتم علیهم؟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 أَبْنٰاءَکُمْ </w:t>
      </w:r>
      <w:r>
        <w:rPr>
          <w:rStyle w:val="FootnoteAnchor"/>
          <w:rtl w:val="true"/>
        </w:rPr>
        <w:footnoteReference w:id="15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قالوا؟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فی کلام العرب ابن رجل واحد فیقول ابناؤنا و إنما هو ابن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لأعطینک ابنا من کتاب اللّه مسمی بصلب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یردها إلا کافر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و أین؟قال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w:t>
      </w:r>
      <w:bookmarkStart w:id="665" w:name="pg12937_139526"/>
    </w:p>
    <w:p>
      <w:pPr>
        <w:pStyle w:val="BookText"/>
        <w:rPr/>
      </w:pPr>
      <w:bookmarkEnd w:id="665"/>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Style w:val="FootnoteAnchor"/>
          <w:rtl w:val="true"/>
        </w:rPr>
        <w:footnoteReference w:id="1586"/>
      </w:r>
      <w:r>
        <w:rPr>
          <w:rFonts w:ascii="IRNazanin" w:hAnsi="IRNazanin" w:eastAsia="IRNazanin"/>
          <w:color w:val="111111"/>
          <w:sz w:val="28"/>
          <w:sz w:val="28"/>
          <w:szCs w:val="28"/>
          <w:rtl w:val="true"/>
          <w:lang w:bidi="fa-IR"/>
        </w:rPr>
        <w:t>فسلهم یا أبا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حلّ لرسول اللّه صلّی اللّه علیه و اله نکاح حلیلتهما فإن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نعم،کذبوا و اللّه و فجروا 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لا؛فهما و اللّه ابناه لصلبه و ما حرمتا علیه إلاّ للصلب</w:t>
      </w:r>
      <w:r>
        <w:rPr>
          <w:rFonts w:eastAsia="IRNazanin" w:cs="IRNazanin"/>
          <w:color w:val="111111"/>
          <w:sz w:val="28"/>
          <w:szCs w:val="28"/>
          <w:rtl w:val="true"/>
          <w:lang w:bidi="fa-IR"/>
        </w:rPr>
        <w:t xml:space="preserve">». </w:t>
      </w:r>
      <w:r>
        <w:rPr>
          <w:rStyle w:val="FootnoteAnchor"/>
          <w:rtl w:val="true"/>
        </w:rPr>
        <w:footnoteReference w:id="1587"/>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لولاهما للصلب لما حرمت حلیلتهما علیه إذ القید فی الآیة للإحتراز عمن لیس للصلب</w:t>
      </w:r>
      <w:r>
        <w:rPr>
          <w:rFonts w:eastAsia="IRNazanin" w:cs="IRNazanin"/>
          <w:color w:val="111111"/>
          <w:sz w:val="28"/>
          <w:szCs w:val="28"/>
          <w:rtl w:val="true"/>
          <w:lang w:bidi="fa-IR"/>
        </w:rPr>
        <w:t>.</w:t>
      </w:r>
    </w:p>
    <w:p>
      <w:pPr>
        <w:pStyle w:val="Heading4"/>
        <w:numPr>
          <w:ilvl w:val="3"/>
          <w:numId w:val="1"/>
        </w:numPr>
        <w:rPr/>
      </w:pPr>
      <w:bookmarkStart w:id="666" w:name="__RefHeading___Toc4067275_3224264995"/>
      <w:bookmarkStart w:id="667" w:name="_Toc251"/>
      <w:bookmarkEnd w:id="666"/>
      <w:r>
        <w:rPr>
          <w:rtl w:val="true"/>
        </w:rPr>
        <w:t>«</w:t>
      </w:r>
      <w:r>
        <w:rPr>
          <w:rtl w:val="true"/>
        </w:rPr>
        <w:t>صلی اللّه علیه و آله</w:t>
      </w:r>
      <w:r>
        <w:rPr>
          <w:rtl w:val="true"/>
        </w:rPr>
        <w:t>»</w:t>
      </w:r>
      <w:bookmarkEnd w:id="667"/>
    </w:p>
    <w:p>
      <w:pPr>
        <w:pStyle w:val="BookText"/>
        <w:rPr/>
      </w:pPr>
      <w:r>
        <w:rPr>
          <w:rFonts w:ascii="Amiri" w:hAnsi="Amiri" w:eastAsia="Amiri" w:cs="Amiri"/>
          <w:color w:val="111111"/>
          <w:sz w:val="28"/>
          <w:sz w:val="28"/>
          <w:szCs w:val="28"/>
          <w:rtl w:val="true"/>
          <w:lang w:bidi="ar-SA"/>
        </w:rPr>
        <w:t>الصلاة من اللّه الرحمة و العطوفة؛و آله بالجر عطف علی الضمیر المجرور و لا یجب اعادة الجار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w:t>
      </w:r>
      <w:r>
        <w:rPr>
          <w:rStyle w:val="FootnoteAnchor"/>
          <w:rtl w:val="true"/>
        </w:rPr>
        <w:footnoteReference w:id="1588"/>
      </w:r>
      <w:r>
        <w:rPr>
          <w:rFonts w:ascii="Amiri" w:hAnsi="Amiri" w:eastAsia="Amiri" w:cs="Amiri"/>
          <w:color w:val="111111"/>
          <w:sz w:val="28"/>
          <w:sz w:val="28"/>
          <w:szCs w:val="28"/>
          <w:rtl w:val="true"/>
          <w:lang w:bidi="ar-SA"/>
        </w:rPr>
        <w:t xml:space="preserve">فیمن جر الأرحام وَ کُفْرٌ بِهِ وَ الْمَسْجِدِ الْحَرٰامِ </w:t>
      </w:r>
      <w:r>
        <w:rPr>
          <w:rStyle w:val="FootnoteAnchor"/>
          <w:rtl w:val="true"/>
        </w:rPr>
        <w:footnoteReference w:id="1589"/>
      </w:r>
      <w:r>
        <w:rPr>
          <w:rFonts w:ascii="IRNazanin" w:hAnsi="IRNazanin" w:eastAsia="IRNazanin"/>
          <w:color w:val="111111"/>
          <w:sz w:val="28"/>
          <w:sz w:val="28"/>
          <w:szCs w:val="28"/>
          <w:rtl w:val="true"/>
          <w:lang w:bidi="fa-IR"/>
        </w:rPr>
        <w:t>بالجر علی القراءات کلها فلا حاجة إلی تجشم النصیب و جعل الواو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عاطفة للمنصوب علی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 الجار و المجرور إذ الضبط و النقل بالجر و لم یرو النصب و إن جاز فی شیء من الدعوات لا فی الصحیفة السجادیة و لا فی غیرها ثم لا مانع من اعادة الجار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یروی عن رسول اللّه صلّی اللّه علیه و اله من فصّل بینی و بین آلی بعلی لم ینل شفاعتی </w:t>
      </w:r>
      <w:r>
        <w:rPr>
          <w:rStyle w:val="FootnoteAnchor"/>
          <w:rtl w:val="true"/>
        </w:rPr>
        <w:footnoteReference w:id="1590"/>
      </w:r>
      <w:r>
        <w:rPr>
          <w:rFonts w:ascii="IRNazanin" w:hAnsi="IRNazanin" w:eastAsia="IRNazanin"/>
          <w:color w:val="111111"/>
          <w:sz w:val="28"/>
          <w:sz w:val="28"/>
          <w:szCs w:val="28"/>
          <w:rtl w:val="true"/>
          <w:lang w:bidi="fa-IR"/>
        </w:rPr>
        <w:t xml:space="preserve">فلیس فی کتب الشیعة و إنما هو من الأکاذیب علیهم و قد تنسب الروایة إلی الإسماعیلیة من فرق الشیعة،فتوهم إنّها من روایات الإمامیة لتبادرهم من لفظ الشیعة و لو صحت فلعل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بالألف لیکون إسما للحرف الجار بل یجوز کونه بالیاء المشددة بعد اللام المکسورة علما لأمیر المؤمنین علیه السّلام فالمراد بالفصل به إخراجه من الآل و عدم عدّه منهم فالباء للآلیّة و هو علیه السّلام الفاصل و آلة الفصل أو للسببیة أی بسبب عداوة علی علیه السّلام و الحسد علیه فإنه علیه السّلام أول آله و أولئهم و أقربهم و احراهم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وردت روایات تدل علی خروج أمیر المؤمنین عن الآل حیث روی </w:t>
      </w:r>
    </w:p>
    <w:p>
      <w:pPr>
        <w:pStyle w:val="BookText"/>
        <w:rPr/>
      </w:pPr>
      <w:r>
        <w:rPr>
          <w:rFonts w:ascii="IRNazanin" w:hAnsi="IRNazanin" w:eastAsia="IRNazanin"/>
          <w:color w:val="111111"/>
          <w:sz w:val="28"/>
          <w:sz w:val="28"/>
          <w:szCs w:val="28"/>
          <w:rtl w:val="true"/>
          <w:lang w:bidi="fa-IR"/>
        </w:rPr>
        <w:t>الصدوق فی معانی الأخبار باسناده عن عبد اللّه بن میسرة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آل محمد من حرم اللّه علی محمد نکاحه</w:t>
      </w:r>
      <w:r>
        <w:rPr>
          <w:rFonts w:eastAsia="IRNazanin" w:cs="IRNazanin"/>
          <w:color w:val="111111"/>
          <w:sz w:val="28"/>
          <w:szCs w:val="28"/>
          <w:rtl w:val="true"/>
          <w:lang w:bidi="fa-IR"/>
        </w:rPr>
        <w:t xml:space="preserve">».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و عن سلیمان الدیلمی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محمد صلّی اللّه علیه و آله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الأهل؟فقال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الأیمة علیهم السّلام</w:t>
      </w:r>
      <w:r>
        <w:rPr>
          <w:rFonts w:eastAsia="IRNazanin" w:cs="IRNazanin"/>
          <w:color w:val="111111"/>
          <w:sz w:val="28"/>
          <w:szCs w:val="28"/>
          <w:rtl w:val="true"/>
          <w:lang w:bidi="fa-IR"/>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و عن أبی بصیر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الأیمة الأوصیاء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العباء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الذین صدقوا بما جاء به المتمسکون بالثقلین کتاب اللّه و عترته أهل بیته الذین أذهب اللّه عنهم الرجس و طهرهم تطهیرا و هما الخلیفتان علی الأمة بعده علیه السّلام</w:t>
      </w:r>
      <w:r>
        <w:rPr>
          <w:rFonts w:eastAsia="IRNazanin" w:cs="IRNazanin"/>
          <w:color w:val="111111"/>
          <w:sz w:val="28"/>
          <w:szCs w:val="28"/>
          <w:rtl w:val="true"/>
          <w:lang w:bidi="fa-IR"/>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الإجماع من أصحابنا علی أن الآل هم الأئمة الإثنا عشر علیهم السّلام و علیه أکثر العامة حتی کتب جمع کثیر من الفریقین کتب سموها بمناقب الآل و لم یذکر فیها غیرهم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المذکوره فالسؤال فیها عن الآل الموجودین حال السؤال لا عن مطلق الآل فلا ینحصر فی الذریة الذین یحرم علیه نکاحهم و لو سلم فالحصر بالنسبة إلی الأجانب القابلین نحن آل محمد؛کبنی أمیة و بنی عباس و غیرهم نحو أهل بلدته صلّی اللّه علیه و اله أو ملته و یدلک علیه أن الأهل قد فسر فی تلک الأخبار بالأئمة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فیهم أمیر المؤمنین فکیف یخرج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الآل و هو لو لم یکن أعم من أهل البیت لم یکن أخص قطعا و بالإجماع فیتساویان و الحق عمومه لأن الآل و إن کان أصله الأهل لکنه یعم الذریة لغة و إن خص بالأئمة فی أکثر مواضع الإستعمال لاجل القرینة کالإقتران بالنبی صلّی اللّه علیه و اله فی الصلاة علیه و التوسل به الإستشفاع عند اللّه تعالی</w:t>
      </w:r>
      <w:r>
        <w:rPr>
          <w:rFonts w:eastAsia="IRNazanin" w:cs="IRNazanin"/>
          <w:color w:val="111111"/>
          <w:sz w:val="28"/>
          <w:szCs w:val="28"/>
          <w:rtl w:val="true"/>
          <w:lang w:bidi="fa-IR"/>
        </w:rPr>
        <w:t xml:space="preserve">. </w:t>
      </w:r>
      <w:bookmarkStart w:id="668" w:name="pg12937_139528"/>
    </w:p>
    <w:p>
      <w:pPr>
        <w:pStyle w:val="Heading4"/>
        <w:numPr>
          <w:ilvl w:val="3"/>
          <w:numId w:val="1"/>
        </w:numPr>
        <w:rPr/>
      </w:pPr>
      <w:bookmarkStart w:id="669" w:name="__RefHeading___Toc4067277_3224264995"/>
      <w:bookmarkStart w:id="670" w:name="_Toc252"/>
      <w:bookmarkEnd w:id="668"/>
      <w:bookmarkEnd w:id="669"/>
      <w:r>
        <w:rPr>
          <w:rtl w:val="true"/>
        </w:rPr>
        <w:t>«</w:t>
      </w:r>
      <w:r>
        <w:rPr>
          <w:rtl w:val="true"/>
        </w:rPr>
        <w:t>و رحمة اللّه و برکاته</w:t>
      </w:r>
      <w:r>
        <w:rPr>
          <w:rtl w:val="true"/>
        </w:rPr>
        <w:t>»</w:t>
      </w:r>
      <w:bookmarkEnd w:id="670"/>
    </w:p>
    <w:p>
      <w:pPr>
        <w:pStyle w:val="BookText"/>
        <w:rPr/>
      </w:pPr>
      <w:r>
        <w:rPr>
          <w:rFonts w:ascii="IRNazanin" w:hAnsi="IRNazanin" w:eastAsia="IRNazanin"/>
          <w:color w:val="111111"/>
          <w:sz w:val="28"/>
          <w:sz w:val="28"/>
          <w:szCs w:val="28"/>
          <w:rtl w:val="true"/>
          <w:lang w:bidi="fa-IR"/>
        </w:rPr>
        <w:t>بالرفع عطف علی السلام و لا یرتبط بالصلاة و به ختم التسلیمة الثالثة ثم بدأ بالرابعة بقوله</w:t>
      </w:r>
      <w:r>
        <w:rPr>
          <w:rFonts w:eastAsia="IRNazanin" w:cs="IRNazanin"/>
          <w:color w:val="111111"/>
          <w:sz w:val="28"/>
          <w:szCs w:val="28"/>
          <w:rtl w:val="true"/>
          <w:lang w:bidi="fa-IR"/>
        </w:rPr>
        <w:t>:</w:t>
      </w:r>
    </w:p>
    <w:p>
      <w:pPr>
        <w:pStyle w:val="Heading4"/>
        <w:numPr>
          <w:ilvl w:val="3"/>
          <w:numId w:val="1"/>
        </w:numPr>
        <w:rPr/>
      </w:pPr>
      <w:bookmarkStart w:id="671" w:name="__RefHeading___Toc4067279_3224264995"/>
      <w:bookmarkStart w:id="672" w:name="_Toc253"/>
      <w:bookmarkEnd w:id="671"/>
      <w:r>
        <w:rPr>
          <w:rtl w:val="true"/>
        </w:rPr>
        <w:t>«</w:t>
      </w:r>
      <w:r>
        <w:rPr>
          <w:rtl w:val="true"/>
        </w:rPr>
        <w:t>السلام علی الدعاة إلی اللّه</w:t>
      </w:r>
      <w:r>
        <w:rPr>
          <w:rtl w:val="true"/>
        </w:rPr>
        <w:t>»</w:t>
      </w:r>
      <w:bookmarkEnd w:id="672"/>
    </w:p>
    <w:p>
      <w:pPr>
        <w:pStyle w:val="BookText"/>
        <w:rPr/>
      </w:pPr>
      <w:r>
        <w:rPr>
          <w:rFonts w:ascii="IRNazanin" w:hAnsi="IRNazanin" w:eastAsia="IRNazanin"/>
          <w:color w:val="111111"/>
          <w:sz w:val="28"/>
          <w:sz w:val="28"/>
          <w:szCs w:val="28"/>
          <w:rtl w:val="true"/>
          <w:lang w:bidi="fa-IR"/>
        </w:rPr>
        <w:t>دعاة،جمع الداعی؛کقضاة للقاضی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دعیة بالفتحات؛کطلبة لطالب قلبت الیاء المتحرکة لانفتاح ما قبلها ألفا و ضم أوله فرقا بین جمعی الصحیح و الناقص أی الذین یدعون العباد إلی اللّه تعالی أی إلی بابه و ثوابه و معرفته و طاعته أی یهدون إلیه لأن الدعا إذا 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بمعنی الهدایة و الدلالة و یحتمل التضمین أی الداعین منقطعین إلی اللّه أو جعل الظرف مستقرا و لا یخفی بعدهما و تعسفهما</w:t>
      </w:r>
      <w:r>
        <w:rPr>
          <w:rFonts w:eastAsia="IRNazanin" w:cs="IRNazanin"/>
          <w:color w:val="111111"/>
          <w:sz w:val="28"/>
          <w:szCs w:val="28"/>
          <w:rtl w:val="true"/>
          <w:lang w:bidi="fa-IR"/>
        </w:rPr>
        <w:t>.</w:t>
      </w:r>
    </w:p>
    <w:p>
      <w:pPr>
        <w:pStyle w:val="Heading4"/>
        <w:numPr>
          <w:ilvl w:val="3"/>
          <w:numId w:val="1"/>
        </w:numPr>
        <w:rPr/>
      </w:pPr>
      <w:bookmarkStart w:id="673" w:name="__RefHeading___Toc4067281_3224264995"/>
      <w:bookmarkStart w:id="674" w:name="_Toc254"/>
      <w:bookmarkEnd w:id="673"/>
      <w:r>
        <w:rPr>
          <w:rtl w:val="true"/>
        </w:rPr>
        <w:t>«</w:t>
      </w:r>
      <w:r>
        <w:rPr>
          <w:rtl w:val="true"/>
        </w:rPr>
        <w:t>و الأدلاّء</w:t>
      </w:r>
      <w:r>
        <w:rPr>
          <w:rtl w:val="true"/>
        </w:rPr>
        <w:t>» [</w:t>
      </w:r>
      <w:r>
        <w:rPr>
          <w:rtl w:val="true"/>
        </w:rPr>
        <w:t>علی مرضاة اللّه</w:t>
      </w:r>
      <w:r>
        <w:rPr>
          <w:rtl w:val="true"/>
        </w:rPr>
        <w:t>]</w:t>
      </w:r>
      <w:bookmarkEnd w:id="674"/>
    </w:p>
    <w:p>
      <w:pPr>
        <w:pStyle w:val="BookText"/>
        <w:rPr/>
      </w:pPr>
      <w:r>
        <w:rPr>
          <w:rFonts w:ascii="IRNazanin" w:hAnsi="IRNazanin" w:eastAsia="IRNazanin"/>
          <w:color w:val="111111"/>
          <w:sz w:val="28"/>
          <w:sz w:val="28"/>
          <w:szCs w:val="28"/>
          <w:rtl w:val="true"/>
          <w:lang w:bidi="fa-IR"/>
        </w:rPr>
        <w:t>جمع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کأوصیاء و اتقیاء لا جمع دال لأن فاعلا لا یجمع علی افعلاء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الهدایة إلاّ أنّها تعدی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یدلون العباد علی مرضاة اللّه أی رضاه فمرضاة مصدر میمی أصله مرضوة کمقدرة و المراد اسباب رضاه و التضمین تعسف و کذا جعل الظرف مستقرا و الرضا بالقصر ضد السخط</w:t>
      </w:r>
      <w:r>
        <w:rPr>
          <w:rFonts w:eastAsia="IRNazanin" w:cs="IRNazanin"/>
          <w:color w:val="111111"/>
          <w:sz w:val="28"/>
          <w:szCs w:val="28"/>
          <w:rtl w:val="true"/>
          <w:lang w:bidi="fa-IR"/>
        </w:rPr>
        <w:t>.</w:t>
      </w:r>
    </w:p>
    <w:p>
      <w:pPr>
        <w:pStyle w:val="Heading4"/>
        <w:numPr>
          <w:ilvl w:val="3"/>
          <w:numId w:val="1"/>
        </w:numPr>
        <w:rPr/>
      </w:pPr>
      <w:bookmarkStart w:id="675" w:name="__RefHeading___Toc4067283_3224264995"/>
      <w:bookmarkStart w:id="676" w:name="_Toc255"/>
      <w:bookmarkEnd w:id="675"/>
      <w:r>
        <w:rPr>
          <w:rtl w:val="true"/>
        </w:rPr>
        <w:t>«</w:t>
      </w:r>
      <w:r>
        <w:rPr>
          <w:rtl w:val="true"/>
        </w:rPr>
        <w:t>و المستقرین</w:t>
      </w:r>
      <w:r>
        <w:rPr>
          <w:rtl w:val="true"/>
        </w:rPr>
        <w:t>» [</w:t>
      </w:r>
      <w:r>
        <w:rPr>
          <w:rtl w:val="true"/>
        </w:rPr>
        <w:t>فی أمر اللّه</w:t>
      </w:r>
      <w:r>
        <w:rPr>
          <w:rtl w:val="true"/>
        </w:rPr>
        <w:t>]</w:t>
      </w:r>
      <w:bookmarkEnd w:id="67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الثابتین فی أمر اللّه أی أموره من معرفته و محبته و عبودیته أو فی أمره و نهیه امتثالا بهما أو نشرا لهما أو الأعم فاقتصر علی الأمر اکتفاء به عن ضده أو تعمیما له فیعم الأمر الصریح و الضمنی لأن النهی عن شیء یستلزم الأمر بترکه کما یستلزم الأمر بالشیء النهی عن ترکه و المراد بالإستقرار الرسوخ فی الإعتقاد و الأعمال من غیر عروض تزلزل بخاطر شیطانی أو تحدیث نفسی بخلاف ما استقروا علیه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بعض النسخ المستوفرین أی الآخذین منه بخط وافر کامل من استوفره إذا استوفاه و أخذه وافرا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فی شأن اللّه تعالی أو أوامره آخذون بالحظ الوافر من ذلک أو من ثوابه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ما اتفق لصاحب القاموس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استوفر علیه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استوفاه،کوفر؛ </w:t>
      </w:r>
      <w:r>
        <w:rPr>
          <w:rStyle w:val="FootnoteAnchor"/>
          <w:rtl w:val="true"/>
        </w:rPr>
        <w:footnoteReference w:id="1595"/>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 علیه توفیرا أعطاه وافرا و استوفره استعطاه و استوفاه فإنه الموافق لقوانین اللغة و أقوال اللغویین و لأن التوفیر لا یسند إلاّ إلی الذی علیه الحق و هو معطیه و الإستیفاء إنما هو أخذ لا إعطاء و لعله </w:t>
      </w:r>
      <w:r>
        <w:rPr>
          <w:rStyle w:val="FootnoteAnchor"/>
          <w:rtl w:val="true"/>
        </w:rPr>
        <w:footnoteReference w:id="1596"/>
      </w:r>
      <w:r>
        <w:rPr>
          <w:rFonts w:ascii="IRNazanin" w:hAnsi="IRNazanin" w:eastAsia="IRNazanin"/>
          <w:color w:val="111111"/>
          <w:sz w:val="28"/>
          <w:sz w:val="28"/>
          <w:szCs w:val="28"/>
          <w:rtl w:val="true"/>
          <w:lang w:bidi="fa-IR"/>
        </w:rPr>
        <w:t>و هم فی قول الجوهری فی الصحاح</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 </w:t>
      </w:r>
      <w:r>
        <w:rPr>
          <w:rStyle w:val="FootnoteAnchor"/>
          <w:rtl w:val="true"/>
        </w:rPr>
        <w:footnoteReference w:id="1597"/>
      </w:r>
      <w:r>
        <w:rPr>
          <w:rFonts w:ascii="IRNazanin" w:hAnsi="IRNazanin" w:eastAsia="IRNazanin"/>
          <w:color w:val="111111"/>
          <w:sz w:val="28"/>
          <w:sz w:val="28"/>
          <w:szCs w:val="28"/>
          <w:rtl w:val="true"/>
          <w:lang w:bidi="fa-IR"/>
        </w:rPr>
        <w:t>علیه حقه توفیرا و استوفره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أی استوفاه </w:t>
      </w:r>
      <w:r>
        <w:rPr>
          <w:rStyle w:val="FootnoteAnchor"/>
          <w:rtl w:val="true"/>
        </w:rPr>
        <w:footnoteReference w:id="159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التفسیر لوفر و استوفر کلیهما و لیس کذلک بل التفسیر للإستیفار و لم یفسر التوفیر صریحا لأنه یعلم بالمقایسة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مطاوع للثانی فإذا کان الثانی بمعنی استوفاه کان الاول بمعنی 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کثیر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یکتفون بتفسیر المطاوع تفسیر المتعدی أو بالعکس اختصارا و أما ما توهم صاحب القاموس،فغلط واضح لأن التوفیر إنما یستند إلی الذی علیه الحق و هو معطیه و لا یستند إلی آخذه و الإستیفاء إنّما هو أخذ لا اعطاء</w:t>
      </w:r>
      <w:r>
        <w:rPr>
          <w:rFonts w:eastAsia="IRNazanin" w:cs="IRNazanin"/>
          <w:color w:val="111111"/>
          <w:sz w:val="28"/>
          <w:szCs w:val="28"/>
          <w:rtl w:val="true"/>
          <w:lang w:bidi="fa-IR"/>
        </w:rPr>
        <w:t xml:space="preserve">). </w:t>
      </w:r>
      <w:bookmarkStart w:id="677" w:name="pg12937_139530"/>
    </w:p>
    <w:p>
      <w:pPr>
        <w:pStyle w:val="Heading4"/>
        <w:numPr>
          <w:ilvl w:val="3"/>
          <w:numId w:val="1"/>
        </w:numPr>
        <w:rPr/>
      </w:pPr>
      <w:bookmarkStart w:id="678" w:name="__RefHeading___Toc4067285_3224264995"/>
      <w:bookmarkStart w:id="679" w:name="_Toc256"/>
      <w:bookmarkEnd w:id="677"/>
      <w:bookmarkEnd w:id="678"/>
      <w:r>
        <w:rPr>
          <w:rtl w:val="true"/>
        </w:rPr>
        <w:t>«</w:t>
      </w:r>
      <w:r>
        <w:rPr>
          <w:rtl w:val="true"/>
        </w:rPr>
        <w:t>و التامین فی محبة اللّه</w:t>
      </w:r>
      <w:r>
        <w:rPr>
          <w:rtl w:val="true"/>
        </w:rPr>
        <w:t>»</w:t>
      </w:r>
      <w:bookmarkEnd w:id="679"/>
    </w:p>
    <w:p>
      <w:pPr>
        <w:pStyle w:val="BookText"/>
        <w:rPr/>
      </w:pPr>
      <w:r>
        <w:rPr>
          <w:rFonts w:ascii="Amiri" w:hAnsi="Amiri" w:eastAsia="Amiri" w:cs="Amiri"/>
          <w:color w:val="111111"/>
          <w:sz w:val="28"/>
          <w:sz w:val="28"/>
          <w:szCs w:val="28"/>
          <w:rtl w:val="true"/>
          <w:lang w:bidi="ar-SA"/>
        </w:rPr>
        <w:t>لهم أو محبتهم له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فاضافة المصدر إلی فاعله أو مفعوله و أیا 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المحبة من أحد الجانبین هنا یستلزمها من الجانب الآخر و لا سیما التامة أی فی محبیة اللّه و محبوبیته کما قال تعالی فی حق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w:t>
      </w:r>
      <w:r>
        <w:rPr>
          <w:rStyle w:val="FootnoteAnchor"/>
          <w:rtl w:val="true"/>
        </w:rPr>
        <w:footnoteReference w:id="1599"/>
      </w:r>
      <w:r>
        <w:rPr>
          <w:rFonts w:ascii="IRNazanin" w:hAnsi="IRNazanin" w:eastAsia="IRNazanin"/>
          <w:color w:val="111111"/>
          <w:sz w:val="28"/>
          <w:sz w:val="28"/>
          <w:szCs w:val="28"/>
          <w:rtl w:val="true"/>
          <w:lang w:bidi="fa-IR"/>
        </w:rPr>
        <w:t>الآیات و مرجع محبتهم إلی الطاعة و محبته إلی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جعل الإضافة إلی أعم منهما أی التامین فی محبة المتعلقة به تعالی صدورا و وقوعا</w:t>
      </w:r>
      <w:r>
        <w:rPr>
          <w:rFonts w:eastAsia="IRNazanin" w:cs="IRNazanin"/>
          <w:color w:val="111111"/>
          <w:sz w:val="28"/>
          <w:szCs w:val="28"/>
          <w:rtl w:val="true"/>
          <w:lang w:bidi="fa-IR"/>
        </w:rPr>
        <w:t>).</w:t>
      </w:r>
    </w:p>
    <w:p>
      <w:pPr>
        <w:pStyle w:val="Heading4"/>
        <w:numPr>
          <w:ilvl w:val="3"/>
          <w:numId w:val="1"/>
        </w:numPr>
        <w:rPr/>
      </w:pPr>
      <w:bookmarkStart w:id="680" w:name="__RefHeading___Toc4067287_3224264995"/>
      <w:bookmarkStart w:id="681" w:name="_Toc257"/>
      <w:bookmarkEnd w:id="680"/>
      <w:r>
        <w:rPr>
          <w:rtl w:val="true"/>
        </w:rPr>
        <w:t>«</w:t>
      </w:r>
      <w:r>
        <w:rPr>
          <w:rtl w:val="true"/>
        </w:rPr>
        <w:t>و المخلصین فی توحید اللّه</w:t>
      </w:r>
      <w:r>
        <w:rPr>
          <w:rtl w:val="true"/>
        </w:rPr>
        <w:t>»</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 أو فتحها اسم فاعل أو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اخلصوا توحیدهم عن شوایب الشرک و فیه تعریض بالمخالفین القایلین بزیادة الصفات القدیمة و مغایرتها لها فإن تعدد القدیم الذاتی یستلزم تعدد الاله الواجب لذاته و لذلک قال الرازی </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النصاری کفروا بقولهم بثلثة قدماء و اصحابنا الاشاعرة قالوا بتسعة قدماء و هم یدعون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منتهی السئول فی علمی الکلام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القدیم هو اللّه تعالی لا غیر و الأشاعرة اثبتوا قدماء تسعة،هی الذات مع الصفات؛ </w:t>
      </w:r>
      <w:r>
        <w:rPr>
          <w:rStyle w:val="FootnoteAnchor"/>
          <w:rtl w:val="true"/>
        </w:rPr>
        <w:footnoteReference w:id="1601"/>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ظواهر الأخبار تدلّ علی استلزام القدم للالوهیة ففی أمیر المؤمنین علیه السّلام فی الکلام أنه تعالی أحدثه بعد ما لم یکن کاینا و لو کان قدیما لکان إلها ثانیا و لذلک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توحیده نفی الصفات عنه</w:t>
      </w:r>
      <w:r>
        <w:rPr>
          <w:rFonts w:eastAsia="IRNazanin" w:cs="IRNazanin"/>
          <w:color w:val="111111"/>
          <w:sz w:val="28"/>
          <w:szCs w:val="28"/>
          <w:rtl w:val="true"/>
          <w:lang w:bidi="fa-IR"/>
        </w:rPr>
        <w:t xml:space="preserve">» </w:t>
      </w:r>
      <w:r>
        <w:rPr>
          <w:rStyle w:val="FootnoteAnchor"/>
          <w:rtl w:val="true"/>
        </w:rPr>
        <w:footnoteReference w:id="1602"/>
      </w:r>
      <w:r>
        <w:rPr>
          <w:rFonts w:ascii="IRNazanin" w:hAnsi="IRNazanin" w:eastAsia="IRNazanin"/>
          <w:color w:val="111111"/>
          <w:sz w:val="28"/>
          <w:sz w:val="28"/>
          <w:szCs w:val="28"/>
          <w:rtl w:val="true"/>
          <w:lang w:bidi="fa-IR"/>
        </w:rPr>
        <w:t xml:space="preserve">یعنی الزایدة لأنها إن کانت حادثة لزم نقصه تعالی قبل حدوثها و الناقص لا یستحق الإلهیة و ان کانت قدیمة لزم تعدد القدماء و هو فی قوة تعدد </w:t>
      </w:r>
    </w:p>
    <w:p>
      <w:pPr>
        <w:pStyle w:val="BookText"/>
        <w:rPr/>
      </w:pPr>
      <w:r>
        <w:rPr>
          <w:rFonts w:ascii="IRNazanin" w:hAnsi="IRNazanin" w:eastAsia="IRNazanin"/>
          <w:color w:val="111111"/>
          <w:sz w:val="28"/>
          <w:sz w:val="28"/>
          <w:szCs w:val="28"/>
          <w:rtl w:val="true"/>
          <w:lang w:bidi="fa-IR"/>
        </w:rPr>
        <w:t>الآلهة و هو ینفی التوحید فالتوحید الخالص عن شوایب الشرک هو نفی الصفات الزایدة و القول بعینیة الصفات للذات کما هو طریقة أهل البیت علیهم السّلام و شیعتهم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الإخلاص فی هذه الفقرة علی جعل توحیدهم خالصا عن الریاء و السمعة فلا وقع له؛نعم یمکن تعمیم التوحید لمعرفة الذات و الصفات مطلقا فإنه کثیرا ما یستعمل فی هذا المعنی فی اخبار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الإخلاص فی الوحدانیة فعن شوایب الشرک کما عرفت و أما فی غیرها من معرفة الذات و سایر الصفات فعن شوایب النفی و التشبیه و التعطیل و الظلم و النقص مطلقا فإن القایل بالإشتراک اللفظی فی الوجود لو اکتفی باثبات الوجود الخاص المجهول بالکنه الذی هو عین ذات الواجب عز و علا و نفی عنه الوجود بالمعنی العام و لم یقل بثبوته له و</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صدقه و حمله علیه و لو صدقا کصدق العرضی الخارج کما قد یزعم یلزمه القول بنفی الواجب تعالی شأنه إذ لا واسطة بین العدم و الوجود بهذا المعنی الأعم و إن لم یلتزمه و من عرفه قابلا للرؤیة البصریة و لو فی الآخرة فقد شبّهه بخلقه و جسّمه من حیث لا یشعر و لا یقول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التشبیه فی الحقیقة یستلزم النفی لأن المشبه ینفی الإله الذی لا یشبهه شیء و لَیْسَ کَمِثْلِهِ شَیْءٌ </w:t>
      </w:r>
      <w:r>
        <w:rPr>
          <w:rStyle w:val="FootnoteAnchor"/>
          <w:rtl w:val="true"/>
        </w:rPr>
        <w:footnoteReference w:id="1603"/>
      </w:r>
      <w:r>
        <w:rPr>
          <w:rFonts w:ascii="IRNazanin" w:hAnsi="IRNazanin" w:eastAsia="IRNazanin"/>
          <w:color w:val="111111"/>
          <w:sz w:val="28"/>
          <w:sz w:val="28"/>
          <w:szCs w:val="28"/>
          <w:rtl w:val="true"/>
          <w:lang w:bidi="fa-IR"/>
        </w:rPr>
        <w:t>و إنما یثبت غیره و کذا من عطّله عن أفعاله و سلطانه و قال بجواز الظلم علیه أو وقوعه عنه فالمعرفة الحقة و التوحید الحق طریقة ائمتنا علیهم السّلام و اتباعهم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الفقرة وجه آخر هو أن یکون اخلاص التوحید عبارة عن کمال الطاعة بفعل کل مأمور و ترک کل محظور لأنّ من أیقن بوحدته تعالی و عدم شریک أو ضد یعترض علیه أو یتعرض له فیما أراد أو یمنعه عن فعل المراد یجب علیه أن یطیعه و لا یعصیه فالتوحید یوجب زیادة الخوف و کمال الطوع و لذلک فرع علیه التقوی فی قوله سبحانه</w:t>
      </w:r>
      <w:r>
        <w:rPr>
          <w:rFonts w:eastAsia="IRNazanin" w:cs="IRNazanin"/>
          <w:color w:val="111111"/>
          <w:sz w:val="28"/>
          <w:szCs w:val="28"/>
          <w:rtl w:val="true"/>
          <w:lang w:bidi="fa-IR"/>
        </w:rPr>
        <w:t xml:space="preserve">: </w:t>
      </w:r>
      <w:bookmarkStart w:id="682" w:name="pg12937_139532"/>
    </w:p>
    <w:p>
      <w:pPr>
        <w:pStyle w:val="BookText"/>
        <w:rPr/>
      </w:pPr>
      <w:bookmarkEnd w:id="682"/>
      <w:r>
        <w:rPr>
          <w:rFonts w:ascii="Amiri" w:hAnsi="Amiri" w:eastAsia="Amiri" w:cs="Amiri"/>
          <w:color w:val="111111"/>
          <w:sz w:val="28"/>
          <w:sz w:val="28"/>
          <w:szCs w:val="28"/>
          <w:rtl w:val="true"/>
          <w:lang w:bidi="ar-SA"/>
        </w:rPr>
        <w:t xml:space="preserve">لاٰ إِلٰهَ إِلاّٰ أَنَا فَاتَّقُونِ </w:t>
      </w:r>
      <w:r>
        <w:rPr>
          <w:rStyle w:val="FootnoteAnchor"/>
          <w:rtl w:val="true"/>
        </w:rPr>
        <w:footnoteReference w:id="1604"/>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مخلصا وجبت له الجنة و اخلاصه أن یحجزه عما حرّم اللّه</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و علی هذا،فالمخلص فی التوحید و الخالص فی التفرید من لم یعص اللّه طرفة عین أبدا و لم یعبد قط مع اللّه أحدا لا من أفنی عمره و صرف دهره فی عبادة الهوی و الشیطان و تقبیل عتبة الأوثان فإنه قد عبد من الآلهة آلافا و یرجو لتوحیده جنات ألفافا ففیه تعریض بغاصبی حقوقهم و ناصبی عقوقهم ممن حل بمکانهم و امتنع من امکانهم من أول متبوع اقتحم هنالک و آخر تابع له علی ذلک و لا یبعد التعمیم للمعنیین فالمعنی إنّهم اخلصوا التوحید عن شوایب التعدید و الشرک الظاهری و الباطن مطلقا و من کل وجه ممکن</w:t>
      </w:r>
      <w:r>
        <w:rPr>
          <w:rFonts w:eastAsia="IRNazanin" w:cs="IRNazanin"/>
          <w:color w:val="111111"/>
          <w:sz w:val="28"/>
          <w:szCs w:val="28"/>
          <w:rtl w:val="true"/>
          <w:lang w:bidi="fa-IR"/>
        </w:rPr>
        <w:t>.</w:t>
      </w:r>
    </w:p>
    <w:p>
      <w:pPr>
        <w:pStyle w:val="Heading4"/>
        <w:numPr>
          <w:ilvl w:val="3"/>
          <w:numId w:val="1"/>
        </w:numPr>
        <w:rPr/>
      </w:pPr>
      <w:bookmarkStart w:id="683" w:name="__RefHeading___Toc4067289_3224264995"/>
      <w:bookmarkStart w:id="684" w:name="_Toc258"/>
      <w:bookmarkEnd w:id="683"/>
      <w:r>
        <w:rPr>
          <w:rtl w:val="true"/>
        </w:rPr>
        <w:t>«</w:t>
      </w:r>
      <w:r>
        <w:rPr>
          <w:rtl w:val="true"/>
        </w:rPr>
        <w:t>و المظهرین لأمر اللّه و نهیه</w:t>
      </w:r>
      <w:r>
        <w:rPr>
          <w:rtl w:val="true"/>
        </w:rPr>
        <w:t>»</w:t>
      </w:r>
      <w:bookmarkEnd w:id="684"/>
    </w:p>
    <w:p>
      <w:pPr>
        <w:pStyle w:val="BookText"/>
        <w:rPr/>
      </w:pPr>
      <w:r>
        <w:rPr>
          <w:rFonts w:ascii="IRNazanin" w:hAnsi="IRNazanin" w:eastAsia="IRNazanin"/>
          <w:color w:val="111111"/>
          <w:sz w:val="28"/>
          <w:sz w:val="28"/>
          <w:szCs w:val="28"/>
          <w:rtl w:val="true"/>
          <w:lang w:bidi="fa-IR"/>
        </w:rPr>
        <w:t>أی الآمرین بالمعروف و الإیمان و الناهین عن المنکر و الکفران أو المبینین لأمره و نهیه بإظهارهما بأنفسهما أو إظهار المقصود بهما أو للمأمور به و المنهی عنه أو الممتثلین بهما مطلقا و إن شق الإمتثال و اقتضی الخروج عن النفس و الاهل و المال لأن الإمتثال بهما إظهار لهما و الممتثل مظهر لهما لأنّه أتی بمثلهما و علی أی وجه فالأمر و النهی للجنس فیعمان إذ المقام خطابی و لا مخصص و ظاهر الإظهار هو الحقیقی أعنی إظهار حقیقة الأمر و النهی الواقعیین من غیر شوب تحریف و تخلیط و ذلک لا یتیسر لغیر المعصومین</w:t>
      </w:r>
      <w:r>
        <w:rPr>
          <w:rFonts w:eastAsia="IRNazanin" w:cs="IRNazanin"/>
          <w:color w:val="111111"/>
          <w:sz w:val="28"/>
          <w:szCs w:val="28"/>
          <w:rtl w:val="true"/>
          <w:lang w:bidi="fa-IR"/>
        </w:rPr>
        <w:t>.</w:t>
      </w:r>
    </w:p>
    <w:p>
      <w:pPr>
        <w:pStyle w:val="Heading4"/>
        <w:numPr>
          <w:ilvl w:val="3"/>
          <w:numId w:val="1"/>
        </w:numPr>
        <w:rPr/>
      </w:pPr>
      <w:bookmarkStart w:id="685" w:name="__RefHeading___Toc4067291_3224264995"/>
      <w:bookmarkStart w:id="686" w:name="_Toc259"/>
      <w:bookmarkEnd w:id="685"/>
      <w:r>
        <w:rPr>
          <w:rtl w:val="true"/>
        </w:rPr>
        <w:t>«</w:t>
      </w:r>
      <w:r>
        <w:rPr>
          <w:rtl w:val="true"/>
        </w:rPr>
        <w:t>و عباده المکرمین</w:t>
      </w:r>
      <w:r>
        <w:rPr>
          <w:rtl w:val="true"/>
        </w:rPr>
        <w:t>[/</w:t>
      </w:r>
      <w:r>
        <w:rPr/>
        <w:t>21</w:t>
      </w:r>
      <w:r>
        <w:rPr>
          <w:rtl w:val="true"/>
        </w:rPr>
        <w:t xml:space="preserve"> </w:t>
      </w:r>
      <w:r>
        <w:rPr/>
        <w:t>A</w:t>
      </w:r>
      <w:r>
        <w:rPr>
          <w:rtl w:val="true"/>
        </w:rPr>
        <w:t xml:space="preserve"> ]</w:t>
      </w:r>
      <w:r>
        <w:rPr>
          <w:rtl w:val="true"/>
        </w:rPr>
        <w:t>الذین لا یسبقونه بالقول و هم بأمره یعملون</w:t>
      </w:r>
      <w:r>
        <w:rPr>
          <w:rtl w:val="true"/>
        </w:rPr>
        <w:t>»</w:t>
      </w:r>
      <w:bookmarkEnd w:id="68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اقتباس من قوله تعالی فی سورة الأنبیاء فی وصف الملایکة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1606"/>
      </w:r>
      <w:r>
        <w:rPr>
          <w:rFonts w:ascii="Amiri" w:hAnsi="Amiri" w:eastAsia="Amiri" w:cs="Amiri"/>
          <w:color w:val="111111"/>
          <w:sz w:val="28"/>
          <w:sz w:val="28"/>
          <w:szCs w:val="28"/>
          <w:rtl w:val="true"/>
          <w:lang w:bidi="ar-SA"/>
        </w:rPr>
        <w:t>و کالدلیل علی الفقرة السابقة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اضراب عن قول من جعل الملایکة ولد اللّه کما حکاه قبیله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بَلْ عِبٰادٌ </w:t>
      </w:r>
      <w:r>
        <w:rPr>
          <w:rStyle w:val="FootnoteAnchor"/>
          <w:rtl w:val="true"/>
        </w:rPr>
        <w:footnoteReference w:id="1607"/>
      </w:r>
      <w:r>
        <w:rPr>
          <w:rFonts w:ascii="IRNazanin" w:hAnsi="IRNazanin" w:eastAsia="IRNazanin"/>
          <w:color w:val="111111"/>
          <w:sz w:val="28"/>
          <w:sz w:val="28"/>
          <w:szCs w:val="28"/>
          <w:rtl w:val="true"/>
          <w:lang w:bidi="fa-IR"/>
        </w:rPr>
        <w:t>أی بل هم عباد أی الملایکة الذین تجعلونهم أولادا لیسوا أولادا بل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خزاعة ردا علی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الملایکة بنات اللّه و قال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ابن اللّه و ما 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ابن اللّه و قالوا فی الأئمة ما قالوا فقال اللّه سبحانه أنفة له بل عباد </w:t>
      </w:r>
      <w:r>
        <w:rPr>
          <w:rStyle w:val="FootnoteAnchor"/>
          <w:rtl w:val="true"/>
        </w:rPr>
        <w:footnoteReference w:id="1608"/>
      </w:r>
      <w:r>
        <w:rPr>
          <w:rFonts w:ascii="IRNazanin" w:hAnsi="IRNazanin" w:eastAsia="IRNazanin"/>
          <w:color w:val="111111"/>
          <w:sz w:val="28"/>
          <w:sz w:val="28"/>
          <w:szCs w:val="28"/>
          <w:rtl w:val="true"/>
          <w:lang w:bidi="fa-IR"/>
        </w:rPr>
        <w:t>الخ فهذه الفقرة هنا علی القول الأخیر جاریة فی بعض مورد الآیة و علی الأول فی نظیره القریب و لا یسبقونه أی لا یسبقون اللّه سبحانه بالقول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بِأَمْرِهِ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و لا یخالفونه قال القاضی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لا یسبق قولهم قوله فنسب السبق إلیه و إلیهم و جعل القول محله و أداته </w:t>
      </w:r>
      <w:r>
        <w:rPr>
          <w:rStyle w:val="FootnoteAnchor"/>
          <w:rtl w:val="true"/>
        </w:rPr>
        <w:footnoteReference w:id="1609"/>
      </w:r>
      <w:r>
        <w:rPr>
          <w:rFonts w:ascii="IRNazanin" w:hAnsi="IRNazanin" w:eastAsia="IRNazanin"/>
          <w:color w:val="111111"/>
          <w:sz w:val="28"/>
          <w:sz w:val="28"/>
          <w:szCs w:val="28"/>
          <w:rtl w:val="true"/>
          <w:lang w:bidi="fa-IR"/>
        </w:rPr>
        <w:t xml:space="preserve">و أنیب اللام عن الإضافة اختصارا و تجافیا عن تکرر الضمیر؛ </w:t>
      </w:r>
      <w:r>
        <w:rPr>
          <w:rStyle w:val="FootnoteAnchor"/>
          <w:rtl w:val="true"/>
        </w:rPr>
        <w:footnoteReference w:id="1610"/>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ضمیر الجمع الغایب متکررا بواو الجمع و المضاف إلیه القول و یمکن جعل القول للجنس الدایر بین قولهم و قوله سبحانه و الباء للآلیة أو الظرفیة المجازیة أی لا یقع سبقهم علیه بهذا الجنس أو فیه سواء جعل القول بمعنی المصدر أو المقول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الراوندی فی فصل معجزات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نمشی خلف أمیر المؤمنین علیه السّلام و معنا رجل من قریش فقال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قتلت الرجال و أیتمت الأطفال و فعلت و فعلت</w:t>
      </w:r>
      <w:r>
        <w:rPr>
          <w:rFonts w:eastAsia="IRNazanin" w:cs="IRNazanin"/>
          <w:color w:val="111111"/>
          <w:sz w:val="28"/>
          <w:szCs w:val="28"/>
          <w:rtl w:val="true"/>
          <w:lang w:bidi="fa-IR"/>
        </w:rPr>
        <w:t xml:space="preserve">. </w:t>
      </w:r>
      <w:bookmarkStart w:id="687" w:name="pg12937_139534"/>
    </w:p>
    <w:p>
      <w:pPr>
        <w:pStyle w:val="BookText"/>
        <w:rPr/>
      </w:pPr>
      <w:bookmarkEnd w:id="687"/>
      <w:r>
        <w:rPr>
          <w:rFonts w:ascii="IRNazanin" w:hAnsi="IRNazanin" w:eastAsia="IRNazanin"/>
          <w:color w:val="111111"/>
          <w:sz w:val="28"/>
          <w:sz w:val="28"/>
          <w:szCs w:val="28"/>
          <w:rtl w:val="true"/>
          <w:lang w:bidi="fa-IR"/>
        </w:rPr>
        <w:t>فالتفت علیه السّلام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کلب أسود،فجعل یلوذ به و یبصبص فرآه فرحمه فحرّک شفتیه فإذا هو رجل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أنت تقدر علی مثل هذا و یناویک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 مکرمون لا نسبقه بالقول و نحن بأمره عاملون</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المعجزة العاشرة من ذلک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اختصم رجل و امرأة إلیه فعلا صوت الرجل علی المرأة فقال علیه السّلام له اخسأ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خارجیا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رأسه رأس الکلب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صحت بهذا الخارجی فصار رأسه رأس الکلب فما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یمنعک من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لو أشاء أن آتی بمعاویة إلی ههنا بسریره لدعوت اللّه حتی فعل و لکن للّه خزان لا علی ذهب و لا فضّة و لکن علی أسراره؛هذا تأویل ما تقرأ بَلْ عِبٰادٌ مُکْرَمُونَ الآیة؛ </w:t>
      </w:r>
      <w:r>
        <w:rPr>
          <w:rStyle w:val="FootnoteAnchor"/>
          <w:rtl w:val="true"/>
        </w:rPr>
        <w:footnoteReference w:id="1612"/>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اقتصر فی الصافی </w:t>
      </w:r>
      <w:r>
        <w:rPr>
          <w:rStyle w:val="FootnoteAnchor"/>
          <w:rtl w:val="true"/>
        </w:rPr>
        <w:footnoteReference w:id="1613"/>
      </w:r>
      <w:r>
        <w:rPr>
          <w:rFonts w:ascii="IRNazanin" w:hAnsi="IRNazanin" w:eastAsia="IRNazanin"/>
          <w:color w:val="111111"/>
          <w:sz w:val="28"/>
          <w:sz w:val="28"/>
          <w:szCs w:val="28"/>
          <w:rtl w:val="true"/>
          <w:lang w:bidi="fa-IR"/>
        </w:rPr>
        <w:t>علی نقل هذه من الخرایج دون الأولی فلعلّها فاتته أو لم تکن صریحة فی تأویل الآیة کالثانیة فلم یتعرض لها و إن کانت کالصریحة ثم الإقتصار علی القول لأجل أن الأمر فیه أهون و أسهل عقلا و شرعا من أمر الإعتقاد و العمل فإذا لم یسبقوه سبحانه فی الأیسر فبالأولویة لا یسبقونه فی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 مبالغة بالغة تنزیههم عن المخالفة</w:t>
      </w:r>
      <w:r>
        <w:rPr>
          <w:rFonts w:eastAsia="IRNazanin" w:cs="IRNazanin"/>
          <w:color w:val="111111"/>
          <w:sz w:val="28"/>
          <w:szCs w:val="28"/>
          <w:rtl w:val="true"/>
          <w:lang w:bidi="fa-IR"/>
        </w:rPr>
        <w:t>.</w:t>
      </w:r>
    </w:p>
    <w:p>
      <w:pPr>
        <w:pStyle w:val="Heading4"/>
        <w:numPr>
          <w:ilvl w:val="3"/>
          <w:numId w:val="1"/>
        </w:numPr>
        <w:rPr/>
      </w:pPr>
      <w:bookmarkStart w:id="688" w:name="__RefHeading___Toc4067293_3224264995"/>
      <w:bookmarkStart w:id="689" w:name="_Toc260"/>
      <w:bookmarkEnd w:id="688"/>
      <w:r>
        <w:rPr>
          <w:rtl w:val="true"/>
        </w:rPr>
        <w:t>«</w:t>
      </w:r>
      <w:r>
        <w:rPr>
          <w:rtl w:val="true"/>
        </w:rPr>
        <w:t>و رحمة اللّه و برکاته</w:t>
      </w:r>
      <w:r>
        <w:rPr>
          <w:rtl w:val="true"/>
        </w:rPr>
        <w:t>»</w:t>
      </w:r>
      <w:bookmarkEnd w:id="689"/>
    </w:p>
    <w:p>
      <w:pPr>
        <w:pStyle w:val="BookText"/>
        <w:rPr/>
      </w:pPr>
      <w:r>
        <w:rPr>
          <w:rFonts w:ascii="Amiri" w:hAnsi="Amiri" w:eastAsia="Amiri" w:cs="Amiri"/>
          <w:color w:val="111111"/>
          <w:sz w:val="28"/>
          <w:sz w:val="28"/>
          <w:szCs w:val="28"/>
          <w:rtl w:val="true"/>
          <w:lang w:bidi="ar-SA"/>
        </w:rPr>
        <w:t>و الخامسة قوله</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4067295_3224264995"/>
      <w:bookmarkStart w:id="691" w:name="_Toc261"/>
      <w:bookmarkEnd w:id="690"/>
      <w:r>
        <w:rPr>
          <w:rtl w:val="true"/>
        </w:rPr>
        <w:t>«</w:t>
      </w:r>
      <w:r>
        <w:rPr>
          <w:rtl w:val="true"/>
        </w:rPr>
        <w:t>السلام علی الأئمّة الدعاة</w:t>
      </w:r>
      <w:r>
        <w:rPr>
          <w:rtl w:val="true"/>
        </w:rPr>
        <w:t>»</w:t>
      </w:r>
      <w:bookmarkEnd w:id="69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الوصف بالدعاة إلی اللّه فی التسلیمة الرابعة یغنی عن اطلاق الدعاة إذا المطلق </w:t>
      </w:r>
      <w:bookmarkStart w:id="692" w:name="pg12937_139535"/>
    </w:p>
    <w:p>
      <w:pPr>
        <w:pStyle w:val="BookText"/>
        <w:rPr/>
      </w:pPr>
      <w:bookmarkEnd w:id="692"/>
      <w:r>
        <w:rPr>
          <w:rFonts w:ascii="IRNazanin" w:hAnsi="IRNazanin" w:eastAsia="IRNazanin"/>
          <w:color w:val="111111"/>
          <w:sz w:val="28"/>
          <w:sz w:val="28"/>
          <w:szCs w:val="28"/>
          <w:rtl w:val="true"/>
          <w:lang w:bidi="fa-IR"/>
        </w:rPr>
        <w:t>لازم للمقید لکنها مقیدة هنا للأیمة و هناک مقیدة بالظرف و ظاهر أن الداعی إلی اللّه و الإمام یتغایران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اتحادهما بالمآل فالمقام الخطابی لا یأبی عن صریح التکرار فضلا عما یؤول إلیه بوجه من الإعتبار علی أن الحق عدم التکرار إذ الداعی أعم من الإمام بالمعنی الأخص و إن لزمه معناه العام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هنا الأئمة الدعاة إلی اللّه کما أن الدعوة هناک هی الخاصة بالإمام و لو بمعونة المقام فلا تغایر إلا بحسب الظاهر فالإعتذار بالمقام أولی من تجشم تأویل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المراد هنا الدعاة إلی الجنة أو الحق أو الإسلام أو الإیمان أو القرآن أو نحو ذلک فیتغایران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الدعوة إلی الکل مأخوذة فی الدعوة إلی اللّه و التخصیص ینافی المقام لکن الحق أن المقام یقتضی التعمیم و الفرار عن التکریر یستدعی التغایر الحاصل بالتخصیص فیتعارضان و لکل وجه فإن رجحنا الأول ما احتجنا إلی الثانی و إن رجحناه خالفنا الأول مع الحاجة إلی موافقته لأن خلاف مقتضی المقام من منافیات بلاغة الکلام فمراعاة المقام و ترجیحه أولی</w:t>
      </w:r>
      <w:r>
        <w:rPr>
          <w:rFonts w:eastAsia="IRNazanin" w:cs="IRNazanin"/>
          <w:color w:val="111111"/>
          <w:sz w:val="28"/>
          <w:szCs w:val="28"/>
          <w:rtl w:val="true"/>
          <w:lang w:bidi="fa-IR"/>
        </w:rPr>
        <w:t>.</w:t>
      </w:r>
    </w:p>
    <w:p>
      <w:pPr>
        <w:pStyle w:val="Heading4"/>
        <w:numPr>
          <w:ilvl w:val="3"/>
          <w:numId w:val="1"/>
        </w:numPr>
        <w:rPr/>
      </w:pPr>
      <w:bookmarkStart w:id="693" w:name="__RefHeading___Toc4067297_3224264995"/>
      <w:bookmarkStart w:id="694" w:name="_Toc262"/>
      <w:bookmarkEnd w:id="693"/>
      <w:r>
        <w:rPr>
          <w:rtl w:val="true"/>
        </w:rPr>
        <w:t>«</w:t>
      </w:r>
      <w:r>
        <w:rPr>
          <w:rtl w:val="true"/>
        </w:rPr>
        <w:t>و القادة الهداة</w:t>
      </w:r>
      <w:r>
        <w:rPr>
          <w:rtl w:val="true"/>
        </w:rPr>
        <w:t>»</w:t>
      </w:r>
      <w:bookmarkEnd w:id="69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القادة جمع قاید </w:t>
      </w:r>
      <w:r>
        <w:rPr>
          <w:rStyle w:val="FootnoteAnchor"/>
          <w:rtl w:val="true"/>
        </w:rPr>
        <w:footnoteReference w:id="1614"/>
      </w:r>
      <w:r>
        <w:rPr>
          <w:rFonts w:ascii="IRNazanin" w:hAnsi="IRNazanin" w:eastAsia="IRNazanin"/>
          <w:color w:val="111111"/>
          <w:sz w:val="28"/>
          <w:sz w:val="28"/>
          <w:szCs w:val="28"/>
          <w:rtl w:val="true"/>
          <w:lang w:bidi="fa-IR"/>
        </w:rPr>
        <w:t>أصله قودة بفتحات قلبت الواو لتحرکها و فتح ما قبلها ألفا و القود و القیاد و الإقتیاد الجرّ من قدام و المقود بالکسر ما یقاد به کاللجام و نحوه و منه قاید الأعمی لمن یجرّ عصاه و القواد لأمراء الجیش لأنهم یقودونهم إلی حیث شاءوا و هم ینقادون و الهداة للهادی کالدعاة للداعی و کأنّ وصف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القادة بالهدایة للتأکید للزومها للقود عرفا و عادة و یحتمل التأسیس و الإحتراز عن القاید المضل کمن یقود إلی النار لا یقال لعل الهداة بالنصب مفعول القادة علی معنی الذین قادوا الهداة کقوله تعالی</w:t>
      </w:r>
      <w:r>
        <w:rPr>
          <w:rFonts w:eastAsia="IRNazanin" w:cs="IRNazanin"/>
          <w:color w:val="111111"/>
          <w:sz w:val="28"/>
          <w:szCs w:val="28"/>
          <w:rtl w:val="true"/>
          <w:lang w:bidi="fa-IR"/>
        </w:rPr>
        <w:t xml:space="preserve">: </w:t>
      </w:r>
      <w:bookmarkStart w:id="695" w:name="pg12937_139536"/>
    </w:p>
    <w:p>
      <w:pPr>
        <w:pStyle w:val="BookText"/>
        <w:rPr/>
      </w:pPr>
      <w:bookmarkEnd w:id="695"/>
      <w:r>
        <w:rPr>
          <w:rFonts w:ascii="Amiri" w:hAnsi="Amiri" w:eastAsia="Amiri" w:cs="Amiri"/>
          <w:color w:val="111111"/>
          <w:sz w:val="28"/>
          <w:sz w:val="28"/>
          <w:szCs w:val="28"/>
          <w:rtl w:val="true"/>
          <w:lang w:bidi="ar-SA"/>
        </w:rPr>
        <w:t xml:space="preserve">اَلْمُقِیمِینَ الصَّلاٰةَ وَ الْمُؤْتُونَ الزَّکٰاةَ </w:t>
      </w:r>
      <w:r>
        <w:rPr>
          <w:rStyle w:val="FootnoteAnchor"/>
          <w:rtl w:val="true"/>
        </w:rPr>
        <w:footnoteReference w:id="1615"/>
      </w:r>
      <w:r>
        <w:rPr>
          <w:rFonts w:ascii="IRNazanin" w:hAnsi="IRNazanin" w:eastAsia="IRNazanin"/>
          <w:color w:val="111111"/>
          <w:sz w:val="28"/>
          <w:sz w:val="28"/>
          <w:szCs w:val="28"/>
          <w:rtl w:val="true"/>
          <w:lang w:bidi="fa-IR"/>
        </w:rPr>
        <w:t>لأن الضبط و النقل بالجر و لأن ما قبله و ما بعده علی الوصف و مخالفة الوسط لطرفیه بعیدة جدا</w:t>
      </w:r>
      <w:r>
        <w:rPr>
          <w:rFonts w:eastAsia="IRNazanin" w:cs="IRNazanin"/>
          <w:color w:val="111111"/>
          <w:sz w:val="28"/>
          <w:szCs w:val="28"/>
          <w:rtl w:val="true"/>
          <w:lang w:bidi="fa-IR"/>
        </w:rPr>
        <w:t>.</w:t>
      </w:r>
    </w:p>
    <w:p>
      <w:pPr>
        <w:pStyle w:val="Heading4"/>
        <w:numPr>
          <w:ilvl w:val="3"/>
          <w:numId w:val="1"/>
        </w:numPr>
        <w:rPr/>
      </w:pPr>
      <w:bookmarkStart w:id="696" w:name="__RefHeading___Toc4067299_3224264995"/>
      <w:bookmarkStart w:id="697" w:name="_Toc263"/>
      <w:bookmarkEnd w:id="696"/>
      <w:r>
        <w:rPr>
          <w:rtl w:val="true"/>
        </w:rPr>
        <w:t>«</w:t>
      </w:r>
      <w:r>
        <w:rPr>
          <w:rtl w:val="true"/>
        </w:rPr>
        <w:t>و السادة</w:t>
      </w:r>
      <w:r>
        <w:rPr>
          <w:rtl w:val="true"/>
        </w:rPr>
        <w:t>» [</w:t>
      </w:r>
      <w:r>
        <w:rPr>
          <w:rtl w:val="true"/>
        </w:rPr>
        <w:t>الولاة</w:t>
      </w:r>
      <w:r>
        <w:rPr>
          <w:rtl w:val="true"/>
        </w:rPr>
        <w:t>]</w:t>
      </w:r>
      <w:bookmarkEnd w:id="697"/>
    </w:p>
    <w:p>
      <w:pPr>
        <w:pStyle w:val="BookText"/>
        <w:rPr/>
      </w:pPr>
      <w:r>
        <w:rPr>
          <w:rFonts w:ascii="IRNazanin" w:hAnsi="IRNazanin" w:eastAsia="IRNazanin"/>
          <w:color w:val="111111"/>
          <w:sz w:val="28"/>
          <w:sz w:val="28"/>
          <w:szCs w:val="28"/>
          <w:rtl w:val="true"/>
          <w:lang w:bidi="fa-IR"/>
        </w:rPr>
        <w:t xml:space="preserve">جمع الساید من السیادة و هو السید؛و فی القاموس الساید،السید أو دونه الجمع سادة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التردید للتردد و الخلاف و لا اشکال علی الأول و أما علی کونه دون السید فالأدونیة لیست إلا بالإضافة إلی سید المرسلین صلّی اللّه علیه و اله فإنهم نوّابه و خلفاؤه فیکونون دونه بهذا الإعتبار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الوالی و المراد ولایة الإمامة و هی الریاسة العامة فی الدین و الدنیا نیابة عن النبی و لیست جزءا من مفهوم السیادة</w:t>
      </w:r>
      <w:r>
        <w:rPr>
          <w:rFonts w:eastAsia="IRNazanin" w:cs="IRNazanin"/>
          <w:color w:val="111111"/>
          <w:sz w:val="28"/>
          <w:szCs w:val="28"/>
          <w:rtl w:val="true"/>
          <w:lang w:bidi="fa-IR"/>
        </w:rPr>
        <w:t>.</w:t>
      </w:r>
    </w:p>
    <w:p>
      <w:pPr>
        <w:pStyle w:val="Heading4"/>
        <w:numPr>
          <w:ilvl w:val="3"/>
          <w:numId w:val="1"/>
        </w:numPr>
        <w:rPr/>
      </w:pPr>
      <w:bookmarkStart w:id="698" w:name="__RefHeading___Toc4067301_3224264995"/>
      <w:bookmarkStart w:id="699" w:name="_Toc264"/>
      <w:bookmarkEnd w:id="698"/>
      <w:r>
        <w:rPr>
          <w:rtl w:val="true"/>
        </w:rPr>
        <w:t>«</w:t>
      </w:r>
      <w:r>
        <w:rPr>
          <w:rtl w:val="true"/>
        </w:rPr>
        <w:t>و الذادة</w:t>
      </w:r>
      <w:r>
        <w:rPr>
          <w:rtl w:val="true"/>
        </w:rPr>
        <w:t>» [</w:t>
      </w:r>
      <w:r>
        <w:rPr>
          <w:rtl w:val="true"/>
        </w:rPr>
        <w:t>الحماة</w:t>
      </w:r>
      <w:r>
        <w:rPr>
          <w:rtl w:val="true"/>
        </w:rPr>
        <w:t>]</w:t>
      </w:r>
      <w:bookmarkEnd w:id="699"/>
    </w:p>
    <w:p>
      <w:pPr>
        <w:pStyle w:val="BookText"/>
        <w:rPr/>
      </w:pPr>
      <w:r>
        <w:rPr>
          <w:rFonts w:ascii="IRNazanin" w:hAnsi="IRNazanin" w:eastAsia="IRNazanin"/>
          <w:color w:val="111111"/>
          <w:sz w:val="28"/>
          <w:sz w:val="28"/>
          <w:szCs w:val="28"/>
          <w:rtl w:val="true"/>
          <w:lang w:bidi="fa-IR"/>
        </w:rPr>
        <w:t xml:space="preserve">جمع الذاید </w:t>
      </w:r>
      <w:r>
        <w:rPr>
          <w:rStyle w:val="FootnoteAnchor"/>
          <w:rtl w:val="true"/>
        </w:rPr>
        <w:footnoteReference w:id="1617"/>
      </w:r>
      <w:r>
        <w:rPr>
          <w:rFonts w:ascii="IRNazanin" w:hAnsi="IRNazanin" w:eastAsia="IRNazanin"/>
          <w:color w:val="111111"/>
          <w:sz w:val="28"/>
          <w:sz w:val="28"/>
          <w:szCs w:val="28"/>
          <w:rtl w:val="true"/>
          <w:lang w:bidi="fa-IR"/>
        </w:rPr>
        <w:t>من ذاده،یذود،ذودا؛إذا ساقه أو طرده و دفعه لأنهم سایقوا العباد بالهدایة و دافعوا أهل العناد و الغوایة فکما یجاهدون بالسیف و السنان للدفع عن الأبدان یجاهدون بقاطع البرهان دفعا عن الأدیان و یرابطون فی ثغور الایمان لدفع شبهات أهل الضلال و الطغیان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الحامی من حماه،یحمیه،حمایة؛إذا حفظه و منع عنه الأذی و الضر و هو تأکید للذادة علی المعنی الثانی للذود إلا أن یحمل أحدهما علی الدنیا و الآخر علی الآخرة</w:t>
      </w:r>
      <w:r>
        <w:rPr>
          <w:rFonts w:eastAsia="IRNazanin" w:cs="IRNazanin"/>
          <w:color w:val="111111"/>
          <w:sz w:val="28"/>
          <w:szCs w:val="28"/>
          <w:rtl w:val="true"/>
          <w:lang w:bidi="fa-IR"/>
        </w:rPr>
        <w:t xml:space="preserve">. </w:t>
      </w:r>
      <w:bookmarkStart w:id="700" w:name="pg12937_139537"/>
    </w:p>
    <w:p>
      <w:pPr>
        <w:pStyle w:val="Heading4"/>
        <w:numPr>
          <w:ilvl w:val="3"/>
          <w:numId w:val="1"/>
        </w:numPr>
        <w:rPr/>
      </w:pPr>
      <w:bookmarkStart w:id="701" w:name="__RefHeading___Toc4067303_3224264995"/>
      <w:bookmarkStart w:id="702" w:name="_Toc265"/>
      <w:bookmarkEnd w:id="700"/>
      <w:bookmarkEnd w:id="701"/>
      <w:r>
        <w:rPr>
          <w:rtl w:val="true"/>
        </w:rPr>
        <w:t>«</w:t>
      </w:r>
      <w:r>
        <w:rPr>
          <w:rtl w:val="true"/>
        </w:rPr>
        <w:t>و أهل الذکر</w:t>
      </w:r>
      <w:r>
        <w:rPr>
          <w:rtl w:val="true"/>
        </w:rPr>
        <w:t>»</w:t>
      </w:r>
      <w:bookmarkEnd w:id="702"/>
    </w:p>
    <w:p>
      <w:pPr>
        <w:pStyle w:val="Heading5"/>
        <w:numPr>
          <w:ilvl w:val="4"/>
          <w:numId w:val="1"/>
        </w:numPr>
        <w:rPr/>
      </w:pPr>
      <w:bookmarkStart w:id="703" w:name="__RefHeading___Toc4067305_3224264995"/>
      <w:bookmarkStart w:id="704" w:name="_Toc266"/>
      <w:bookmarkEnd w:id="703"/>
      <w:r>
        <w:rPr>
          <w:rtl w:val="true"/>
        </w:rPr>
        <w:t>[</w:t>
      </w:r>
      <w:r>
        <w:rPr>
          <w:rtl w:val="true"/>
        </w:rPr>
        <w:t>وجوه عشرة فی معنی أهل الذکر</w:t>
      </w:r>
      <w:r>
        <w:rPr>
          <w:rtl w:val="true"/>
        </w:rPr>
        <w:t>]</w:t>
      </w:r>
      <w:bookmarkEnd w:id="704"/>
    </w:p>
    <w:p>
      <w:pPr>
        <w:pStyle w:val="BookText"/>
        <w:rPr/>
      </w:pPr>
      <w:r>
        <w:rPr>
          <w:rFonts w:ascii="Amiri" w:hAnsi="Amiri" w:eastAsia="Amiri" w:cs="Amiri"/>
          <w:color w:val="111111"/>
          <w:sz w:val="28"/>
          <w:sz w:val="28"/>
          <w:szCs w:val="28"/>
          <w:rtl w:val="true"/>
          <w:lang w:bidi="ar-SA"/>
        </w:rPr>
        <w:t>فیه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الذکر العلم قال تعالی فی سورتی الأنبیاء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Style w:val="FootnoteAnchor"/>
          <w:rtl w:val="true"/>
        </w:rPr>
        <w:footnoteReference w:id="1618"/>
      </w:r>
      <w:r>
        <w:rPr>
          <w:rFonts w:ascii="IRNazanin" w:hAnsi="IRNazanin" w:eastAsia="IRNazanin"/>
          <w:color w:val="111111"/>
          <w:sz w:val="28"/>
          <w:sz w:val="28"/>
          <w:szCs w:val="28"/>
          <w:rtl w:val="true"/>
          <w:lang w:bidi="fa-IR"/>
        </w:rPr>
        <w:t>أی إنما أرسلنا البشر دون الملایکة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عمدة میراثهم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الباقر علیه السّلام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 هم الیهود و النصاری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یدعونکم إلی دینهم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إلی صدره نحن أهل الذکر و نحن المسئولون</w:t>
      </w:r>
      <w:r>
        <w:rPr>
          <w:rFonts w:eastAsia="IRNazanin" w:cs="IRNazanin"/>
          <w:color w:val="111111"/>
          <w:sz w:val="28"/>
          <w:szCs w:val="28"/>
          <w:rtl w:val="true"/>
          <w:lang w:bidi="fa-IR"/>
        </w:rPr>
        <w:t xml:space="preserve">». </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معهم أی فاسئلوا أهل الکتب الماضیة أو أهل العلم منهم عن المرسلین فی أعصارهم رجالا کانوا أم ملایکة فکیف یصح المعنی علی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القرآن کما قالوا فی السؤال عن بشریة الرسل و ملکیّتهم و ما فی الروایة من بطونه و التفصیل أن للآیة ظهرا هو منطوقها الصریح و الأمر فیه ما قالوا و بطنا هو مفهومها الذی یستنبط من الآیة لأنها تدل علی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وجوب سؤال الجاهل عن العالم 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دلیل علی وجوب المراجعة إلی العلماء فیما لا یعلم </w:t>
      </w:r>
      <w:r>
        <w:rPr>
          <w:rStyle w:val="FootnoteAnchor"/>
          <w:rtl w:val="true"/>
        </w:rPr>
        <w:footnoteReference w:id="1620"/>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وجوب الإفتاء علی المجتهد و الإستفتاء علی غیره و العمل بقوله؛و ما فی الروایة ناظر إلی مفهوم الآیة لدلالتها أیضا علی وجوب السؤال عن الأمام أیضا لأنه مرشد العلماء و هو المنتهی علی أن الظاهر أن المفهوم أیضا من الظهر دون البطن و إن کان المنطوق أظهر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الذکر القرآن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لَذِکْرٌ لَکَ وَ لِقَوْمِکَ </w:t>
      </w:r>
      <w:r>
        <w:rPr>
          <w:rStyle w:val="FootnoteAnchor"/>
          <w:rtl w:val="true"/>
        </w:rPr>
        <w:footnoteReference w:id="162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سَمِعُوا </w:t>
      </w:r>
    </w:p>
    <w:p>
      <w:pPr>
        <w:pStyle w:val="BookText"/>
        <w:rPr/>
      </w:pPr>
      <w:r>
        <w:rPr>
          <w:rFonts w:ascii="Amiri" w:hAnsi="Amiri" w:eastAsia="Amiri" w:cs="Amiri"/>
          <w:color w:val="111111"/>
          <w:sz w:val="28"/>
          <w:sz w:val="28"/>
          <w:szCs w:val="28"/>
          <w:rtl w:val="true"/>
          <w:lang w:bidi="ar-SA"/>
        </w:rPr>
        <w:t xml:space="preserve">اَلذِّکْرَ </w:t>
      </w:r>
      <w:r>
        <w:rPr>
          <w:rStyle w:val="FootnoteAnchor"/>
          <w:rtl w:val="true"/>
        </w:rPr>
        <w:footnoteReference w:id="16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Style w:val="FootnoteAnchor"/>
          <w:rtl w:val="true"/>
        </w:rPr>
        <w:footnoteReference w:id="1623"/>
      </w:r>
      <w:r>
        <w:rPr>
          <w:rFonts w:ascii="IRNazanin" w:hAnsi="IRNazanin" w:eastAsia="IRNazanin"/>
          <w:color w:val="111111"/>
          <w:sz w:val="28"/>
          <w:sz w:val="28"/>
          <w:szCs w:val="28"/>
          <w:rtl w:val="true"/>
          <w:lang w:bidi="fa-IR"/>
        </w:rPr>
        <w:t>فهم علیهم السّلام أهل القرآن و علومه و بطونه و أسراره و العاملون به و المقترنون به فی خلافة النبی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سموا شرکاء القرآن و قرنائه ففی البصایر </w:t>
      </w:r>
      <w:r>
        <w:rPr>
          <w:rStyle w:val="FootnoteAnchor"/>
          <w:rtl w:val="true"/>
        </w:rPr>
        <w:footnoteReference w:id="1625"/>
      </w:r>
      <w:r>
        <w:rPr>
          <w:rFonts w:ascii="IRNazanin" w:hAnsi="IRNazanin" w:eastAsia="IRNazanin"/>
          <w:color w:val="111111"/>
          <w:sz w:val="28"/>
          <w:sz w:val="28"/>
          <w:szCs w:val="28"/>
          <w:rtl w:val="true"/>
          <w:lang w:bidi="fa-IR"/>
        </w:rPr>
        <w:t xml:space="preserve">عن الباقر علیه السّلام و فی الکافی </w:t>
      </w:r>
      <w:r>
        <w:rPr>
          <w:rStyle w:val="FootnoteAnchor"/>
          <w:rtl w:val="true"/>
        </w:rPr>
        <w:footnoteReference w:id="1626"/>
      </w:r>
      <w:r>
        <w:rPr>
          <w:rFonts w:ascii="IRNazanin" w:hAnsi="IRNazanin" w:eastAsia="IRNazanin"/>
          <w:color w:val="111111"/>
          <w:sz w:val="28"/>
          <w:sz w:val="28"/>
          <w:szCs w:val="28"/>
          <w:rtl w:val="true"/>
          <w:lang w:bidi="fa-IR"/>
        </w:rPr>
        <w:t>عن الصادق علیه السّلام الذکر القرآن و أهله آل محمد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رسول اللّه صلّی اللّه علیه و اله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Style w:val="FootnoteAnchor"/>
          <w:rtl w:val="true"/>
        </w:rPr>
        <w:footnoteReference w:id="1627"/>
      </w:r>
      <w:r>
        <w:rPr>
          <w:rFonts w:ascii="Amiri" w:hAnsi="Amiri" w:eastAsia="Amiri" w:cs="Amiri"/>
          <w:color w:val="111111"/>
          <w:sz w:val="28"/>
          <w:sz w:val="28"/>
          <w:szCs w:val="28"/>
          <w:rtl w:val="true"/>
          <w:lang w:bidi="ar-SA"/>
        </w:rPr>
        <w:t>و فی عیون أخبار الرضا عنه علیه السّلام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فالذکر رسول اللّه و نحن أهله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یفسر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أهل الرسول أو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بالذکر ذکر العباد إیاهم و بأهله أهل الشرف و المجد المستحقین لأن یذکرهم الناس و الملایکة بالخیر و المدایح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الذکر ذکر اللّه إیاهم لأنهم الاحقاء بأن یذکرهم اللّه فی الملأ الأعلی أو بألطافه و إکرامه و إنعامه أو بمدایحه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الذکر الحفظ العقلی لأنهم أهل حفظ العلوم و تذکرها فلا ینسون ربهم و لا شیئا من علومهم لأنها لهم بدیهیة موهبیة لا کسبیه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الذکر العظة لأنهم أهل الاتّعاظ و التذکر و أهل الوعظ و التذکیر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المعنی أنهم أهل لذکر اللّه سبحانه بألسنتهم و قلوبهم بخلاف من عداهم من </w:t>
      </w:r>
      <w:bookmarkStart w:id="705" w:name="pg12937_139539"/>
    </w:p>
    <w:p>
      <w:pPr>
        <w:pStyle w:val="BookText"/>
        <w:rPr/>
      </w:pPr>
      <w:bookmarkEnd w:id="705"/>
      <w:r>
        <w:rPr>
          <w:rFonts w:ascii="IRNazanin" w:hAnsi="IRNazanin" w:eastAsia="IRNazanin"/>
          <w:color w:val="111111"/>
          <w:sz w:val="28"/>
          <w:sz w:val="28"/>
          <w:szCs w:val="28"/>
          <w:rtl w:val="true"/>
          <w:lang w:bidi="fa-IR"/>
        </w:rPr>
        <w:t>رعایاهم ممن لا یکون أهلا لهذا الخطب الجسیم مستحقا لذلک الأمر العظیم بل هو حقیق بالمنع عن ذکر اسم اللّه بلسانه و اخطاره فی جفانه لغایة بعده عنه إلا أنه بلطفه أذن له ذکره و رخّصه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قبول ذکر تو از رحمتست چون نماز استحاضه رخصتست </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المعنی أنهم المذکورون فی الملأ الأعلی و اللوح و القرآن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 مرکب بأن تجمع المعانی المذکورة بعضها مع بعض علی ما تقبلها و یقبله الطبع القویم و العقل المستقیم فعلیک باستخراج ما إلیه إشرت بالتأمل فیما ذکرت</w:t>
      </w:r>
      <w:r>
        <w:rPr>
          <w:rFonts w:eastAsia="IRNazanin" w:cs="IRNazanin"/>
          <w:color w:val="111111"/>
          <w:sz w:val="28"/>
          <w:szCs w:val="28"/>
          <w:rtl w:val="true"/>
          <w:lang w:bidi="fa-IR"/>
        </w:rPr>
        <w:t>.</w:t>
      </w:r>
    </w:p>
    <w:p>
      <w:pPr>
        <w:pStyle w:val="Heading4"/>
        <w:numPr>
          <w:ilvl w:val="3"/>
          <w:numId w:val="1"/>
        </w:numPr>
        <w:rPr/>
      </w:pPr>
      <w:bookmarkStart w:id="706" w:name="__RefHeading___Toc4067307_3224264995"/>
      <w:bookmarkStart w:id="707" w:name="_Toc267"/>
      <w:bookmarkEnd w:id="706"/>
      <w:r>
        <w:rPr>
          <w:rtl w:val="true"/>
        </w:rPr>
        <w:t>«</w:t>
      </w:r>
      <w:r>
        <w:rPr>
          <w:rtl w:val="true"/>
        </w:rPr>
        <w:t>و أولی الأمر</w:t>
      </w:r>
      <w:r>
        <w:rPr>
          <w:rtl w:val="true"/>
        </w:rPr>
        <w:t>»</w:t>
      </w:r>
      <w:bookmarkEnd w:id="707"/>
    </w:p>
    <w:p>
      <w:pPr>
        <w:pStyle w:val="BookText"/>
        <w:rPr/>
      </w:pPr>
      <w:r>
        <w:rPr>
          <w:rFonts w:ascii="Amiri" w:hAnsi="Amiri" w:eastAsia="Amiri" w:cs="Amiri"/>
          <w:color w:val="111111"/>
          <w:sz w:val="28"/>
          <w:sz w:val="28"/>
          <w:szCs w:val="28"/>
          <w:rtl w:val="true"/>
          <w:lang w:bidi="ar-SA"/>
        </w:rPr>
        <w:t>المعهودین بالذکر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632"/>
      </w:r>
      <w:r>
        <w:rPr>
          <w:rFonts w:ascii="IRNazanin" w:hAnsi="IRNazanin" w:eastAsia="IRNazanin"/>
          <w:color w:val="111111"/>
          <w:sz w:val="28"/>
          <w:sz w:val="28"/>
          <w:szCs w:val="28"/>
          <w:rtl w:val="true"/>
          <w:lang w:bidi="fa-IR"/>
        </w:rPr>
        <w:t>أی اصحاب الأمر و النهی أو الأمر 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أمر الإمامة فقد شاع فی کلام الأئمة و أصحابهم الاشاره بهذا الأمر إلی الولایة</w:t>
      </w:r>
      <w:r>
        <w:rPr>
          <w:rFonts w:eastAsia="IRNazanin" w:cs="IRNazanin"/>
          <w:color w:val="111111"/>
          <w:sz w:val="28"/>
          <w:szCs w:val="28"/>
          <w:rtl w:val="true"/>
          <w:lang w:bidi="fa-IR"/>
        </w:rPr>
        <w:t>.</w:t>
      </w:r>
    </w:p>
    <w:p>
      <w:pPr>
        <w:pStyle w:val="Heading4"/>
        <w:numPr>
          <w:ilvl w:val="3"/>
          <w:numId w:val="1"/>
        </w:numPr>
        <w:rPr/>
      </w:pPr>
      <w:bookmarkStart w:id="708" w:name="__RefHeading___Toc4067309_3224264995"/>
      <w:bookmarkStart w:id="709" w:name="_Toc268"/>
      <w:bookmarkEnd w:id="708"/>
      <w:r>
        <w:rPr>
          <w:rtl w:val="true"/>
        </w:rPr>
        <w:t>«</w:t>
      </w:r>
      <w:r>
        <w:rPr>
          <w:rtl w:val="true"/>
        </w:rPr>
        <w:t>و بقیة اللّه</w:t>
      </w:r>
      <w:r>
        <w:rPr>
          <w:rtl w:val="true"/>
        </w:rPr>
        <w:t>»</w:t>
      </w:r>
      <w:bookmarkEnd w:id="709"/>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سلف حجج اللّه اشاره إلی قوله تعالی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Style w:val="FootnoteAnchor"/>
          <w:rtl w:val="true"/>
        </w:rPr>
        <w:footnoteReference w:id="1633"/>
      </w:r>
      <w:r>
        <w:rPr>
          <w:rFonts w:ascii="Amiri" w:hAnsi="Amiri" w:eastAsia="Amiri" w:cs="Amiri"/>
          <w:color w:val="111111"/>
          <w:sz w:val="28"/>
          <w:sz w:val="28"/>
          <w:szCs w:val="28"/>
          <w:rtl w:val="true"/>
          <w:lang w:bidi="ar-SA"/>
        </w:rPr>
        <w:t>و فی الکافی عن الباقر علیه السّلام حین اشخص إلی الشام و نزل مدین فأغلق دونه باب البلد و منع أن یخرج إلیه بالأسواق فصعد جبلا یشرف علی أهل مدین و خاطبهم بأعلی صوته یا أهل المدینة الظالم أهلها أنا بقیة اللّه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w:t>
      </w:r>
      <w:r>
        <w:rPr>
          <w:rStyle w:val="FootnoteAnchor"/>
          <w:rtl w:val="true"/>
        </w:rPr>
        <w:footnoteReference w:id="1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فیهم شیخ کبیر فأتاهم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هذه و اللّه دعوة شعیب </w:t>
      </w:r>
      <w:bookmarkStart w:id="710" w:name="pg12937_139540"/>
    </w:p>
    <w:p>
      <w:pPr>
        <w:pStyle w:val="BookText"/>
        <w:rPr/>
      </w:pPr>
      <w:bookmarkEnd w:id="710"/>
      <w:r>
        <w:rPr>
          <w:rFonts w:ascii="IRNazanin" w:hAnsi="IRNazanin" w:eastAsia="IRNazanin"/>
          <w:color w:val="111111"/>
          <w:sz w:val="28"/>
          <w:sz w:val="28"/>
          <w:szCs w:val="28"/>
          <w:rtl w:val="true"/>
          <w:lang w:bidi="fa-IR"/>
        </w:rPr>
        <w:t>النبی و اللّه لئن لم تخرجوا إلی هذا الرجل بالأسواق لتؤخذن من فوقکم و من تحت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الإکمال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ینطق به القایم حین خرج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بقیة اللّه و حجته و خلیفته علیکم فلا یسلم علیه مسلم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 xml:space="preserve">» </w:t>
      </w:r>
      <w:r>
        <w:rPr>
          <w:rStyle w:val="FootnoteAnchor"/>
          <w:rtl w:val="true"/>
        </w:rPr>
        <w:footnoteReference w:id="1635"/>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فالقایم علیه السّلام وحده بقیة من جمیع السلف حتی الأئمة علیهم السّلام و هم من حیث المجموع بقیة من غیرهم من السلف و هو المراد هنا و کل واحد من أوساطهم بین أمیر المؤمنین و القایم بقیة من غیرهم و ممن سلف منهم و لذلک قال کل واحد من الباقر و القایم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یعنی فی عصره بالنسبة إلی سلفه فیختلف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فی الآیة ما ابقاه اللّه من الحلال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ابقاء اللّه و برکته فی الحلال القلیل و المعنی أنها خیر لکم من الکثیر الحرام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اللّه لبقائه خیر من الدنیا لفنائها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الْبٰاقِیٰاتُ الصّٰالِحٰاتُ خَیْرٌ عِنْدَ رَبِّکَ </w:t>
      </w:r>
      <w:r>
        <w:rPr>
          <w:rStyle w:val="FootnoteAnchor"/>
          <w:rtl w:val="true"/>
        </w:rPr>
        <w:footnoteReference w:id="1636"/>
      </w:r>
      <w:r>
        <w:rPr>
          <w:rFonts w:ascii="IRNazanin" w:hAnsi="IRNazanin" w:eastAsia="IRNazanin"/>
          <w:color w:val="111111"/>
          <w:sz w:val="28"/>
          <w:sz w:val="28"/>
          <w:szCs w:val="28"/>
          <w:rtl w:val="true"/>
          <w:lang w:bidi="fa-IR"/>
        </w:rPr>
        <w:t>فلا تصلح للحمل علی أئمتنا علیهم السّلام بشیء من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الحلال و کل طیب فی القرآن عبارة عن الأئمة و الحرام و کل خبیث عبارة عن أعدائهم و مخالفیهم و ظاهر أن البقیة بأی معنی حلال و خیر فی الظاهر و الإمام فی البطن و المناسبة ظاهرة لأنه بقیة من السلف الماضین و بقیة المال الحلال بقیة من المال الحرام الذی ذهب من یده حیث أبدله بجزئه الحلال و ترک غیره لأنه حرام و ثواب الإقرار بالإمام و طاعته باق أبدا و الدنیا المقصودة من طاعة أعدائهم فانیة</w:t>
      </w:r>
      <w:r>
        <w:rPr>
          <w:rFonts w:eastAsia="IRNazanin" w:cs="IRNazanin"/>
          <w:color w:val="111111"/>
          <w:sz w:val="28"/>
          <w:szCs w:val="28"/>
          <w:rtl w:val="true"/>
          <w:lang w:bidi="fa-IR"/>
        </w:rPr>
        <w:t>.</w:t>
      </w:r>
    </w:p>
    <w:p>
      <w:pPr>
        <w:pStyle w:val="Heading4"/>
        <w:numPr>
          <w:ilvl w:val="3"/>
          <w:numId w:val="1"/>
        </w:numPr>
        <w:rPr/>
      </w:pPr>
      <w:bookmarkStart w:id="711" w:name="__RefHeading___Toc4067311_3224264995"/>
      <w:bookmarkStart w:id="712" w:name="_Toc269"/>
      <w:bookmarkEnd w:id="711"/>
      <w:r>
        <w:rPr>
          <w:rtl w:val="true"/>
        </w:rPr>
        <w:t>«</w:t>
      </w:r>
      <w:r>
        <w:rPr>
          <w:rtl w:val="true"/>
        </w:rPr>
        <w:t>و خیرته</w:t>
      </w:r>
      <w:r>
        <w:rPr>
          <w:rtl w:val="true"/>
        </w:rPr>
        <w:t>»</w:t>
      </w:r>
      <w:bookmarkEnd w:id="71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الخاء المعجمة،و فتح الیاء المثناة،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تحت أی مختاره من الخلق </w:t>
      </w:r>
      <w:bookmarkStart w:id="713" w:name="pg12937_139541"/>
    </w:p>
    <w:p>
      <w:pPr>
        <w:pStyle w:val="BookText"/>
        <w:rPr/>
      </w:pPr>
      <w:bookmarkEnd w:id="713"/>
      <w:r>
        <w:rPr>
          <w:rFonts w:ascii="IRNazanin" w:hAnsi="IRNazanin" w:eastAsia="IRNazanin"/>
          <w:color w:val="111111"/>
          <w:sz w:val="28"/>
          <w:sz w:val="28"/>
          <w:szCs w:val="28"/>
          <w:rtl w:val="true"/>
          <w:lang w:bidi="fa-IR"/>
        </w:rPr>
        <w:t>و لا یبعد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کالتفسیر لبقیة اللّه علی معنی من إبقاه اللّه تعالی لنفسه و اختاره من بین جنسه لا الباقی بعد ذهاب السلف</w:t>
      </w:r>
      <w:r>
        <w:rPr>
          <w:rFonts w:eastAsia="IRNazanin" w:cs="IRNazanin"/>
          <w:color w:val="111111"/>
          <w:sz w:val="28"/>
          <w:szCs w:val="28"/>
          <w:rtl w:val="true"/>
          <w:lang w:bidi="fa-IR"/>
        </w:rPr>
        <w:t>.</w:t>
      </w:r>
    </w:p>
    <w:p>
      <w:pPr>
        <w:pStyle w:val="Heading4"/>
        <w:numPr>
          <w:ilvl w:val="3"/>
          <w:numId w:val="1"/>
        </w:numPr>
        <w:rPr/>
      </w:pPr>
      <w:bookmarkStart w:id="714" w:name="__RefHeading___Toc4067313_3224264995"/>
      <w:bookmarkStart w:id="715" w:name="_Toc270"/>
      <w:bookmarkEnd w:id="714"/>
      <w:r>
        <w:rPr>
          <w:rtl w:val="true"/>
        </w:rPr>
        <w:t>«</w:t>
      </w:r>
      <w:r>
        <w:rPr>
          <w:rtl w:val="true"/>
        </w:rPr>
        <w:t>و عیبة</w:t>
      </w:r>
      <w:r>
        <w:rPr>
          <w:rtl w:val="true"/>
        </w:rPr>
        <w:t>» [</w:t>
      </w:r>
      <w:r>
        <w:rPr>
          <w:rtl w:val="true"/>
        </w:rPr>
        <w:t>علمه</w:t>
      </w:r>
      <w:r>
        <w:rPr>
          <w:rtl w:val="true"/>
        </w:rPr>
        <w:t>]</w:t>
      </w:r>
      <w:bookmarkEnd w:id="715"/>
    </w:p>
    <w:p>
      <w:pPr>
        <w:pStyle w:val="BookText"/>
        <w:rPr/>
      </w:pPr>
      <w:r>
        <w:rPr>
          <w:rFonts w:ascii="IRNazanin" w:hAnsi="IRNazanin" w:eastAsia="IRNazanin"/>
          <w:color w:val="111111"/>
          <w:sz w:val="28"/>
          <w:sz w:val="28"/>
          <w:szCs w:val="28"/>
          <w:rtl w:val="true"/>
          <w:lang w:bidi="fa-IR"/>
        </w:rPr>
        <w:t>بفتح العین المهملة الوعاء و الظرف أی محل علمه تعالی</w:t>
      </w:r>
      <w:r>
        <w:rPr>
          <w:rFonts w:eastAsia="IRNazanin" w:cs="IRNazanin"/>
          <w:color w:val="111111"/>
          <w:sz w:val="28"/>
          <w:szCs w:val="28"/>
          <w:rtl w:val="true"/>
          <w:lang w:bidi="fa-IR"/>
        </w:rPr>
        <w:t>.</w:t>
      </w:r>
    </w:p>
    <w:p>
      <w:pPr>
        <w:pStyle w:val="Heading4"/>
        <w:numPr>
          <w:ilvl w:val="3"/>
          <w:numId w:val="1"/>
        </w:numPr>
        <w:rPr/>
      </w:pPr>
      <w:bookmarkStart w:id="716" w:name="__RefHeading___Toc4067315_3224264995"/>
      <w:bookmarkStart w:id="717" w:name="_Toc271"/>
      <w:bookmarkEnd w:id="716"/>
      <w:r>
        <w:rPr>
          <w:rtl w:val="true"/>
        </w:rPr>
        <w:t>«</w:t>
      </w:r>
      <w:r>
        <w:rPr>
          <w:rtl w:val="true"/>
        </w:rPr>
        <w:t>و حجته</w:t>
      </w:r>
      <w:r>
        <w:rPr>
          <w:rtl w:val="true"/>
        </w:rPr>
        <w:t>»</w:t>
      </w:r>
      <w:bookmarkEnd w:id="717"/>
    </w:p>
    <w:p>
      <w:pPr>
        <w:pStyle w:val="BookText"/>
        <w:rPr/>
      </w:pPr>
      <w:r>
        <w:rPr>
          <w:rFonts w:ascii="IRNazanin" w:hAnsi="IRNazanin" w:eastAsia="IRNazanin"/>
          <w:color w:val="111111"/>
          <w:sz w:val="28"/>
          <w:sz w:val="28"/>
          <w:szCs w:val="28"/>
          <w:rtl w:val="true"/>
          <w:lang w:bidi="fa-IR"/>
        </w:rPr>
        <w:t>عطف علی العلم أی و عیبة حجته فالحجة أدلة الحق و براهینه أو علی العیبة فالحجة هو الامام علیه السّلام</w:t>
      </w:r>
      <w:r>
        <w:rPr>
          <w:rFonts w:eastAsia="IRNazanin" w:cs="IRNazanin"/>
          <w:color w:val="111111"/>
          <w:sz w:val="28"/>
          <w:szCs w:val="28"/>
          <w:rtl w:val="true"/>
          <w:lang w:bidi="fa-IR"/>
        </w:rPr>
        <w:t>.</w:t>
      </w:r>
    </w:p>
    <w:p>
      <w:pPr>
        <w:pStyle w:val="Heading4"/>
        <w:numPr>
          <w:ilvl w:val="3"/>
          <w:numId w:val="1"/>
        </w:numPr>
        <w:rPr/>
      </w:pPr>
      <w:bookmarkStart w:id="718" w:name="__RefHeading___Toc4067317_3224264995"/>
      <w:bookmarkStart w:id="719" w:name="_Toc272"/>
      <w:bookmarkEnd w:id="718"/>
      <w:r>
        <w:rPr>
          <w:rtl w:val="true"/>
        </w:rPr>
        <w:t>«</w:t>
      </w:r>
      <w:r>
        <w:rPr>
          <w:rtl w:val="true"/>
        </w:rPr>
        <w:t>و صراطه</w:t>
      </w:r>
      <w:r>
        <w:rPr>
          <w:rtl w:val="true"/>
        </w:rPr>
        <w:t>»</w:t>
      </w:r>
      <w:bookmarkEnd w:id="71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هو أمیر المؤمنین</w:t>
      </w:r>
      <w:r>
        <w:rPr>
          <w:rFonts w:eastAsia="IRNazanin" w:cs="IRNazanin"/>
          <w:color w:val="111111"/>
          <w:sz w:val="28"/>
          <w:szCs w:val="28"/>
          <w:rtl w:val="true"/>
          <w:lang w:bidi="fa-IR"/>
        </w:rPr>
        <w:t xml:space="preserve">» </w:t>
      </w:r>
      <w:r>
        <w:rPr>
          <w:rStyle w:val="FootnoteAnchor"/>
          <w:rtl w:val="true"/>
        </w:rPr>
        <w:footnoteReference w:id="1637"/>
      </w:r>
      <w:r>
        <w:rPr>
          <w:rFonts w:ascii="Amiri" w:hAnsi="Amiri" w:eastAsia="Amiri" w:cs="Amiri"/>
          <w:color w:val="111111"/>
          <w:sz w:val="28"/>
          <w:sz w:val="28"/>
          <w:szCs w:val="28"/>
          <w:rtl w:val="true"/>
          <w:lang w:bidi="ar-SA"/>
        </w:rPr>
        <w:t>علیه السّلام و روی عنه علیه السّلام 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هُدُوا إِلیٰ صِرٰاطِ الْحَمِیدِ </w:t>
      </w:r>
      <w:r>
        <w:rPr>
          <w:rStyle w:val="FootnoteAnchor"/>
          <w:rtl w:val="true"/>
        </w:rPr>
        <w:footnoteReference w:id="16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هدوا إلی ولایة أمیر المؤمنین</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 xml:space="preserve">علیه السّلام و معناه ما روی عنهم علیهم السّلام أن الصراط صراطان صراط فی الدنیا،و صراط فی الآخرة؛فالذی فی الدنیا أمیر المؤمنین علیه السّلام فمن اهتدی إلی ولایته فی الدنیا جاز علی الصراط فی الآخرة و من لم یهتد إلی ولایته فی الدنیا لم یجز الصراط فی الآخرة </w:t>
      </w:r>
      <w:r>
        <w:rPr>
          <w:rStyle w:val="FootnoteAnchor"/>
          <w:rtl w:val="true"/>
        </w:rPr>
        <w:footnoteReference w:id="1640"/>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لوجه التشبیه بالصراط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لجمیع الأئمة علیهم السّلام و إنما اقتصر فی الأخبار علی أمیر المؤمنین علیه السّلام للعلم بأن ولایته لا تنفع إلا مع ولایة ولده علیهم السّلام إذ الایمان لا یتم إلا بالجمیع أو لأن المراد بولایته ولایة الجمیع لاشتراط بعضها ببعض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720" w:name="pg12937_139542"/>
    </w:p>
    <w:p>
      <w:pPr>
        <w:pStyle w:val="Heading4"/>
        <w:numPr>
          <w:ilvl w:val="3"/>
          <w:numId w:val="1"/>
        </w:numPr>
        <w:rPr/>
      </w:pPr>
      <w:bookmarkStart w:id="721" w:name="__RefHeading___Toc4067319_3224264995"/>
      <w:bookmarkStart w:id="722" w:name="_Toc273"/>
      <w:bookmarkEnd w:id="720"/>
      <w:bookmarkEnd w:id="721"/>
      <w:r>
        <w:rPr>
          <w:rtl w:val="true"/>
        </w:rPr>
        <w:t>«</w:t>
      </w:r>
      <w:r>
        <w:rPr>
          <w:rtl w:val="true"/>
        </w:rPr>
        <w:t>و نوره</w:t>
      </w:r>
      <w:r>
        <w:rPr>
          <w:rtl w:val="true"/>
        </w:rPr>
        <w:t>»</w:t>
      </w:r>
      <w:bookmarkEnd w:id="722"/>
    </w:p>
    <w:p>
      <w:pPr>
        <w:pStyle w:val="BookText"/>
        <w:rPr/>
      </w:pPr>
      <w:r>
        <w:rPr>
          <w:rFonts w:ascii="Amiri" w:hAnsi="Amiri" w:eastAsia="Amiri" w:cs="Amiri"/>
          <w:color w:val="111111"/>
          <w:sz w:val="28"/>
          <w:sz w:val="28"/>
          <w:szCs w:val="28"/>
          <w:rtl w:val="true"/>
          <w:lang w:bidi="ar-SA"/>
        </w:rPr>
        <w:t xml:space="preserve">قد عرفت فی شرح اَلْمَثَلُ الْأَعْلیٰ </w:t>
      </w:r>
      <w:r>
        <w:rPr>
          <w:rStyle w:val="FootnoteAnchor"/>
          <w:rtl w:val="true"/>
        </w:rPr>
        <w:footnoteReference w:id="1642"/>
      </w:r>
      <w:r>
        <w:rPr>
          <w:rFonts w:ascii="IRNazanin" w:hAnsi="IRNazanin" w:eastAsia="IRNazanin"/>
          <w:color w:val="111111"/>
          <w:sz w:val="28"/>
          <w:sz w:val="28"/>
          <w:szCs w:val="28"/>
          <w:rtl w:val="true"/>
          <w:lang w:bidi="fa-IR"/>
        </w:rPr>
        <w:t xml:space="preserve">أن نور اللّه سبحانه هو الإمام و أن المثل فی آیة النور </w:t>
      </w:r>
      <w:r>
        <w:rPr>
          <w:rStyle w:val="FootnoteAnchor"/>
          <w:rtl w:val="true"/>
        </w:rPr>
        <w:footnoteReference w:id="1643"/>
      </w:r>
      <w:r>
        <w:rPr>
          <w:rFonts w:ascii="Amiri" w:hAnsi="Amiri" w:eastAsia="Amiri" w:cs="Amiri"/>
          <w:color w:val="111111"/>
          <w:sz w:val="28"/>
          <w:sz w:val="28"/>
          <w:szCs w:val="28"/>
          <w:rtl w:val="true"/>
          <w:lang w:bidi="ar-SA"/>
        </w:rPr>
        <w:t>له علیه السّلام حتی روی الکلینی حدیثین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یَجْعَلِ اللّٰهُ لَهُ نُوراً </w:t>
      </w:r>
      <w:r>
        <w:rPr>
          <w:rStyle w:val="FootnoteAnchor"/>
          <w:rtl w:val="true"/>
        </w:rPr>
        <w:footnoteReference w:id="1644"/>
      </w:r>
      <w:r>
        <w:rPr>
          <w:rFonts w:ascii="IRNazanin" w:hAnsi="IRNazanin" w:eastAsia="IRNazanin"/>
          <w:color w:val="111111"/>
          <w:sz w:val="28"/>
          <w:sz w:val="28"/>
          <w:szCs w:val="28"/>
          <w:rtl w:val="true"/>
          <w:lang w:bidi="fa-IR"/>
        </w:rPr>
        <w:t xml:space="preserve">إماما من ولد فاطمة فما له فی الآخرة من نور امام یسعی بین یدیه إلی الجنة </w:t>
      </w:r>
      <w:r>
        <w:rPr>
          <w:rStyle w:val="FootnoteAnchor"/>
          <w:rtl w:val="true"/>
        </w:rPr>
        <w:footnoteReference w:id="1645"/>
      </w:r>
      <w:r>
        <w:rPr>
          <w:rFonts w:ascii="IRNazanin" w:hAnsi="IRNazanin" w:eastAsia="IRNazanin"/>
          <w:color w:val="111111"/>
          <w:sz w:val="28"/>
          <w:sz w:val="28"/>
          <w:szCs w:val="28"/>
          <w:rtl w:val="true"/>
          <w:lang w:bidi="fa-IR"/>
        </w:rPr>
        <w:t>و ارجاع ضمیر نوره إلی الصراط محتمل لاختلاف الاعتبارات لکنه یبعّده رجوع جمیع الضمایر المتقدمة و المتأخرة إلی اللّه تعالی</w:t>
      </w:r>
      <w:r>
        <w:rPr>
          <w:rFonts w:eastAsia="IRNazanin" w:cs="IRNazanin"/>
          <w:color w:val="111111"/>
          <w:sz w:val="28"/>
          <w:szCs w:val="28"/>
          <w:rtl w:val="true"/>
          <w:lang w:bidi="fa-IR"/>
        </w:rPr>
        <w:t>.</w:t>
      </w:r>
    </w:p>
    <w:p>
      <w:pPr>
        <w:pStyle w:val="Heading4"/>
        <w:numPr>
          <w:ilvl w:val="3"/>
          <w:numId w:val="1"/>
        </w:numPr>
        <w:rPr/>
      </w:pPr>
      <w:bookmarkStart w:id="723" w:name="__RefHeading___Toc4067321_3224264995"/>
      <w:bookmarkStart w:id="724" w:name="_Toc274"/>
      <w:bookmarkEnd w:id="723"/>
      <w:r>
        <w:rPr>
          <w:rtl w:val="true"/>
        </w:rPr>
        <w:t>«</w:t>
      </w:r>
      <w:r>
        <w:rPr>
          <w:rtl w:val="true"/>
        </w:rPr>
        <w:t>و برهانه</w:t>
      </w:r>
      <w:r>
        <w:rPr>
          <w:rtl w:val="true"/>
        </w:rPr>
        <w:t>»</w:t>
      </w:r>
      <w:bookmarkEnd w:id="724"/>
    </w:p>
    <w:p>
      <w:pPr>
        <w:pStyle w:val="BookText"/>
        <w:rPr/>
      </w:pPr>
      <w:r>
        <w:rPr>
          <w:rFonts w:ascii="IRNazanin" w:hAnsi="IRNazanin" w:eastAsia="IRNazanin"/>
          <w:color w:val="111111"/>
          <w:sz w:val="28"/>
          <w:sz w:val="28"/>
          <w:szCs w:val="28"/>
          <w:rtl w:val="true"/>
          <w:lang w:bidi="fa-IR"/>
        </w:rPr>
        <w:t>أی دلیله الدال علیه سبحانه بذاته و صفاته أو دلیله المنصوب من عنده الدال علی کل شیء و هذه الألفاظ المفردة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علی معنی الجنس لتعدد المعنی أو علی الأفراد إشارة إلی نوع اتحاد فی أکثر الأحکام و الخواص و إن تعددت الأشخاص</w:t>
      </w:r>
      <w:r>
        <w:rPr>
          <w:rFonts w:eastAsia="IRNazanin" w:cs="IRNazanin"/>
          <w:color w:val="111111"/>
          <w:sz w:val="28"/>
          <w:szCs w:val="28"/>
          <w:rtl w:val="true"/>
          <w:lang w:bidi="fa-IR"/>
        </w:rPr>
        <w:t>.</w:t>
      </w:r>
    </w:p>
    <w:p>
      <w:pPr>
        <w:pStyle w:val="Heading4"/>
        <w:numPr>
          <w:ilvl w:val="3"/>
          <w:numId w:val="1"/>
        </w:numPr>
        <w:rPr/>
      </w:pPr>
      <w:bookmarkStart w:id="725" w:name="__RefHeading___Toc4067323_3224264995"/>
      <w:bookmarkStart w:id="726" w:name="_Toc275"/>
      <w:bookmarkEnd w:id="725"/>
      <w:r>
        <w:rPr>
          <w:rtl w:val="true"/>
        </w:rPr>
        <w:t>«</w:t>
      </w:r>
      <w:r>
        <w:rPr>
          <w:rtl w:val="true"/>
        </w:rPr>
        <w:t>و رحمة اللّه و برکاته</w:t>
      </w:r>
      <w:r>
        <w:rPr>
          <w:rtl w:val="true"/>
        </w:rPr>
        <w:t>»</w:t>
      </w:r>
      <w:bookmarkEnd w:id="726"/>
    </w:p>
    <w:p>
      <w:pPr>
        <w:pStyle w:val="BookText"/>
        <w:rPr/>
      </w:pPr>
      <w:r>
        <w:rPr>
          <w:rFonts w:ascii="IRNazanin" w:hAnsi="IRNazanin" w:eastAsia="IRNazanin"/>
          <w:color w:val="111111"/>
          <w:sz w:val="28"/>
          <w:sz w:val="28"/>
          <w:szCs w:val="28"/>
          <w:rtl w:val="true"/>
          <w:lang w:bidi="fa-IR"/>
        </w:rPr>
        <w:t>برفعهما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علی السلام لا بالجر 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تمت التسلیمات الخمس</w:t>
      </w:r>
      <w:r>
        <w:rPr>
          <w:rFonts w:eastAsia="IRNazanin" w:cs="IRNazanin"/>
          <w:color w:val="111111"/>
          <w:sz w:val="28"/>
          <w:szCs w:val="28"/>
          <w:rtl w:val="true"/>
          <w:lang w:bidi="fa-IR"/>
        </w:rPr>
        <w:t>.</w:t>
      </w:r>
    </w:p>
    <w:p>
      <w:pPr>
        <w:pStyle w:val="Heading4"/>
        <w:numPr>
          <w:ilvl w:val="3"/>
          <w:numId w:val="1"/>
        </w:numPr>
        <w:rPr/>
      </w:pPr>
      <w:bookmarkStart w:id="727" w:name="__RefHeading___Toc4067325_3224264995"/>
      <w:bookmarkStart w:id="728" w:name="_Toc276"/>
      <w:bookmarkEnd w:id="727"/>
      <w:r>
        <w:rPr>
          <w:rtl w:val="true"/>
        </w:rPr>
        <w:t>«</w:t>
      </w:r>
      <w:r>
        <w:rPr>
          <w:rtl w:val="true"/>
        </w:rPr>
        <w:t>أشهد</w:t>
      </w:r>
      <w:r>
        <w:rPr>
          <w:rtl w:val="true"/>
        </w:rPr>
        <w:t>» [</w:t>
      </w:r>
      <w:r>
        <w:rPr>
          <w:rtl w:val="true"/>
        </w:rPr>
        <w:t>أن لا إله إلا اللّه</w:t>
      </w:r>
      <w:r>
        <w:rPr>
          <w:rtl w:val="true"/>
        </w:rPr>
        <w:t>]</w:t>
      </w:r>
      <w:bookmarkEnd w:id="728"/>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الشهادة و هی القول الجازم الموافق للإعتقاد و لذلک کذّب سبحانه المنافقین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إِنَّکَ لَرَسُولُ اللّٰهِ </w:t>
      </w:r>
      <w:r>
        <w:rPr>
          <w:rStyle w:val="FootnoteAnchor"/>
          <w:rtl w:val="true"/>
        </w:rPr>
        <w:footnoteReference w:id="1646"/>
      </w:r>
      <w:r>
        <w:rPr>
          <w:rFonts w:ascii="IRNazanin" w:hAnsi="IRNazanin" w:eastAsia="IRNazanin"/>
          <w:color w:val="111111"/>
          <w:sz w:val="28"/>
          <w:sz w:val="28"/>
          <w:szCs w:val="28"/>
          <w:rtl w:val="true"/>
          <w:lang w:bidi="fa-IR"/>
        </w:rPr>
        <w:t>مع تصدیق المشهود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إنک </w:t>
      </w:r>
    </w:p>
    <w:p>
      <w:pPr>
        <w:pStyle w:val="BookText"/>
        <w:rPr/>
      </w:pPr>
      <w:r>
        <w:rPr>
          <w:rFonts w:ascii="Amiri" w:hAnsi="Amiri" w:eastAsia="Amiri" w:cs="Amiri"/>
          <w:color w:val="111111"/>
          <w:sz w:val="28"/>
          <w:sz w:val="28"/>
          <w:szCs w:val="28"/>
          <w:rtl w:val="true"/>
          <w:lang w:bidi="ar-SA"/>
        </w:rPr>
        <w:t xml:space="preserve">لرسول اللّه یعلم إِنَّ الْمُنٰافِقِینَ لَکٰاذِبُونَ </w:t>
      </w:r>
      <w:r>
        <w:rPr>
          <w:rStyle w:val="FootnoteAnchor"/>
          <w:rtl w:val="true"/>
        </w:rPr>
        <w:footnoteReference w:id="1647"/>
      </w:r>
      <w:r>
        <w:rPr>
          <w:rFonts w:ascii="IRNazanin" w:hAnsi="IRNazanin" w:eastAsia="IRNazanin"/>
          <w:color w:val="111111"/>
          <w:sz w:val="28"/>
          <w:sz w:val="28"/>
          <w:szCs w:val="28"/>
          <w:rtl w:val="true"/>
          <w:lang w:bidi="fa-IR"/>
        </w:rPr>
        <w:t>فإذا لم یکن المشهود به کاذبا فلا بد من رجوع التکذیب إلی دعواهم الشهادة و لیست بمجرد اللفظ لأنه وقع فلا یقبل التکذیب بل به و بالقلب متوافقین فالکذب لعدم موافقة القلب للسان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الشهادة تتعدی بالباء و حذف الجار هنا قیاس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مخففة عن الثقیلة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المشبّهة بالفعل و اسمها ضمیر شأن محذوف لما بنوا صدر الکلام علی التخفیف بحذف نون أنّ تبعه الضمیر فی الحذف و إلا فهو مأتی به لغرض و معنی فالقیاس المنع من حذفه و هل الجملة فی محل النصب بنزع الخافض کالمفعول فیه أوله بعد حذف الخافضین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مُوسیٰ قَوْمَهُ سَبْعِینَ رَجُلاً </w:t>
      </w:r>
      <w:r>
        <w:rPr>
          <w:rStyle w:val="FootnoteAnchor"/>
          <w:rtl w:val="true"/>
        </w:rPr>
        <w:footnoteReference w:id="1648"/>
      </w:r>
      <w:r>
        <w:rPr>
          <w:rFonts w:ascii="IRNazanin" w:hAnsi="IRNazanin" w:eastAsia="IRNazanin"/>
          <w:color w:val="111111"/>
          <w:sz w:val="28"/>
          <w:sz w:val="28"/>
          <w:szCs w:val="28"/>
          <w:rtl w:val="true"/>
          <w:lang w:bidi="fa-IR"/>
        </w:rPr>
        <w:t>أی من قومه أو الجر علی بقائه بعد حذف الجار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أی الناس شر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کلیب بالأکفّ الأصابع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أی اشارت الأصابع مع الأکف إلی کلیب و هو قلیل و نظیره فی الإسم المضاف قراءة غیر السبعة تُرِیدُونَ عَرَضَ الدُّنْیٰا وَ اللّٰهُ یُرِیدُ الْآخِرَةَ </w:t>
      </w:r>
      <w:r>
        <w:rPr>
          <w:rStyle w:val="FootnoteAnchor"/>
          <w:rtl w:val="true"/>
        </w:rPr>
        <w:footnoteReference w:id="1650"/>
      </w:r>
      <w:r>
        <w:rPr>
          <w:rFonts w:ascii="IRNazanin" w:hAnsi="IRNazanin" w:eastAsia="IRNazanin"/>
          <w:color w:val="111111"/>
          <w:sz w:val="28"/>
          <w:sz w:val="28"/>
          <w:szCs w:val="28"/>
          <w:rtl w:val="true"/>
          <w:lang w:bidi="fa-IR"/>
        </w:rPr>
        <w:t>بالجر أی عرض الآخرة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أکل امریء تحسبین امرءا و نار توقد باللیل نارا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أی و کل نار قال بکل فریق و کلاهما محتملان و الأول أکثر و الخبر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معولیها و هی لنفی الجنس تعمل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الدوانی فی رسالته التهلیلیة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نفی الجنس نفسه هل له معنی أم لا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النظر یحکم بأن نفی المهیة نفسها بدون اعتبار الوجود و اتصافها به کنفی السواد نفسه لا نفی وجوده عنه </w:t>
      </w:r>
    </w:p>
    <w:p>
      <w:pPr>
        <w:pStyle w:val="BookText"/>
        <w:rPr/>
      </w:pPr>
      <w:r>
        <w:rPr>
          <w:rFonts w:ascii="IRNazanin" w:hAnsi="IRNazanin" w:eastAsia="IRNazanin"/>
          <w:color w:val="111111"/>
          <w:sz w:val="28"/>
          <w:sz w:val="28"/>
          <w:szCs w:val="28"/>
          <w:rtl w:val="true"/>
          <w:lang w:bidi="fa-IR"/>
        </w:rPr>
        <w:t>بعید فکما أن جعل الشیء باعتبار الوجود إذ لا معنی لجعل الشیء و تصییره نفسه فکذلک نفیه و رفعه أیضا باعتبار رفع الوجود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علة حذف الخبر علی تقدیر کونه وجودا هو هنا و أما دقیق النظر فقد یحکم بخلاف ذلک لأن نفی المهیة باعتبار الوجود ینتهی بالآخرة إلی نفی مهیة مّا باعتبار نفسها و ذلک لأن اتصافها بالوجود یکون باعتبار إتصاف ذلک الإتصاف بالوجود إلی ما یتناهی فلا بد من الإنتهاء إلی اتصاف منتف بنفسه لا باعتبار اتصافه بالوجود دفعا للتسلسل؛ </w:t>
      </w:r>
      <w:r>
        <w:rPr>
          <w:rStyle w:val="FootnoteAnchor"/>
          <w:rtl w:val="true"/>
        </w:rPr>
        <w:footnoteReference w:id="1652"/>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یتکلم علی المنقول و هو یشعر بتلقّیه بالقبول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نفی الذات بذاتها و المهیة بنفسها مما لا معنی له بل الإثبات و النفی فی الاعیان الخارجیة و المهیات الذهنیّة کلاهما باعتبار اثبات الوجود و رفعه لکن لا حاجة إلی تقیید الجنس فی قول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الجنس باعتبار الوجود و لا إلی ارتکاب حذف المضاف و إن تقدیره نفی صفة الجنس کما قاله بعض شراح الکافیة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تنفی جنس اسمها لا مطلقا بل من حیث اتصافه بالخبر و اسناده إلیه و هو یرجع إلی نفی الخبر کما أن مفهوم السالبة ففی المحمول سواء انتفی الموضوع أیضا أم وجد منتفیا عنه المحمول</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إشتهر بین المنطقیین أن السالبة تصدق تارة بانتفا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أخری بانتفاء المحمول عنه 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للجنس و معمولاها سالبة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کلیة تصدق بانتفاء الإسم مرة و انتفاء الخبر فقط أخری فالمنفی علی الثانی جنس الإسم من حیث اتصافه بالخبر و مرجعه نفی ثبوت الخبر للإسم و علی الأول جنس الإسم أعنی مهیته من حیث إنها موجودة و مرجعه نفی وجودها و الذی یبّن امتناعه إنما هو نفی المهیة المعروضة للوجود لا مهیة المجموع المرکب من العارض و المعروض کیف و النفی إنما یتوجه إلی وجود ذات المنفی و ثبوته لها و لا معنی لنفی الذات بذاتها مع قطع النظر عن </w:t>
      </w:r>
    </w:p>
    <w:p>
      <w:pPr>
        <w:pStyle w:val="BookText"/>
        <w:rPr/>
      </w:pPr>
      <w:r>
        <w:rPr>
          <w:rFonts w:ascii="IRNazanin" w:hAnsi="IRNazanin" w:eastAsia="IRNazanin"/>
          <w:color w:val="111111"/>
          <w:sz w:val="28"/>
          <w:sz w:val="28"/>
          <w:szCs w:val="28"/>
          <w:rtl w:val="true"/>
          <w:lang w:bidi="fa-IR"/>
        </w:rPr>
        <w:t>ثبوتها و اثباتها و إله بالبناء علی الفتح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النصب و هو فعال بمعنی مفعول أی لا معبود إلا اللّه قیل الإله المنفی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مطلق المعبود أو المعبود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الإستثناء لأن المطلق غیر منحصر فیه تعالی و لو سلم لم یفد کونه معبودا بحق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یصح الحکم المستثنی منه إذ المعبود بحق لا یصح نفی وجوده أو امکانه قال بعض الفضلاء هنا السؤال صعب و إلی الآن لم یظهر لی جواب ف لَعَلَّ اللّٰهَ یُحْدِثُ بَعْدَ ذٰلِکَ أَمْراً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أسهل من حل العقال فإن المختار و هو الثانی لکن المنفی جنس المعبود بالحق المستثنی منه اللّه سبحانه و هو صحیح لا جنسه مطلقا و غیر مقید بالاستثناء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المستثنی أن لم یکن معبودا بحق لم یکن من افراد المستثنی منه بهذا المعنی و إن کان معبودا بحق لم ینتف و لا یصح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فرد للمستثنی منه سوی اللّه المستثنی و النفی إنما توجه إلی الأفراد الفریضة دون المحققة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شمس إلا هذه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 الثانی،الذی أبطله هذا القایل هو الذی صححه الزمخشری و التفتازانی و غیرهما من المحققین ثم المشهور إن الخبر المحذوف هو موجود أو ممکن و أورد علیه أن التوحید اثباته تعالی بالفعل و نفی امکان شریکه و الأول لا یدل علی الثانی و الثانی لا یدل علی الأول</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بأن وجوب الوجود الذاتی یستلزم الدوام و ضرورة للوجود فانتفاء الشریک بالفعل یستلزم امتناعه و امکان وجوده تعالی یستلزم وجوده و إلا لزم تخلف الوجود عن الواجب بذاته </w:t>
      </w:r>
      <w:r>
        <w:rPr>
          <w:rStyle w:val="FootnoteAnchor"/>
          <w:rtl w:val="true"/>
        </w:rPr>
        <w:footnoteReference w:id="1654"/>
      </w:r>
      <w:r>
        <w:rPr>
          <w:rFonts w:ascii="IRNazanin" w:hAnsi="IRNazanin" w:eastAsia="IRNazanin"/>
          <w:color w:val="111111"/>
          <w:sz w:val="28"/>
          <w:sz w:val="28"/>
          <w:szCs w:val="28"/>
          <w:rtl w:val="true"/>
          <w:lang w:bidi="fa-IR"/>
        </w:rPr>
        <w:t xml:space="preserve">و یجوز جعل المستثنی مفرغا أی لا إله شیء إلا اللّه فیدل علی اثباته تعالی </w:t>
      </w:r>
    </w:p>
    <w:p>
      <w:pPr>
        <w:pStyle w:val="BookText"/>
        <w:rPr/>
      </w:pPr>
      <w:r>
        <w:rPr>
          <w:rFonts w:ascii="IRNazanin" w:hAnsi="IRNazanin" w:eastAsia="IRNazanin"/>
          <w:color w:val="111111"/>
          <w:sz w:val="28"/>
          <w:sz w:val="28"/>
          <w:szCs w:val="28"/>
          <w:rtl w:val="true"/>
          <w:lang w:bidi="fa-IR"/>
        </w:rPr>
        <w:t>و نفی وجود غیره من الآلهة لأن الشیء یساوق الموجود فقول العلامة التفتازانی لا یجوز کونه مفرغا لأن المقصود نفی الوجود عن إله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الأحدیة عن سواه لیس بشیء إذ لا یتعین فی المفرغ تقدیر الأحد لیکون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اللازم نفی الأحدیة إذ الواجب عموم المقدر فیجوز تقدیر شیء و نحوه و کان هذا مراد من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إذ المفرغ یجب کونه بدلا عن المستثنی منه العام و بدل الخبر خبر فالخبر فی الحقیقة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هی نفسها و کذا الفاعل و المفعول لو کان بدلا عنهما فلا یجب جعلها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الإستثنائیة حرف لا یخبر به و إلا لانسد باب البدلیة فی الإستثناء مع وجوبه فی المفرغ و رجحانه فی غیره بالإتفاق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تقدیر خبر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و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أرید الحصر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غریب لاتفاقه مع غیره علی أن المسند إلیه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اسمها و أصله المبتداء و إن الاسناد إلیه سلبی لا إیجابی فکیف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المسند إلیه هو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الإسناد بعد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،إیجابی لا سلبی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مدلوله الإلتزامی لا المطابقی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الإستثناء من النفی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أنه إله و أن المنفی من الجنس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فیبقی النفی للغیر و هو معنی لا غیر و العجب من الشهید الثانی </w:t>
      </w:r>
      <w:r>
        <w:rPr>
          <w:rStyle w:val="FootnoteAnchor"/>
          <w:rtl w:val="true"/>
        </w:rPr>
        <w:footnoteReference w:id="1655"/>
      </w:r>
      <w:r>
        <w:rPr>
          <w:rFonts w:ascii="IRNazanin" w:hAnsi="IRNazanin" w:eastAsia="IRNazanin"/>
          <w:color w:val="111111"/>
          <w:sz w:val="28"/>
          <w:sz w:val="28"/>
          <w:szCs w:val="28"/>
          <w:rtl w:val="true"/>
          <w:lang w:bidi="fa-IR"/>
        </w:rPr>
        <w:t>رحمه اللّه حیث نسب قول الزمخشری إلی المحققین إیذانا بأنه التحقیق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المقدر هو مستحق للعبادة و هو أظهر إذ الغرض من وضع کلمة التوحید شرعا نفی المعبود سواه تعالی لا نفی 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لأنها وضعت ردا علی المشرکین و هم إنما جعلوا الاصنام شرکاء للّه فی المعبودیة لا فی وجوب الوجود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العبادة لا یکون إلا لواجب الوجود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نعم،الأمر کذلک فی الواقع لکن المشرکین لم یقولوا بذلک لأن الاصنام ما کانت واجبة الوجود عندهم بل کانت تماثیل الأنبیاء و الکواکب العلویة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w:t>
      </w:r>
      <w:r>
        <w:rPr>
          <w:rStyle w:val="FootnoteAnchor"/>
          <w:rtl w:val="true"/>
        </w:rPr>
        <w:footnoteReference w:id="1656"/>
      </w:r>
      <w:r>
        <w:rPr>
          <w:rFonts w:ascii="Amiri" w:hAnsi="Amiri" w:eastAsia="Amiri" w:cs="Amiri"/>
          <w:color w:val="111111"/>
          <w:sz w:val="28"/>
          <w:sz w:val="28"/>
          <w:szCs w:val="28"/>
          <w:rtl w:val="true"/>
          <w:lang w:bidi="ar-SA"/>
        </w:rPr>
        <w:t xml:space="preserve">إِلاّٰ لِیُقَرِّبُونٰا إِلَی اللّٰهِ زُلْفیٰ </w:t>
      </w:r>
      <w:r>
        <w:rPr>
          <w:rStyle w:val="FootnoteAnchor"/>
          <w:rtl w:val="true"/>
        </w:rPr>
        <w:footnoteReference w:id="1657"/>
      </w:r>
      <w:r>
        <w:rPr>
          <w:rFonts w:ascii="Amiri" w:hAnsi="Amiri" w:eastAsia="Amiri" w:cs="Amiri"/>
          <w:color w:val="111111"/>
          <w:sz w:val="28"/>
          <w:sz w:val="28"/>
          <w:szCs w:val="28"/>
          <w:rtl w:val="true"/>
          <w:lang w:bidi="ar-SA"/>
        </w:rPr>
        <w:t xml:space="preserve">و هٰؤُلاٰءِ شُفَعٰاؤُنٰا عِنْدَ اللّٰهِ </w:t>
      </w:r>
      <w:r>
        <w:rPr>
          <w:rStyle w:val="FootnoteAnchor"/>
          <w:rtl w:val="true"/>
        </w:rPr>
        <w:footnoteReference w:id="1658"/>
      </w:r>
      <w:r>
        <w:rPr>
          <w:rFonts w:ascii="IRNazanin" w:hAnsi="IRNazanin" w:eastAsia="IRNazanin"/>
          <w:color w:val="111111"/>
          <w:sz w:val="28"/>
          <w:sz w:val="28"/>
          <w:szCs w:val="28"/>
          <w:rtl w:val="true"/>
          <w:lang w:bidi="fa-IR"/>
        </w:rPr>
        <w:t>فلا یرد ما أورد علی تقدیر موجود أو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نعم،یرد أمر آخر إذ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مستحق للعبادة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الوصف العنوانی هو الإتصاف بالفعل عند الشیخ الرئیس و المحققین فالمنفی هو المستحق بالفعل و لا ینفی إمکانه و لا ینفع استلزام استحقاها لوجوب الوجود لما مر أنهم لم یقولوا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إن التحقیق أن الشیخ </w:t>
      </w:r>
      <w:r>
        <w:rPr>
          <w:rStyle w:val="FootnoteAnchor"/>
          <w:rtl w:val="true"/>
        </w:rPr>
        <w:footnoteReference w:id="1659"/>
      </w:r>
      <w:r>
        <w:rPr>
          <w:rFonts w:ascii="IRNazanin" w:hAnsi="IRNazanin" w:eastAsia="IRNazanin"/>
          <w:color w:val="111111"/>
          <w:sz w:val="28"/>
          <w:sz w:val="28"/>
          <w:szCs w:val="28"/>
          <w:rtl w:val="true"/>
          <w:lang w:bidi="fa-IR"/>
        </w:rPr>
        <w:t>لم یعتبر الفعلیة المحققة بل الأعم أی کون الإتصاف بالفعل فی نفس الأمر أو فی الفرض الذهنی نص علیه فی الإشارات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به أن کل واحد یوصف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موصوفا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الفرض الذهنی أو فی الوجود؛ إنتهی</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فالمعتبر عنده إمکان الفعلیة لا تحققها و مآل المذهبین واحد و الفرق بزیادة اعتبار فی قول الشیخ دون الفارابی فلا اشکال علیهما لأن المعنی نفی جمیع الأفراد الممکنة </w:t>
      </w:r>
      <w:bookmarkStart w:id="729" w:name="pg12937_139548"/>
    </w:p>
    <w:p>
      <w:pPr>
        <w:pStyle w:val="BookText"/>
        <w:rPr/>
      </w:pPr>
      <w:bookmarkEnd w:id="729"/>
      <w:r>
        <w:rPr>
          <w:rFonts w:ascii="IRNazanin" w:hAnsi="IRNazanin" w:eastAsia="IRNazanin"/>
          <w:color w:val="111111"/>
          <w:sz w:val="28"/>
          <w:sz w:val="28"/>
          <w:szCs w:val="28"/>
          <w:rtl w:val="true"/>
          <w:lang w:bidi="fa-IR"/>
        </w:rPr>
        <w:t>الإتصاف بالالوهیة سواه تعالی و هو توحید واضح لکن الإنصاف أن الکلام فی هذا المقام مبنی علی تفاهم العرف لا علی الدقایق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المفهوم عرفا نفی جنس الاسم المتصف بالخبر بالفعل لا بالإمکان و ما یساوقه من الفعلیة الفوضیة فلو التزمنا أن هذه الکلمة رد علی من اعتقد وجود إله مستحق بالفعل للعبادة سواه تعالی کالمشرکین لا علی من قال بإمکانه فقط من دون الفعلیة المحققة لکان وجها و کفی إذ لم یوجد قایل بالإمکان کذلک لکن إذا بنی الکلام علی العرف العام دون العقل أمکن بناء التوحید بهذه الکلمة علی عرف الشرع أیضا کما قیل و ان لم تساعده القوانین الحکمیة و لفظ الجلالة بدل من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محله البعید و هو الرفع بالإبتداء و لا یمکن حمله علی لفظه أو محله القریب و هو النصب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للجنس لأنها لا تعمل فی المعارف و عامل البدل هو عامل المبدل</w:t>
      </w:r>
      <w:r>
        <w:rPr>
          <w:rFonts w:eastAsia="IRNazanin" w:cs="IRNazanin"/>
          <w:color w:val="111111"/>
          <w:sz w:val="28"/>
          <w:szCs w:val="28"/>
          <w:rtl w:val="true"/>
          <w:lang w:bidi="fa-IR"/>
        </w:rPr>
        <w:t>.</w:t>
      </w:r>
    </w:p>
    <w:p>
      <w:pPr>
        <w:pStyle w:val="Heading4"/>
        <w:numPr>
          <w:ilvl w:val="3"/>
          <w:numId w:val="1"/>
        </w:numPr>
        <w:rPr/>
      </w:pPr>
      <w:bookmarkStart w:id="730" w:name="__RefHeading___Toc4067327_3224264995"/>
      <w:bookmarkStart w:id="731" w:name="_Toc277"/>
      <w:bookmarkEnd w:id="730"/>
      <w:r>
        <w:rPr>
          <w:rtl w:val="true"/>
        </w:rPr>
        <w:t>«</w:t>
      </w:r>
      <w:r>
        <w:rPr>
          <w:rtl w:val="true"/>
        </w:rPr>
        <w:t>وحده</w:t>
      </w:r>
      <w:r>
        <w:rPr>
          <w:rtl w:val="true"/>
        </w:rPr>
        <w:t>» [</w:t>
      </w:r>
      <w:r>
        <w:rPr>
          <w:rtl w:val="true"/>
        </w:rPr>
        <w:t>لا شریک له</w:t>
      </w:r>
      <w:r>
        <w:rPr>
          <w:rtl w:val="true"/>
        </w:rPr>
        <w:t>]</w:t>
      </w:r>
      <w:bookmarkEnd w:id="731"/>
    </w:p>
    <w:p>
      <w:pPr>
        <w:pStyle w:val="BookText"/>
        <w:rPr/>
      </w:pPr>
      <w:r>
        <w:rPr>
          <w:rFonts w:ascii="IRNazanin" w:hAnsi="IRNazanin" w:eastAsia="IRNazanin"/>
          <w:color w:val="111111"/>
          <w:sz w:val="28"/>
          <w:sz w:val="28"/>
          <w:szCs w:val="28"/>
          <w:rtl w:val="true"/>
          <w:lang w:bidi="fa-IR"/>
        </w:rPr>
        <w:t>مصدر وحد،یحد،وحدا،وحدة و حدة؛کوعد،یعد،وعدا و وعدة و عدة منصوب علی الحال و هو من الأحوال الشاذة عن القیاس دون الإستعمال من وجهین التعریف و الجمود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محمول علی الذات الاقدس فلا یکون اسم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تأویله بمتوحد أو نحوه و یحتمل المبالغة و تقدیر المضاف أیضا و النصب علی المصدر بعامل مقدر فالجملة حال و المصدر إما تأکید أو للنوع أی و قد وحد وحدته أی الکاملة الخالصة عن شوایب التعدد فإنه الواحد الحقیقی و غیره متعدد قطعا و لا أقل من أن کل ممکن مرکب من مهیة و وجود زاید علیها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حال ثانیة مترادفة من صاحب الأولی بعینه أو متداخلة من ضمیره فی الحال 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نعت لاسمه فالخبر مقدر أی موجود أو ممکن </w:t>
      </w:r>
      <w:r>
        <w:rPr>
          <w:rStyle w:val="FootnoteAnchor"/>
          <w:rtl w:val="true"/>
        </w:rPr>
        <w:footnoteReference w:id="1660"/>
      </w:r>
      <w:r>
        <w:rPr>
          <w:rFonts w:ascii="IRNazanin" w:hAnsi="IRNazanin" w:eastAsia="IRNazanin"/>
          <w:color w:val="111111"/>
          <w:sz w:val="28"/>
          <w:sz w:val="28"/>
          <w:szCs w:val="28"/>
          <w:rtl w:val="true"/>
          <w:lang w:bidi="fa-IR"/>
        </w:rPr>
        <w:t xml:space="preserve">و یحتمل کون </w:t>
      </w:r>
    </w:p>
    <w:p>
      <w:pPr>
        <w:pStyle w:val="BookText"/>
        <w:rPr/>
      </w:pPr>
      <w:r>
        <w:rPr>
          <w:rFonts w:ascii="IRNazanin" w:hAnsi="IRNazanin" w:eastAsia="IRNazanin"/>
          <w:color w:val="111111"/>
          <w:sz w:val="28"/>
          <w:sz w:val="28"/>
          <w:szCs w:val="28"/>
          <w:rtl w:val="true"/>
          <w:lang w:bidi="fa-IR"/>
        </w:rPr>
        <w:t>الثانیة تأکیدا للأولی و هو الظاهر 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إلی أولی مراتب التوحید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الثانیة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الثالثة و ذلک لأن مراتبه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العامة و هو نفی إله آخر بالدلیل و هو المفهوم من 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الخاصة و هو الترقی من رتبة الإستدلال إلی مشاهدة الوحدة الإلهیة و تصدیق الوحدانیة بالبداهة و هو توحید الخواص و هو نفی الشریک تصدیقا لا تصورا لأن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الواحد الذی تصوروه کلی قابل لشرکة کثیرین فیه من حیث هو متصور فی المرتبتین و إن کان الشرکة منفیة بالبرهان أو الشهود و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الشریک مطلقا تصدیقا و تصورا و هو توحید الحق لنفسه و حق التوحید فإنه جل و علا یعلم ذاته الأقدس من حیث الجزئیة و التشخص المانع من قبول الإشتراک بین کثرة و الجملة الحالیة تنفی جنس الشریک فی التصدیق و التصور لعموم النکرة المنفیة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الذات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 فی الصفات أیضا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توحیده فی الأفعال أیضا أی نفی ما یشارکه فی ذاته أو فی صفاته أو فی أفعاله و أما الأفعال الإختیاریة لعباده فلیست من افعاله فقد قسم بعض الصوفیة التوحید إلی توحید الأفعال و توحید الصفات و توحید الذات متمسکا بقوله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بعفوک من عقابک و أعوذ برضاک من سخطک و أعوذ بک منک</w:t>
      </w:r>
      <w:r>
        <w:rPr>
          <w:rFonts w:eastAsia="IRNazanin" w:cs="IRNazanin"/>
          <w:color w:val="111111"/>
          <w:sz w:val="28"/>
          <w:szCs w:val="28"/>
          <w:rtl w:val="true"/>
          <w:lang w:bidi="fa-IR"/>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ربّعه الغزالی و قسّمه إلی قشر و قشر القشر و لب و لب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الخالی عن الإعتقاد و هو إیمان المنافقین و الأول التصدیق بمعنی کلمة التوحید و هو توحید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یشاهد الوحدانیة عند کشف الحجب الجسمانیة و هو مقام المقربین بأن یری أشیاء کثیرة و أنها مع کثرتها عن الواحد القهار صادرة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یری فی الوجود إلا واحدا حتی لا یری نفسه لکونه مستغرقا بالواحد </w:t>
      </w:r>
      <w:bookmarkStart w:id="732" w:name="pg12937_139550"/>
    </w:p>
    <w:p>
      <w:pPr>
        <w:pStyle w:val="BookText"/>
        <w:rPr/>
      </w:pPr>
      <w:bookmarkEnd w:id="732"/>
      <w:r>
        <w:rPr>
          <w:rFonts w:ascii="IRNazanin" w:hAnsi="IRNazanin" w:eastAsia="IRNazanin"/>
          <w:color w:val="111111"/>
          <w:sz w:val="28"/>
          <w:sz w:val="28"/>
          <w:szCs w:val="28"/>
          <w:rtl w:val="true"/>
          <w:lang w:bidi="fa-IR"/>
        </w:rPr>
        <w:t>القهار و هو مشاهدة الصدیقین و یسمونه التناهی فی التوحید هذا کلامه فإن أراد أن الثالث یری المعلول من حیث إنه موجود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من حیث أنه تابع لعلته و حینئذ فالموجود هو علة العلل و مبدأ المبادی تعالی شأنه و غیره جمیعا معلولاته و هی من شئونه و صفاته و افعاله و آثاره التابعة له المعدودة معه واحدا بالتجوز فلا بأس به و لا ریب فیه و ان أراد معنی آخر فلا بد من تصویره لننظر فیه و ما ذکره أولی المراتب فلا عبرة به إذ لا یعتبر الإیمان اللفظی إذ التصدیق إنما هو قلبی فالمراتب ثلاث تنطبق علی العبارة فتفطن</w:t>
      </w:r>
      <w:r>
        <w:rPr>
          <w:rFonts w:eastAsia="IRNazanin" w:cs="IRNazanin"/>
          <w:color w:val="111111"/>
          <w:sz w:val="28"/>
          <w:szCs w:val="28"/>
          <w:rtl w:val="true"/>
          <w:lang w:bidi="fa-IR"/>
        </w:rPr>
        <w:t>.</w:t>
      </w:r>
    </w:p>
    <w:p>
      <w:pPr>
        <w:pStyle w:val="Heading4"/>
        <w:numPr>
          <w:ilvl w:val="3"/>
          <w:numId w:val="1"/>
        </w:numPr>
        <w:rPr/>
      </w:pPr>
      <w:bookmarkStart w:id="733" w:name="__RefHeading___Toc4067329_3224264995"/>
      <w:bookmarkStart w:id="734" w:name="_Toc278"/>
      <w:bookmarkEnd w:id="733"/>
      <w:r>
        <w:rPr>
          <w:rtl w:val="true"/>
        </w:rPr>
        <w:t>«</w:t>
      </w:r>
      <w:r>
        <w:rPr>
          <w:rtl w:val="true"/>
        </w:rPr>
        <w:t>کما شهد اللّه لنفسه</w:t>
      </w:r>
      <w:r>
        <w:rPr>
          <w:rtl w:val="true"/>
        </w:rPr>
        <w:t>»</w:t>
      </w:r>
      <w:bookmarkEnd w:id="734"/>
    </w:p>
    <w:p>
      <w:pPr>
        <w:pStyle w:val="BookText"/>
        <w:rPr/>
      </w:pPr>
      <w:r>
        <w:rPr>
          <w:rFonts w:ascii="IRNazanin" w:hAnsi="IRNazanin" w:eastAsia="IRNazanin"/>
          <w:color w:val="111111"/>
          <w:sz w:val="28"/>
          <w:sz w:val="28"/>
          <w:szCs w:val="28"/>
          <w:rtl w:val="true"/>
          <w:lang w:bidi="fa-IR"/>
        </w:rPr>
        <w:t>الکاف للتشبیه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أی شهادة کشهادته أو موصولة أو موصوفة بتقدیر العاید فالتشبیه للمشهود به بمثله أی کالذی أو کشیء شهد اللّه به و تحتمل الکاف التعلیل قیل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اذْکُرُوهُ کَمٰا هَدٰاکُمْ </w:t>
      </w:r>
      <w:r>
        <w:rPr>
          <w:rStyle w:val="FootnoteAnchor"/>
          <w:rtl w:val="true"/>
        </w:rPr>
        <w:footnoteReference w:id="1662"/>
      </w:r>
      <w:r>
        <w:rPr>
          <w:rFonts w:ascii="IRNazanin" w:hAnsi="IRNazanin" w:eastAsia="IRNazanin"/>
          <w:color w:val="111111"/>
          <w:sz w:val="28"/>
          <w:sz w:val="28"/>
          <w:szCs w:val="28"/>
          <w:rtl w:val="true"/>
          <w:lang w:bidi="fa-IR"/>
        </w:rPr>
        <w:t>و الزیادة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فیهما و یحتمل زیادتهما معا کما قیل فالجملة صفة لمصدر محذوف بتقدیر عاید إلیه أی شهادة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شهد اللّه </w:t>
      </w:r>
      <w:r>
        <w:rPr>
          <w:rStyle w:val="FootnoteAnchor"/>
          <w:rtl w:val="true"/>
        </w:rPr>
        <w:footnoteReference w:id="1663"/>
      </w:r>
      <w:r>
        <w:rPr>
          <w:rFonts w:ascii="IRNazanin" w:hAnsi="IRNazanin" w:eastAsia="IRNazanin"/>
          <w:color w:val="111111"/>
          <w:sz w:val="28"/>
          <w:sz w:val="28"/>
          <w:szCs w:val="28"/>
          <w:rtl w:val="true"/>
          <w:lang w:bidi="fa-IR"/>
        </w:rPr>
        <w:t>بها أو بمثلها و تشبیه الشهادة علی الأول إما فی نفسها أو وصفها أو متعلقها المشهود به و قد یکون أداة التشبیه بین جملتین لمجرد التشبیه فی التحقق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إعطنی کما أعطیت أخی أی لیتحقق إعطائی کما تحقق إعطاء أخی و شهادته تعالی مجاز عن علمه أو حکمه بتوحیده لمشابهته لها فی الجزم و نحوه أو عن بیانه إیاه بنصب الأدلة و البراهین علیه و انطاق الرسل و الکتب به شبه بالشهادة فی الکشف و الإظهار و یحتمل مجاز المشاکلة لوقوعهما فی صحبته شهادة غیره 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لمجرد الوصل و الإفضاء أی فی حق نفسه أو للتعلیل </w:t>
      </w:r>
      <w:r>
        <w:rPr>
          <w:rStyle w:val="FootnoteAnchor"/>
          <w:rtl w:val="true"/>
        </w:rPr>
        <w:footnoteReference w:id="1664"/>
      </w:r>
      <w:r>
        <w:rPr>
          <w:rFonts w:ascii="IRNazanin" w:hAnsi="IRNazanin" w:eastAsia="IRNazanin"/>
          <w:color w:val="111111"/>
          <w:sz w:val="28"/>
          <w:sz w:val="28"/>
          <w:szCs w:val="28"/>
          <w:rtl w:val="true"/>
          <w:lang w:bidi="fa-IR"/>
        </w:rPr>
        <w:t xml:space="preserve">أی لکمال نفسه </w:t>
      </w:r>
      <w:bookmarkStart w:id="735" w:name="pg12937_139551"/>
    </w:p>
    <w:p>
      <w:pPr>
        <w:pStyle w:val="BookText"/>
        <w:rPr/>
      </w:pPr>
      <w:bookmarkEnd w:id="735"/>
      <w:r>
        <w:rPr>
          <w:rFonts w:ascii="IRNazanin" w:hAnsi="IRNazanin" w:eastAsia="IRNazanin"/>
          <w:color w:val="111111"/>
          <w:sz w:val="28"/>
          <w:sz w:val="28"/>
          <w:szCs w:val="28"/>
          <w:rtl w:val="true"/>
          <w:lang w:bidi="fa-IR"/>
        </w:rPr>
        <w:t>أو للإنتفاع المجازی باثبات المدعی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لزید علی بکر و النفس هنا مطلق الذات لا الجوهر المعهود لتنزهه سبحانه عنه کما قیل فی قوله حکایة عن عیسی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مٰا فِی نَفْسِی وَ لاٰ أَعْلَمُ مٰا فِی نَفْسِکَ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4067331_3224264995"/>
      <w:bookmarkStart w:id="737" w:name="_Toc279"/>
      <w:bookmarkEnd w:id="736"/>
      <w:r>
        <w:rPr>
          <w:rtl w:val="true"/>
        </w:rPr>
        <w:t>«</w:t>
      </w:r>
      <w:r>
        <w:rPr>
          <w:rtl w:val="true"/>
        </w:rPr>
        <w:t>و کما شهدت له الملایکة و أولوا العلم من خلقه</w:t>
      </w:r>
      <w:r>
        <w:rPr>
          <w:rtl w:val="true"/>
        </w:rPr>
        <w:t>»</w:t>
      </w:r>
      <w:bookmarkEnd w:id="737"/>
    </w:p>
    <w:p>
      <w:pPr>
        <w:pStyle w:val="BookText"/>
        <w:rPr/>
      </w:pPr>
      <w:r>
        <w:rPr>
          <w:rFonts w:ascii="Amiri" w:hAnsi="Amiri" w:eastAsia="Amiri" w:cs="Amiri"/>
          <w:color w:val="111111"/>
          <w:sz w:val="28"/>
          <w:sz w:val="28"/>
          <w:szCs w:val="28"/>
          <w:rtl w:val="true"/>
          <w:lang w:bidi="ar-SA"/>
        </w:rPr>
        <w:t>الجن و الإنس و الشهادة فیهم موافقة القول للاعتقاد و لذلک کذّب سبحانه المنافقین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إِنَّکَ لَرَسُولُ اللّٰهِ </w:t>
      </w:r>
      <w:r>
        <w:rPr>
          <w:rStyle w:val="FootnoteAnchor"/>
          <w:rtl w:val="true"/>
        </w:rPr>
        <w:footnoteReference w:id="1666"/>
      </w:r>
      <w:r>
        <w:rPr>
          <w:rFonts w:ascii="Amiri" w:hAnsi="Amiri" w:eastAsia="Amiri" w:cs="Amiri"/>
          <w:color w:val="111111"/>
          <w:sz w:val="28"/>
          <w:sz w:val="28"/>
          <w:szCs w:val="28"/>
          <w:rtl w:val="true"/>
          <w:lang w:bidi="ar-SA"/>
        </w:rPr>
        <w:t>مع صدقه و تصدیقه تعالی إیاه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إِنَّکَ لَرَسُولُهُ وَ اللّٰهُ یَشْهَدُ إِنَّ الْمُنٰافِقِینَ لَکٰاذِبُونَ </w:t>
      </w:r>
      <w:r>
        <w:rPr>
          <w:rStyle w:val="FootnoteAnchor"/>
          <w:rtl w:val="true"/>
        </w:rPr>
        <w:footnoteReference w:id="1667"/>
      </w:r>
      <w:r>
        <w:rPr>
          <w:rFonts w:ascii="IRNazanin" w:hAnsi="IRNazanin" w:eastAsia="IRNazanin"/>
          <w:color w:val="111111"/>
          <w:sz w:val="28"/>
          <w:sz w:val="28"/>
          <w:szCs w:val="28"/>
          <w:rtl w:val="true"/>
          <w:lang w:bidi="fa-IR"/>
        </w:rPr>
        <w:t>فلا بد من رجوع الکذب و التکذیب إلی دعواهم الشهادة أعنی مواطأة القلب و اللسان فالشهادة هی الأداء سمیت بها لتوقفها علی الشهود أی الحضور عند الحاکم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شهده کسمعه إذا حضره أو عند المشهود علیه عند تحمل الشهادة من باب تسمیة الشیء باسم بعض مقدماته فأصلها الشهود أی الحضور إلا أنه یتعدی بنفسه و هی تتعدی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الملائکة جواهر مجردة أو اجسام لطیفة و هم معصومون منهم ملایکة الأرض الموکلون علی الأرض و الجبال و الأمطار و غیرها و منهم ملایکة السماء و منهم الرسول الأمین علی الوحی یأتی به إلی الأنبیاء و فی اللفظ أقوال</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الأکثر أنه من الألوکة بمعنی الرسالة کالمألکة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الرسالة ألوکا لأنّها تؤلک فی الفم أی تمضغ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الفرس تألک اللجام و تعلک أی تمضغه </w:t>
      </w:r>
      <w:r>
        <w:rPr>
          <w:rStyle w:val="FootnoteAnchor"/>
          <w:rtl w:val="true"/>
        </w:rPr>
        <w:footnoteReference w:id="1668"/>
      </w:r>
      <w:r>
        <w:rPr>
          <w:rFonts w:ascii="IRNazanin" w:hAnsi="IRNazanin" w:eastAsia="IRNazanin"/>
          <w:color w:val="111111"/>
          <w:sz w:val="28"/>
          <w:sz w:val="28"/>
          <w:szCs w:val="28"/>
          <w:rtl w:val="true"/>
          <w:lang w:bidi="fa-IR"/>
        </w:rPr>
        <w:t xml:space="preserve">فالمألکة </w:t>
      </w:r>
      <w:bookmarkStart w:id="738" w:name="pg12937_139552"/>
    </w:p>
    <w:p>
      <w:pPr>
        <w:pStyle w:val="BookText"/>
        <w:rPr/>
      </w:pPr>
      <w:bookmarkEnd w:id="738"/>
      <w:r>
        <w:rPr>
          <w:rFonts w:ascii="IRNazanin" w:hAnsi="IRNazanin" w:eastAsia="IRNazanin"/>
          <w:color w:val="111111"/>
          <w:sz w:val="28"/>
          <w:sz w:val="28"/>
          <w:szCs w:val="28"/>
          <w:rtl w:val="true"/>
          <w:lang w:bidi="fa-IR"/>
        </w:rPr>
        <w:t>مفعلة لکن الملایکة جمع ملأک و هو معفل مقلوب مألک أی محل الرسالة فالملائکة معافلة و بعض العرب یهمزه و الجمهور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بالقاء حرکة الهمزة علی اللام و حذفها تخفیفا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لاکه إذا أرسله فملأک مفعل </w:t>
      </w:r>
      <w:r>
        <w:rPr>
          <w:rStyle w:val="FootnoteAnchor"/>
          <w:rtl w:val="true"/>
        </w:rPr>
        <w:footnoteReference w:id="1669"/>
      </w:r>
      <w:r>
        <w:rPr>
          <w:rFonts w:ascii="IRNazanin" w:hAnsi="IRNazanin" w:eastAsia="IRNazanin"/>
          <w:color w:val="111111"/>
          <w:sz w:val="28"/>
          <w:sz w:val="28"/>
          <w:szCs w:val="28"/>
          <w:rtl w:val="true"/>
          <w:lang w:bidi="fa-IR"/>
        </w:rPr>
        <w:t>علی أصله و الملائکة مفاعلة و المیم علی القولین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زایدة و الصیغة اسم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کیسان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الملک و أنها فعائله و جمع ملاک و هو فعال فالمیم أصلیة و الهمزة زایدة و جعل الاسم من الرسالة مبنی علی أن الرسول إلی الأنبیاء من هنا الجنس من باب تسمیة الکلی باسم أشرف جزئیاته لا علی أن کلهم رسل اللّه لأن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w:t>
      </w:r>
      <w:r>
        <w:rPr>
          <w:rStyle w:val="FootnoteAnchor"/>
          <w:rtl w:val="true"/>
        </w:rPr>
        <w:footnoteReference w:id="1670"/>
      </w:r>
      <w:r>
        <w:rPr>
          <w:rFonts w:ascii="IRNazanin" w:hAnsi="IRNazanin" w:eastAsia="IRNazanin"/>
          <w:color w:val="111111"/>
          <w:sz w:val="28"/>
          <w:sz w:val="28"/>
          <w:szCs w:val="28"/>
          <w:rtl w:val="true"/>
          <w:lang w:bidi="fa-IR"/>
        </w:rPr>
        <w:t>یدل علی عدم عموم الرسالة جمیع النوع ثم لما غلبت الصفة علی صنف من رسل اللّه غیر البشر صارت اسما لهم بالغلبة و أولوا العلم العلماء علی إرادة العلم المعتد به أو العقلاء من الجن و الإنس لأنهم أهل لجنس العلم مطلقا فالعلم بمعناه الجنسی أو جنس أهل العلم مطلقا فیعم الملائکة فیکون تعمیما بعد تخصیص</w:t>
      </w:r>
      <w:r>
        <w:rPr>
          <w:rFonts w:eastAsia="IRNazanin" w:cs="IRNazanin"/>
          <w:color w:val="111111"/>
          <w:sz w:val="28"/>
          <w:szCs w:val="28"/>
          <w:rtl w:val="true"/>
          <w:lang w:bidi="fa-IR"/>
        </w:rPr>
        <w:t xml:space="preserve">. </w:t>
      </w:r>
      <w:r>
        <w:rPr>
          <w:rStyle w:val="FootnoteAnchor"/>
          <w:rtl w:val="true"/>
        </w:rPr>
        <w:footnoteReference w:id="1671"/>
      </w:r>
    </w:p>
    <w:p>
      <w:pPr>
        <w:pStyle w:val="Heading4"/>
        <w:numPr>
          <w:ilvl w:val="3"/>
          <w:numId w:val="1"/>
        </w:numPr>
        <w:rPr/>
      </w:pPr>
      <w:bookmarkStart w:id="739" w:name="__RefHeading___Toc4067333_3224264995"/>
      <w:bookmarkStart w:id="740" w:name="_Toc280"/>
      <w:bookmarkEnd w:id="739"/>
      <w:r>
        <w:rPr>
          <w:rtl w:val="true"/>
        </w:rPr>
        <w:t>«</w:t>
      </w:r>
      <w:r>
        <w:rPr>
          <w:rtl w:val="true"/>
        </w:rPr>
        <w:t>لا إله إلا هو</w:t>
      </w:r>
      <w:r>
        <w:rPr>
          <w:rtl w:val="true"/>
        </w:rPr>
        <w:t>»</w:t>
      </w:r>
      <w:bookmarkEnd w:id="740"/>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شهد اللّه و الملائکة أولوا العلم ان لا إله إلا هو بتقدیر بأن فحذف الباء قیاسا و إن لدلالة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علیها أو الجملة مستأنفة لتأکید المشهود به أوّلا و تحقیقه </w:t>
      </w:r>
      <w:r>
        <w:rPr>
          <w:rStyle w:val="FootnoteAnchor"/>
          <w:rtl w:val="true"/>
        </w:rPr>
        <w:footnoteReference w:id="1672"/>
      </w:r>
      <w:r>
        <w:rPr>
          <w:rFonts w:ascii="IRNazanin" w:hAnsi="IRNazanin" w:eastAsia="IRNazanin"/>
          <w:color w:val="111111"/>
          <w:sz w:val="28"/>
          <w:sz w:val="28"/>
          <w:szCs w:val="28"/>
          <w:rtl w:val="true"/>
          <w:lang w:bidi="fa-IR"/>
        </w:rPr>
        <w:t>و الضمیر مستثنی مفرغ بدل من المستثنی منه علی محله البعید</w:t>
      </w:r>
      <w:r>
        <w:rPr>
          <w:rFonts w:eastAsia="IRNazanin" w:cs="IRNazanin"/>
          <w:color w:val="111111"/>
          <w:sz w:val="28"/>
          <w:szCs w:val="28"/>
          <w:rtl w:val="true"/>
          <w:lang w:bidi="fa-IR"/>
        </w:rPr>
        <w:t xml:space="preserve">. </w:t>
      </w:r>
      <w:bookmarkStart w:id="741" w:name="pg12937_139553"/>
    </w:p>
    <w:p>
      <w:pPr>
        <w:pStyle w:val="Heading4"/>
        <w:numPr>
          <w:ilvl w:val="3"/>
          <w:numId w:val="1"/>
        </w:numPr>
        <w:rPr/>
      </w:pPr>
      <w:bookmarkStart w:id="742" w:name="__RefHeading___Toc4067335_3224264995"/>
      <w:bookmarkStart w:id="743" w:name="_Toc281"/>
      <w:bookmarkEnd w:id="741"/>
      <w:bookmarkEnd w:id="742"/>
      <w:r>
        <w:rPr>
          <w:rtl w:val="true"/>
        </w:rPr>
        <w:t>«</w:t>
      </w:r>
      <w:r>
        <w:rPr>
          <w:rtl w:val="true"/>
        </w:rPr>
        <w:t>العزیز</w:t>
      </w:r>
      <w:r>
        <w:rPr>
          <w:rtl w:val="true"/>
        </w:rPr>
        <w:t>»</w:t>
      </w:r>
      <w:bookmarkEnd w:id="743"/>
    </w:p>
    <w:p>
      <w:pPr>
        <w:pStyle w:val="BookText"/>
        <w:rPr/>
      </w:pP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p>
    <w:p>
      <w:pPr>
        <w:pStyle w:val="Heading4"/>
        <w:numPr>
          <w:ilvl w:val="3"/>
          <w:numId w:val="1"/>
        </w:numPr>
        <w:rPr/>
      </w:pPr>
      <w:bookmarkStart w:id="744" w:name="__RefHeading___Toc4067337_3224264995"/>
      <w:bookmarkStart w:id="745" w:name="_Toc282"/>
      <w:bookmarkEnd w:id="744"/>
      <w:r>
        <w:rPr>
          <w:rtl w:val="true"/>
        </w:rPr>
        <w:t>«</w:t>
      </w:r>
      <w:r>
        <w:rPr>
          <w:rtl w:val="true"/>
        </w:rPr>
        <w:t>الحکیم</w:t>
      </w:r>
      <w:r>
        <w:rPr>
          <w:rtl w:val="true"/>
        </w:rPr>
        <w:t>»</w:t>
      </w:r>
      <w:bookmarkEnd w:id="745"/>
    </w:p>
    <w:p>
      <w:pPr>
        <w:pStyle w:val="BookText"/>
        <w:rPr/>
      </w:pPr>
      <w:r>
        <w:rPr>
          <w:rFonts w:ascii="Amiri" w:hAnsi="Amiri" w:eastAsia="Amiri" w:cs="Amiri"/>
          <w:color w:val="111111"/>
          <w:sz w:val="28"/>
          <w:sz w:val="28"/>
          <w:szCs w:val="28"/>
          <w:rtl w:val="true"/>
          <w:lang w:bidi="ar-SA"/>
        </w:rPr>
        <w:t>العالم بالحکم الفاعل علی وفقها و هما بالرفع عطفا بیان أو بدلان من الضمیران جوزنا البدل الثانی أی البدل من البدل أو خبران لمقدر أی هو أو الموحّد أو المشهود له العزیز الحکیم و لیسا نعتین إذ الضمیر لا ینعت و لا ینعت به و کونهما نعتین لفاعل شهد بعید و قد أجیز فی الآیة المقتبسة و هی قوله تعالی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Style w:val="FootnoteAnchor"/>
          <w:rtl w:val="true"/>
        </w:rPr>
        <w:footnoteReference w:id="1673"/>
      </w:r>
      <w:r>
        <w:rPr>
          <w:rFonts w:ascii="IRNazanin" w:hAnsi="IRNazanin" w:eastAsia="IRNazanin"/>
          <w:color w:val="111111"/>
          <w:sz w:val="28"/>
          <w:sz w:val="28"/>
          <w:szCs w:val="28"/>
          <w:rtl w:val="true"/>
          <w:lang w:bidi="fa-IR"/>
        </w:rPr>
        <w:t>و إنما 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و مزید الإهتمام به و یمکن جعل الثانیة مفعولا لمحذوف هو حال من الشهود أی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مستأنف أی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ثم فی ذکر التشبیه و المشبه‌به أیضا إلمام باشاره ثانیة إلی أقسام التوحید فإن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توحید الحق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شهدت 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توحید الصدیقین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الْعِلْمِ إلی الأقسام الآخر و لا یبعد أن یرید المتکلم بالتشبیه جمع جمیع خواص الأقسام فی توحیده و إن کان بعضها خاصا به سبحانه غیر مقدور للعباد فإنه تعالی کریم یقبل الحیل و یجازی علی النیة و إن تجردت عن العمل و لذا ورد فی </w:t>
      </w:r>
      <w:bookmarkStart w:id="746" w:name="pg12937_139554"/>
    </w:p>
    <w:p>
      <w:pPr>
        <w:pStyle w:val="BookText"/>
        <w:rPr/>
      </w:pPr>
      <w:bookmarkEnd w:id="746"/>
      <w:r>
        <w:rPr>
          <w:rFonts w:ascii="IRNazanin" w:hAnsi="IRNazanin" w:eastAsia="IRNazanin"/>
          <w:color w:val="111111"/>
          <w:sz w:val="28"/>
          <w:sz w:val="28"/>
          <w:szCs w:val="28"/>
          <w:rtl w:val="true"/>
          <w:lang w:bidi="fa-IR"/>
        </w:rPr>
        <w:t>المأثور أحمدک حمدا یفوق حمد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الحامدین و یسبق حمد کل حامد إلی غیر ذلک مما یمتنع حصوله لجل المتکلمین أو کلهم کان المتکلم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أرید أن أفعل هذا الفرد الکامل طلبا لفضله و لا أقدر علیه لیعطیه اللّه فضله من فضله لما روی أن من عمل حسنة فَلَهُ عَشْرُ أَمْثٰالِهٰا </w:t>
      </w:r>
      <w:r>
        <w:rPr>
          <w:rStyle w:val="FootnoteAnchor"/>
          <w:rtl w:val="true"/>
        </w:rPr>
        <w:footnoteReference w:id="1675"/>
      </w:r>
      <w:r>
        <w:rPr>
          <w:rFonts w:ascii="IRNazanin" w:hAnsi="IRNazanin" w:eastAsia="IRNazanin"/>
          <w:color w:val="111111"/>
          <w:sz w:val="28"/>
          <w:sz w:val="28"/>
          <w:szCs w:val="28"/>
          <w:rtl w:val="true"/>
          <w:lang w:bidi="fa-IR"/>
        </w:rPr>
        <w:t>فإن نواها و لم یفعل فله مثل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ما روی أن اللّه تعالی أوحی إلی نوح علیه السّلام إذا وقعت فی ورطة فهلل اللّه ألف مرة فلما اضطربت به السفینة فی الطوفان خاف أن تغرق بأهلها قبل تمام الألف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ألف مرة</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أنه اکتفا بنیة الألف عن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من باب الإکتفاء عن فعل الشیء تفصیلا بفعله اجمالا کأنّ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فقد قاله ألفا إجمالا لا تفصیلا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تفصیله ترتب آحاده و خروجها من القوة إلی الفعل واحدا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 إنما یکون فی ملاحظة العقل دون الوجود الخارجی لأن الشیء ما لم یتشخص لم یوجد فما وجد خارجا لا إبهام فیه و لا اجمال فغایة الأمر أنه علیه السّلام نوی الألف و اکتفی بنیته عن عمله تفصیلا إلا أن الألف منویا مجمل و تفصیله ما یقع فی الخارج مترتبا و أین هذا من الاکتفاء بالوجود الخارجی الإجمالی عن التفصیلی و إن أردت الإجمال فی الذهن رجعت إلی ما قلته من الاکتفاء بالنیة؛فافهم</w:t>
      </w:r>
      <w:r>
        <w:rPr>
          <w:rFonts w:eastAsia="IRNazanin" w:cs="IRNazanin"/>
          <w:color w:val="111111"/>
          <w:sz w:val="28"/>
          <w:szCs w:val="28"/>
          <w:rtl w:val="true"/>
          <w:lang w:bidi="fa-IR"/>
        </w:rPr>
        <w:t>.</w:t>
      </w:r>
    </w:p>
    <w:p>
      <w:pPr>
        <w:pStyle w:val="Heading4"/>
        <w:numPr>
          <w:ilvl w:val="3"/>
          <w:numId w:val="1"/>
        </w:numPr>
        <w:rPr/>
      </w:pPr>
      <w:bookmarkStart w:id="747" w:name="__RefHeading___Toc4067339_3224264995"/>
      <w:bookmarkStart w:id="748" w:name="_Toc283"/>
      <w:bookmarkEnd w:id="747"/>
      <w:r>
        <w:rPr>
          <w:rtl w:val="true"/>
        </w:rPr>
        <w:t>«</w:t>
      </w:r>
      <w:r>
        <w:rPr>
          <w:rtl w:val="true"/>
        </w:rPr>
        <w:t>و أشهد أن محمدا عبده المنتجب</w:t>
      </w:r>
      <w:r>
        <w:rPr>
          <w:rtl w:val="true"/>
        </w:rPr>
        <w:t>»</w:t>
      </w:r>
      <w:bookmarkEnd w:id="748"/>
    </w:p>
    <w:p>
      <w:pPr>
        <w:pStyle w:val="BookText"/>
        <w:rPr/>
      </w:pPr>
      <w:r>
        <w:rPr>
          <w:rFonts w:ascii="IRNazanin" w:hAnsi="IRNazanin" w:eastAsia="IRNazanin"/>
          <w:color w:val="111111"/>
          <w:sz w:val="28"/>
          <w:sz w:val="28"/>
          <w:szCs w:val="28"/>
          <w:rtl w:val="true"/>
          <w:lang w:bidi="fa-IR"/>
        </w:rPr>
        <w:t>بفتح الجیم أی المنتخب بفتح الخاء المعجمة أی المختار</w:t>
      </w:r>
      <w:r>
        <w:rPr>
          <w:rFonts w:eastAsia="IRNazanin" w:cs="IRNazanin"/>
          <w:color w:val="111111"/>
          <w:sz w:val="28"/>
          <w:szCs w:val="28"/>
          <w:rtl w:val="true"/>
          <w:lang w:bidi="fa-IR"/>
        </w:rPr>
        <w:t>.</w:t>
      </w:r>
    </w:p>
    <w:p>
      <w:pPr>
        <w:pStyle w:val="Heading4"/>
        <w:numPr>
          <w:ilvl w:val="3"/>
          <w:numId w:val="1"/>
        </w:numPr>
        <w:rPr/>
      </w:pPr>
      <w:bookmarkStart w:id="749" w:name="__RefHeading___Toc4067341_3224264995"/>
      <w:bookmarkStart w:id="750" w:name="_Toc284"/>
      <w:bookmarkEnd w:id="749"/>
      <w:r>
        <w:rPr>
          <w:rtl w:val="true"/>
        </w:rPr>
        <w:t>«</w:t>
      </w:r>
      <w:r>
        <w:rPr>
          <w:rtl w:val="true"/>
        </w:rPr>
        <w:t>و رسوله المرتضی</w:t>
      </w:r>
      <w:r>
        <w:rPr>
          <w:rtl w:val="true"/>
        </w:rPr>
        <w:t>»</w:t>
      </w:r>
      <w:bookmarkEnd w:id="750"/>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المختار لأن من یرتضی شیئا رضی به و اختاره علی بدله جمع بین العبودیة و الرسالة دفعا لتوهم ما توهم فی عیسی بناء علی أنه أفضل منه و ممن سلف و تقدیم العبد </w:t>
      </w:r>
      <w:bookmarkStart w:id="751" w:name="pg12937_139555"/>
    </w:p>
    <w:p>
      <w:pPr>
        <w:pStyle w:val="BookText"/>
        <w:rPr/>
      </w:pPr>
      <w:bookmarkEnd w:id="751"/>
      <w:r>
        <w:rPr>
          <w:rFonts w:ascii="IRNazanin" w:hAnsi="IRNazanin" w:eastAsia="IRNazanin"/>
          <w:color w:val="111111"/>
          <w:sz w:val="28"/>
          <w:sz w:val="28"/>
          <w:szCs w:val="28"/>
          <w:rtl w:val="true"/>
          <w:lang w:bidi="fa-IR"/>
        </w:rPr>
        <w:t>ترق من الأدنی إلی الأعلی بحسب النظر الجلیل و بادی الرأی أو تقدیم للأشرف بحسب النظر الدقیق بناء علی ما قیل إن مقام العبودیة أشرف من الرسالة إذ بها ینصرف من غیره إلیه فإن العبد الحقیقی له سبحانه من کان حرا عن جمیع أغیاره فی جمیع أوقاته و هو المعصوم عن عبودیة الهوی و الشیطان المستغرق أبدا فی طاعة الرحمان</w:t>
      </w:r>
      <w:r>
        <w:rPr>
          <w:rFonts w:eastAsia="IRNazanin" w:cs="IRNazanin"/>
          <w:color w:val="111111"/>
          <w:sz w:val="28"/>
          <w:szCs w:val="28"/>
          <w:rtl w:val="true"/>
          <w:lang w:bidi="fa-IR"/>
        </w:rPr>
        <w:t>.</w:t>
      </w:r>
    </w:p>
    <w:p>
      <w:pPr>
        <w:pStyle w:val="Heading4"/>
        <w:numPr>
          <w:ilvl w:val="3"/>
          <w:numId w:val="1"/>
        </w:numPr>
        <w:rPr/>
      </w:pPr>
      <w:bookmarkStart w:id="752" w:name="__RefHeading___Toc4067343_3224264995"/>
      <w:bookmarkStart w:id="753" w:name="_Toc285"/>
      <w:bookmarkEnd w:id="752"/>
      <w:r>
        <w:rPr>
          <w:rtl w:val="true"/>
        </w:rPr>
        <w:t>«</w:t>
      </w:r>
      <w:r>
        <w:rPr>
          <w:rtl w:val="true"/>
        </w:rPr>
        <w:t>أرسله</w:t>
      </w:r>
      <w:r>
        <w:rPr>
          <w:rtl w:val="true"/>
        </w:rPr>
        <w:t>»</w:t>
      </w:r>
      <w:bookmarkEnd w:id="753"/>
    </w:p>
    <w:p>
      <w:pPr>
        <w:pStyle w:val="BookText"/>
        <w:rPr/>
      </w:pPr>
      <w:r>
        <w:rPr>
          <w:rFonts w:ascii="IRNazanin" w:hAnsi="IRNazanin" w:eastAsia="IRNazanin"/>
          <w:color w:val="111111"/>
          <w:sz w:val="28"/>
          <w:sz w:val="28"/>
          <w:szCs w:val="28"/>
          <w:rtl w:val="true"/>
          <w:lang w:bidi="fa-IR"/>
        </w:rPr>
        <w:t>استیناف نحوی إذ لا تعلق له بما قبله أو بیانی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أرسله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بالهدی أی معه أو بسببه و لأجله فالظرف لغو متعلق بأرسل أو کاینا بالهدی و معه فالظرف مستقر حال عن مفعول أرسل</w:t>
      </w:r>
      <w:r>
        <w:rPr>
          <w:rFonts w:eastAsia="IRNazanin" w:cs="IRNazanin"/>
          <w:color w:val="111111"/>
          <w:sz w:val="28"/>
          <w:szCs w:val="28"/>
          <w:rtl w:val="true"/>
          <w:lang w:bidi="fa-IR"/>
        </w:rPr>
        <w:t>.</w:t>
      </w:r>
    </w:p>
    <w:p>
      <w:pPr>
        <w:pStyle w:val="Heading4"/>
        <w:numPr>
          <w:ilvl w:val="3"/>
          <w:numId w:val="1"/>
        </w:numPr>
        <w:rPr/>
      </w:pPr>
      <w:bookmarkStart w:id="754" w:name="__RefHeading___Toc4067345_3224264995"/>
      <w:bookmarkStart w:id="755" w:name="_Toc286"/>
      <w:bookmarkEnd w:id="754"/>
      <w:r>
        <w:rPr>
          <w:rtl w:val="true"/>
        </w:rPr>
        <w:t>«</w:t>
      </w:r>
      <w:r>
        <w:rPr>
          <w:rtl w:val="true"/>
        </w:rPr>
        <w:t>و دین الحق</w:t>
      </w:r>
      <w:r>
        <w:rPr>
          <w:rtl w:val="true"/>
        </w:rPr>
        <w:t>»</w:t>
      </w:r>
      <w:bookmarkEnd w:id="755"/>
    </w:p>
    <w:p>
      <w:pPr>
        <w:pStyle w:val="BookText"/>
        <w:rPr/>
      </w:pPr>
      <w:r>
        <w:rPr>
          <w:rFonts w:ascii="IRNazanin" w:hAnsi="IRNazanin" w:eastAsia="IRNazanin"/>
          <w:color w:val="111111"/>
          <w:sz w:val="28"/>
          <w:sz w:val="28"/>
          <w:szCs w:val="28"/>
          <w:rtl w:val="true"/>
          <w:lang w:bidi="fa-IR"/>
        </w:rPr>
        <w:t>عطف علی الهدی و المعنی الدین الحق علی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الاضافة إلی الصفة کمسجد الجامع أو دین للحق تعالی شأنه فالإضافة لامیة و الملابسة وضعه له و أمره به و لک جعل الدین مصدرا مضافا إلی مفعوله بمعنی العبادة أو الطاعة فالحق هو اللّه سبحانه أو إلی فاعله بمعنی القهر أو الغلبة أو السلطان أو الحکم فالحق ضد الباطل</w:t>
      </w:r>
      <w:r>
        <w:rPr>
          <w:rFonts w:eastAsia="IRNazanin" w:cs="IRNazanin"/>
          <w:color w:val="111111"/>
          <w:sz w:val="28"/>
          <w:szCs w:val="28"/>
          <w:rtl w:val="true"/>
          <w:lang w:bidi="fa-IR"/>
        </w:rPr>
        <w:t>.</w:t>
      </w:r>
    </w:p>
    <w:p>
      <w:pPr>
        <w:pStyle w:val="Heading4"/>
        <w:numPr>
          <w:ilvl w:val="3"/>
          <w:numId w:val="1"/>
        </w:numPr>
        <w:rPr/>
      </w:pPr>
      <w:bookmarkStart w:id="756" w:name="__RefHeading___Toc4067347_3224264995"/>
      <w:bookmarkStart w:id="757" w:name="_Toc287"/>
      <w:bookmarkEnd w:id="756"/>
      <w:r>
        <w:rPr>
          <w:rtl w:val="true"/>
        </w:rPr>
        <w:t>«</w:t>
      </w:r>
      <w:r>
        <w:rPr>
          <w:rtl w:val="true"/>
        </w:rPr>
        <w:t>لیظهره</w:t>
      </w:r>
      <w:r>
        <w:rPr>
          <w:rtl w:val="true"/>
        </w:rPr>
        <w:t>»</w:t>
      </w:r>
      <w:bookmarkEnd w:id="757"/>
    </w:p>
    <w:p>
      <w:pPr>
        <w:pStyle w:val="BookText"/>
        <w:rPr/>
      </w:pPr>
      <w:r>
        <w:rPr>
          <w:rFonts w:ascii="IRNazanin" w:hAnsi="IRNazanin" w:eastAsia="IRNazanin"/>
          <w:color w:val="111111"/>
          <w:sz w:val="28"/>
          <w:sz w:val="28"/>
          <w:szCs w:val="28"/>
          <w:rtl w:val="true"/>
          <w:lang w:bidi="fa-IR"/>
        </w:rPr>
        <w:t>أی لیغلب دین الحق</w:t>
      </w:r>
      <w:r>
        <w:rPr>
          <w:rFonts w:eastAsia="IRNazanin" w:cs="IRNazanin"/>
          <w:color w:val="111111"/>
          <w:sz w:val="28"/>
          <w:szCs w:val="28"/>
          <w:rtl w:val="true"/>
          <w:lang w:bidi="fa-IR"/>
        </w:rPr>
        <w:t>.</w:t>
      </w:r>
    </w:p>
    <w:p>
      <w:pPr>
        <w:pStyle w:val="Heading4"/>
        <w:numPr>
          <w:ilvl w:val="3"/>
          <w:numId w:val="1"/>
        </w:numPr>
        <w:rPr/>
      </w:pPr>
      <w:bookmarkStart w:id="758" w:name="__RefHeading___Toc4067349_3224264995"/>
      <w:bookmarkStart w:id="759" w:name="_Toc288"/>
      <w:bookmarkEnd w:id="758"/>
      <w:r>
        <w:rPr>
          <w:rtl w:val="true"/>
        </w:rPr>
        <w:t>«</w:t>
      </w:r>
      <w:r>
        <w:rPr>
          <w:rtl w:val="true"/>
        </w:rPr>
        <w:t>علی الدین کله</w:t>
      </w:r>
      <w:r>
        <w:rPr>
          <w:rtl w:val="true"/>
        </w:rPr>
        <w:t>»</w:t>
      </w:r>
      <w:bookmarkEnd w:id="759"/>
    </w:p>
    <w:p>
      <w:pPr>
        <w:pStyle w:val="BookText"/>
        <w:rPr/>
      </w:pPr>
      <w:r>
        <w:rPr>
          <w:rFonts w:ascii="IRNazanin" w:hAnsi="IRNazanin" w:eastAsia="IRNazanin"/>
          <w:color w:val="111111"/>
          <w:sz w:val="28"/>
          <w:sz w:val="28"/>
          <w:szCs w:val="28"/>
          <w:rtl w:val="true"/>
          <w:lang w:bidi="fa-IR"/>
        </w:rPr>
        <w:t>أی جمیع الأدیان فاللام فی الدین للجنس أو الإستغراق أو لیظهر الرسول صلّی اللّه علیه و اله علی أهل کل دین بحذف مضاف أو علی نفسه بتعلیمه إیاه و اطلاعه علیه حتی لا یخفی علیه شیء منه و الغلبة بالحجة ظاهرة إذ لم یغلب أحد علی هذا الإسلام و لن یغلب باطل قط بالحجة علی الحق کذا بالنسخ و أما بالقهر فقیل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ناحیة من نواحی المسلمین قد غلبوا علی ناحیة من المشرکین و لحقهم قهر المسلمین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فی زمن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نزوله من السماء لا یبقی أهل دین إلا أسلم أو أعطی الجزیة</w:t>
      </w:r>
      <w:r>
        <w:rPr>
          <w:rFonts w:eastAsia="IRNazanin" w:cs="IRNazanin"/>
          <w:color w:val="111111"/>
          <w:sz w:val="28"/>
          <w:szCs w:val="28"/>
          <w:rtl w:val="true"/>
          <w:lang w:bidi="fa-IR"/>
        </w:rPr>
        <w:t xml:space="preserve">. </w:t>
      </w:r>
      <w:bookmarkStart w:id="760" w:name="pg12937_139556"/>
    </w:p>
    <w:p>
      <w:pPr>
        <w:pStyle w:val="BookText"/>
        <w:rPr/>
      </w:pPr>
      <w:bookmarkEnd w:id="760"/>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عند خروج المهدی علیه السّلام فلا یبقی أحد إلا أقر بمحمد صلّی اللّه علیه و اله</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و عن المقداد بن الأسود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علی ظهر الأرض بیتة مدر و لا وبر إلا أدخله اللّه کلمة الإسلام</w:t>
      </w:r>
      <w:r>
        <w:rPr>
          <w:rFonts w:eastAsia="IRNazanin" w:cs="IRNazanin"/>
          <w:color w:val="111111"/>
          <w:sz w:val="28"/>
          <w:szCs w:val="28"/>
          <w:rtl w:val="true"/>
          <w:lang w:bidi="fa-IR"/>
        </w:rPr>
        <w:t xml:space="preserve">. </w:t>
      </w:r>
      <w:r>
        <w:rPr>
          <w:rStyle w:val="FootnoteAnchor"/>
          <w:rtl w:val="true"/>
        </w:rPr>
        <w:footnoteReference w:id="1678"/>
      </w:r>
    </w:p>
    <w:p>
      <w:pPr>
        <w:pStyle w:val="Heading4"/>
        <w:numPr>
          <w:ilvl w:val="3"/>
          <w:numId w:val="1"/>
        </w:numPr>
        <w:rPr/>
      </w:pPr>
      <w:bookmarkStart w:id="761" w:name="__RefHeading___Toc4067351_3224264995"/>
      <w:bookmarkStart w:id="762" w:name="_Toc289"/>
      <w:bookmarkEnd w:id="761"/>
      <w:r>
        <w:rPr>
          <w:rtl w:val="true"/>
        </w:rPr>
        <w:t>«</w:t>
      </w:r>
      <w:r>
        <w:rPr>
          <w:rtl w:val="true"/>
        </w:rPr>
        <w:t>و لو کره المشرکون</w:t>
      </w:r>
      <w:r>
        <w:rPr>
          <w:rtl w:val="true"/>
        </w:rPr>
        <w:t>»</w:t>
      </w:r>
      <w:bookmarkEnd w:id="762"/>
    </w:p>
    <w:p>
      <w:pPr>
        <w:pStyle w:val="BookText"/>
        <w:rPr/>
      </w:pP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الحق أو أرسال الرسول أو الکل و هو مقتبس من قوله تعالی فی سورة البراءة هُوَ الَّذِی أَرْسَلَ رَسُولَهُ بِالْهُدیٰ </w:t>
      </w:r>
      <w:r>
        <w:rPr>
          <w:rStyle w:val="FootnoteAnchor"/>
          <w:rtl w:val="true"/>
        </w:rPr>
        <w:footnoteReference w:id="1680"/>
      </w:r>
      <w:r>
        <w:rPr>
          <w:rFonts w:ascii="IRNazanin" w:hAnsi="IRNazanin" w:eastAsia="IRNazanin"/>
          <w:color w:val="111111"/>
          <w:sz w:val="28"/>
          <w:sz w:val="28"/>
          <w:szCs w:val="28"/>
          <w:rtl w:val="true"/>
          <w:lang w:bidi="fa-IR"/>
        </w:rPr>
        <w:t>إلخ و لو هذه وصلیة و لا تستدعی جوابا و الواو حالیة و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بالحکم السابق أی یفعل اللّه ذلک مع کراهتهم فکیف مع عدمها فإنه أولی بذلک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عاطفة علی شرط محذوف لجواب مقدر مدلول علیه بسابقه أی لو لم یکرهوا أو کرهوا یفعل ذلک ثم حذف أحد الشرطین استغناء عنه بالمذکور لأنه أولی بالحکم فترتبة علی المذکور یستلزم ترتبة علی المحذوف أیضا و یدل علیه</w:t>
      </w:r>
      <w:r>
        <w:rPr>
          <w:rFonts w:eastAsia="IRNazanin" w:cs="IRNazanin"/>
          <w:color w:val="111111"/>
          <w:sz w:val="28"/>
          <w:szCs w:val="28"/>
          <w:rtl w:val="true"/>
          <w:lang w:bidi="fa-IR"/>
        </w:rPr>
        <w:t>.</w:t>
      </w:r>
    </w:p>
    <w:p>
      <w:pPr>
        <w:pStyle w:val="Heading4"/>
        <w:numPr>
          <w:ilvl w:val="3"/>
          <w:numId w:val="1"/>
        </w:numPr>
        <w:rPr/>
      </w:pPr>
      <w:bookmarkStart w:id="763" w:name="__RefHeading___Toc4067353_3224264995"/>
      <w:bookmarkStart w:id="764" w:name="_Toc290"/>
      <w:bookmarkEnd w:id="763"/>
      <w:r>
        <w:rPr>
          <w:rtl w:val="true"/>
        </w:rPr>
        <w:t>«</w:t>
      </w:r>
      <w:r>
        <w:rPr>
          <w:rtl w:val="true"/>
        </w:rPr>
        <w:t>و أشهد أنکم الأئمة الهداة الراشدون المهدیون</w:t>
      </w:r>
      <w:r>
        <w:rPr>
          <w:rtl w:val="true"/>
        </w:rPr>
        <w:t>»</w:t>
      </w:r>
      <w:bookmarkEnd w:id="764"/>
    </w:p>
    <w:p>
      <w:pPr>
        <w:pStyle w:val="BookText"/>
        <w:rPr/>
      </w:pPr>
      <w:r>
        <w:rPr>
          <w:rFonts w:ascii="IRNazanin" w:hAnsi="IRNazanin" w:eastAsia="IRNazanin"/>
          <w:color w:val="111111"/>
          <w:sz w:val="28"/>
          <w:sz w:val="28"/>
          <w:szCs w:val="28"/>
          <w:rtl w:val="true"/>
          <w:lang w:bidi="fa-IR"/>
        </w:rPr>
        <w:t>تعریف الخبر یفید حصره فی المبتدأ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الأمیر</w:t>
      </w:r>
      <w:r>
        <w:rPr>
          <w:rFonts w:eastAsia="IRNazanin" w:cs="IRNazanin"/>
          <w:color w:val="111111"/>
          <w:sz w:val="28"/>
          <w:szCs w:val="28"/>
          <w:rtl w:val="true"/>
          <w:lang w:bidi="fa-IR"/>
        </w:rPr>
        <w:t>.</w:t>
      </w:r>
    </w:p>
    <w:p>
      <w:pPr>
        <w:pStyle w:val="Heading4"/>
        <w:numPr>
          <w:ilvl w:val="3"/>
          <w:numId w:val="1"/>
        </w:numPr>
        <w:rPr/>
      </w:pPr>
      <w:bookmarkStart w:id="765" w:name="__RefHeading___Toc4067355_3224264995"/>
      <w:bookmarkStart w:id="766" w:name="_Toc291"/>
      <w:bookmarkEnd w:id="765"/>
      <w:r>
        <w:rPr>
          <w:rtl w:val="true"/>
        </w:rPr>
        <w:t>«</w:t>
      </w:r>
      <w:r>
        <w:rPr>
          <w:rtl w:val="true"/>
        </w:rPr>
        <w:t>المعصومون</w:t>
      </w:r>
      <w:r>
        <w:rPr>
          <w:rtl w:val="true"/>
        </w:rPr>
        <w:t>»</w:t>
      </w:r>
      <w:bookmarkEnd w:id="76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الذنوب و الآثام روی الصدوق باسناده عن موسی بن جعفر عن أبیه عن جده علی بن الحسین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منّا لا یکون إلا معصوما</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و لیست العصمة فی ظاهر الخلقة فیعرف بها و لذلک لا یکون إلا منصوصا فقیل له فما معنی المعصوم؟فقال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المعتصم بحبل اللّه و حبل اللّه هو القرآن لا یفترقان إلی یوم القیامة و القرآن یهدی إلی الإمام و</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حسین الأشقر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لا یکون إلا معصوما؟قال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الممتنع باللّه من جمیع محارم اللّه</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و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tl w:val="true"/>
        </w:rPr>
        <w:footnoteReference w:id="1684"/>
      </w:r>
      <w:r>
        <w:rPr>
          <w:rFonts w:ascii="IRNazanin" w:hAnsi="IRNazanin" w:eastAsia="IRNazanin"/>
          <w:color w:val="111111"/>
          <w:sz w:val="28"/>
          <w:sz w:val="28"/>
          <w:szCs w:val="28"/>
          <w:rtl w:val="true"/>
          <w:lang w:bidi="fa-IR"/>
        </w:rPr>
        <w:t>و عن محمد 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و ما استفدت من هشام بن الحکم فی طول صحبتی له شیئا أحسن من هذا الکلام فی صفة عصمة الإمام فإنی سألته یوما عن الإمام أهو معصوم؟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صفة العصمة فیه و بأی شیء تعرف؟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الذنوب لها أربعة أوجه و لا خامس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و الحسد و الغضب و الشهوة فهذه منفیة عنه لا یجوز أن یکون حریصا علی هذه الدنیا و هی تحت خاتمه لأنه خازن المسلمین فعلی ماذا یحرص و لا یجوز أن یکون حسودا لأن الإنسان إنما یحسد من فوقه و لیس فوقه أحد فکیف یحسد من هو دونه و لا یجوز أن یغضب لشیء من أمور الدنیا إلا أن یکون غضبه للّه عز و جل،فإن اللّه قد فرض علیه إقامة الحدود و أن لا تأخذه فی اللّه لومة لائم </w:t>
      </w:r>
      <w:r>
        <w:rPr>
          <w:rStyle w:val="FootnoteAnchor"/>
          <w:rtl w:val="true"/>
        </w:rPr>
        <w:footnoteReference w:id="1685"/>
      </w:r>
      <w:r>
        <w:rPr>
          <w:rFonts w:ascii="IRNazanin" w:hAnsi="IRNazanin" w:eastAsia="IRNazanin"/>
          <w:color w:val="111111"/>
          <w:sz w:val="28"/>
          <w:sz w:val="28"/>
          <w:szCs w:val="28"/>
          <w:rtl w:val="true"/>
          <w:lang w:bidi="fa-IR"/>
        </w:rPr>
        <w:t xml:space="preserve">و لا رأفة فی دینه حتی یقیم حدود اللّه عز و جل و لا یجوز له أن یتبع الشهوات و یؤثر الدنیا علی الآخرة لأن اللّه عز و جل حبّب إلیه الآخرة کما حبّب إلینا الدنیا فهو ینظر إلی الآخرة کما ننظر إلی الدنیا فهل رأیت أحدا ترک وجها حسنا لوجه قبیح و طعاما طیبا لطعام مرّ و ثوبا لینا لثوب خشن و نعمة باقیة دائمة </w:t>
      </w:r>
      <w:r>
        <w:rPr>
          <w:rStyle w:val="FootnoteAnchor"/>
          <w:rtl w:val="true"/>
        </w:rPr>
        <w:footnoteReference w:id="1686"/>
      </w:r>
      <w:r>
        <w:rPr>
          <w:rFonts w:ascii="IRNazanin" w:hAnsi="IRNazanin" w:eastAsia="IRNazanin"/>
          <w:color w:val="111111"/>
          <w:sz w:val="28"/>
          <w:sz w:val="28"/>
          <w:szCs w:val="28"/>
          <w:rtl w:val="true"/>
          <w:lang w:bidi="fa-IR"/>
        </w:rPr>
        <w:t>لدنیا زائلة فانیة؛إنتهی</w:t>
      </w:r>
      <w:r>
        <w:rPr>
          <w:rFonts w:eastAsia="IRNazanin" w:cs="IRNazanin"/>
          <w:color w:val="111111"/>
          <w:sz w:val="28"/>
          <w:szCs w:val="28"/>
          <w:rtl w:val="true"/>
          <w:lang w:bidi="fa-IR"/>
        </w:rPr>
        <w:t xml:space="preserve">. </w:t>
      </w:r>
      <w:r>
        <w:rPr>
          <w:rStyle w:val="FootnoteAnchor"/>
          <w:rtl w:val="true"/>
        </w:rPr>
        <w:footnoteReference w:id="1687"/>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الدلیل العقلی علی وجوب عصمة الإمام فهو بعینه دلیل عصمة النبی صلّی اللّه علیه و اله و قد </w:t>
      </w:r>
      <w:bookmarkStart w:id="767" w:name="pg12937_139558"/>
    </w:p>
    <w:p>
      <w:pPr>
        <w:pStyle w:val="BookText"/>
        <w:rPr/>
      </w:pPr>
      <w:bookmarkEnd w:id="767"/>
      <w:r>
        <w:rPr>
          <w:rFonts w:ascii="IRNazanin" w:hAnsi="IRNazanin" w:eastAsia="IRNazanin"/>
          <w:color w:val="111111"/>
          <w:sz w:val="28"/>
          <w:sz w:val="28"/>
          <w:szCs w:val="28"/>
          <w:rtl w:val="true"/>
          <w:lang w:bidi="fa-IR"/>
        </w:rPr>
        <w:t>اتفقت علیها الأمة فکما یجب أن یکون المبلغ عن اللّه تعالی دینه معصوما لیکون قوله و فعله حجة فکذا حافظه بعده و المفسر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حکم الإمام علی النبی فی العصمة إنما یتم لو قال الخصم بوجوب نصب الإمام علی اللّه تعالی و 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الحاجة إلی الإمام من أنه لطف فی التکلیف فیجب هو أیضا بعینه دلیل الحاجة إلی النبی من غیر فارق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إن تبلیغ الدین و الکتاب من اللّه إلی المکلفین لا یکون إلا بمبلغ فیجب و أما تفهیم المراد و البیان و الإرشاد فیحصل الغرض منه بالبحث و الإجتهاد فلا یجب لأجله نصب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کون کل نبی مبلغا و مؤسسا لدین و کتاب بل قد یکون حافظا لشرع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مبلغ سابق و مبینا له کالإمام کیف لا؟و أکثر الأنبیاء السلف کانوا کذلک و إلا لوجب أن یکون الکتب و الأدیان بعدد الأنبیاء علیهم السّلام و لیس کذلک و المسلمون متفقون علی الحاجة إلی النبی مطلقا رسولا کان مختصا بدین و کتاب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مسّ الحاجة إلیه جار بعینه فی الإمام و لو تمّ ما قلت لم یکن النّبی محتاجا إلیه مطلقا بل إذا کان مبلّغا و مؤسّسا و هو خلاف اجماعهم و من هنا اتضح لک سرّ الأمر و أن النبی و الإمام لا فرق بینهما إلا فی بعض الإعتبارات الراجع إلی أصالة النبی و نیابة الإمام و نحوه مما لا یوجب افتراقهما فی شرایطهما فی أنفسهما و تبین أن من زعم من أهل الخلاف إن ذلک من الغلو فی شأن الإمام و ما له من الأوصاف فقد ارتکب شططا أو تکلف غلطا حیث لم یقدر علی إلحاق مرتبة أئمة بمرتبة الأنبیاء فحطّ مرتبة الإمام تقریبا لها إلی مراتب المتسلطین علی هذا المقام و من مشاهیر الأمثال أن الحسود إن لم یتمکن من الإلتحاق بالمحسود فبالسعی فی العکس یتوصل إلی بعض المقصود</w:t>
      </w:r>
      <w:r>
        <w:rPr>
          <w:rFonts w:eastAsia="IRNazanin" w:cs="IRNazanin"/>
          <w:color w:val="111111"/>
          <w:sz w:val="28"/>
          <w:szCs w:val="28"/>
          <w:rtl w:val="true"/>
          <w:lang w:bidi="fa-IR"/>
        </w:rPr>
        <w:t>.</w:t>
      </w:r>
    </w:p>
    <w:p>
      <w:pPr>
        <w:pStyle w:val="Heading4"/>
        <w:numPr>
          <w:ilvl w:val="3"/>
          <w:numId w:val="1"/>
        </w:numPr>
        <w:rPr/>
      </w:pPr>
      <w:bookmarkStart w:id="768" w:name="__RefHeading___Toc4067357_3224264995"/>
      <w:bookmarkStart w:id="769" w:name="_Toc292"/>
      <w:bookmarkEnd w:id="768"/>
      <w:r>
        <w:rPr>
          <w:rtl w:val="true"/>
        </w:rPr>
        <w:t>«</w:t>
      </w:r>
      <w:r>
        <w:rPr>
          <w:rtl w:val="true"/>
        </w:rPr>
        <w:t>المکرّمون</w:t>
      </w:r>
      <w:r>
        <w:rPr>
          <w:rtl w:val="true"/>
        </w:rPr>
        <w:t>»</w:t>
      </w:r>
      <w:bookmarkEnd w:id="76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الراء المهملة المشددة</w:t>
      </w:r>
      <w:r>
        <w:rPr>
          <w:rFonts w:eastAsia="Amiri" w:cs="Amiri" w:ascii="Amiri" w:hAnsi="Amiri"/>
          <w:color w:val="111111"/>
          <w:sz w:val="28"/>
          <w:szCs w:val="28"/>
          <w:rtl w:val="true"/>
          <w:lang w:bidi="ar-SA"/>
        </w:rPr>
        <w:t xml:space="preserve">. </w:t>
      </w:r>
      <w:bookmarkStart w:id="770" w:name="pg12937_139559"/>
    </w:p>
    <w:p>
      <w:pPr>
        <w:pStyle w:val="Heading2"/>
        <w:numPr>
          <w:ilvl w:val="1"/>
          <w:numId w:val="1"/>
        </w:numPr>
        <w:rPr/>
      </w:pPr>
      <w:bookmarkStart w:id="771" w:name="__RefHeading___Toc4067359_3224264995"/>
      <w:bookmarkStart w:id="772" w:name="_Toc293"/>
      <w:bookmarkEnd w:id="770"/>
      <w:bookmarkEnd w:id="771"/>
      <w:r>
        <w:rPr>
          <w:rtl w:val="true"/>
        </w:rPr>
        <w:t>فهرست منابع تحقیق</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فنای مقربان،آیت اللّه جوادی آملی،تحقیق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محمد صفائی،نشر اسراء،چاپ دوم،قم،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الإرشاد،الشیخ المفید،تحقیق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الثانیة،نشر دار المفید، 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الاعتقادات،الشیخ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عبد السید،الطبعة الثانیة،نشر دار المفید، 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الأمالی،الشیخ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البعثة،الطبعة الأولی،نشر مؤسسة البعثة،قم،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الأمالی،الشیخ الطوسی،تحقیق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البعثة،الطبعة الأولی،نشر مؤسسة البعثة،قم،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الصافی،الفیض الکاشانی،الطبعة الثانیة،نشر مکتبة الصدر،تهران،</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التوحید،الشیخ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الحسینی،نشر جامعة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الجرائح،قطب الدین الراوندی،تحقیق و نشر مؤسسة الإمام المهدی،الطبعة الاولی،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الخصال،الشیخ الصدوق،تعلیق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الغفاری،نشر جامعة المدرسین،قم،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السعدیة،العلامة الحلی،تحقیق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محمد علی بقال،الطبعة الاولی، نشر مکتبة آیة اللّه المرعشی النجفی،قم،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البهیة،الشهید الثانی،تحقیق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کلانتر،الطبعة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منشورات جامعة النجف الدینیة،</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الصحاح،الجوهری،تحقیق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 الغفور عطار،الطبعة الرابعة،نشر دار العلم للملایین،بیروت،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الطرائف،السید بن طاوس،الطبعة الاولی،المطبعة الخیام،</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المصباح،ابراهیم بن علی الکفعمی،دار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المواقف،الإیجی،تحقیق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عمیرة،الطبعة الاولی،نشر دار الجیل،بیروت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 ما منّ به الرحمن،أبو البقاء العکبری،الطبعة الاولی،نشر دار الکتب العلمیة، بیروت،</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الدرجات،محمد بن الحسن الصفار،تحقیق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محسن کوچه‌باغی، منشورات الأعلمی،تهران،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الآیات،سید شرف الدین الحسینی،نشر جامعة المدرسین،قم،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الآلوسی،الآلوسی،نشر دار الفکر،بیروت،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البیضاوی،البیضاوی،نشر 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العیاشی،محمد بن مسعود العیاشی،تحقیق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 نشر المکتبة العلمیة الإسلامیة،تهران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القمی،علی بن ابراهیم القمی،تحقیق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طیب الموسوی الجزایری،نشر مکتبة الهدی،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البیان،الشیخ الطبرسی،تحقیق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العلماء،الطبعة الاولی،نشر مؤسسة الأعلمی،بیروت،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المفضل،مفضل بن عمر الجعفی،تحقیق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المظفر،الطبعة الثانیة،نشر مؤسسة الوفاء،بیروت،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الأحکام،الشیخ الطوسی،إعداد السیّد حسن الموسوی الخرسان،الطبعة الرابعة، دار الکتب الإسلامیة،تهران،</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اصفهان،سید مصلح الدین مهدوی،رحیم قاسمی،محمد رضا نیلفروشان،گلدسته،</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،اول،اصفهان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 در علم و عرفان و ادب و هنر،دکتر سید محمد باقر کتابی،انتشارات گلها،اصفهان،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مشاهیر اصفهان،میر سید علی جناب،تدوین و تصحیح،رضوان پورعصار، نشر سازمان فرهنگی تفریحی شهرداری اصفهان،اول،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السالکین،سید علی خان المدنی،تحقیق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الحسینی،الطبعة الرابعة، مؤسسة النشر الإسلامی،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الرضی علی الکافیة،رضی الدین الأسترآبادی،تحقیق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حسن عمر،نشر مؤسسة الصادق،تهران،</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شافیة ابن الحاجب،رضی الدین الأسترآبادی،تحقیق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 الحسن،محمد الزفزاف،محمد محی الدین عبد الحمید،نشر دار الکتب العلمیة،بیروت،</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البلاغة،ابن ابی الحدید،تحقیق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الفضل ابراهیم،نشر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الشرائع،الشیخ الصدوق،تقدیم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صادق بحر العلوم،نشر مکتبة الحیدریة،</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السّلام،الشیخ الصدوق،تعلیق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حسین الأعلمی،نشر مؤسسة الأعلمی،بیروت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السائل،السید بن طاوس،انتشارات دفتر تبلیغات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الخفاء،العجلونی،الطبعة الثالثة،نشر دار الکتب العلمیة،بیروت،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الغمة،ابن أبی الفتح الاردبیلی،نشر دار الأضواء،بیروت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فی علم الرجال،آیة اللّه جعفر سبحانی،چاپ چهارم؛مؤسسة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النعمة،الشیخ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الغفاری،مؤسسة نشر الاسلامی لجماعة المدرسین،قم،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العرب،ابن منظور،نشر ادب الحوزة،قم،</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معنوی،مولوی،چاپ یازدهم،انتشارات امیر کبیر،</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الوسائل،المیرزا النوری،تحقیق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السّلام،الطبعة الثانیة،نشر مؤسسة آل البیت علیهم السّلام 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احمد،الإمام احمد بن حنبل،نشر 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المتهجد،الشیخ الطوسی،الطبعة الاولی،نشر مؤسسة فقه الشیعة،بیروت،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الأخبار،الشیخ الصدوق،تعلیق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الغفاری،مؤسسة نشر الإسلامی لجماعة المدرسین،قم،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الحدیث،آیة اللّه خوئی،الطبعة الخامسة،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اللغة،ابو الحسین احمد بن فارس زکریا،تحقیق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محمد هارون،مکتبة الإعلام الإسلامی،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الأخلاق،الشیخ الطبرسی،الطبعة السادسة،منشورات الشریف الرضی،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طالب،ابن شهر آشوب،تصحیح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من اساتذة النجف،نشر المکتبة الحیدریة،نجف،</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الفقیه،الشیخ الصدوق،تحقیق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الغفاری،مؤسسة نشر الاسلامی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الدعوات،ابن طاوس،الطبعة الاولی،نشر دار الذخائر،قم،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الحق،العلامة الحلی،تعلیق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عین اللّه الحسینی،نشر دار الهجرة،قم،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3" w:name="pg12937_139563"/>
    </w:p>
    <w:p>
      <w:pPr>
        <w:pStyle w:val="Heading2"/>
        <w:numPr>
          <w:ilvl w:val="1"/>
          <w:numId w:val="1"/>
        </w:numPr>
        <w:rPr/>
      </w:pPr>
      <w:bookmarkStart w:id="774" w:name="__RefHeading___Toc4067361_3224264995"/>
      <w:bookmarkStart w:id="775" w:name="_Toc294"/>
      <w:bookmarkEnd w:id="773"/>
      <w:bookmarkEnd w:id="774"/>
      <w:r>
        <w:rPr>
          <w:rtl w:val="true"/>
        </w:rPr>
        <w:t>فهارس فنی</w:t>
      </w:r>
      <w:r>
        <w:rPr>
          <w:rtl w:val="true"/>
        </w:rPr>
        <w:t>:</w:t>
      </w:r>
      <w:bookmarkEnd w:id="775"/>
    </w:p>
    <w:p>
      <w:pPr>
        <w:pStyle w:val="Heading3"/>
        <w:numPr>
          <w:ilvl w:val="2"/>
          <w:numId w:val="1"/>
        </w:numPr>
        <w:rPr/>
      </w:pPr>
      <w:bookmarkStart w:id="776" w:name="__RefHeading___Toc4067363_3224264995"/>
      <w:bookmarkStart w:id="777" w:name="_Toc295"/>
      <w:bookmarkEnd w:id="776"/>
      <w:r>
        <w:rPr>
          <w:rtl w:val="true"/>
        </w:rPr>
        <w:t>اشاره</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و پیامبران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فرق،مذاهب،طوایف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2937_139565"/>
      <w:bookmarkStart w:id="779" w:name="pg12937_139565"/>
      <w:bookmarkEnd w:id="779"/>
    </w:p>
    <w:p>
      <w:pPr>
        <w:pStyle w:val="Heading3"/>
        <w:numPr>
          <w:ilvl w:val="2"/>
          <w:numId w:val="1"/>
        </w:numPr>
        <w:rPr/>
      </w:pPr>
      <w:bookmarkStart w:id="780" w:name="pg12937_139565"/>
      <w:bookmarkStart w:id="781" w:name="__RefHeading___Toc4067365_3224264995"/>
      <w:bookmarkStart w:id="782" w:name="_Toc296"/>
      <w:bookmarkEnd w:id="780"/>
      <w:bookmarkEnd w:id="781"/>
      <w:r>
        <w:rPr>
          <w:rtl w:val="true"/>
        </w:rPr>
        <w:t>آیات</w:t>
      </w:r>
      <w:bookmarkEnd w:id="782"/>
    </w:p>
    <w:p>
      <w:pPr>
        <w:pStyle w:val="BookText"/>
        <w:rPr/>
      </w:pPr>
      <w:r>
        <w:rPr>
          <w:rFonts w:ascii="IRNazanin" w:hAnsi="IRNazanin" w:eastAsia="IRNazanin"/>
          <w:color w:val="111111"/>
          <w:sz w:val="28"/>
          <w:sz w:val="28"/>
          <w:szCs w:val="28"/>
          <w:rtl w:val="true"/>
          <w:lang w:bidi="fa-IR"/>
        </w:rPr>
        <w:t>أحل لکم صید البحر؛</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 لکم لیلة الصیام الرفث؛</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الی سبیل ربک بالحکمة؛</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بشّر احدهم بالانثی ظلّ؛</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قالت الملائکة یا مریم؛</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أسکنوهن من حیث سکنتم؛</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اصطفی البنات علی البنین؛</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تعقلون؛</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أفمن یهدی إلی الحق أحق أن؛</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و ربک الأکرم؛</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 الصلوة لدلوک الشمس إلی؛</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تفعلوه تکن؛</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علی أزواجهم أو ما ملکت؛</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ما ملکت ایمانکم کتاب اللّه؛</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یسجدوا للّه الذی یخرج؛</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یأکلون الربا؛</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ینفقون فی السّرّاء؛</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ألزمهم کلمة التقوی؛</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نور السماوات و الارض مثل نوره؛</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یصطفی من الملائکة رسلا؛</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تکن أرض اللّه واسعة؛</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فی جهنم مثوی للکافرین؛</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زینا السماء الدنیا؛</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فتحنا؛</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توفاهم الملائکة؛</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کفروا و یصدون؛</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الصلوة کانت علی المؤمنین؛</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اصطفی ادم و نوحا؛</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یغفر أن یشرک به و یغفر؛</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و ملائکته یصلون علی؛</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المنافقین لکاذبون؛</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بیت وضع للناس؛</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تتوبا الی اللّه؛</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ربک یعلم أنّک تقوم أدنی؛</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یدعوا حزبه لیکونوا من؛</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 اللّه لیذهب عنکم؛</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یهدی للتی؛</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لذکر لک و لقومک؛</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أرید أن أنکحک إحدی؛</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زد علیه؛</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کظلمات فی بحر لجی یغشاه؛</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علی هدی من ربهم؛</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یدعون الی النار؛</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الألباب؛</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 لکم عفا اللّه عنها؛</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تریدون عرض الدنیا و اللّه یرید؛</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أنک لرسول اللّه؛</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تعرضن عنهم ابتغاء رحمة؛</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ما فی نفسی و لا أعلم؛</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تمتعوا فی دارکم ثلاثة ایّام؛</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أفیضوا من حیث أفاض؛</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أورثنا الکتاب الذین؛</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حافظوا علی الصلوات و الصلاة الوسطی؛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تعلموا ما تقولون و لا جنبا؛</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أشهر معلومات فمن؛</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فاطر السماوات؛</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الجهر من القول؛</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السجن أحب ألیّ مما؛</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اغفر لنا و لإخواننا الذین؛</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إننا سمعنا منادیا ینادی؛</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لا تؤاخذنا إن نسینا أو؛</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لا تحملنا ما لا طاقة لنا به؛</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رجال لا تلهیهم تجارة و لا بیع؛</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 یتلوا علیکم آیات اللّه؛</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السارق و السارقة فاقطعوا؛</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رمضان الذی أنزل فیه؛</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 عبدا مملوکا؛</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یطیر بجناحیه؛</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مرتان فإمساک بمعروف؛</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أن تحصوه فتاب علیکم فاقرؤا؛</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افئدة من الناس تهوی؛</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استویت أنت و من معک؛</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ذهب الخوف سلقوکم؛</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قضیتم الصلاة فاذکروا اللّه؛</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قضیتم مناسککم؛</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فأسئلوا أهل الذکر؛</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فاستحبّوا العمی علی الهدی؛</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فأنساه الشیطان ذکر ربه؛</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طبن لکم عن شیء منه نفسا؛</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طلقها فلا تحل له؛</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عزموا الطلاق؛</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تکونوا دخلتم؛</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فتاب علیکم و عفا عنکم؛</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اللّه حین تمسون و؛</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یأتی اللّه بقوم یحبهم؛</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فصاله فی عامین؛</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تحسبن اللّه مخلف وعده؛</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تضربوا للّه الامثال؛</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یقربوا المسجد؛</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نفر من کل فرقة؛</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عشر امثالها؛</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علیکم جناح؛</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بدله بعد ما سمعه فإنما؛</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تاب من بعد ظلمه؛</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منکم مریضا أو علی؛</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یرجوا لقاء ربه؛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فیه سواء؛</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رجال یحبون أن یتطهروا و اللّه؛</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تؤاخذنی بما نسیت؛</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سلاما قال سلام؛</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هم أولاء علی اثری؛</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سألها قوم؛</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 اللّه لا یأمر بالفحشاء؛</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 صلاتی و نسکی و محیای؛</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تعالوا ندع أبناءنا و ابنائکم؛</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أجد فیما أوحی إلی؛</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للمخلفین من الأعراب؛</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للمؤمنات یغضضن من؛</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من کان عدوا لجبریل؛</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مقتا عند اللّه؛</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علیکم إذا حضر أحدکم؛</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و أکثرهم لا یعقلون؛</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لئن لم ینته لنسفعا بالناصیة؛</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مما رزقکم اللّه حلالا طیبا؛</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یکون للناس علی اللّه حجة؛</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أنا فاتقون؛</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تحرموا طیبات؛</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تحسبن الذین یفرحون بما؛</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جناح علیکم إن طلقتم النساء؛</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یسبقونه بالقول و هم بأمره؛</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یؤاخذکم اللّه باللغو فی؛</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لبثنا یوما أو بعض یوم قالوا؛</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 أخیه میتا؛</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هو اللّه ربی؛</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لا یکون علی المؤمنین؛</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لا یؤمنون بالآخرة مثل السوء؛</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للذین یؤلون من نسائهم؛</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للرجال نصیب مما ترک الوالدان؛</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للفقرآء الذین أحصروا فی؛</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سمعوا الذکر؛</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الذین کفروا من أهل الکتاب؛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لا أرسلت إلینا رسولا؛</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البر أن تولوا وجوهکم؛</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الأعمی حرج؛</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علیکم جناح أن تبتغوا فضلا؛</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اتخذ اللّه من ولد و ما کان معه؛</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تلک بیمینک؛</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محمد أبا أحد من؛</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منعک ألا تسجد؛</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نعبدهم إلا لیقربونا إلی اللّه؛</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المقیمین الصلاة و الموتون؛</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جلود الأنعام؛</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حولک فاعف عنهم؛</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خزی یومئذ؛</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یجعل اللّه له نورا؛</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لرسول اللّه؛</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ابتلوا الیتامی حتی إذا بلغوا؛</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ابعث فیهم رسولا؛</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تسائلون؛</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اجعل لی لسان صدق فی؛</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موسی قومه سبعین؛</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حییتم بتحیة فحیوا بأحسن؛</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أخذ ربک من بنی آدم من ظهورهم؛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سألک عبادی عنی فإنی؛</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طلقتم النساء فبلغن أجلهن؛</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کنت فیهم فأقمت لهم؛</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انزلت سورة فمنهم من؛</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قال إبراهیم رب اجعل هذا؛</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اذکروه کما هداکم؛</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اصبر نفسک؛</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أنّما غنمتم من؛</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أقیموا الصلاة و ءاتوا الزکوة؛</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أقیموا وجوهکم عند کل؛</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الأرض مددناها و ألقینا؛</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الأنعام خلقها لکم؛</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الباقیات الصالحات خیر عند؛</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کفروا اعمالهم کسراب؛</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یبیتون لربهم سجدا؛</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یرمون المحصنات؛</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یکنزون الذهب و الفضة؛</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ینقضون عهد اللّه من بعد؛</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الطیبات من الرزق؛</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القواعد من النساء؛</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جعل لکم مما خلق ظلالا؛</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یعلم إنک لرسوله و اللّه؛</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المحصنات من الذین اوتوا؛</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المطلقات یتربصن بأنفسهن ثلاثة؛</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الوالدات یرضعن أولادهن؛</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فی قلوبهم مرض؛</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تخافن من قوم؛</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بالعرف و أعرض؛</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أول المسلمین؛</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طلقتموهن من قبل أن؛</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أنفقوا مما رزقناهم سرا؛</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ذو عسرة فنظرة إلی؛</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کنتم علی سفر و لم تجدوا؛</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أوفوا بالعهد إن العهد کان؛</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أولوا الأرحام بعضهم أولی؛</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بعهد اللّه أوفوا ذلکم؛</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جزاء سیئة بمثلها؛</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 بحمد ربک قبل طلوع؛</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 الذین معک؛</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ارکبوا فیها بسم اللّه؛</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اتخذ الرحمن ولدا؛</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 علیکم فی الکتاب؛</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 ذلک قواما؛</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به و المسجد الحرام؛</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تجهر بصلاتک و لا تخافت؛</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تستوی الحسنة؛</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تصل علی أحد منهم مات؛</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تعضلوهن؛</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تکتموا الشهادة؛</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تکرهوا فتیاتکم علی البغاء؛</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تنسوا الفضل بینکم إن اللّه؛</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تنکحوا المشرکات؛</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تنکحوا ما نکح آباؤکم؛</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جناح علیکم فیما عرضتم؛</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یشرک بعبادة ربه أحدا؛</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ولتکن منکم أمة؛</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المشرق و المغرب فأینما؛</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تستطیعوا أن تعدلوا بین؛</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تفلحوا إذا أبدا؛</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 یجعل اللّه للکفرین علی المؤمنین؛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أنا أهلکناهم؛</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أهل القری آمنوا؛</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أنما فی الارض من شجرة؛</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لیستعفف الذین لا یجدون؛</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لیکونا من الصاغرین؛</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أرسلنا من قبلک إلا رجالا؛</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نفقة أو نذرتم؛</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تنفقوا من خیر فلأنفسکم؛</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خلقت الجن و الإنس إلا؛</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کنا معذبین حتی نبعث؛</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لکم ألا تأکلوا مما ذکر؛</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یکون لنا أن نعود فیها؛</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الذین ینفقون أموالهم؛</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الیل فتهجد به نافلة لک؛</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دخله کان ءامنا؛</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ذریتی؛</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مریضا أو علی سفر فعدة؛</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یستطع منکم طولا؛</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یعتصم باللّه فقد هدی؛</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یغفر الذنوب؛</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ننزّل من القرآن ما هو شفاء؛</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وهبنا له اسحاق و یعقوب؛</w:t>
      </w:r>
      <w:r>
        <w:rPr>
          <w:rFonts w:eastAsia="IRNazanin" w:cs="IRNazanin"/>
          <w:color w:val="111111"/>
          <w:sz w:val="28"/>
          <w:szCs w:val="28"/>
          <w:lang w:bidi="fa-IR"/>
        </w:rPr>
        <w:t>543</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یبدوا الخلق ثم؛</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یسئلونک عن المحیض قل هو؛</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ینزل علیکم من السماء ماء؛</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تشقق السماء بالغمام؛</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ءاتوا الیتامی أموالهم؛</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هدوا إلی صراط الحمید؛</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أرسل رسوله بالهدی؛</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خلق لکم ما فی؛</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اتقوا اللّه حق؛</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اتقوا اللّه و ذروا؛</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إذا تداینتم؛</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إذا ضربتم؛</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إذا نودی؛</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إن جاءکم؛</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أنفقوا من؛</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إنما الخمر و؛</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شهادة بینکم؛</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کتب علیکم؛</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لا تتخذوا الذین؛</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لا تحلوا؛</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لا تقتلوا الصید؛</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لیستأذنکم؛</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اعبدوا ربکم؛</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کلوا مما فی الأرض؛</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آدم خذوا زینتکم عند؛</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آدم قد أنزلنا علیکم لباسا؛</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یجعلون للّه البنات سبحانه و لهم ما؛</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یحبون أن یحمدوا؛</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یسئلونک عن الشهر الحرام؛</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یسألونک عن الخمر و المیسر؛</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یوفون بالنذر و یخافون یوما کان؛</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یقول المنافقون و المنافقات؛</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783" w:name="pg12937_139573"/>
    </w:p>
    <w:p>
      <w:pPr>
        <w:pStyle w:val="Heading3"/>
        <w:numPr>
          <w:ilvl w:val="2"/>
          <w:numId w:val="1"/>
        </w:numPr>
        <w:rPr/>
      </w:pPr>
      <w:bookmarkStart w:id="784" w:name="__RefHeading___Toc4067367_3224264995"/>
      <w:bookmarkStart w:id="785" w:name="_Toc297"/>
      <w:bookmarkEnd w:id="783"/>
      <w:bookmarkEnd w:id="784"/>
      <w:r>
        <w:rPr>
          <w:rtl w:val="true"/>
        </w:rPr>
        <w:t>روایات</w:t>
      </w:r>
      <w:bookmarkEnd w:id="785"/>
    </w:p>
    <w:p>
      <w:pPr>
        <w:pStyle w:val="Heading4"/>
        <w:numPr>
          <w:ilvl w:val="3"/>
          <w:numId w:val="1"/>
        </w:numPr>
        <w:rPr/>
      </w:pPr>
      <w:bookmarkStart w:id="786" w:name="__RefHeading___Toc4067369_3224264995"/>
      <w:bookmarkStart w:id="787" w:name="_Toc298"/>
      <w:bookmarkEnd w:id="786"/>
      <w:r>
        <w:rPr>
          <w:rtl w:val="true"/>
        </w:rPr>
        <w:t>روایات عربی</w:t>
      </w:r>
      <w:bookmarkEnd w:id="787"/>
    </w:p>
    <w:p>
      <w:pPr>
        <w:pStyle w:val="BookText"/>
        <w:rPr/>
      </w:pPr>
      <w:r>
        <w:rPr>
          <w:rFonts w:ascii="IRNazanin" w:hAnsi="IRNazanin" w:eastAsia="IRNazanin"/>
          <w:color w:val="111111"/>
          <w:sz w:val="28"/>
          <w:sz w:val="28"/>
          <w:szCs w:val="28"/>
          <w:rtl w:val="true"/>
          <w:lang w:bidi="fa-IR"/>
        </w:rPr>
        <w:t>ابن آدم لو أکل قلبک طایر لم یشبعه؛</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احتجم النبی صلّی اللّه علیه و اله فأخذت الدّم؛</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احتجم رسول اللّه صلّی اللّه علیه و اله حجمه مولی؛</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احتجم رسول اللّه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عنی الدم؛</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 أحدکم فلیجهر بسلامه؛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 من القوم واحد أجزأ عنهم؛</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اضطر إلیها فلا بأس؛</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وزن مداد العلماء؛</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أن یهریق؛</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أسأله عن الرّجل یبعث له الدّواء؛</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اسعوا فإن اللّه کتب علیکم السعی؛</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اقرع به القلوب القاسیة؛</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منّا لا یکون إلا معصوما؛</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الحسن علیه السّلام قد خرج یوما من سرّ من رأی؛</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طیبة الحجّام شرب دمه علیه السّلام؛</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یعرف الخالق من جهة؛</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اختار من خلقه بنی آدم و منهم العرب؛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أبان فضل العترة علی سایر الناس؛</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عظیم رفیع لا یقدر العباد علی؛</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لا یوصف و کیف یوصف و قد قال؛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الصلاة فی کتاب اللّه عزّ و جل و أنتم الزکاة؛</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إنتهی إلینا علم هذا کله فصبرنا لأمر اللّه؛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حکمی علی الواحد حکمی؛</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ذلک عند خروج المهدی علیه السّلام فلا یبقی؛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اله قاء دما یسیرا؛</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قلب سلمان ما لو علمه أبو ذر لقتله؛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 قال ما اشتکی رسول اللّه صلّی اللّه علیه و اله وجعا؛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استشهد الحسین بقی فی کربلا؛</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یقولون مثل نور الرب؛</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أکره أن أصلی فی مساجدهم؛</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تارک فیکم الثّقلین کتاب اللّه و عترتی؛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مخلّف فیکم الثقلین کتاب الله و عترتی؛ </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أوصانی رسول اللّه صلّی اللّه علیه و اله عند وفاته و أنا؛</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قوم مؤمنون یحدثون فی إیمانهم؛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ما ینطق به القایم حین خرج هذه الآیة؛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بالنحل أن یوحی إلیها بل فینا نزلت؛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المشرق و المغرب قبلة؛</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أفطر و أزوره بعد؛</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اشهر معلومات شوال و ذو القعدة؛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حجمت رسول اللّه صلّی اللّه علیه و اله فلما فرغت؛</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حجمت رسول اللّه صلّی اللّه علیه و اله و أعطانی دینارا؛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المصباح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اشخص إلی الشام و نزل مدین فأغلق دونه؛</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الحسین علیه السّلام معتمرا و قد ساق بدنة حتی انتهی إلی؛</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فالذکر رسول اللّه و نحن أهله؛</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القرآن و أهله آل محمد؛</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 جند اللّه الأکبر و الریح عذاب علی قوم و رحمة لآخرین؛</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 أبا عبد اللّه علیه السّلام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کظلمات؛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رجل أبا عبد اللّه علیه السّلام عن دواء عجن؛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 رسول اللّه صلّی اللّه علیه و اله فی وجهه یوم أحد؛</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هو أمیر المؤمنین؛</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أمتی أفضل من؛</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علمنی یا ابن رسول اللّه قولا أقوله بلیغا کاملا؛</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أمیرها فسمی أمیر النحل؛</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به مثلوه و للّه المثل الأعلی الذی؛</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الحسین بن علی علیه السّلام اخرج معتمرا؛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 صلّی اللّه علیه و اله احتجم مرّة،فدفع؛</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فجعلکم فی بیوت أذن اللّه أن ترفع؛</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فدعا علی علیه السّلام ببدنة فنحرها؛</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الممتنع باللّه من جمیع؛</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فلیطف بالبیت اسبوعا؛</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المحصور و لم یسق الهدی،قال؛</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الأئمة من ولد فاطمة؛</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ذریته؛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ابنای هذان إمامان قاما أو قعدا؛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ایة حرمة لک؛</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هدوا إلی 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النبی صلّی اللّه علیه و اله من اللّیل إلی فخّارة؛</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توبتکم؛</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علی أبی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الواثق؛</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سواء؛</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علیه السّلام إنی رجل من العرب؛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محمد؛</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الآل؟فقال؛</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 فقلت؛</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کظلمات،الأول؛</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اله یبول فی قدح عیدان؛</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أمر ذی بال لم یبدأ فیه باسم اللّه؛</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خیّلتموه فی أدق معانیه فهو مخلوق؛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نمشی خلف أمیر المؤمنین علیه السّلام و معنا رجل من قریش؛</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کنزا مخفیّا فأحببت أن؛</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إلا ما أخبرک به؛</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بأن ینفر الرجل فی النفر الأول؛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تفرقا من مال أوس شیئا فإن؛</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شفاء بالحرام؛</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صیام لمن لا یعزم الصیام؛</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عبادة کالتفکر؛</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یبقی علی ظهر الأرض بیتة مدر و لا؛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له النساء حتی یطوف بالبیت؛</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جرح النبی صلّی اللّه علیه و اله یوم أحد مص جرحه؛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لولاکم لما خلقت الأفلاک؛</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أبالی أبول أصابنی أو ماء إذا؛</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اشتکی رسول اللّه صلّی اللّه علیه و اله وجعا قط إلاّ؛</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عبدتک طمعا فی جنتک و لا خوفا من نارک؛</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آیة فی القرآن أولها یا أیها؛</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یحل لی من إمرأتی و هی حائض؟قال؛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مثلنا فی کتاب اللّه،کمثل مشکاة؛</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نور العلم؛</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جمعا فقد أدرک الحج؛</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شاء رمی الجمار ارتفاع النهار؛</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عندنا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الذکر هم الیهود؛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مخلصا وجبت له؛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إذا مات و ترک ورقة واحدة؛</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أصل کلّ خیر و من فروعنا کل؛</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المشکاة و المصباح هو محمد؛</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أولوا النهی أخبر اللّه نبیه بما یکون؛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کلمة التقوی و سبیل الهدی و المثل الأعلی؛</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الأنبیاء لا نورث،ما ترکناه صدقة؛</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منهم و نحن بقیة تلک؛</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نزّهونا عن الربوبیة و ارفعوا عنّا؛</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سلم علی القوم و هم؛</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اردد إلی اللّه و رسوله ما یظلعک من الخطوب؛</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الصدقة علی عشرة مساکین یشبعهم من الطعام؛</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نسب اللّه عیسی بن مریم علیهما السّلام فی القرآن؛</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المحصور لا یحل له النساء؛</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بقی بلا طعام مع أهله؛</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أیما قارن أو مفرد؛</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 المستحفظون من اصحاب؛</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 آیة فی القرآن أولها یا أیّها الّذین؛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 مالک بن سنان،أبو أبی سعید؛</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هدوا إلی صراط الحمید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هدوا إلی ولایة أمیر المؤمنین علیه السّلام؛</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غیر الخالق الجلیل خالق؟قال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فی الحسن و الحسین؛ </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شرف کلّ مبعوث؛</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یصلیها بالهاجرة،و لم یکن صلاة أشد؛</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788" w:name="pg12937_139577"/>
    </w:p>
    <w:p>
      <w:pPr>
        <w:pStyle w:val="Heading3"/>
        <w:numPr>
          <w:ilvl w:val="2"/>
          <w:numId w:val="1"/>
        </w:numPr>
        <w:rPr/>
      </w:pPr>
      <w:bookmarkStart w:id="789" w:name="__RefHeading___Toc4067371_3224264995"/>
      <w:bookmarkStart w:id="790" w:name="_Toc299"/>
      <w:bookmarkEnd w:id="788"/>
      <w:bookmarkEnd w:id="789"/>
      <w:r>
        <w:rPr>
          <w:rtl w:val="true"/>
        </w:rPr>
        <w:t>معصومین و پیامبران</w:t>
      </w:r>
      <w:bookmarkEnd w:id="790"/>
    </w:p>
    <w:p>
      <w:pPr>
        <w:pStyle w:val="BookText"/>
        <w:rPr/>
      </w:pPr>
      <w:r>
        <w:rPr>
          <w:rFonts w:ascii="IRNazanin" w:hAnsi="IRNazanin" w:eastAsia="IRNazanin"/>
          <w:color w:val="111111"/>
          <w:sz w:val="28"/>
          <w:sz w:val="28"/>
          <w:szCs w:val="28"/>
          <w:rtl w:val="true"/>
          <w:lang w:bidi="fa-IR"/>
        </w:rPr>
        <w:t>ائمه،اهل بیت،معصومین،حجج؛</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ابا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559</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علیه السّلام؛</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 علیه السّلام؛</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علیه السّلام؛</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عزیز علیه السّلام؛</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علیه السّلام</w:t>
      </w:r>
    </w:p>
    <w:p>
      <w:pPr>
        <w:pStyle w:val="BookText"/>
        <w:rPr/>
      </w:pPr>
      <w:r>
        <w:rPr>
          <w:rFonts w:ascii="Amiri" w:hAnsi="Amiri" w:eastAsia="Amiri" w:cs="Amiri"/>
          <w:color w:val="111111"/>
          <w:sz w:val="28"/>
          <w:sz w:val="28"/>
          <w:szCs w:val="28"/>
          <w:rtl w:val="true"/>
          <w:lang w:bidi="ar-SA"/>
        </w:rPr>
        <w:t>رسول اللّه،نبی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محمّد صلّی اللّه علیه و اله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علیهم السّلام </w:t>
      </w:r>
      <w:bookmarkStart w:id="791" w:name="pg12937_139579"/>
    </w:p>
    <w:p>
      <w:pPr>
        <w:pStyle w:val="Heading3"/>
        <w:numPr>
          <w:ilvl w:val="2"/>
          <w:numId w:val="1"/>
        </w:numPr>
        <w:rPr/>
      </w:pPr>
      <w:bookmarkStart w:id="792" w:name="__RefHeading___Toc4067373_3224264995"/>
      <w:bookmarkStart w:id="793" w:name="_Toc300"/>
      <w:bookmarkEnd w:id="791"/>
      <w:bookmarkEnd w:id="792"/>
      <w:r>
        <w:rPr>
          <w:rtl w:val="true"/>
        </w:rPr>
        <w:t>اشخاص</w:t>
      </w:r>
      <w:bookmarkEnd w:id="793"/>
    </w:p>
    <w:p>
      <w:pPr>
        <w:pStyle w:val="Heading4"/>
        <w:numPr>
          <w:ilvl w:val="3"/>
          <w:numId w:val="1"/>
        </w:numPr>
        <w:rPr/>
      </w:pPr>
      <w:bookmarkStart w:id="794" w:name="__RefHeading___Toc4067375_3224264995"/>
      <w:bookmarkStart w:id="795" w:name="_Toc301"/>
      <w:bookmarkEnd w:id="794"/>
      <w:r>
        <w:rPr>
          <w:rtl w:val="true"/>
        </w:rPr>
        <w:t>الف،ب،پ،ت</w:t>
      </w:r>
      <w:bookmarkEnd w:id="795"/>
    </w:p>
    <w:p>
      <w:pPr>
        <w:pStyle w:val="BookText"/>
        <w:rPr/>
      </w:pPr>
      <w:r>
        <w:rPr>
          <w:rFonts w:ascii="IRNazanin" w:hAnsi="IRNazanin" w:eastAsia="IRNazanin"/>
          <w:color w:val="111111"/>
          <w:sz w:val="28"/>
          <w:sz w:val="28"/>
          <w:szCs w:val="28"/>
          <w:rtl w:val="true"/>
          <w:lang w:bidi="fa-IR"/>
        </w:rPr>
        <w:t>آخوندی،علی؛</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فکرت،محمد؛</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طهرانی؛</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بحر العلوم،سید جعفر بن سید محمد باقر؛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آلوسی،سید محمود؛</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یاسین،محمد حسن؛</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آندلسی،ابن حزم؛</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انیس؛</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عمر بن سفینه؛</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شمس الدین؛</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مصطفی؛</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ابراهیمی‌راد،محمد؛</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ابطحی،سید محمد باقر؛</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ابطحی،سید محمد علی؛</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زیاد؛</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عاصم؛</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عقیل،حسین بن علی؛</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یزید؛</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اثیر،علی بن أبی کرم؛</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ادریس،محمد بن منصور؛</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الأعرابی؛</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بابشاد،طاهر بن احمد؛</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تغری بردی؛</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جنید،محمد بن احمد؛</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جنی،عثمان؛</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حاجب؛</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عسقلانی،احمد بن علی؛</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ظاهری،علی بن احمد؛</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خالویه،حسن بن احمد؛</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خروف؛</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خلف انصاری،احمد بن علی؛</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خلکان،احمد بن محمد؛</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دهان نحوی،سعد بن مبارک؛</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اندلسی،محمد بن احمد؛</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زیّات؛</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سالم؛</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سراج،محمد بن سهل؛</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سکیت،یعقوب بن اسحاق؛</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 بطلیوسی،عبد اللّه بن محمد؛</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صبّاغ،علی بن محمد مالکی؛</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ربه اندلسی؛شهاب الدین احمد؛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عبدون؛</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عدیم،عمر بن احمد؛</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عساکر،علی بن حسن؛</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عصفور،علی بن مؤمن؛</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عقیل،عبد اللّه؛</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عماد،عبد الحی بن احمد؛</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غضائری،احمد بن حسین؛</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قتیبه،عبد اللّه بن مسلم؛</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قداح؛</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قولویه،جعفر بن محمد؛</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کثیر،اسماعیل؛</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نحوی،محمد؛</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مجاهد بغدادی،احمد بن موسی؛</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منظور،محمد بن مکرم؛</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ناظم،محمد بن محمد؛</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ندیم،محمد بن اسحاق؛</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وحید؛</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ولید؛</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عبد اللّه بن محمد انصاری؛</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یعیش،علی؛</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اسحاق،ابراهیم بن نوبخت؛</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جعفی یا زیاد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الحتوف؛</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الرجا؛</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بن نوح؛</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صولی،محمد بن یحیی؛</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بن باذش؛</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حنوق؛</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دؤاد ایادی؛</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غفاری؛</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طیبه؛</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بن علاء؛</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هلال عسکری؛</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هند سالم بن أبی سالم؛</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الحسن؛</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حاتم سجستانی؛</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حنیفه؛</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زید انصاری؛</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طالب؛</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عباس تغلب؛</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 اللّه حافظ؛</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علی فارسی؛</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نصر محمد بن سائب بن بشر کلبی؛</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احسائی،ابن أبی الجمهور؛</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احسائی،شیخ احمد؛</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عباس؛</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نوح؛</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نضر؛</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عبد السلام؛</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اخفش،ابی الخطاب؛</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اربیلی،ابن ابی فتح؛</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اردبیلی،محمد بن علی؛</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ارسطاطالیس؛</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ارنؤوط،شعیب؛</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ازهری،خالد بن عبد اللّه؛</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استادی،رضا؛</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استخری،پروین،</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استرآبادی،سید فضل اللّه بن سید محمد؛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استرآبادی،محمد امین؛</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عبّاد؛</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کوفی،محمد بن جعفر؛</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اسدی،محمد بن ابی عبد اللّه؛</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بن فیلقوس؛</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اسکندری مالکی،احمد بن محمد؛</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فضل؛</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نخعی؛</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اشتهاردی،آیة اللّه شیخ علی پناه؛</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اشراقی،آیة اللّه حاج میرزا محمد؛</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اشعری،ابو علی؛</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اشمونی،علی بن محمد؛</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اصفهانی،شیخ محمد؛</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اصفهانی،محمد بن تقی؛</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اعلمی،شیخ حسین؛</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جوینی؛</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خوئی،صدر الاسلام محمد امین؛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ایمن؛</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حبیبه؛</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سالار،محمود؛</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امین،حسن؛</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امین،سید محسن؛</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امینی،محمد هادی؛</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انباری عبد الرحمن بن محمد؛</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اندرمانی،میرزا محمد؛</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اندلسی؛أبی حیان؛</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اندلسی،علی بن اسماعیل؛</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أنصاری،أوس بن صامت؛</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انصاری،جابر بن عبد اللّه؛</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انصاری،محیصة بن مسعود؛</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انطاکی،أبی الرقعمق احمد بن محمد؛</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ایجی،قاضی عضد الدین؛</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ایروانی،محمد تقی؛</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بادی،محمد جمعه؛</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بارفروشی مازندرانی،زین العابدین بن مسلم؛</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باقری سیانی،مهدی؛</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بجاوی،علی محمد؛</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العلوم،سید جعفر؛</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العلوم،سید محمد صادق؛</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المرجان،کاظم؛</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اصفهانی،شیخ عبد اللّه؛</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بحرانی،سید هاشم؛</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بخاری،فضل بن احمد؛</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برقی،أبی جعفر؛</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شیرازی،محمد؛</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خادمة ام حبیبة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برمکی،ابی الحسن بن جعفر؛</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برمکی،محمد بن اسماعیل؛</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بروجردی،شیخ مرتضی؛</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طباطبائی،سید محمد؛</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بغدادی،ابراهیم باشا؛</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بغدادی،عبد القادر بن عمر؛</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بقاعی،یوسف؛</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بقال،محمد علی؛</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بلاذری،احمد بن یحیی؛</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بلخی،أبی القاسم؛</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جریح؛</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بنهان یاسین حسین؛</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796" w:name="pg12937_139584"/>
    </w:p>
    <w:p>
      <w:pPr>
        <w:pStyle w:val="BookText"/>
        <w:rPr/>
      </w:pPr>
      <w:bookmarkEnd w:id="796"/>
      <w:r>
        <w:rPr>
          <w:rFonts w:ascii="IRNazanin" w:hAnsi="IRNazanin" w:eastAsia="IRNazanin"/>
          <w:color w:val="111111"/>
          <w:sz w:val="28"/>
          <w:sz w:val="28"/>
          <w:szCs w:val="28"/>
          <w:rtl w:val="true"/>
          <w:lang w:bidi="fa-IR"/>
        </w:rPr>
        <w:t>بهبودی،محمد باقر؛</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بهبهانی،وحید؛</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بهجت،آیة اللّه محمد تقی؛</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بیدقی،محمد؛</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بیضاوی،عبد اللّه بن عمر؛</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بیهقی،احمد بن حسین؛</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بیهقی،اسماعیل بن احمد؛</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پاچناری اصفهانی،عبد الرحیم بن کرم علی؛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پورجوادی،نصر اللّه،</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عصار،رضوان؛</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پوری،الهه؛</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تبریزی،آیة اللّه میرزا جواد؛</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تبریزیان،شیخ فارس؛</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تجدد،رضا؛</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تدمری،عمر عبد السلام؛</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 فرحان مصطفی؛</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ترمانینی،عبد السلام؛</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تستری،قاضی نور اللّه؛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تفتازانی،سعد الدین مسعود بن عمر؛</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بستی،محمد بن حبان؛</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تمیمی،قیصر؛</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تمیمی،نعمان بن محمد؛</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تنکابنی،ملا محمد صادق؛</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توتونچی،میرزا محمد؛</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توکل،رحیم؛</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تونسی،محمد بن خلفة بن عمر؛</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4"/>
        <w:numPr>
          <w:ilvl w:val="3"/>
          <w:numId w:val="1"/>
        </w:numPr>
        <w:rPr/>
      </w:pPr>
      <w:bookmarkStart w:id="797" w:name="__RefHeading___Toc4067377_3224264995"/>
      <w:bookmarkStart w:id="798" w:name="_Toc302"/>
      <w:bookmarkEnd w:id="797"/>
      <w:r>
        <w:rPr>
          <w:rtl w:val="true"/>
        </w:rPr>
        <w:t>ث،ج،چ،ح</w:t>
      </w:r>
      <w:bookmarkEnd w:id="798"/>
    </w:p>
    <w:p>
      <w:pPr>
        <w:pStyle w:val="BookText"/>
        <w:rPr/>
      </w:pPr>
      <w:r>
        <w:rPr>
          <w:rFonts w:ascii="IRNazanin" w:hAnsi="IRNazanin" w:eastAsia="IRNazanin"/>
          <w:color w:val="111111"/>
          <w:sz w:val="28"/>
          <w:sz w:val="28"/>
          <w:szCs w:val="28"/>
          <w:rtl w:val="true"/>
          <w:lang w:bidi="fa-IR"/>
        </w:rPr>
        <w:t>ثبوت،اکبر؛</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عکاشه؛</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ثعالبی،ابی منصور؛</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 تهرانی،آیة اللّه میرزا محمد؛</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جاحظ،عمرو بن بحر؛</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جاربردی،احمد بن حسن؛</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جبرتی،عبد الرحمن بن حسن؛</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جبوری،عبد اللّه؛</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جرجانی،عبد القادر؛</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جرجانی،فتح بن زید؛</w:t>
      </w:r>
      <w:r>
        <w:rPr>
          <w:rFonts w:eastAsia="IRNazanin" w:cs="IRNazanin"/>
          <w:color w:val="111111"/>
          <w:sz w:val="28"/>
          <w:szCs w:val="28"/>
          <w:lang w:bidi="fa-IR"/>
        </w:rPr>
        <w:t>390</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جزائری،سید نعمة اللّه؛</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جزایری،عبد الرحمن؛</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جعفریان،رسول؛</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جعفری،بهراد؛</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جعفی،مفضل بن عمر؛</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الصغیر؛</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جمری،عباس ملا عطیه؛</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جناب،سید علی؛</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جنتیان،مرتضی؛</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آملی،آیة اللّه عبد اللّه؛</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جواری،عبد الستار؛</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جوهری،اسماعیل بن حماد؛</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خراسانی،ابراهیم بن محمد؛</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جهانبخش،جویا؛</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چهاردهی رشتی،محمد علی؛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اسکوئی،موسی؛</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اصفهانی،محمد حسین؛</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مازندرانی،زین العابدین؛</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حائری،محمد مهدی؛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صالح ضامن؛</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خلیفه،مصطفی بن عبد اللّه؛</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رجب برسی بن محمد؛</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عبد المجید؛</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حبیبی،حسن؛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حبیبی،عبد الحی؛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حدیثی،خدیجه؛</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حربی،ابن رستم؛</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حریری،ابو محمد قاسم بن علی؛</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حمزه؛</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محمد بن سماعة؛</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حسن‌زاده،صادق؛</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حسنی،عبد العظیم بن عبد اللّه؛</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اشقر؛</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احمد؛</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جعفر؛</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اشکوری،سید صادق؛</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جلالی،سید محمد؛</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799" w:name="pg12937_139586"/>
    </w:p>
    <w:p>
      <w:pPr>
        <w:pStyle w:val="BookText"/>
        <w:rPr/>
      </w:pPr>
      <w:bookmarkEnd w:id="799"/>
      <w:r>
        <w:rPr>
          <w:rFonts w:ascii="IRNazanin" w:hAnsi="IRNazanin" w:eastAsia="IRNazanin"/>
          <w:color w:val="111111"/>
          <w:sz w:val="28"/>
          <w:sz w:val="28"/>
          <w:szCs w:val="28"/>
          <w:rtl w:val="true"/>
          <w:lang w:bidi="fa-IR"/>
        </w:rPr>
        <w:t>حسینی،سید شرف الدین؛</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حسینی،سید محسن؛</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حسینی،سید محمد تقی؛</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حسینی،سید هاشم؛</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حسینی،شیخ عین اللّه؛</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حسینی،ضیاء الدین،</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عاملی،سید محمد جواد؛</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مازندرانی،سید موسی؛</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حسینی،نظام الدین احمد بن ابراهیم؛</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حمران؛</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بنت امیمه بنت رقیقه؛</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حکیمی،محمد رضا؛</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حلاّج،حسین بن منصور؛</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حلبی،سید محمد بدر الدین؛</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حلبی،شیخ علی؛</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حلمی سنان؛</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حلوانی،حسن بن علی؛</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حلی،یوسف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حملاوی،احمد بن محمد؛</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بغدادی،یاقوت بن عبد اللّه؛</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حموی،علی بن عبد اللّه؛</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حمیری،عبد الملک بن هشام؛</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حوینی اثری،ابو اسحاق؛</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حیاتی؛</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4"/>
        <w:numPr>
          <w:ilvl w:val="3"/>
          <w:numId w:val="1"/>
        </w:numPr>
        <w:rPr/>
      </w:pPr>
      <w:bookmarkStart w:id="800" w:name="__RefHeading___Toc4067379_3224264995"/>
      <w:bookmarkStart w:id="801" w:name="_Toc303"/>
      <w:bookmarkEnd w:id="800"/>
      <w:r>
        <w:rPr>
          <w:rtl w:val="true"/>
        </w:rPr>
        <w:t>خ،د،ذ،ر</w:t>
      </w:r>
      <w:bookmarkEnd w:id="801"/>
    </w:p>
    <w:p>
      <w:pPr>
        <w:pStyle w:val="BookText"/>
        <w:rPr/>
      </w:pPr>
      <w:r>
        <w:rPr>
          <w:rFonts w:ascii="IRNazanin" w:hAnsi="IRNazanin" w:eastAsia="IRNazanin"/>
          <w:color w:val="111111"/>
          <w:sz w:val="28"/>
          <w:sz w:val="28"/>
          <w:szCs w:val="28"/>
          <w:rtl w:val="true"/>
          <w:lang w:bidi="fa-IR"/>
        </w:rPr>
        <w:t>خاقانی،حسین الشیخ حسن؛</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خاقانی،شیخ علی؛</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عبد الکریم؛</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عطار؛</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خالصی،محمد باقر؛</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خدری،ابی سعید؛</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خرسان،سید محمد مهدی؛</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خسروشاهی،محمد عیدی؛</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خضری؛</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تبریزی،یحیی بن علی؛</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قزوینی،محمد بن عبد الرحمن؛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ابراهیم العطیة؛</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شرف الدین؛</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خوئی،آیة اللّه سید أبو القاسم؛</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bookmarkStart w:id="802" w:name="pg12937_139587"/>
    </w:p>
    <w:p>
      <w:pPr>
        <w:pStyle w:val="BookText"/>
        <w:rPr/>
      </w:pPr>
      <w:bookmarkEnd w:id="802"/>
      <w:r>
        <w:rPr>
          <w:rFonts w:ascii="IRNazanin" w:hAnsi="IRNazanin" w:eastAsia="IRNazanin"/>
          <w:color w:val="111111"/>
          <w:sz w:val="28"/>
          <w:sz w:val="28"/>
          <w:szCs w:val="28"/>
          <w:rtl w:val="true"/>
          <w:lang w:bidi="fa-IR"/>
        </w:rPr>
        <w:t>خوارزمی،موفق بن احمد؛</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خوانساری،آقا جمال؛</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خوانساری،آقا رضی؛</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خوانساری،حسن بن محمد؛</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خوانساری،سید احمد؛</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خوانساری،محمد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 اسباطی؛</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دارابی بروجردی،ریحان اللّه؛</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دارقطنی،علی بن عمر؛</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دانی،ابو عمر عثمان؛</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کثیر؛</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دباغ،عبد الکریم؛</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دباغ،عدنان؛</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درایتی،مصطفی؛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دربندی حائری،آقا بن عابد بن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درگاهی،حسین؛</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دزفولی،سید مهدی؛</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دسوقی مصطفی محمد؛</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دقاق،علی بن احمد بن عمران؛</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دقر،عبد الغنی؛</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دمشقی،اسماعیل بن کثیر؛</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دیلمی،سلیمان؛</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ذاکر عظیم‌آبادی،سید نواب جان صاحب؛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ذهبی،محمد بن احمد؛</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4"/>
        <w:numPr>
          <w:ilvl w:val="3"/>
          <w:numId w:val="1"/>
        </w:numPr>
        <w:rPr/>
      </w:pPr>
      <w:bookmarkStart w:id="803" w:name="__RefHeading___Toc4067381_3224264995"/>
      <w:bookmarkStart w:id="804" w:name="_Toc304"/>
      <w:bookmarkEnd w:id="803"/>
      <w:r>
        <w:rPr>
          <w:rtl w:val="true"/>
        </w:rPr>
        <w:t>ر،ژ،س،ش</w:t>
      </w:r>
      <w:bookmarkEnd w:id="804"/>
    </w:p>
    <w:p>
      <w:pPr>
        <w:pStyle w:val="BookText"/>
        <w:rPr/>
      </w:pPr>
      <w:r>
        <w:rPr>
          <w:rFonts w:ascii="IRNazanin" w:hAnsi="IRNazanin" w:eastAsia="IRNazanin"/>
          <w:color w:val="111111"/>
          <w:sz w:val="28"/>
          <w:sz w:val="28"/>
          <w:szCs w:val="28"/>
          <w:rtl w:val="true"/>
          <w:lang w:bidi="fa-IR"/>
        </w:rPr>
        <w:t>رازی،ابو الفتوح حسین بن علی؛</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رازی،شمس الدین محمد بن قیس؛</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رازی،شمس قیس؛</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رازی،فخر الدین محمد بن عمر؛</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نجفی اصفهانی،شیخ محمد تقی؛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راضی،حسن؛</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راضی،حسین؛</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رافعی،عبد الکریم بن محمد؛</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رجائی،سید مهدی؛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اراکی،شیخ رحمت اللّه؛</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رخشاد،محمد حسین؛</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محلاتی،سید هاشم؛</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رضوی،مهدی؛</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استرآبادی،محمد بن حسن؛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موسی؛</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رمّانی،علی بن عیسی؛</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عبد التواب؛</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رمضانی،فاطمه؛</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روضاتی،سید احمد؛</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روضاتی،سید محمد علی؛</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ریاشی؛</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زبیدی،سید محمد مرتضی؛</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زبیدی،محمد بن حسن؛</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زجاج،ابراهیم بن محمد؛</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زجاج،ابو اسحاق ابراهیم بن سری؛</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زرکشی،محمد بن عبد اللّه؛</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زرکلی،خیر الدین؛</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زفزاف،محمد؛</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زکریا،ابو الحسن احمد بن فارس؛</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زمان‌نژاد،علی اکبر؛</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زمخشری،جار اللّه محمود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565</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زمردیان،احمد؛</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زنجانی،میرزا ابو القاسم؛</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حسن بن شهید ثانی؛</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سامرائی،ابراهیم؛</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 غریری؛</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سبحانی،آیة اللّه جعفر؛</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سجادی،سید احمد؛</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سرخسی،شمس الدین؛</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سعودی،سعید عبد الکریم؛</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العلما؛</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 حسین؛</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 حمدی عبد المجید؛</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دیلمی؛</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سلیمانی،محمد علی؛</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سمامی حائری،محمد؛</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سمانة المغربیة؛</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سماوی،شیخ محمد؛</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سمعانی،عبد الکریم بن محمد؛</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سنانی،محمد بن احمد؛</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سوسنجردی،محمد بن بشر؛</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سیبویه،عمرو بن عثمان؛</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 العلوم،محمد مهدی؛</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عابد علی؛</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فضل اللّه؛</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بن محمد مهدی؛</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سیرافی،حسن بن عبد اللّه؛</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عمر؛</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سیوطی،عبد الرحمن بن ابی بکر؛</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شاشی،مؤمل بن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شاکر،احمد محمد؛</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شامی،محمد بن یوسف؛</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سلیمان صفوی؛</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شبّر،سید عبد اللّه؛</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شبلی،عبد الفتاح اسماعیل؛</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شبیری زنجانی،سید موسی؛</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شتانی؛</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شربینی،محمد بن احمد؛</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موسوی،سید عبد الحسین؛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شروانی،حیدر علی بن محمد؛</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شریشی،احمد بن عبد المؤمن؛</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شریعت،محمد جواد؛</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العلماء مازندرانی؛</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کاشانی،حسن؛</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شعرانی،آیة اللّه میرزا ابو الحسن؛</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شفیعی کدکنی،محمد رضا؛</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805" w:name="pg12937_139590"/>
    </w:p>
    <w:p>
      <w:pPr>
        <w:pStyle w:val="BookText"/>
        <w:rPr/>
      </w:pPr>
      <w:bookmarkEnd w:id="805"/>
      <w:r>
        <w:rPr>
          <w:rFonts w:ascii="IRNazanin" w:hAnsi="IRNazanin" w:eastAsia="IRNazanin"/>
          <w:color w:val="111111"/>
          <w:sz w:val="28"/>
          <w:sz w:val="28"/>
          <w:szCs w:val="28"/>
          <w:rtl w:val="true"/>
          <w:lang w:bidi="fa-IR"/>
        </w:rPr>
        <w:t>شوری،مجدی بن منصور؛</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شوشتری،سید عبد اللطیف خان؛</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شوشتری،قاضی نور اللّه؛</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ضیف؛</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انصاری،مرتضی؛</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شیروانی،محمد؛</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شیری،علی؛</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4"/>
        <w:numPr>
          <w:ilvl w:val="3"/>
          <w:numId w:val="1"/>
        </w:numPr>
        <w:rPr/>
      </w:pPr>
      <w:bookmarkStart w:id="806" w:name="__RefHeading___Toc4067383_3224264995"/>
      <w:bookmarkStart w:id="807" w:name="_Toc305"/>
      <w:bookmarkEnd w:id="806"/>
      <w:r>
        <w:rPr>
          <w:rtl w:val="true"/>
        </w:rPr>
        <w:t>ص،ض،ط،ظ</w:t>
      </w:r>
      <w:bookmarkEnd w:id="807"/>
    </w:p>
    <w:p>
      <w:pPr>
        <w:pStyle w:val="BookText"/>
        <w:rPr/>
      </w:pPr>
      <w:r>
        <w:rPr>
          <w:rFonts w:ascii="IRNazanin" w:hAnsi="IRNazanin" w:eastAsia="IRNazanin"/>
          <w:color w:val="111111"/>
          <w:sz w:val="28"/>
          <w:sz w:val="28"/>
          <w:szCs w:val="28"/>
          <w:rtl w:val="true"/>
          <w:lang w:bidi="fa-IR"/>
        </w:rPr>
        <w:t>صائب عبد الحمید؛</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ابو جناح؛</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عباد،اسماعیل؛</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صادقی،محسن؛</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صادقی،مصطفی؛</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صاغرجی،مأمون؛</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صالحی شامی،محمد بن یوسف؛</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صبان،محمد بن علی؛</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صالح؛</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 خوئی،علی؛</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اصفهانی،محمد؛</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808" w:name="pg12937_139591"/>
    </w:p>
    <w:p>
      <w:pPr>
        <w:pStyle w:val="BookText"/>
        <w:rPr/>
      </w:pPr>
      <w:bookmarkEnd w:id="808"/>
      <w:r>
        <w:rPr>
          <w:rFonts w:ascii="IRNazanin" w:hAnsi="IRNazanin" w:eastAsia="IRNazanin"/>
          <w:color w:val="111111"/>
          <w:sz w:val="28"/>
          <w:sz w:val="28"/>
          <w:szCs w:val="28"/>
          <w:rtl w:val="true"/>
          <w:lang w:bidi="fa-IR"/>
        </w:rPr>
        <w:t>صدر،سید حسن؛</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صدری،لیلا؛</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صفائی،محمد؛</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صفار،محمد بن حسن؛</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صفوة السقّا؛</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صلاح الدین،المنجد؛</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موحد؛</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ضبی اسدی،سیف بن عمر؛</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ضبی،مفضل بن محمد؛</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عمرو؛</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ضیاءآبادی،محمد؛</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طاش کبری،احمد بن مصطفی؛</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احمد راوی؛</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بهبهانی،سید محمد؛</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حائری،علی نقی؛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طباطبائی،سید عبد العزیز؛</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طباطبائی،سید علی؛</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طباطبائی،سید محمد کاظم؛</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طباطبائی،سید مهدی؛</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طباطبائی‌نژاد،محمود؛</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طبرانی،سلیمان بن احمد؛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طبرسی،فضل بن حسن؛</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طبری،عماد الدین محمد بن جریر؛</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طبسی،نجم الدین؛</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طرسوسی،ابی علی؛</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طریحی،فخر الدین؛</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طریحی،محمد کاظم؛</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طوسی،خواجه نصیر الدین؛</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طهرانی نجفی،محمد هادی؛</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عبد الرؤوف سعد؛</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4"/>
        <w:numPr>
          <w:ilvl w:val="3"/>
          <w:numId w:val="1"/>
        </w:numPr>
        <w:rPr/>
      </w:pPr>
      <w:bookmarkStart w:id="809" w:name="__RefHeading___Toc4067385_3224264995"/>
      <w:bookmarkStart w:id="810" w:name="_Toc306"/>
      <w:bookmarkEnd w:id="809"/>
      <w:r>
        <w:rPr>
          <w:rtl w:val="true"/>
        </w:rPr>
        <w:t>ع،غ،ف،ق</w:t>
      </w:r>
      <w:bookmarkEnd w:id="810"/>
    </w:p>
    <w:p>
      <w:pPr>
        <w:pStyle w:val="BookText"/>
        <w:rPr/>
      </w:pPr>
      <w:r>
        <w:rPr>
          <w:rFonts w:ascii="IRNazanin" w:hAnsi="IRNazanin" w:eastAsia="IRNazanin"/>
          <w:color w:val="111111"/>
          <w:sz w:val="28"/>
          <w:sz w:val="28"/>
          <w:szCs w:val="28"/>
          <w:rtl w:val="true"/>
          <w:lang w:bidi="fa-IR"/>
        </w:rPr>
        <w:t>عابدی،احمد؛</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احمد عبد الموجود؛</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عاشور،سید علی؛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عاصمی،علی بن احمد؛</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عاملی،احمد حبیب قصیر؛</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عاملی،سید شرف الدین؛</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عاملی،سید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حسن؛</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عباسی،عبد الرحیم بن احمد؛</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عباسی،یحیی سلوم؛</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الخالق عضیمة؛</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السید؛</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عتاب بن اسید؛</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عمیرة؛</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قدامه؛</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کیسان؛</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عباسی؛</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مهدی؛</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الرسول زین الدین؛</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محمد امین؛</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محمد هارون؛</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العال سالم مکرم؛</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بارودی؛</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میسرة؛</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ابو النور؛</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شبلی،عبد الجلیل؛</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عجلونی؛</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عدنانی،محمد؛</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عراقی،مجتبی؛</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عرقسوسی،محمد نعیم؛</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عرموش،احمد راتب؛</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عسکری،ابو هلال؛</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شعیتو؛</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عبد السید؛</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نور الدین؛</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عطار،احمد بن عبد الغفور؛</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عقیقی بخشایشی،عبد الرحیم؛</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عکبری،عبد اللّه بن حسین؛</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طباطبائی،سید محمد حسین؛</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فضل اللّه،محمد حسین؛</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امینی،عبد الحسین؛</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فانی،سید ضیاء الدین؛</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محمد؛</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الدین نجدی؛</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الهدی،سید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علوی،حسین بن محمد؛</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علوی،یحیی بن محمد؛</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بن موسی؛</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حاتم؛</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یعمر؛</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لک؛</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علیلی،موسی بنای؛</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محسن عیسی مال اللّه؛</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بن هارون؛</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جبار کاظم؛</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شمر؛</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بابی حلبی؛</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عمر؛</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سابا؛</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عینی،محمد؛</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عینی،محمود بن احمد؛</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غازی مختار طلیمات؛</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غروی،سید محمد؛</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غروی،علم الدین بن سیف بن منصور؛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غرید الشیخ؛</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غزالی،ابو حامد؛</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537</w:t>
      </w:r>
      <w:r>
        <w:rPr>
          <w:rFonts w:ascii="IRNazanin" w:hAnsi="IRNazanin" w:eastAsia="IRNazanin"/>
          <w:color w:val="111111"/>
          <w:sz w:val="28"/>
          <w:sz w:val="28"/>
          <w:szCs w:val="28"/>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غفاری،علی اکبر؛</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جلیسه؛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بن ابراهیم؛</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فائز فارس؛</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فارابی،ابا نصر؛</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حسون؛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اردکانی،مولی حسین؛</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ایروانی؛</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فاضل،جواد؛</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سراب،محمد بن عبد الفتاح تنکابنی؛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فاضل،محمد ندیم؛</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هندی،محمد بن حسن؛</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فاضلی،علی؛</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 عبد الرحمن حجازی؛</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فتلی،عبد الحسین؛</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فراهیدی،خلیل بن احمد؛</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فرّاء،یحیی بن زیاد؛</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میرزا بن عباس میرزا؛</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فریتس کرنکو؛</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ایوب؛</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اللّه،سید محمد حسین؛</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یونس؛</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فوزی عبد العزیز سعود؛</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فیروزآبادی،محمد بن یعقوب؛</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فیض،علیرضا؛</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کاشانی،ملا محسن؛</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فیومی،احمد بن محمد؛</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علی منصور؛</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قائینی،محمد بن محمد حسین؛</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قاسمی،رحیم؛</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ابی بکر؛</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قاضی،سید محمد؛</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قباوة،فخر الدین؛</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قحطان رشید صالح؛</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قراچه‌داغی،محمد علی بن احمد؛</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قریب،محمد؛</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قزوینی،سید ابراهیم؛</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قزوینی،محمد بن عبد الوهاب؛</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قطیفی،محمد بن عبد علی؛</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قفطی،علی بن یوسف؛</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قلقشندی،احمد بن علی؛</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قوچانی،عباس؛</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قیسی،مکی بن ابی طالب؛</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قیومی،جواد؛</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ابراهیم بن احمد؛ </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سید محمد حسین؛</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کاشانی،علی مدد؛</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کاشانی،ملا حبیب اللّه بن علی مدد؛</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الغطاء،شیخ علی؛</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مظفر؛</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بکری؛</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کتابی،سید محمد باقر؛</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کجوری؛</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کجوری مازندرانی،محمد باقر؛</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کرباسی،محمد جعفر شیخ ابراهیم؛</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کسائی،ابی عمرو؛</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کعبی،ابو القاسم؛</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کفعمی،ابراهیم بن علی؛</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کلانتر،سید محمد؛</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کلانتری طهرانی،ابو القاسم؛</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کندی،محمد بن اشعث بن قیس؛</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کوچه‌باغی،میرزا محسن؛</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کوفی،محمد بن أبی عبد اللّه؛</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کیانفر،جمشید؛</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کیانفر،مزدک؛</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گلپایگانی،ملاّ زین العابدین؛</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گلستان،سید علاء الدین؛</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لاهیجی،شیخ بهاء الدین محمد بن شیخ علی؛</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مازج،شیخ یاسر؛</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مازندرانی،سعید العلماء؛</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مازندرانی،سید جمال سید عبد الغفار؛</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مازندرانی،ملا محمد صالح؛</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 مبارک؛</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مازنی،بکر بن محمد؛</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سنان؛</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مبارکفوری،محمد عبد الرحمن بن عبد الرحیم؛</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مبرد،محمد بن زید؛</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متطبب،اسماعیل بن حسن؛</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مجلسی،محمد باقر؛</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مجلسی،محمد تقی؛</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ارموی،میر جلال الدین حسینی؛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نوری،میرزا حسین؛</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محرمی زرندی،سید محمود؛</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عقیل؛</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محسنی،آیة اللّه شیخ محمد آصف؛</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محفوظ،حسین علی؛</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بحرانی،یوسف؛</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دوانی،جلال الدین محمد بن اسعد؛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سبزواری،ملا محمد باقر؛</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 الفضل ابراهیم؛</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السید؛</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باسل عیون السود؛</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جمیل؛</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الجبار؛</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علویه؛</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قاجار؛</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طاهر؛</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الرحیم؛</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القادر احمد عطا؛</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 حسن؛</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شهری،محمد؛</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ابراهیم زاید؛</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محمودی،محمد باقر؛</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مختاری،رضا؛</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مختاری،سید روح الامین؛</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مختاری نائینی،بهاء الدین محمد بن محمد باقر؛</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مخزومی،مهدی؛</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رضوی،سید محمد تقی؛</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طهرانی،مولی هادی؛</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مدرسی،سید حسین؛</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مدقق شیروانی؛</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شیرازی،سید علی خان؛</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مرادی،حسن بن قاسم؛</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مرعشلی،یوسف عبد الرحمن؛</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مزیدی،شیخ احمد فرید؛</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دمشقی؛</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مسعودی،علی بن حسین؛</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مشهدی،حاج محمد؛</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مصری،ابن منظور؛</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احمد نماس؛</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سقا؛</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عبد القادر عطاء؛</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محمد بن اسحاق؛</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مطهری،آیة اللّه مرتضی؛</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مظاهری،آیة اللّه العظمی حسین؛</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معوض،علی محمد؛</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جعفی؛</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مناوی،محمد عبد الرؤوف بن تاج العارفین؛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بن متوکل؛</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القائم،اصغر؛</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موحد،محمد علی؛</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جزائری،سید طیب؛</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خرسان،سید حسن؛</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موسوی،سید بلاسم؛</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عاملی،سید نور الدین؛</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کاشانی،سید ضیاء الدین بن نصر اللّه؛</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موسوی کرمانی،سید حسین؛</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مولائی،عزت اللّه؛</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بروجردی،غلام رضا؛</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مهدوی،سید مصلح الدین؛</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میثمی،محمد بن حسن؛</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میدانی،احمد بن محمد؛</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فاضل؛</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فاضیل،جبوری؛</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میلانی،سید علی؛</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میلانی،سید هاشم؛</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نابلسی،عبد الغنی؛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 هلال؛</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ناصح،محمد مهدی؛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قاجار؛</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نجاتی،احمد یوسف؛</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نجار،محمد علی؛</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نجاشی،أبی العباس؛</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نجدی،احمد علم الدین؛</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نجفی،محمد حسن؛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نحاس،احمد بن محمد؛</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نخعی،موسی بن عبد اللّه؛</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نخعی،موسی بن عمران؛</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نراقی،احمد بن مهدی؛</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نراقی،حسن؛</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نراقی،محمد مهدی؛</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نریمانی،سید محمود؛</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حسن؛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شمیل؛</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منفرد،علی؛</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نعسانی،سید محمد بدر الدین؛</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نقوی،سید محمد تقی؛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 بن تولب؛</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الحسن،محمد؛</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محمدی،محمد جواد؛</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نوری،میرزا حسین بن محمد تقی رازی؛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نووی،محیی الدین؛</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نیشابوری،حسین بن بسطام؛</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نیشابوری،عبد اللّه بن سابور زیّات؛</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نیلفروشان،محمد رضا؛</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واحدی،علی بن احمد؛</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واسعی،سید علیرضا؛</w:t>
      </w:r>
      <w:r>
        <w:rPr>
          <w:rFonts w:eastAsia="IRNazanin" w:cs="IRNazanin"/>
          <w:color w:val="111111"/>
          <w:sz w:val="28"/>
          <w:szCs w:val="28"/>
          <w:lang w:bidi="fa-IR"/>
        </w:rPr>
        <w:t>455</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وراق،علی بن عبد اللّه؛</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وشاء؛</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هادی‌زاده،مجید؛</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نهر؛</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هاشمی،سید هاشم؛</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بن أبی منصور موصلی؛</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هروی،نجیب مایل؛</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هشترودی تبریزی،محمد حسن؛</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همدانی،آقا رضا؛</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همدانی،حسینقلی؛</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درودآبادی،سید حسین؛</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همدانی،صالح بن سهل؛</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هنداوی،عبد الحسین؛</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هنداوی،عبد الحمید؛</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یاحقی،محمد جعفر؛</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هبیرة؛</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یزدی اصفهانی،حسین؛</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یشکری شیبانی،راشد بن شهاب؛</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اسد داغر؛</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الیان سرکیس؛</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حسن عمر؛</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 طویل؛</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حبیب؛</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811" w:name="pg12937_139600"/>
    </w:p>
    <w:p>
      <w:pPr>
        <w:pStyle w:val="Heading3"/>
        <w:numPr>
          <w:ilvl w:val="2"/>
          <w:numId w:val="1"/>
        </w:numPr>
        <w:rPr/>
      </w:pPr>
      <w:bookmarkStart w:id="812" w:name="__RefHeading___Toc4067387_3224264995"/>
      <w:bookmarkStart w:id="813" w:name="_Toc307"/>
      <w:bookmarkEnd w:id="811"/>
      <w:bookmarkEnd w:id="812"/>
      <w:r>
        <w:rPr>
          <w:rtl w:val="true"/>
        </w:rPr>
        <w:t>کتابها</w:t>
      </w:r>
      <w:bookmarkEnd w:id="813"/>
    </w:p>
    <w:p>
      <w:pPr>
        <w:pStyle w:val="Heading4"/>
        <w:numPr>
          <w:ilvl w:val="3"/>
          <w:numId w:val="1"/>
        </w:numPr>
        <w:rPr/>
      </w:pPr>
      <w:bookmarkStart w:id="814" w:name="__RefHeading___Toc4067389_3224264995"/>
      <w:bookmarkStart w:id="815" w:name="_Toc308"/>
      <w:bookmarkEnd w:id="814"/>
      <w:r>
        <w:rPr>
          <w:rtl w:val="true"/>
        </w:rPr>
        <w:t>الف،ب،پ،ت</w:t>
      </w:r>
      <w:bookmarkEnd w:id="815"/>
    </w:p>
    <w:p>
      <w:pPr>
        <w:pStyle w:val="BookText"/>
        <w:rPr/>
      </w:pPr>
      <w:r>
        <w:rPr>
          <w:rFonts w:ascii="IRNazanin" w:hAnsi="IRNazanin" w:eastAsia="IRNazanin"/>
          <w:color w:val="111111"/>
          <w:sz w:val="28"/>
          <w:sz w:val="28"/>
          <w:szCs w:val="28"/>
          <w:rtl w:val="true"/>
          <w:lang w:bidi="fa-IR"/>
        </w:rPr>
        <w:t>آداب الناظر؛</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امّ المؤمنین عایشه؛</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ید؛</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النحویین البصریین؛</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الکاتب؛</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الکتاب؛</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فنای مقربان؛</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الحسینیه؛</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إرتشاف الصافی؛</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ارتشاف الضرب من لسان العرب؛</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استفتائات آیة اللّه جوادی آملی؛</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الشهادة؛</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المنطق؛</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الاصلیة؛</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القرآن؛</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اللامعة فی شرح الجامعة؛</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فی النحو العربی؛</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أفضلیة القیام فی نافلة العشاء؛</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اکسیر العبادات فی أسرار الشهادات؛</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الاکمال؛</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الحجة؛</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الآحاد و المثانی؛</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الاحکام لاصول الاحکام؛</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الاحمدی فی الفقه المحمدی؛</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الاشباه و النظایر فی النحو؛</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الاصوات اللغویة؛</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فی النحو؛</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الاعجاز و الایجاز؛</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الافصاح؛</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الاقتضاب فی شرح ادب الکتاب؛</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الاقناع فی القراءات السبع؛</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الانصاف فیما تضمنه الکشاف؛</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الانصاف فی مسائل الخلاف؛</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الانوار السانحة؛</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الأنوار اللامعة فی شرح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الأنوار اللامعة لزوار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الایضاح فی شرح المفصل؛</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الایضاح فی علوم البلاغة؛</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 الایمان من اخطار الأذهان؛</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 ما من به الرحمن؛</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إنارة الطروس؛</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انباه الرواة علی انباه النحاة؛</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الالهیة؛</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الولایة؛</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اوضح المسالک؛</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الریاض؛</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الهجاء؛</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576</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التعریف؛</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الفوائد و الفصول؛</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البردة؛</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رامسر؛</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الوعاة فی طبقات اللغویین و النحاة؛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بوارق القهر فی تفسیر سورة الدهر؛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بیدارگران اقالیم قبله؛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پرچم‌داران هدایت؛</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السائر فی دعوات المسافر؛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فی اعراب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الاحوذی؛</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تحفة المحبین؛</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 و بررسی روایات سهو النبی صلّی اللّه علیه و اله؛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تراجم الرجال؛</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الغدیر؛</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الامام الحسین علیه السّلام؛</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فی الانساب؛</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فی المفضلیات؛</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تسلیک النفس؛</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 علی النبی فی التشهد الأخیر؛</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تسهیل الاوزان؛</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اعتقادات الامامیة؛</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المیزان فی تعلیق علم المیزان؛</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تعطیر الانام فی تعبیر المنام؛</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تعلیقات بر شرح صمدیه سیّد علی خان؛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التعلیقات علی 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تفریج القاصد لتوضیح المقاصد؛</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الامام العسکری علیه السّلام؛</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الکبیر؛</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p>
    <w:p>
      <w:pPr>
        <w:pStyle w:val="BookText"/>
        <w:rPr/>
      </w:pP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حروف اللغة؛</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روان جاوید؛</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روض الجنان؛</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مجمع المطالب و منتهی المآرب؛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 وحی القرآن؛</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لحد المنطق و المدخل الیه؛</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المیراث فی تقسیم المیراث؛</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التکملة؛</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امل الآمال؛</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الحبیر؛</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تلویح النوریات؛</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الاصول؛</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bookmarkStart w:id="816" w:name="pg12937_139604"/>
    </w:p>
    <w:p>
      <w:pPr>
        <w:pStyle w:val="BookText"/>
        <w:rPr/>
      </w:pPr>
      <w:bookmarkEnd w:id="816"/>
      <w:r>
        <w:rPr>
          <w:rFonts w:ascii="IRNazanin" w:hAnsi="IRNazanin" w:eastAsia="IRNazanin"/>
          <w:color w:val="111111"/>
          <w:sz w:val="28"/>
          <w:sz w:val="28"/>
          <w:szCs w:val="28"/>
          <w:rtl w:val="true"/>
          <w:lang w:bidi="fa-IR"/>
        </w:rPr>
        <w:t>توحید مفضل؛</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التوضیح؛</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اصلاح المنطق؛</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الشیعة لاحکام الشریعة؛</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المقال؛</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4"/>
        <w:numPr>
          <w:ilvl w:val="3"/>
          <w:numId w:val="1"/>
        </w:numPr>
        <w:rPr/>
      </w:pPr>
      <w:bookmarkStart w:id="817" w:name="__RefHeading___Toc4067391_3224264995"/>
      <w:bookmarkStart w:id="818" w:name="_Toc309"/>
      <w:bookmarkEnd w:id="817"/>
      <w:r>
        <w:rPr>
          <w:rtl w:val="true"/>
        </w:rPr>
        <w:t>ث،ج،چ،ح</w:t>
      </w:r>
      <w:bookmarkEnd w:id="818"/>
    </w:p>
    <w:p>
      <w:pPr>
        <w:pStyle w:val="BookText"/>
        <w:rPr/>
      </w:pPr>
      <w:r>
        <w:rPr>
          <w:rFonts w:ascii="IRNazanin" w:hAnsi="IRNazanin" w:eastAsia="IRNazanin"/>
          <w:color w:val="111111"/>
          <w:sz w:val="28"/>
          <w:sz w:val="28"/>
          <w:szCs w:val="28"/>
          <w:rtl w:val="true"/>
          <w:lang w:bidi="fa-IR"/>
        </w:rPr>
        <w:t>جامع احادیث الشیعة؛</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الرواة و رافع الاشتباهات؛</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المدارک؛</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جذبة الحقیقة فی شرح زیارة وارث؛</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جشن‌نامه دکتر محمد علی موحّد؛</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آلات العرب؛</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الامثال؛</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الانساب؛</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جنة الحوادث فی شرح زیارة وارث؛</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الجنی الدانی؛</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الایقان؛</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الثمین؛</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چشم‌اندازی به تحریفات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 و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تحریر القواعد المنطقیة؛</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حاشیه میر سید شریف جرجانی؛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شرح مطالع؛</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مطول؛</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معالم الاصول؛</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ابن جماعة علی شرح الجاربردی؛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الخضری؛</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الدسوقی؛</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الصبان؛</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أنوار التنزیل؛</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الهیات الشرح الجدید التجرید؛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ذخیرة المعاد؛</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علی شرح قطر الندی؛</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819" w:name="pg12937_139605"/>
    </w:p>
    <w:p>
      <w:pPr>
        <w:pStyle w:val="BookText"/>
        <w:rPr/>
      </w:pPr>
      <w:bookmarkEnd w:id="819"/>
      <w:r>
        <w:rPr>
          <w:rFonts w:ascii="IRNazanin" w:hAnsi="IRNazanin" w:eastAsia="IRNazanin"/>
          <w:color w:val="111111"/>
          <w:sz w:val="28"/>
          <w:sz w:val="28"/>
          <w:szCs w:val="28"/>
          <w:rtl w:val="true"/>
          <w:lang w:bidi="fa-IR"/>
        </w:rPr>
        <w:t>حاشیة علی معالم الاصول؛</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حثیث الفلجة فی شرح حدیث الفرجة؛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فی القراءات السبع؛</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الاخبار و الاجماع؛</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 العارف فی طرائق المعارف؛</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حدیقة الجمل؛</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المعانی؛</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الیواقیت فی بیان المواقیت؛</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النحو؛</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الحلل فی اصلاح الخلل؛</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الابرار؛</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 مع فضل اللّه؛</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4"/>
        <w:numPr>
          <w:ilvl w:val="3"/>
          <w:numId w:val="1"/>
        </w:numPr>
        <w:rPr/>
      </w:pPr>
      <w:bookmarkStart w:id="820" w:name="__RefHeading___Toc4067393_3224264995"/>
      <w:bookmarkStart w:id="821" w:name="_Toc310"/>
      <w:bookmarkEnd w:id="820"/>
      <w:r>
        <w:rPr>
          <w:rtl w:val="true"/>
        </w:rPr>
        <w:t>خ،د،ذ،ر</w:t>
      </w:r>
      <w:bookmarkEnd w:id="821"/>
    </w:p>
    <w:p>
      <w:pPr>
        <w:pStyle w:val="BookText"/>
        <w:rPr/>
      </w:pPr>
      <w:r>
        <w:rPr>
          <w:rFonts w:ascii="IRNazanin" w:hAnsi="IRNazanin" w:eastAsia="IRNazanin"/>
          <w:color w:val="111111"/>
          <w:sz w:val="28"/>
          <w:sz w:val="28"/>
          <w:szCs w:val="28"/>
          <w:rtl w:val="true"/>
          <w:lang w:bidi="fa-IR"/>
        </w:rPr>
        <w:t>خزائن الاحکام؛</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خزائن الاصول؛</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خزانة الادب و غایة الارب؛</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خزانة الادب و لب لباب لسان العرب؛</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الفاطمیة؛</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الکبری؛</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 العربی تاریخه و انواعه؛</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عبقات الانوار؛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الاسماء؛</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المکنون فی شرح دیوان المجنون؛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الدّرجات الرفعیة؛</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حضرت آیة اللّه العظمی بهجت؛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درة الغواص فی اوهام الخواص؛</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الفاخرة؛</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درة اللاهوت؛</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رساله فقهی درباره نماز جمعه؛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الدیباج علی صحیح مسلم؛</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الحلاج؛</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العباد؛</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المعاد فی تکالیف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ذریعة الاستغناء؛</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ذریعة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الی اصول الشریعة؛</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الشیعة؛</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خاقانی؛</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طوسی؛</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و مشاهیر اصفهان؛</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رجوم الشیاطین،فی الرد البابیة؛</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ابن حزم؛</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رؤیت هلال؛</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شهید اول؛</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فی صلاة الجمعة؛</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اعتقادنا؛</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حیاتیه؛</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احکام الاموات؛</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شرح حال خود؛</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شرح بر بعض فقرات زیارت اربعین؛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طاهریه؛</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عصمتیه؛</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نهریه؛</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ابن مقلة فی الخط و القلم؛</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السعدیة؛</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الاخلاق؛</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حکم رؤیة الهلال قبل الزوال؛</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جدید؛</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822" w:name="pg12937_139607"/>
    </w:p>
    <w:p>
      <w:pPr>
        <w:pStyle w:val="BookText"/>
        <w:rPr/>
      </w:pPr>
      <w:bookmarkEnd w:id="822"/>
      <w:r>
        <w:rPr>
          <w:rFonts w:ascii="IRNazanin" w:hAnsi="IRNazanin" w:eastAsia="IRNazanin"/>
          <w:color w:val="111111"/>
          <w:sz w:val="28"/>
          <w:sz w:val="28"/>
          <w:szCs w:val="28"/>
          <w:rtl w:val="true"/>
          <w:lang w:bidi="fa-IR"/>
        </w:rPr>
        <w:t>روایات سهو النبی الاکرم صلّی اللّه علیه و اله و نظریه الاسهاء الالهیّ عند الشیخ الصدوق؛</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المعانی؛</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فی شرح ارشاد الاذهان؛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المعانی؛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البهیة؛</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الفریقین؛</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المتقین؛</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تاریخ اسلام؛</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المسائل؛</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4"/>
        <w:numPr>
          <w:ilvl w:val="3"/>
          <w:numId w:val="1"/>
        </w:numPr>
        <w:rPr/>
      </w:pPr>
      <w:bookmarkStart w:id="823" w:name="__RefHeading___Toc4067395_3224264995"/>
      <w:bookmarkStart w:id="824" w:name="_Toc311"/>
      <w:bookmarkEnd w:id="823"/>
      <w:r>
        <w:rPr>
          <w:rtl w:val="true"/>
        </w:rPr>
        <w:t>ز،ژ،س،ش</w:t>
      </w:r>
      <w:bookmarkEnd w:id="824"/>
    </w:p>
    <w:p>
      <w:pPr>
        <w:pStyle w:val="BookText"/>
        <w:rPr/>
      </w:pPr>
      <w:r>
        <w:rPr>
          <w:rFonts w:ascii="IRNazanin" w:hAnsi="IRNazanin" w:eastAsia="IRNazanin"/>
          <w:color w:val="111111"/>
          <w:sz w:val="28"/>
          <w:sz w:val="28"/>
          <w:szCs w:val="28"/>
          <w:rtl w:val="true"/>
          <w:lang w:bidi="fa-IR"/>
        </w:rPr>
        <w:t>زاد عقبی؛</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 و بینه؛</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زواهر الجواهر فی نوادر الزواجر؛</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الربیع فی علم البدیع؛</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زینة الفضلاء فی الفرق بین الضاد و الظاء؛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السبعة فی القراءات؛</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السلام؛</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صناعة الاعراب؛</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سعادات ناصری؛</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الکبری؛</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بیهقی؛</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حیاته و کتابه؛</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الحلبیة؛</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النبی؛</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الشافیة؛</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طوبی؛</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شذا العرف فی فن الصرف؛</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ابن الناظم؛</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ابن الوحید علی رائیة ابن البواب؛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ابن عقیل؛</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الاخبار؛</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الازهار؛</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الاشمونی؛</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التسهیل؛</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التصریح؛</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الجاربردی علی الشافیة؛</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الرضی علی الکافیة؛</w:t>
      </w:r>
      <w:r>
        <w:rPr>
          <w:rFonts w:eastAsia="IRNazanin" w:cs="IRNazanin"/>
          <w:color w:val="111111"/>
          <w:sz w:val="28"/>
          <w:szCs w:val="28"/>
          <w:lang w:bidi="fa-IR"/>
        </w:rPr>
        <w:t>563</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الزیارة الجامعة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القصیدة الحمیریة؛</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الکافیة؛</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اللمحة البدریة؛</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المفصل،ابن یعیش؛</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المقدمة المحسبة؛</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المنظومة فی فقه الامامیة؛</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الوافیة؛</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 الفوائد الصمدیة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 الفوائد الصمدیة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الفوائد الصمدیة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جمل الزجاجی؛</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825" w:name="pg12937_139609"/>
    </w:p>
    <w:p>
      <w:pPr>
        <w:pStyle w:val="BookText"/>
        <w:rPr/>
      </w:pPr>
      <w:bookmarkEnd w:id="825"/>
      <w:r>
        <w:rPr>
          <w:rFonts w:ascii="IRNazanin" w:hAnsi="IRNazanin" w:eastAsia="IRNazanin"/>
          <w:color w:val="111111"/>
          <w:sz w:val="28"/>
          <w:sz w:val="28"/>
          <w:szCs w:val="28"/>
          <w:rtl w:val="true"/>
          <w:lang w:bidi="fa-IR"/>
        </w:rPr>
        <w:t>شرح زیارة جامعة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زیارة جامعة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زیارة عاشورا؛</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شذور الذهب؛</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شواهد الشافیة؛</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علی مناجاة الخمسة عشر؛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قطر الندی؛</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لسان المیزان لوزن أفکار الأذهان؛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مقامات الحریری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 زیارت جامعه کبیره؛</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و برق؛</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الشموس الطالعة فی شرح الزیارة الجامعة؛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الشموس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 الثواقب؛</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احمد الاحسائی مجدد الحکمة الاسلامیة؛</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Heading4"/>
        <w:numPr>
          <w:ilvl w:val="3"/>
          <w:numId w:val="1"/>
        </w:numPr>
        <w:rPr/>
      </w:pPr>
      <w:bookmarkStart w:id="826" w:name="__RefHeading___Toc4067397_3224264995"/>
      <w:bookmarkStart w:id="827" w:name="_Toc312"/>
      <w:bookmarkEnd w:id="826"/>
      <w:r>
        <w:rPr>
          <w:rtl w:val="true"/>
        </w:rPr>
        <w:t>ص،ض،ط،ظ</w:t>
      </w:r>
      <w:bookmarkEnd w:id="827"/>
    </w:p>
    <w:p>
      <w:pPr>
        <w:pStyle w:val="BookText"/>
        <w:rPr/>
      </w:pPr>
      <w:r>
        <w:rPr>
          <w:rFonts w:ascii="IRNazanin" w:hAnsi="IRNazanin" w:eastAsia="IRNazanin"/>
          <w:color w:val="111111"/>
          <w:sz w:val="28"/>
          <w:sz w:val="28"/>
          <w:szCs w:val="28"/>
          <w:rtl w:val="true"/>
          <w:lang w:bidi="fa-IR"/>
        </w:rPr>
        <w:t>الصافی؛</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الاعشی فی صناعة الانشاء؛</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الرشاد؛</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صراة الحق؛</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صفوة الصافی من رغوة الشافی؛</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القلوب؛</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طاقدیس؛</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النحویین و اللغویین؛</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طوق الحمامة؛</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طیف الخیال؛</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4"/>
        <w:numPr>
          <w:ilvl w:val="3"/>
          <w:numId w:val="1"/>
        </w:numPr>
        <w:rPr/>
      </w:pPr>
      <w:bookmarkStart w:id="828" w:name="__RefHeading___Toc4067399_3224264995"/>
      <w:bookmarkStart w:id="829" w:name="_Toc313"/>
      <w:bookmarkEnd w:id="828"/>
      <w:r>
        <w:rPr>
          <w:rtl w:val="true"/>
        </w:rPr>
        <w:t>ع،غ،ف،ق</w:t>
      </w:r>
      <w:bookmarkEnd w:id="829"/>
    </w:p>
    <w:p>
      <w:pPr>
        <w:pStyle w:val="BookText"/>
        <w:rPr/>
      </w:pPr>
      <w:r>
        <w:rPr>
          <w:rFonts w:ascii="IRNazanin" w:hAnsi="IRNazanin" w:eastAsia="IRNazanin"/>
          <w:color w:val="111111"/>
          <w:sz w:val="28"/>
          <w:sz w:val="28"/>
          <w:szCs w:val="28"/>
          <w:rtl w:val="true"/>
          <w:lang w:bidi="fa-IR"/>
        </w:rPr>
        <w:t>عالم ذر؛</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عجائب الآثار؛</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العقل و عمدة المعقول؛</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عروض العروض؛</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العقائد الاسلامیة؛</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المنیر؛</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النحو؛</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نامه؛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عمدة المقال؛</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الناظر فی عقدة الناذر؛</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فی سقی المتبایعین؛</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الاخبار،ابن قتیبه؛</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التحقیق؛</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الحسین علیه السّلام؛</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اینگونه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الفاطمیة</w:t>
      </w:r>
    </w:p>
    <w:p>
      <w:pPr>
        <w:pStyle w:val="BookText"/>
        <w:rPr/>
      </w:pPr>
      <w:r>
        <w:rPr>
          <w:rFonts w:ascii="IRNazanin" w:hAnsi="IRNazanin" w:eastAsia="IRNazanin"/>
          <w:color w:val="111111"/>
          <w:sz w:val="28"/>
          <w:sz w:val="28"/>
          <w:szCs w:val="28"/>
          <w:rtl w:val="true"/>
          <w:lang w:bidi="fa-IR"/>
        </w:rPr>
        <w:t>فتح العزیز؛</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الفتنة و وقعة الجمل؛</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البهیة؛</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الرضویة؛</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الفوائد؛</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الفراهیدی عبقری من البصرة؛</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الضاد و الظاء؛</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فی الملل و الاهواء و النحل؛</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آینه میراث؛</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پژوهشی علوم حدیث؛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فصول الاذان و الاقامة؛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الفصول المهمة فی معرفة الائمة؛</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علی مذاهب الاربعة و مذهب اهل بیت علیهم السّلام؛</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ربانی؛</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830" w:name="pg12937_139611"/>
    </w:p>
    <w:p>
      <w:pPr>
        <w:pStyle w:val="BookText"/>
        <w:rPr/>
      </w:pPr>
      <w:bookmarkEnd w:id="830"/>
      <w:r>
        <w:rPr>
          <w:rFonts w:ascii="IRNazanin" w:hAnsi="IRNazanin" w:eastAsia="IRNazanin"/>
          <w:color w:val="111111"/>
          <w:sz w:val="28"/>
          <w:sz w:val="28"/>
          <w:szCs w:val="28"/>
          <w:rtl w:val="true"/>
          <w:lang w:bidi="fa-IR"/>
        </w:rPr>
        <w:t>فلسفه المیثاق و الولایة؛</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رضویه؛</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نافعه شریفه در شرح زیارت جامعه کبیره؛</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آیة اللّه مرعشی نجفی؛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مدرسه صدر؛</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وزیری یزد؛</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البحث الصوتی عند العرب؛</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الاوهام؛</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المحیط؛</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قباله قبیله؛</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القراءات القرآنیة؛</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 المواریث؛</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زخّار؛</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قواطع الاوهام؛</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الفصل فی المسح و الغسل؛</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4"/>
        <w:numPr>
          <w:ilvl w:val="3"/>
          <w:numId w:val="1"/>
        </w:numPr>
        <w:rPr/>
      </w:pPr>
      <w:bookmarkStart w:id="831" w:name="__RefHeading___Toc4067401_3224264995"/>
      <w:bookmarkStart w:id="832" w:name="_Toc314"/>
      <w:bookmarkEnd w:id="831"/>
      <w:r>
        <w:rPr>
          <w:rtl w:val="true"/>
        </w:rPr>
        <w:t>ک،گ،ل،م</w:t>
      </w:r>
      <w:bookmarkEnd w:id="83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559</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اللغة و الادب؛</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التصریف؛</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العروض؛</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القوافی؛</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المجروحین؛</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النغم؛</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 تلحن فیه العامة؛</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 البررة؛</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الکرّ و الفر؛</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الخفاء؛</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السحاب؛</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الغموض فی شرح ألطف العروض؛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الطالب اللبیب؛</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الفقه؛</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الکلمات الطریقة؛</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فی علم الرجال؛</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اتمام النعمة؛</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الدقائق؛</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العرفان؛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الکنز اللغوی؛</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الآداب؛</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الالقاب؛</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لباب الفکر؛</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اللباب فی علل البناء و الاعراب؛</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النظر؛</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571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لطائف المیراث لطائف الورّاث؛</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 فی العربیة؛</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اللمعة فی تفسیر سورة الجمعة؛</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اللهجات العربیة فی التراث؛</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کانت المواجهة؛</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روته العامة من مناقب اهل البیت علیهم السّلام؛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المتمسک بحبل آل الرسول؛</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ترجمه کتاب تعرّف؛</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lang w:bidi="fa-IR"/>
        </w:rPr>
        <w:t>559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تراثنا؛</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نور علم؛</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استاد مطهری؛</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فاضل سراب؛</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الشافیة؛</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فی فقه اللغة؛</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 الابرار؛</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المخصص؛</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المخطوطات العربیة فی مرکز احیاء التراث الاسلامی؛</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المدارس النحویة؛</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مرثیة الامام الحسین علیه السّلام؛</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مزدک‌نامه؛</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المزهر فی علوم اللغة؛</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السرویة؛</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المسائل الفقهیة؛</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الناصریات؛</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العروة الوثقی؛</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الشموس؛</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مشرعة بحار الانوار؛</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مشکل اعراب القرآن؛</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الدجی؛</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مصاعد الصلاح فی شرح دعاء الصباح؛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الفقیه؛</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569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المنیر؛</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مصفاة السفاء لإستصغاء الشفاء؛</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المطالع السعیدة؛</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المطرز فی اللغز؛</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الشمس و فردوس التواریخ؛</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الدین؛</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577</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الحروف؛</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القرآن؛</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القرآن و اعرابه؛</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الاخطاء الشائعة؛</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الادباء؛</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الوسیط؛</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فی معاییر اشعار العجم؛</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مغانم المجتهدین؛</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اللبیب؛</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المحتاج؛</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الشریعة؛</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المفصل فی صنعة الاعراب؛</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المفضلیات؛</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المقاصد النحویة؛</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مقالید القصود و موالید العقود فی تفاصیل صیغ العقود؛</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الحریری؛</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ولایت،در شرح زیارت جامعه کبیره؛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المقتصد فی شرح الایضاح؛</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المقتضب فی النحو؛</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خوارزمی؛</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دربندی؛</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بر فقه شیعه؛</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شرح زیارت عاشورا؛</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مرثیة الامام الحسین علیه السّلام؛</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المقرب؛</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 فی معرفة مرسوم مصاحف اهل الامصار؛</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574</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ملاذ الاخیار؛</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الأشباه و النظایر سیوطی؛</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الامثال؛</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الکلام؛</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درة الغواص؛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833" w:name="pg12937_139616"/>
    </w:p>
    <w:p>
      <w:pPr>
        <w:pStyle w:val="BookText"/>
        <w:rPr/>
      </w:pPr>
      <w:bookmarkEnd w:id="833"/>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من کتاب ذیل المذیل؛</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المنصف؛</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ملحة الاعراب؛</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وحی القرآن؛</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الاصول؛</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الامام علی بن ابی طالب علیه السّلام؛</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834" w:name="__RefHeading___Toc4067403_3224264995"/>
      <w:bookmarkStart w:id="835" w:name="_Toc315"/>
      <w:bookmarkEnd w:id="834"/>
      <w:r>
        <w:rPr>
          <w:rtl w:val="true"/>
        </w:rPr>
        <w:t>ن،و،ه،ی</w:t>
      </w:r>
      <w:bookmarkEnd w:id="835"/>
    </w:p>
    <w:p>
      <w:pPr>
        <w:pStyle w:val="BookText"/>
        <w:rPr/>
      </w:pP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الوافی؛</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میر؛</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نخبة التبیان فی علم البیان؛</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المصائب؛</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الالباء؛</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الطرف؛</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عدنان و قحطان؛</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رسائل من تراث اصفهان العلمی الخالد؛</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اللئالی فی الأیام و اللیالی؛</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فی اخطاء المنشئین؛</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الرّحمن؛</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 و الشکل؛</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البراهین؛</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البدایة لبدایة الهدایة؛</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النهریة؛</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الاوطار؛</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الوجیزة فی الکلمات النحویة؛</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ویژه‌گیهای اجتهاد و فقه پویا؛</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الضبط فی علم الخط؛</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همع الهوامع؛</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836" w:name="pg12937_139618"/>
    </w:p>
    <w:p>
      <w:pPr>
        <w:pStyle w:val="Heading3"/>
        <w:numPr>
          <w:ilvl w:val="2"/>
          <w:numId w:val="1"/>
        </w:numPr>
        <w:rPr/>
      </w:pPr>
      <w:bookmarkStart w:id="837" w:name="__RefHeading___Toc4067405_3224264995"/>
      <w:bookmarkStart w:id="838" w:name="_Toc316"/>
      <w:bookmarkEnd w:id="836"/>
      <w:bookmarkEnd w:id="837"/>
      <w:r>
        <w:rPr>
          <w:rtl w:val="true"/>
        </w:rPr>
        <w:t>مکان ها</w:t>
      </w:r>
      <w:bookmarkEnd w:id="838"/>
    </w:p>
    <w:p>
      <w:pPr>
        <w:pStyle w:val="Heading4"/>
        <w:numPr>
          <w:ilvl w:val="3"/>
          <w:numId w:val="1"/>
        </w:numPr>
        <w:rPr/>
      </w:pPr>
      <w:bookmarkStart w:id="839" w:name="__RefHeading___Toc4067407_3224264995"/>
      <w:bookmarkStart w:id="840" w:name="_Toc317"/>
      <w:bookmarkEnd w:id="839"/>
      <w:r>
        <w:rPr>
          <w:rtl w:val="true"/>
        </w:rPr>
        <w:t>الف،ب،پ،ت</w:t>
      </w:r>
      <w:bookmarkEnd w:id="840"/>
    </w:p>
    <w:p>
      <w:pPr>
        <w:pStyle w:val="BookText"/>
        <w:rPr/>
      </w:pPr>
      <w:r>
        <w:rPr>
          <w:rFonts w:ascii="IRNazanin" w:hAnsi="IRNazanin" w:eastAsia="IRNazanin"/>
          <w:color w:val="111111"/>
          <w:sz w:val="28"/>
          <w:sz w:val="28"/>
          <w:szCs w:val="28"/>
          <w:rtl w:val="true"/>
          <w:lang w:bidi="fa-IR"/>
        </w:rPr>
        <w:t>آرامگاه فاضل دربندی؛</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الکتب العربیة؛</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الازهر؛</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آل علی علیه السّلام؛</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اساطیر؛</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استاد احمد مطهری؛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اسلامیة؛</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المکتبة الحیدریة؛</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بخشایشی؛</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برهان؛</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بصیرتی؛</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بقاعی؛</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بنیاد بعثت؛</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بنیاد فرهنگ اسلامی؛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بنیاد کوشانپور؛</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خیام؛</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ذوی القربی؛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روشن‌ضمیر؛</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زاهدی؛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سرور؛</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طریق المعرفة؛</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کتابچی؛</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گلدسته؛</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گلها؛</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مرکز تحقیقات رایانه‌ای حوزه علمیه اصفهان؛</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مؤمنین؛</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841" w:name="pg12937_139619"/>
    </w:p>
    <w:p>
      <w:pPr>
        <w:pStyle w:val="BookText"/>
        <w:rPr/>
      </w:pPr>
      <w:bookmarkEnd w:id="841"/>
      <w:r>
        <w:rPr>
          <w:rFonts w:ascii="IRNazanin" w:hAnsi="IRNazanin" w:eastAsia="IRNazanin"/>
          <w:color w:val="111111"/>
          <w:sz w:val="28"/>
          <w:sz w:val="28"/>
          <w:szCs w:val="28"/>
          <w:rtl w:val="true"/>
          <w:lang w:bidi="fa-IR"/>
        </w:rPr>
        <w:t>انتشارات هرمس؛</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هستی ما؛</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یاحقّی؛</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النصر؛</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فولاد؛</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Heading4"/>
        <w:numPr>
          <w:ilvl w:val="3"/>
          <w:numId w:val="1"/>
        </w:numPr>
        <w:rPr/>
      </w:pPr>
      <w:bookmarkStart w:id="842" w:name="__RefHeading___Toc4067409_3224264995"/>
      <w:bookmarkStart w:id="843" w:name="_Toc318"/>
      <w:bookmarkEnd w:id="842"/>
      <w:r>
        <w:rPr>
          <w:rtl w:val="true"/>
        </w:rPr>
        <w:t>ت،ج،چ،ح</w:t>
      </w:r>
      <w:bookmarkEnd w:id="843"/>
    </w:p>
    <w:p>
      <w:pPr>
        <w:pStyle w:val="BookText"/>
        <w:rPr/>
      </w:pP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المستنصریة؛</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قاریونس؛</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کاشان؛</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جامعة موصل؛</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چاپخانه سید الشهداء؛</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کربلایی محمّد حسین؛</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4"/>
        <w:numPr>
          <w:ilvl w:val="3"/>
          <w:numId w:val="1"/>
        </w:numPr>
        <w:rPr/>
      </w:pPr>
      <w:bookmarkStart w:id="844" w:name="__RefHeading___Toc4067411_3224264995"/>
      <w:bookmarkStart w:id="845" w:name="_Toc319"/>
      <w:bookmarkEnd w:id="844"/>
      <w:r>
        <w:rPr>
          <w:rtl w:val="true"/>
        </w:rPr>
        <w:t>خ،د،ذ،ر</w:t>
      </w:r>
      <w:bookmarkEnd w:id="845"/>
    </w:p>
    <w:p>
      <w:pPr>
        <w:pStyle w:val="BookText"/>
        <w:rPr/>
      </w:pPr>
      <w:r>
        <w:rPr>
          <w:rFonts w:ascii="IRNazanin" w:hAnsi="IRNazanin" w:eastAsia="IRNazanin"/>
          <w:color w:val="111111"/>
          <w:sz w:val="28"/>
          <w:sz w:val="28"/>
          <w:szCs w:val="28"/>
          <w:rtl w:val="true"/>
          <w:lang w:bidi="fa-IR"/>
        </w:rPr>
        <w:t>خزانة الکتب العربیة؛</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ابن عفّان؛</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احیاء التراث الاسلامی؛</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الاضواء؛</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 الآفاق الجدیدة؛</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الامانة؛</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الثقلین؛</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الجنان؛</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الجیل؛</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الحدیث؛</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الحریة؛</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الحکمة؛</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الحیاة؛</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الدرایة؛</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الرائد العربی؛</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الرسالة للطباعة؛</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الرشید؛</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الشئون الثقافیة العامة؛</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الشروق؛</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الصدیقة الشهیدة؛</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الضیاء؛</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العربیة؛</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الفنون؛</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القلم؛</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الثقافیة؛</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الحدیثة؛</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المصریة؛</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بالقاهرة؛</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للطباعة و النشر؛</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الکتب مؤسسة المصریة؛</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المرتضی؛</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المعارف؛</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المفید؛</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الملاک؛</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846" w:name="pg12937_139621"/>
    </w:p>
    <w:p>
      <w:pPr>
        <w:pStyle w:val="BookText"/>
        <w:rPr/>
      </w:pPr>
      <w:bookmarkEnd w:id="846"/>
      <w:r>
        <w:rPr>
          <w:rFonts w:ascii="IRNazanin" w:hAnsi="IRNazanin" w:eastAsia="IRNazanin"/>
          <w:color w:val="111111"/>
          <w:sz w:val="28"/>
          <w:sz w:val="28"/>
          <w:szCs w:val="28"/>
          <w:rtl w:val="true"/>
          <w:lang w:bidi="fa-IR"/>
        </w:rPr>
        <w:t>دار المورخ العربی؛</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النّفائس؛</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النهضة العربیة؛</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الهدی؛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جلال الدین،دار الانصار؛</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ذوی القربی؛</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صادر؛</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مأمون؛</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مکتبة الهلال؛</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نهضة مصر للطباعة؛</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دشت‌افروز؛</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نشر نوید اسلام؛</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4"/>
        <w:numPr>
          <w:ilvl w:val="3"/>
          <w:numId w:val="1"/>
        </w:numPr>
        <w:rPr/>
      </w:pPr>
      <w:bookmarkStart w:id="847" w:name="__RefHeading___Toc4067413_3224264995"/>
      <w:bookmarkStart w:id="848" w:name="_Toc320"/>
      <w:bookmarkEnd w:id="847"/>
      <w:r>
        <w:rPr>
          <w:rtl w:val="true"/>
        </w:rPr>
        <w:t>ز،ژ،س،ش</w:t>
      </w:r>
      <w:bookmarkEnd w:id="848"/>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شرکة مکتبة و مطبعة مصطفی البابی الحلبی؛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4"/>
        <w:numPr>
          <w:ilvl w:val="3"/>
          <w:numId w:val="1"/>
        </w:numPr>
        <w:rPr/>
      </w:pPr>
      <w:bookmarkStart w:id="849" w:name="__RefHeading___Toc4067415_3224264995"/>
      <w:bookmarkStart w:id="850" w:name="_Toc321"/>
      <w:bookmarkEnd w:id="849"/>
      <w:r>
        <w:rPr>
          <w:rtl w:val="true"/>
        </w:rPr>
        <w:t>ص،ض،ط،ظ</w:t>
      </w:r>
      <w:bookmarkEnd w:id="850"/>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صیدا؛</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4"/>
        <w:numPr>
          <w:ilvl w:val="3"/>
          <w:numId w:val="1"/>
        </w:numPr>
        <w:rPr/>
      </w:pPr>
      <w:bookmarkStart w:id="851" w:name="__RefHeading___Toc4067417_3224264995"/>
      <w:bookmarkStart w:id="852" w:name="_Toc322"/>
      <w:bookmarkEnd w:id="851"/>
      <w:r>
        <w:rPr>
          <w:rtl w:val="true"/>
        </w:rPr>
        <w:t>ع،غ،ف،ق</w:t>
      </w:r>
      <w:bookmarkEnd w:id="852"/>
    </w:p>
    <w:p>
      <w:pPr>
        <w:pStyle w:val="BookText"/>
        <w:rPr/>
      </w:pPr>
      <w:r>
        <w:rPr>
          <w:rFonts w:ascii="IRNazanin" w:hAnsi="IRNazanin" w:eastAsia="IRNazanin"/>
          <w:color w:val="111111"/>
          <w:sz w:val="28"/>
          <w:sz w:val="28"/>
          <w:szCs w:val="28"/>
          <w:rtl w:val="true"/>
          <w:lang w:bidi="fa-IR"/>
        </w:rPr>
        <w:t>عالم الکتب؛</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فرهنگستان زبان و أدب فارسی؛</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رسول اللّه؛</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بنی ثعل؛</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Heading4"/>
        <w:numPr>
          <w:ilvl w:val="3"/>
          <w:numId w:val="1"/>
        </w:numPr>
        <w:rPr/>
      </w:pPr>
      <w:bookmarkStart w:id="853" w:name="__RefHeading___Toc4067419_3224264995"/>
      <w:bookmarkStart w:id="854" w:name="_Toc323"/>
      <w:bookmarkEnd w:id="853"/>
      <w:r>
        <w:rPr>
          <w:rtl w:val="true"/>
        </w:rPr>
        <w:t>ک،گ،ل،م</w:t>
      </w:r>
      <w:bookmarkEnd w:id="854"/>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پژوهش؛</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آیة اللّه العظمی گلپایگانی؛</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آیة اللّه العظمی مرعشی نجفی؛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ارومیه؛</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امیر المؤمنین علیه السّلام،نجف اشرف؛</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تخصصی تاریخ اسلام و ایران؛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جامع کبیر یزد؛</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دکتر علی اصغر مهدوی؛</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طهوری؛</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مدرسه صدر بازار اصفهان؛</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مرکزی دانشگاه تهران؛</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موزه قونیه؛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وزیری یزد؛</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موزه و مرکز أسناد مجلس شورای اسلامی؛</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اسلامیة؛</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تهران؛</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فرهومند؛</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کفرتوثا؛</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لکهنو هند؛</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البحوث الاسلامی؛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الذخائر الاسلامی؛</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العلمی الاسلامی؛</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احیاء آثار الملا حبیب اللّه الشریف الکاشانی؛</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احیاء التراث الاسلامی؛</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الابحاث العقائدیة؛</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الاعلام الاسلامی؛</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البحوث و الدراسات العلمیة؛</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العالمی للدراسات الاسلامیة؛</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العلوم و الثقافة الاسلامیة؛</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پژوهشی میراث مکتوب؛</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الحرمین؛</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بیت المقدس؛</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مطبعه خیام؛</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آیة اللّه مرعشی نجفی</w:t>
      </w:r>
    </w:p>
    <w:p>
      <w:pPr>
        <w:pStyle w:val="BookText"/>
        <w:rPr/>
      </w:pPr>
      <w:r>
        <w:rPr>
          <w:rFonts w:ascii="IRNazanin" w:hAnsi="IRNazanin" w:eastAsia="IRNazanin"/>
          <w:color w:val="111111"/>
          <w:sz w:val="28"/>
          <w:sz w:val="28"/>
          <w:szCs w:val="28"/>
          <w:rtl w:val="true"/>
          <w:lang w:bidi="fa-IR"/>
        </w:rPr>
        <w:t>مطبعة اثنا عشری؛</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مطبعة الاستقلال؛</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مطبعة الاسلامیة؛</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الحکومیة؛</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 الرحمانیة؛</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العصریة؛</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 الکاثولیکیة؛</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المدنی؛</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المصطفوی؛</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مطبعة المنار؛</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مطبعة النسر الذهبی؛</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مقابر الصوفیة،قاهره؛</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الثقافیة؛</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ابن تیمیة؛</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الامام امیر المؤمنین؛</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التوفیقیة؛</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الخانجی؛</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الرضوی؛</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الروضة الرضویة؛</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الزهرا علیها السّلام؛</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الصادق؛</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الصدوق؛</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الصفا؛</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الطالب الجامعی؛</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العلمیة الاسلامیة؛</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المثنی؛</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المرتضویة؛</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المفید؛</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النجاح؛</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مکتبة النهضة؛</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855" w:name="pg12937_139624"/>
    </w:p>
    <w:p>
      <w:pPr>
        <w:pStyle w:val="BookText"/>
        <w:rPr/>
      </w:pPr>
      <w:bookmarkEnd w:id="855"/>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عزیزی؛</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لبنان؛</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محمد علی صبیح؛</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محمدی؛</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الفیروزآبادی؛</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جامعة النجف الدینیة؛</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اسماعیلیان؛</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بعثت؛</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اندیشه و فرهنگ دینی؛</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سماء؛</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اسماعیلیه؛</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الامام الصادق علیه السّلام؛</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الامام الهادی؛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الحلبی؛</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الصادق علیه السّلام؛</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المحمودی؛</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الاسلامی جامعة المدرسین؛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النعمان؛</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سید الشهداء؛</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4"/>
        <w:numPr>
          <w:ilvl w:val="3"/>
          <w:numId w:val="1"/>
        </w:numPr>
        <w:rPr/>
      </w:pPr>
      <w:bookmarkStart w:id="856" w:name="__RefHeading___Toc4067421_3224264995"/>
      <w:bookmarkStart w:id="857" w:name="_Toc324"/>
      <w:bookmarkEnd w:id="856"/>
      <w:r>
        <w:rPr>
          <w:rtl w:val="true"/>
        </w:rPr>
        <w:t>ن،و،ه،ی</w:t>
      </w:r>
      <w:bookmarkEnd w:id="857"/>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ادب حوزه؛</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 الهادی؛</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بنیاد پژوهشهای اسلامی آستان قدس؛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دار الذخائر؛</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سازمان فرهنگی تفریحی شهرداری اصفهان؛</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مکتبة الصدر؛</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مکتبة الهدی؛</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مؤسسة فقه الشیعة؛</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وزارة الاعلام العراقیة؛</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وزارة المعارف العمومیة؛</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858" w:name="pg12937_139626"/>
    </w:p>
    <w:p>
      <w:pPr>
        <w:pStyle w:val="Heading3"/>
        <w:numPr>
          <w:ilvl w:val="2"/>
          <w:numId w:val="1"/>
        </w:numPr>
        <w:rPr/>
      </w:pPr>
      <w:bookmarkStart w:id="859" w:name="__RefHeading___Toc4067423_3224264995"/>
      <w:bookmarkStart w:id="860" w:name="_Toc325"/>
      <w:bookmarkEnd w:id="858"/>
      <w:bookmarkEnd w:id="859"/>
      <w:r>
        <w:rPr>
          <w:rtl w:val="true"/>
        </w:rPr>
        <w:t>فرق،مذاهب،طوایف</w:t>
      </w:r>
      <w:bookmarkEnd w:id="860"/>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p>
    <w:p>
      <w:pPr>
        <w:pStyle w:val="BookText"/>
        <w:rPr/>
      </w:pPr>
      <w:r>
        <w:rPr>
          <w:rFonts w:ascii="IRNazanin" w:hAnsi="IRNazanin" w:eastAsia="IRNazanin"/>
          <w:color w:val="111111"/>
          <w:sz w:val="28"/>
          <w:sz w:val="28"/>
          <w:szCs w:val="28"/>
          <w:rtl w:val="true"/>
          <w:lang w:bidi="fa-IR"/>
        </w:rPr>
        <w:t>نصرانی؛</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کتاب استاد فرزانه محمد رضا حکیمی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،المجلس الثامن عشر،حدیث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یوم القیامة وزن مداد العلماء بدماء الشهداء،فیرجح مداد العلماء علی دماء الشهداء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،المجلس العاشر،حدیث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إذا مات و ترک ورقة واحدة علیها علم،تکون تلک الورقة یوم القیامة سترا فیما بینه و بین النار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الذریعه،آقا بزرگ تهرانی،ج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ثقلین در کتاب‌های حدیثی عامه و خاصه،نقل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بصائر الدرجات،ص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؛بشارة المصطفی،ص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احادیث متواتر بین الفریقین می‌باشد به عنوان نمونه‌نگر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الشیخ نجم الدین الطبسی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کتاب ارزشمند حدیث الثقلین از آیة اللّه سیّد علی میلانی،ص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محقّقین،با توجّه به بعضی از قرائن،زمان هجرت فاضل سراب،را به اصفهان، در اوایل سلطنت شاه سلیمان صفوی،یا اندکی قبل از این تاریخ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سراب،جامع معقول و 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مجموعه مقالات فاضل سراب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 رامسر،ج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 رساله فقهی درباره نماز جمعه،ص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فوائد الرضویة،ص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تکملة أمل الآمل،ج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توضیحات تکمیلی درباره نسخه‌های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جز نسخه مدرسه صدر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فاضل سراب،ص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آیة اللّه مرعشی نجفی،ج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کتابخانه وزیری یزد،ج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عنوان نمونه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کتابخانه مدرسه صدر بازار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الشیخ أبو علی الفضل بن الحسن الطبرسی فی 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،الفن الثالث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نسخ التی بأیدینا و لکن فی طبعتی الزبدة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الشیخ محمّد أمین الأسترآبادی فی الفوائد المدنیّة،ص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،باب استحباب الإبتداء بالبسملة مخلصا للّه،ح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قول البیضاوی فی 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قول المحقّق الأردبیلی فی الزبدة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ترد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اکتفینا فی المقام بنقل کلام العلاّمة السیّد شرف الدین العاملی فی المسائل الفقهیّة،ص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إختلف علماء الإسلام فی نوع طهارة الأرجل من أعضاء الوضوء فذهب فقهاء الجمهور و منهم الأئمة الأربعة إلی وجوب الغسل فرضا علی التعیین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علیه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لأئمة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مسحها فرضا معینا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و مذهب أهل البیت علیهم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الأزهار،ج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؛سبل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؛ذکری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؛مشارق الشموس،ج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،أیضا مصباح المنیر،ج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دلالة علی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ما علی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کلام صاحب زبدة البیان التی مرّت آنفا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للکلام تتمة لا تقرء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إیضاح الفوائد،ج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الواقعة،الآیة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المؤمنون،الآیة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زید بن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رجلا سأل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یحلّ لی من إمرأتی و هی حائض؟قال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لتشدّ علیها إزارها ثمّ شأنک بأعلاها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القاضی ناصر الدین البیضاوی فی 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البیّنة،الآیة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المدثر،الآیة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الوجه إشارة إلی کون الفاعل موضوعا بحسب المعنی و لزوم العکس کما أشار إلیه المصنّف سابقا بقوله إنّ صحّ ذلک أیضا لأنّه من الجانبین زبدة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النسختین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الحلّی فی المعتبر،ج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؛الهدایة،ص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التحفة الأحوذی،ج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المؤمنون،الآیة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للعثور علی شبهة الکعبی و جوابها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تسلیک النفس،ص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؛معالم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؛قوانین الأصول،ج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؛هدایة المسترشدین،ج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شبهة الکعبی و جوابها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الإسراء،الآیة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قول الزمخشری فی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الروم،الآیة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ق،الآیة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الطور،الآیة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صحیحة معاویة بن عمّار،عن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یقوم فی الصلاة ثمّ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کلام الشیخ البهائی قدّس سرّه فی هذا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المتحیّر فی القبلة یجزیه الصلاة إلی أیّ جهة شاء،و هو مذهب ابن أبی عقیل و ظاهر الصدوق،و نفی عنه البعد العلاّمة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غیر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الحبل المتین،ج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المخطوطتین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الکوثر،الآیة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 ما بین المعقوفتین فی زبدة البیان بکلتی طبعتیه،القدیمة و الجدیدة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المزمل،الآیة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 بین الأسنان،من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هامش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لمزید البیان راجع الکنز اللغوی،ص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الأقحوان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البابونج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هامش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الإسراع فی القطع،صحاح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هامش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،باب القراءة و آدابها و أحکامها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بالرعایة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بالمراعاة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علا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وردت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الإحتمال هو الأظهر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الذاریات،الآیة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المکتبة المرتضویة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التعبیر و ترک ظاهر کلام المصنّف رحمه اللّه لرعایة الروایة الواردة فی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النسختین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فی هذا المجال ما افاده فخر الشیعه العلاّمة الحلّی قدس اللّه سرّه القدوسی فی نهایة الإحکام،ج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؛المبسوط للسرخسی،ج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؛بدائع الصنائع،ج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لکن فی الأخیرین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الصف،الآیة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؛منیة المرید،ص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تأذن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ترد ما بین المعقوفتین 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اضفناها بین المعقوفتین 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لجعلنا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یصحّ إن لم نقل،لا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وجه لشیء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النسختین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فی هذا المجال ما أفاده الوحید البهبهانی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الافادة الإجمالیّة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الرسائل الفقهیّة،ص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اضفنا ما بین المعقوفتین 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؛بدائع الصنائع،ج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عمدة القاری،ج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الروایة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تأخذ بالحائطة لدینک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؛الإستبصار،ج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اللغة،ج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اضفنا ما بین المعقوفتین 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المنیر،ج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،باب کراهیة السفر فی شهر رمضان،ح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؛الشرح الکبیر،ج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 النسخ البحث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جاءت بثمرتها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جاءت ثمرتها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صححناه من المصدر و لکن العبارة فی کلتی النسختین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آتی فلانا و فلانا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القائل هو جار اللّه الزمخشری فی 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فأکب علیه فشرب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البیان،ص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فی ذیل 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الإستصحاب یقتضی البقاء علی الإحرام حتّی یتحقّق المحلّل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تحقّقه بمجرّد حصول الوقت غیر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،باب المحصور و المصدود و ما علیهما من الکفارة،ح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،باب من فاته الحج،ح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،باب ما جاء فیمن فاته الحج،ح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العشب رطبه و یابسه و جمعه أکلاء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الوسیط،ج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،باب المحصور و المصدود و ما علیهما من الکفارة،ح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،باب أن المصدود بالعدو تحل له النساء،ح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البقرة،الآیة،</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 و فی موضعین من الحاشیة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علی تقدیر إلحاقه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فرض إلحاقه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الإستبصار،ج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ما یجب علی حلق رأسه من الأذی من الکفارة،ح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؛الإستبصار،ج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فی هذا المجال الانتصار،ص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اللبیب،ج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،باب من الزیادات فی فقه الحج،ح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ترد ما بین المعقوفتین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الإبن قدامة،ج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ترد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ترد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ترد ما بین المعقوفتین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علیه السّلام،ص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ترد 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نقلناها 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ترد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اضفنا ما بین المعقوفتین 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نصّ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 بطن الحوت و البحر و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ابتلع حوته حوت أکبر منه،فحصل فی ظلمتی بطنی الحوتین و ظلمة البحر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فی الخطوطتین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أنفسنا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لقمان،الآیة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الفقرات 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الغفران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الفتح،الآیة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؛صحاح اللغة،ج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 من زبدة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ما نقل عنه فی النسختین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حین المقارنة؛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القصص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الرعد،الآیة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بالإبهام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نسختی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العبارة فی نسختی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یؤیّد،ما فی الخبر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ما نقلناه موافق مع طبعتی زبدة البیان و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یجب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،سبب نزول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أَتیٰ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الإنسان،الآیة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تمام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عبدتک طمعا فی جنّتک و لا خوفا من نارک،بل وجدتک أهلا للعبادة فعبدتک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؛الوافی،ج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ترد ما بین المعقوفتین 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؛رجال الطوسی،ص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نقلنا ما بین المعقوفتین 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أضفنا ما بین المعقوفتین 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أضفنا ما بین المعقوفتین من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الإنسان،الآیة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المطبوع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الإجتناب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اضفنا ما بین المعقوفتین 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المؤمنون،الآیة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،باب العقود علی الإماء و ما یحل من النکاح بملک الیمین،ح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أضفنا ما بین المعقوفتین 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؛سنن البیهقی،ج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؛ریاض المسائل،ج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فی المصادر الثلاثة المتأخرة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یبت الصیام من اللیل فلا صیام 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التحریم،الآیة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قول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اتّباع المجتهد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أضفنا ما بین المعقوفتین 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؛أسباب النزول،ص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؛کنز الدقائق،ج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Pr>
        <w:t>M</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،أنوار التنزیل،ج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الحجرات،الآیة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لقمان،الآیة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بقرة،الآیة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الألقاب،صص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 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،و طبقات أعلام الشیعة،القرن الرابع عشر،ج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؛مصفی المقال،</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؛العقد المنیر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؛الذریعة،ذیل آثار مؤلف؛ معجم المؤلفین،ج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؛مقدمة کتاب ذریعة الاستغناء،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؛الدرة الفاخرة،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تقی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بعدها؛مقدمة شرح زیارة عاشورا،ص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جنة الحوادث فی شرح زیارة وارث؛نزار الحسن،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؛مقدمة مرثیة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 حسون،ص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 المعجمة،و آخره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إیرانیة قرب قم المقدسة،عرفت بالسجاد الفاخر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الألقاب المتقدم،فی الباب الثامن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المنیر؛المازندرانی،ص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معجم المؤلفین،ج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الألقاب،عن مقدمة کتاب ذریعة الاستغناء،ص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لباب الألقاب،عن مقدّمة کتاب ذریعة الاستغناء،ص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مقدمة کتاب ذریعة الاستغناء،ص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المنیر،ص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العقد المنیر،ص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؛معجم المؤلفین،ج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العقد المنیر،ص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کتاب ذریعة الاستغناء،ص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الفاخرة،ص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القائمة التی أعدها الأستاذ فارس حسون کریم محقق مرثیته فی الأمام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طبعت فی مجلة تراثنا،العدد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ذکر فیها أن مؤلفاته بلغت ما یقرب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للمزید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القائمة التی أعدّتها جامعة کاشان فی مقدمة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ذریعة الاستغناء،صص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سنذکر المؤلّفات التی کانت باللغة العربیة حسب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صافات،الآیة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 بِاسْمِ رَبِّکَ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الواقعة،الآیة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؛سورة الحاقة،الآیة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العلق؛الآیة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اِقْرَأْ بِاسْمِ رَبِّکَ الَّذِی خَلَقَ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نساء،الآیة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انفال،الآیة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اعراف،الآیة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نساء،الآیة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کهف،الآیة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تکتب بالألف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المخطوطات العربیة فی مرکز إحیاء التراث الإسلامی،ج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تَنْسَوُا الْفَضْلَ بَیْنَکُمْ إِنَّ اللّٰهَ بِمٰا تَعْمَلُونَ بَصِیرٌ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هذا الذیل بعض الأخطاء،و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أثبتناها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أضفنا أیضا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ذریعة الاستغناء،ص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علی البسلمة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،بالرسم القرآنی،هکذا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استخدام الناسخ،و سیأتی أنّ الألف فیها تحذف للتفخیم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الیوم نرسمها کما أثبتناها،و سنعمل علیه فی الآخریات،إذا ما وردت فی المخطوط کذلک من دون الإشارة فی الهامش إلیها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تناولت مصادر تراث الأدب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أبواب شتی،فی الوصف،و المدح، و المقارنة،و غیرها،إبتداء من کتاب اللّه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معرض بین أنواع الدلالة فی البیان،و منها الخطّ،و الحظوة الّتی 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الخطّ،فممّا ذکر اللّه عزّ و جلّ فی کتابه من فضیلة الخطّ و الإنعام بمنافع الکتاب،قوله لنبیّه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وَ رَبُّکَ الْأَکْرَمُ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عَلَّمَ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الْإِنْسٰانَ مٰا لَمْ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العلق،الآیات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أقسم به فی کتابه المنزل،علی نبیّه المرسل،حیث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 الْقَلَمِ وَ مٰا یَسْطُرُونَ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القلم،الآیة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 أحد اللّسانین،کما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العیال أحد الیسارین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 أبقی أثرا،و اللسان أکثر هذرا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الرّحمن بن کیسان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القلم أجدر أن یحضّ الذّهن علی تصحیح الکتاب،من استعمال اللّسان علی تصحیح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مقصور علی القریب الحاضر،و القلم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اللفظ،و الکلام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قانونی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 و النحو</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العلمی،و التصرّف الفکری التطبیقی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الاقتضاب فی شرح أدب الکتاب؛ابن السید البطلیوسی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و الکتابة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اللفظ بحروف هجائه إلا أسماء الحروف إذا قصد بها المسمّی،نحو 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اکتب جیم،عین،فا،را،فإنّک تکتب هذه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لأنّها مسمّاها خطّا و لفظا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الشافیة لابن الحاجب؛شرح رضی الدین الاسترآبادی،ج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شرح ابن الوحید علی رائیة ابن البوّاب،ص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،و المطالع السعیدة؛السیوطی،ج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الاختلاف دون المضمون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وضع الشیء فی غیر موضعه و یجوز أن یکون صوابا فی نفسه،و لیس ما</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أصول حروف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 الهجائیة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الکافة تسعة و عشرون حرفا،فأوّلها الألف و آخرها الیاء علی المشهور من ترتیب حروف المعجم إلا أبا العباس فإنه کان یعدّها ثمانیة و عشرین حرفا و یجعل أولها الباء و یدع الألف من أوّلها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همزة لا تثبت علی صورة واحدة و لیست لها صورة مستقرّة فلا اعتدها مع الحروف التی أشکالها محفوظة معروفة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صناعة الإعراب،ج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الجهة،أعنی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جهة أخری؛إذ إنّ جهات دراسة الحروف الهجائیة لها من الحیثیات 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رضی الدین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البحث فی أن المراد باللفظ هو الاسم أو المسمی غیر البحث فی أن ذلک اللفظ کیف یصور فی الکتابة، و المراد بقوله،یعنی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تصویر اللفظ بحروف هجائه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الثانی دون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یتعلّق بحروف الهجاء فی واقعها الکتابی الخطّی،فی التصویر،و هو المقصود من هذه الرسالة،کما أفصح عن ذلک المؤلّف فی أوّل صدرها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واو العطف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ض؛بسبب انتقال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بحقیقته،و معناه الدلالی القارّ به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بوضع الواضع،و ملاحظاته فی التصوّر عند الوضع بالأصل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الوضع اللغوی،و الاستعمال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سیبویه،ج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الاستقامة فی الکلام و الإحالة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من الشواهد النحویة المجهولة القائل،التی یستشهد بها فی 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الحذف،و المفعول معه،و العطف علی المشاکلة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شتت همّالة عیناها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القرآن؛الفرّاء،ج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الخصائص؛ابن جنی،ج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،و أمالی الشریف المرتضی،ج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الإنصاف؛الأنباری،ج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،و شرح جمل الزجاجی؛ابن عصفور،ج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لسان العرب؛ابن منظور،ج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مغنی اللبیب؛ابن هشام الأنصاری،ج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،و أوضح المسالک،ج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شرح،ج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المقاصد النحویة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خزانة الأدب؛البغدادی،ج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علفتها تبنا،و سقیتها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تقدیر المحذوف خلاف،ینظر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ینسب للشاعر جحظة أبی الحسن بن جعفر البرمکی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الأمثال؛لأبی هلال العسکری،ص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لباب الآداب؛لأبی منصور الثعالبی،ج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قد نسب خطأ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الرقعمق أحمد بن محمد الانطاکی 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المشاکلة فی اللغة هی المماثلة،و الذی تحرر فی المصطلح عند علماء هذا الفن أنّ المشاکلة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الشّیء بغیر لفظه لوقوعه فی صحبته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جَزٰاءُ سَیِّئَةٍ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الشوری،الآیة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،فالجزاء عن السیئة فی الحقیقة غیر سیّئة، و الأصل و جزاء سیّئة عقوبة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المطوّل،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قول الشاعر المتقدّم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زیدا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تصویره المقصود برسم حروف هجائه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کونه أصواتا تشتمل علی الحروف الهجائیة،آلته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تنوین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بمسمیاته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القوائد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حملها علی الأول أنسب؛للعطف،و للمعنی السّیاقی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الذوات البشریة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رضی الدین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کل لفظ أن یکتب بحروف هجائه،أی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بحروف الهجاء التی رکب ذلک اللفظ منها إن کان مرکبا،و إلا فبحرف هجائه،سواء کان باللفظ ما یصح کتابته کأسماء حروف التهجی،نحو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ألف،با،تا،جیم، و کلفظ الشعر و القرآن و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ذلک،أو ما لا یصح کتابته،کزید و الرجل و الضرب و الیوم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،عموما،لذا سنعمل علی کتابة الصحیح،مع عدم الإشارة إلیه إذا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من 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اسم الحرف منه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من الحرف</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الکتابة فی الأصل المخطوط علی أمر التهجی،علی أن هذه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من الحروف الأصلیّة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المنصف؛ابن جنی،صص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أسماء الذوات المسمّی بها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کحروف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حملها علی الأوّل أنسب؛للعطف، و للمعنی السیاقی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قصد لفظة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عبد الرحمن الخلیل بن أحمد بن عمرو بن تمیم الفراهیدی الأزدی الیحمدی،من أئمة اللغة و الأدب،و واضع علم العروض،أخذه من الموسیقی و کان عارفا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أستاذ سیبویه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 البصرة،و عاش فقیرا صابرا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النضر بن شمیل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 الراؤون مثل الخلیل،و لا رأی الخلیل مثل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آلات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حروف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 و الشکل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فی أخبار النحویین البصریین؛السیرافی،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الفهرست؛ابن الندیم،ص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،الأنساب؛السمعانی،ج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نزهة الألباء؛الأنباری،ص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معجم الأدباء،ج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أنباه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وفیات الأعیان؛ابن خلکان،ج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النبلاء؛الذهبی،ج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 تهذیب التهذیب؛ابن حجر،ج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بغیة الوعاة؛السیوطی،صص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هدیة العارفین؛باشا البغدادی،ج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معجم المؤلفین،ج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الأعلام؛الزرکلی،ج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الفراهیدی عبقری من البصرة؛المخزومی،ص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کذا فی الشافیة؛لابن الحاجب،و شرحها؛لرضی الدین الاسترآبادی،ج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کتاب سیبویه،ج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،النصّ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الخلیل یوما و سأل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تقولون إذا أردتم أن تلفظوا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ألحقت الهاء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 فألحقوا هاءا حتّی صیّروها یستطاع الکلام بها لأنّه لا یلفظ 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وصلت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 ب،فاعلم یا فتی کما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 یا 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طریقة کلّ حرف کان متحرّکا و قد یجوز أن یکون الألف هنا بمنزلة الهاء؛لقربها منها،و شبهها بها، 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 کا،کما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شرح شواهد الشافیة؛البغدادی،ج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بدایة التعریف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الهجاء تکتب کما ینطق بها،فیما ترکّب منها،إلاّ إذا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بأن تکون أسماء السور کما قال بعضهم،أو أسماء أشخاص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 للنبی صلی اللّه علیه و آله و سلّم،و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للدواة، و غیر ذلک أو تکون أبعاض الکلم،کما نسب إلی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اللّه أعلم،و غیر ذلک ممّا قیل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 أن الألفاظ التی یتهجی بها أسماء،مسمّیاتها الحروف المبسوطة التی منها رکبت الکلم،فقولک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سمّی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ضرب إذا تهجّیته،و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 لقولک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ره،و به؛و قد روعیت فی هذه التّسمیة لطیفة،و هی أنّ المسمّیات لمّا کانت ألفاظا،کأسامیها و هی حروف وحدان و الأسامی عدد حروفها مرتق إلی الثلاثة،اتّجه لهم طریق إلی أن یدلّوا فی التسمیة علی المسمّی فلم یغفلوها،و جعلوا المسمّی صدر کلّ اسم منها کما تری،إلا الألف فإنّهم استعاروا الهمزة مکان مسمّاها؛لأنّه لا یکون إلاّ ساکنا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ما بعدها کذلک،فی أن هذه فواتح السور المراد بها التّنبیه علی أنّ القرآن الکریم مرکّب من هذه الحروف کألفاظکم التی تنطقون بها؛فعارضوه إن قدرتم،فهو إذن،تحد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الکبیر؛الرازی،ج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شرح الشافیة؛ 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رضی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کل کلمة فی الکتابة أن ینظر إلیها مفردة مستقلّة عمّا قبلها و ما بعدها،فلا جرم تکتب بصورتها مبتدأ بها و موقوفا علیها،فکتب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بهمزة الوصل؛لأنک لو ابتدأت بها،فلا بدّ من همزة الوصل،و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زیدا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 زیدا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بالهاء،لأنک إذا وقفت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انتقال النظر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الرغم من تنوین النصب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الضمائر المتّصلة؛لتمییزها من المنفصلة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المحیط؛الفیروزآبادی،ج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مکررة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لفظة،و إلاّ فالثقلین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سَنَفْرُغُ لَکُمْ أَیُّهَ الثَّقَلاٰنِ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الشاهد فی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الألف،و الیوم فی المصاحف الحدیثة الطبع تکتب بالألف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حال الوقف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المحسبة؛ابن بابشاذ،ج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الإیضاح فی شرح المفصل؛ابن الحاجب،ج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جمل الزجاجی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عصفور،ج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شرح الشافیة؛للرضی،ج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وووقت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فی سرّ صناعة الإعراب؛لابن جنی،ج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قطرب عن طییء أنّهم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البنون و البناه،و کیف الأخوة و الأخواه،قال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المفصل؛الزمخشری،ص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،و 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هنهاه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معناها البعد،و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کلمة تبعید،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 مفتوحة مثل کیف،و أصلها هاء و ناس یکسرونها علی کلّ حال بمنزلة نون التثنیة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اتفق أهل اللغة أنّ التاء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لیست بأصلیة أصلها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 بن العلاء،إذا وصلت هیهات فدع التاء علی حالها،و إذا وقفت فقل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هیهاه،قال ذلک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هَیْهٰاتَ هَیْهٰاتَ لِمٰا تُوعَدُونَ سورة المؤمنون،الآیة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الکاتب،ص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معانی القرآن؛الفرّاء،ج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معانی القرآن و إعرابه؛ الزجاج،ج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إعراب القرآن؛النحاس،ج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التبیان فی إعراب القرآن؛ العکبری،ج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المفصل؛الزمخشری،ص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شرح الشافیة؛للرضی،ج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الهجاء،ص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شرح اللمحة البدریة،ج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أوضح المسالک؛ ابن هشام الأنصاری،ج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لمشابهتها الأفعال فی العمل،ینظر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قد ذکر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فی بعض المصاحف القدیمة کتابة آیة الثقلان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عبارة مقحمة زائدة من الناسخ،کما هو بیّن،و قد تقدّم ذکرها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التکملة؛لأبی علی الفارسی،ص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المفصل للزمخشری و شرحه؛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أبو مغیث الحسین بن منصور الحلاّج الزاهد المشهور المتوفی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ه،ینظر البیت فی الدیوان،ص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القدیر؛المناوی،ج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روح المعانی؛الآلوسی،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قراءة ابن عامر،ینظر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 فی القراءات؛ابن مجاهد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الحجّة فی القراءات السبع؛ابن خالویه،ص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الإقناع فی القراءات السبع؛ابن خلف الأنصاری،ص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،رسمت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لاکن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الرضی معلّقا علی قول ابن الحاجب،قال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ثمّ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زیادة الألف فی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 وقف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جاءت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نقلت حرکة 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النون و حذفت،کما فی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أدغمت النون فی النون، و ابن عامر یثبت الألف فی لٰکِنَّا هُوَ اللّٰهُ سورة الکهف،الآیة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 أیضا؛لیؤذن من أول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حالة الرفع و النصب،کقولنا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قاضیا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العلماء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،نوعها،و معناها،و رسمها،و لفظها عند الوقف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 ابن هشام الأنصاری هذا الخلاف،إذ قال فی المسألة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یعنینا من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لفظها عند الوقف علیها،و الصحیح أن نونها تبدل ألفا تشبیها لها بتنوین المنصوب،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یوقف بالنون؛لأنّها کنون لن و أن،روی عن المازنی و المبرّد بالنون،و عن الفرّاء إن عملت کتبت بالألف،و إلاّ کتبت بالنون؛للفرق بینها و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تبعه ابن خروف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منقول عن أبی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المبرّد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أشتهی أن أکوی ید من یکتب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بالألف،لأنّها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و لن،و لا یدخل التنوین فی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حروف المعانی؛ الرمّانی،ص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سرّ صناعة الإعراب،ج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،و الحلل فی إصلاح الخلل؛ البطلیوسی،ص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شرح جمل الزجاجی،ج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شرح الشافیة؛ 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ارتشاف الضرب؛أبو حیّان الأندلسی،ج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ما بعدها، و الجنی الدانی؛المرادی،ص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شرح قطر الندی؛ابن هشام،ص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،و الإتقان،ج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الأشباه و النظائر؛السیوطی،ج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حاشیة الخضری،ج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جمال الدین أبو محمد عبد اللّه بن یوسف بن أحمد بن هشام الأنصاری الحنبلی النحوی، کان بارعا فی عدّة علوم،لا سیّما العربیّة،فإنّه کان فارسها و مالک زمامها،توفّی سنة إحدی و ستّین و سبعمائة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بمقابر الصّوفیة خارج باب النصر من القاهرة،و 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علی ألفیة ابن مالک فی النحو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بانت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الکامنة؛ابن حجر،ج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تغری بردی،ج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،و بغیة الوعاة،صص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شذرات الذهب؛ابن العماد،ج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مفتاح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طاش کبری،ج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کشف الظنون؛حاجی خلیفة،صص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معجم المؤلفین،ج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المدارس النحویة؛شوقی ضیف،ص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إلحاق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أبو مغیث الحسین بن منصور الحلاّج الزاهد المشهور المتوفی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ه،ینظر البیت فی الدیوان،ص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القدیر؛المناوی،ج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،و روح المعانی؛الآلوسی،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لإیضاح السیاق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المصحف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اتَّخَذَ اللّٰهُ مِنْ وَلَدٍ وَ مٰا کٰانَ مَعَهُ مِنْ إِلٰهٍ إِذاً لَذَهَبَ کُلُّ إِلٰهٍ بِمٰا خَلَقَ وَ لَعَلاٰ بَعْضُهُمْ عَلیٰ بَعْضٍ سُبْحٰانَ اللّٰهِ عَمّٰا یَصِفُونَ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قول المازنی و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لیس الأمر فیه کما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أوّل الدسوقی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ابن هشام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المازنی و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مقتضی قولهما فی قولهما فی الوقف، و هذا غیر المصحف؛لاتفاقهم علی سمها فیه بالألف،و یوقف 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خطّان لا یقاسان خطّ العروض،و خطّ المصحف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حاشیة الدسوقی علی 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عثمان بکر بن محمد بن عثمان بن حبیب بن بقیة المازنی البصری النحوی؛کان إمام عصره فی النحو و الأدب،أخذ الأدب عن أبی عبیدة،و الأصمعی،و أبی زید الأنصاری، و غیرهم،و أخذ عنه أبو العباس المبرد و به انتفع،و له عنه روایات کثیرة،و للمازنی تصانیف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فتکتب بالألف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لَئِنْ لَمْ یَنْتَهِ لَنَسْفَعاً بِالنّٰاصِیَةِ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نصوّرها الیوم 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هشام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الکوفیون یختارون کتابته بالنون علی اللفظ،و البصریون یکتبونه بالألف لان علیه بالألف،ألا تری أنّک لو وقفت علیها لقلت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زید لا تضربا،و کذلک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لَنَسْفَعاً بِالنّٰاصِیَةِ سورة العلق،الآیة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لا خلاف بین القرّاء و العلماء، و کذلک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لَیَکُوناً مِنَ الصّٰاغِرِینَ سورة یوسف،الآیة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،الوقف علیه بالألف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رضی الدین الاسترآبادی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اضربن فلا کلام فی أن الوقف علیه بالألف؛فالأکثر یکتبونه بالألف،و من کتبه بالنون فلحمله علی أخویه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اضربن و اضربن،کما یجیء،و إنّما کان قیاس اضربن بالواو و الألف لما تقدّم فی شرح الکافیة أنک إذا وقفت علی النون الخفیفة المضموم ما قبلها أو المکسور هو رددت ما حذف لأجل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الواو و الیاء فی نحو اضربوا و اضربی،و من الواو و النون فی هل تضربون،و من الیاء و النون فی هل تضربین،فکان الحقّ أن یکتب کذلک بناء للکتابة علی الوقف،لکن لم یکتب فی الحالین إلا بالنون،لعسر تبیّنه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لأنّه یعسر معرفة أن الموقوف علیه من اضربن و اضربن و هل تضربن و هل تضربن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ترجع فی الوقف الحروف المحذوفة،فانه لا یعرف ذلک إلا حاذق بعلم الإعراب،فلمّا تعسّر معرفة ذلک علی الکتاب کتبوه علی الظاهر،و أمّا معرفة أنّ الوقف علی اضربن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فلیست بمتعسرة،إذ هو فی اللفظ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 و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لعدم تبیّن قصدها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کتبت بالواو و الیاء،و الواو و النون،و الیاء و النون،لم یتبین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یعلم هل هو ممّا لحقه نون التوکید أو ممّا لم یلحقه ذلک،و أمّا المفرد المذکر نحو اضربا،فلم یلتبس،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عبارة مقحمة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اکتب،و انصر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الرغم من ذکرها بعد ذلک،کما هو فی المتن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صناعة الإعراب،ج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شرح المفصل؛ابن یعیش،ج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للهجاء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 أن الألف التی فی أوّل حروف المعجم هی صورة الهمزة فی الحقیقة و إنما کتبت الهمزة واوا مرة و یاء أخری علی مذهب أهل الحجاز فی التخفیف،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ذکرنا ما یقتضیه التمثیل؛بدلالة أن الکتابة فی الأصل علی الرسم القرآنی فی حذف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فی بعض المظانّ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بأحد،کأحد،و 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الشافیة لابن الحاجب و شرحها؛للرضی،ج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تکتب الهمزة علی کرسی الیاء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الهمزة حرفا ثانیا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فتکتب بالألف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الأنسب ما أثبتناه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المحسبة؛ابن بابشاذ،ج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الهمزة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سئم الشیء،و منه سئمت منه،أسأم سأما،سأمة،سآما،سآمة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 رجل سؤوم، و قد أسأمه هو،و السآمة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الضجر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الأکثرون علی ترک صورة الهمزة المفتوحة بعد الألف استثقالا للألفین؛ فیکتبون ساءل بألف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جمل الزجاجی؛ ابن هشام الأنصاری،ص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حذفت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شرح المفصل؛ابن یعیش،ج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بعدها،و 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مجموعة الشافیة،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الدهان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بعد الهمزة واو لیست بواو الجمع نحو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مخیّر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کتبت ذلک بواوین،و إن شئت بواو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الهجاء،ص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الکاتب؛ابن قتیبة،ص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الهمزة مضمومة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التکملة؛لأبی علی الفارسی،ص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شرح المفصل؛ابن یعیش،ج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شرح الشافیة؛للرضی،ج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حاشیة ابن جماعة علی شرح الجاربردی،ج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سیبویه،ج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التکملة،ص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سرّ صناعة الإعراب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نزهة الطرف؛المیدانی،ص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اللباب؛ العکبری،ج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شرح المفصل؛ابن یعیش،ج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،و شرح الشافیة؛ 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من الکتب الحدیثة التی درست التسهیل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الأصوات اللغویة؛إبراهیم أنیس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فی البحث الصوتی عند العرب؛خلیل العطیة،ص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القرآن؛الزرکشی،ج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الإقناع فی القراءات السبع؛ ابن خلف الأنصاری،ص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من الکتب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القراءات القرآنیة؛می فاضل،ص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یَسْجُدُوا لِلّٰهِ الَّذِی یُخْرِجُ الْخَبْءَ فِی السَّمٰاوٰاتِ وَ الْأَرْضِ وَ یَعْلَمُ مٰا تُخْفُونَ وَ مٰا تُعْلِنُونَ سورة النمل،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،بالضمة علی الرغم من جزمه،و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یقریک ساکنة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قرء،اقرء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الحرکات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ردانک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الشافیة لابن الحاجب،و شرحها؛للرضی،ج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مجموعة الشافیة؛شرح الجاربردی،ج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شرح الشافیة؛ 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الجنی الدانی؛المرادی،ص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مثل،و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کنت برا فاقترب،بحذفت کان،و انفصال الضمیر المتصل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عوّض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فأدغمت النون فی المیم فصار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أنت برا فاقترب،ینظر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شرح ابن عقیل،ج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شرح الإشمونی،مع حاشیة الصبّان،ج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حاشیة الخضری،ج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فی النحو؛ابن السرّاج،ج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شرح ابن عقیل،ج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حاشیة الصبّان،ج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الکتب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النحو الوافی؛عباس حسن،ج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مجموعة الشافیة،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المصادر المتقدمة،و شرح الجاربردی علی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الاسمیّة،فتکتب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عندی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ما وعدتنی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وعدتنی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،بالفصل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 موصول اسمی،بمعنی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قیّدنا الحرفیّة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فلیأمل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لأدب الإیضاح</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أثبتناه أصحّ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الجنی الدانی،ص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مغنی اللبیب،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لأدب السیاق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کالمظاف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الرضی معلّقا علی قول ابن الحاجب،قال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مذهب البناء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بنی الظرف المقدّم علی إذ؛لانّ البناء دلیل شدة اتصال الظرف بإذ،و الأکثر کتابتهما متّصلین علی مذهب الإعراب أیضا،حملا علی البناء،لأنه أکثر من الإعراب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اتّصال الظرف بإذ و کون الهمزة متوسطة کتبت یاء کما فی سئم،و إلا فالهمزة فی الأول،فکان حقّها أن تکتب ألفا کما فی بأحد و 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الخلیل أن الألف و اللام اللتین یعرّفون بهما حرف واحد کقد،و أن لیست واحدة منهما منفصلة من الأخری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سیبویه،ج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عبّر سیبویه فی مواطن کثیرة فی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التی تعرف الاسم لا اللام وحدها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الاسم فی قولک القوم 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سیبویه،ج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أثناء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درج،یقال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 الرجل یدرج دروجا و درجانا،أی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و مضی لسبیله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کونها حرفا واحدا،و الهمزة للقطع لیس للوصل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بشر عمرو بن عثمان بن قنبر،الملّقب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النحو الأدب عن الخلیل بن أحمد،و یونس بن حبیب،و أبی الخطاب الأخفش،و عیسی بن عمر،توفی فی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سیبویه بالفارسیة رائحة التفاح،و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أبو الحسن و أبو بشر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سیبویه فی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تنظر ترجمته فی أخبار النحویین البصریین،ص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نزهة الألباء،صص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معجم الأدباء،ج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أنباه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وفیات الأعیان،ج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النجوم الزاهرة،ج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بغیة الوعاة،صص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،و کشف الظنون،ص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،و معجم المؤلفین،ج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من أعلام النحو العربی،ص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سیبویه حیاته و کتابه؛خدیجة الحدیثی،ص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المدارس النحویة؛شوقی ضیف،ص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التاء،و الثاء،و الدال،و الذال،و الراء،و الزای،و السین،و الشین،و الصاد، و الضاد،و الطاء،و الظاء،و اللام،و النون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لغة طییء و حمیر و أهل الیمن،و هی التی تعرف عند اللغویین بالطمطمانیّة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فی 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للتعریف نقلت عن طییء،و عن حمیر، و أنشدوا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خلیلی و ذو یواصلنی یرمی ورائی بامسهم و امسلمه 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امبر امصیام فی امسفر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رواه النمر بن تولب رضی اللّه عنه،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اللغة مختصة بالأسماء التی لا تدغم لام التعریف فی أولها نحو غلام و کتاب بخلاف رجل و ناس و لباس،و حکی لنا بعض طلبة الیمن أنه سمع فی بلادهم من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الرمح و ارکب امفرس،و لعل ذلک لغة لبعضهم،لا لجمیعهم،ألا تری إلی البیت السابق،و أنها فی الحدیث دخلت علی النوعین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المغنی،ج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الغریب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للاستفهام،و ذلک فی حکایة قطرب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إبدال الخفیف ثقیلا کما فی الآل عند سیبویه لکن ذلک سهل،لأنّه جعل وسیلة إلی الألف التی هی أخفّ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حروف المعانی؛الرمانی،ص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سرّ صناعة الإعراب،ج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شرح المفصل،ج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شرح التصریح؛الأزهری،ج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اللهجات العربیة فی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محاضرات فی فقه اللغة؛عصام نور الدین،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الکاتب،ص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شرح جمل الزجاجی؛ابن عصفور،ج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الأشباه و النظائر؛السیوطی،ج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مائهة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لالتبست بالضّمیر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 للفصل بینه و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أجروا تثنیته مجری مفرده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فعل ذلک للفصل بینه و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الهجاء،ص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حاشیة ابن جماعة علی شرح الجاربردی،ج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یکتبها کذلک،ینظر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الشافیة؛للرضی،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المتأخرة هی المقصود؛نائب فاعل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محمد علی بن أحمد بن سعید بن حزم الظاهری،عالم الأندلس فی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بقرطبة،و کانت له و لابیه من قبله ریاسة الوزارة و تدبیر المملکة،فزهد بها و انصرف إلی العلم و التألیف،رحل إلی بادیة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بلاد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،فتوفی فیها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أشهر مصنفاته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فی الملل و الأهواء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 لحد المنطق و المدخل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ابن حزم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البیت فی مغنی اللبیب،ج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،و خزانة الأدب؛البغدادی،ج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یقصد ابن هشام الأنصاری و قد تقدمت ترجمته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المتزائد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لیس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کأخذ العمرو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أنسب و أقرب إلی النصّ المقتبس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فی 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الکنایة عن الرجل الناقص کنقص ما الموصولة،و بعمرو الکنایة عن الرجل المرید أخذ ما لیس له کأخذ عمرو الواو فی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خزانة الأدب،ج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،النصّ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من غیر تغییر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منوّن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منون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المتأخرة هی المقصود؛نائب فاعل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الشاعر راشد بن شهاب بن عبدة بن عصم بن ربیعة الیشکری الشیبانی،من شعراء ما قبل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فی المفضلیات،صص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الأعلام،ج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المظانّ 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البیت فی المفضلیات،ص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شرح التسهیل؛ابن مالک،ج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شرح ابن الناظم،ص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الجنی الدانی،ص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أوضح المسالک؛ابن هشام الأنصاری،ج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شرح ابن عقیل،ج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المقاصد النحویة،ج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،و شرح التصریح،ج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القافیة،الأمر الذی لا یجب فیه إضافة الواو؛فرقا بینه و 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للسیاق</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جنس لفظه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الهجاء،ص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الشافیة و شرحها 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شرح الجاربردی علی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فلیأمل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فیکفی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أنسب؛للتقسیم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یقتّ الأحادیث،أی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یدخل الجنّة قتّات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الحدیث فی النّهایة فی غریب الحدیث؛ابن الأثیر،ج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أجبه بیّن الجبه واسع الجبهة حسنها و جبهه جبها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صکّ جبهته،و جاءتنا جبهة من الناس،أی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جبه الرجل یجبهه جبها رده عن حاجته و استقبله بما یکره و جبهت فلانا إذا استقبلته بکلام فیه غلظة،و جبهته بالمکروه إذا استقبلته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الشافیة،لابن الحاجب،و شرحها؛للرضی،ج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مجموعة الشافیة،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،الحلل فی إصلاح الخلل؛البطلیوسی،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شرح التسهیل؛ابن مالک،ج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،شرح الشافیة؛ 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 بِاسْمِ رَبِّکَ الْعَظِیمِ ،سورة الواقعة،الآیة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الحاقّة،الآیة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اِقْرَأْ بِاسْمِ رَبِّکَ الَّذِی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العلق،الآیة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المصحف الشریف من غیر الألف،هکذا،قال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ارْکَبُوا فِیهٰا بِسْمِ اللّٰهِ مَجْرٰاهٰا وَ مُرْسٰاهٰا إِنَّ رَبِّی لَغَفُورٌ رَحِیمٌ سورة هود،الآیة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 الدانی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أنّه لا خلاف فی رسم ألف الوصل الساقطة من اللفظ فی الدرج إلاّ فی خمسة مواضع، فإنّها حذفت منها فی کلّ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التسمیة فی فواتح السور،و فی قوله فی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مَجْرٰاهٰا وَ مُرْسٰاهٰا لا غیر،و ذلک لکثرة الاستعمال،فأمّا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رَبِّکَ الَّذِی ، سورة العلق،الآیة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بِاسْمِ رَبِّکَ الْعَظِیمِ ،سورة الواقعة،الآیة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شبهه فالألف فیه مثبتة فی الرسم 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فی معرفة مرسوم مصاحف أهل الأمصار،ص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مشکل إعراب القرآن؛القیسی،ص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هو الأصوب و الأنسب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الشافیة و شرحها؛للرضی،ج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الیوم نرسمها بالألف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ثلاثین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أثبتناه علی ما فی نسختی المخطوط؛لکمال التمثیل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الیوم نصورها بالألف،هکذا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عثمان،و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أثبتناهما علی الأصل للتمثیل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نقص ببعضهم الألف من عثمان و سلیمان و معاویة،و القدماء من ورّاقی الکوفة ینقصون علی الاطراد الألف المتوسّطة إذا کانت متصلة بما قبلها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الکافرون و الناصرون و 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الکاتب،ص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باب الهجاء،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شرح جمل الزجاجی؛ابن عصفور،ج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العطف بالواو</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 ما أثبتناه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لأدب السیاق</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صافات،الآیة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کانت عبارة الأصل موافقة للفظ الشافیة لابن الحاجب،ج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البدل فإنّهم کتبوا کلّ ألف رابعة فصاعدا فی اسم أو فعل یاء إلاّ فیما قبلها یاء إلاّ فی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و ریّی علمین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کتبت ألفا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عبد اللّه و أبو محمد القاسم بن علی محمد بن عثمان الحریری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العلامة الأدیب اللغوی النحوی،مصنف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محال البصرة؛و توفی بالبصرة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أحد أئمّة عصره فی الأدب و البلاغة و الفصاحة،و له مصنفات کثیرة،منها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المقامات،و درة الغوّاص فی أوهام الخواص،و منظومة ملحة الأعراب، و شرحها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ینظر ترجمته فی الأنساب؛السمعانی،ج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نزهة الألباء؛الأنباری،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،و معجم الأدباء،ج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سیرة أعلام النبلاء؛الذهبی،ج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النجوم الزاهرة،ج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بغیة الوعاة،ص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شذرات الذهب،ج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معجم المؤلّفین،ج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الأعلام،ج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تهذیب المقال،ج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تاریخ آداب اللغة العربیة؛زیدان،ج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مقامات الحریری،ص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استعجم و أبهم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کقولک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من ثلاثة أحرف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الرباعی و الخماسی،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کانت أحد أصوله همزة،نحو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أکل،أو سأل،أو قرأ</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کلّها علی نسق واحد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المبرد أنها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الألف المقصورة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الأصلیة فی الأحوال الثلاث،و لم یذکره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الإیضاح فی شرح المفصّل،ج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قال الجاربردی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المبرّد هی الألف الأصلیة فی الأحوال الثلاث،لأنّهم أمالوا رحی و مسمّی و معلّی فی الوقف رفعا و نصبا و جرا،و لو کان ألف التنوین لم یمل و أیضا کتبوا معلّی، و نحوه فی الأحوال الثلاث بالیاء و لو کان ألف التنوین لوجب کتبها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المقتضب،ج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شرح الشافیة؛الرضی،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حاشیة ابن جماعة علی شرح الجاربردی،ج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للسیاق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فی المخصّص،ج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،السفر الرابع عشر،ص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عثمان المازنی فی رحی و رجا و نحو ذلک إذا وقفت علیه فالألف فیه فی الأحوال الثلاث الرفع و النصب و الجرّ التی هی بدل من التنوین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الجاربردی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ألف التنوین فی الأحوال الثلاث لأنّهم إنّما قلبوا التنوین فی النصب ألفا لوقوعه بعد الفتحة و تنوین مسمّی،و بابه فی جمیع الأحوال واقع بعد الفتحة فوجب قلبه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الشافیة؛الجاربردی،ج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المفصّل؛ابن یعیش،ج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الإیضاح فی شرح المفصّل؛ابن الحاجب،ج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یعیش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سیبویه إلی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حالة الرفع و الجرّ لام الکلمة و فی حالة النصب بدل من التنوین،و قد انحذف ألف الوصل و احتج لذلک بأنّ المعتلّ مقیس علی الصحیح و إنّما تبدّل من التنوین فی حال النصب دون الرفع و الجرّ و بعضهم یزعم أنّ مذهب سیبویه أنه لام الکلمة فی الأحوال کلّها قال السیرافی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المفهوم من کلامه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الألفات التی فی الوصل فإنّها لا تحذف فی الوقف و یؤید هذا المذهب أنها وقعت رویا فی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سیبویه،ج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الإیضاح فی شرح المفصّل؛ابن الحاجب،ج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شرح جمل الزجاجی؛ابن عصفور،ج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،و شرح الشافیة؛الرضی،ج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شرح الجاربردی علی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وسم مذهب سیبویه هذا بمذهب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حاشیة ابن جماعة علی شرح الجاربردی،ج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عصفور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یجوز أن تکتب کلّ ما تقدّم بالألف و ذلک قلیل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الفارسی أنّه لا یکتب کلّ ما تقدّم ذکره إلاّ بالألف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جمل الزجّاجی،ج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شرح جمل الزجّاجی؛ابن هشام الأنصاری،ص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همع الهوامع،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 من ذلک أنّ النحویّین اختلفوا فی الألف المقصورة هذه علی مذاهب ثلاثة،و قد أوردها غیر واحد منهم 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حیّان الأندلسی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المقصور المنوّن یوقف علیه بالألف و فیه مذاهب؛إحداها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الألف بدل من التنوین و استصحب حذف الألف المنقلبة وصلا و وقفا و هو مذهب أبی الحسن و الفرّاء و المازنی و أبی علی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الألف المنقلبة لما حذف التنوین عادت مطلقا و هو مروی عن أبی عمرو الکسائی و الکوفیین و سیبویه و الخلیل فیما قال أبو جعفر ابن الباذش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اعتباره بالصحیح فالألف فی النصب بدل التنوین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ارتشاف الضرب،ج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شرح الشافیة؛الرضی،ج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عنه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همع الهوامع،ج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 هو شاهد التمثیل؛لذلک أثبتناهما علی الأصل،و نحن الیوم نرسمها بالألف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الصلاة،و الزکاة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المقدّمة المحسبة،ج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،و باب الهجاء،ص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شرح الشافیة؛ الرضی،ج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شرح جمل الزجّاجی؛ابن هشام الأنصاری،ص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مجموعة الشافیة،ج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یصیغه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خطأ،و الصحیح ما أثبتناه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 فإنّها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فی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الشافیة،لابن الحاجب،و شرحها؛للرضی،ج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الکافیة؛ للرضی،ج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لا،لا،هلا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بالألف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یجاب بها عن المنفی،ینظر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الجنی الدانی،ص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و علی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إلیک،و علیک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بالمعنی الدلالی فی انتهاء الغایة،ینظر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الجنی الدانی؛المرادی،صص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اللبیب،ج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تکتب بالألف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همزة الوصل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أثبتناه هو الأصحّ</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من الشواهد المجهولة القائل التی یستشهد بها فی باب حروف الجرّ؛للشاهد الذی یأتی،و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اللّه لا یلفی أناس فتی حتّاک یا ابن أبی زیاد فلا و اللّه لا یلقاه ناس فتی حتّاک یا ابن أبی یزید و یروی أیضا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البیت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المقرّب،ص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شرح ابن عقیل،ج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المقاصد النحویة،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شرح الإشمونی،ج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همع الهوامع،ج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أثوت و أثیت به علیه،أی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وشیت به عند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نظمها أبو عبد اللّه جمال الدین ابن مالک النحوی الأندلسی صاحب الألفیة المعروفة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ألفیة ابن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ه،نظمها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بیتا،و قد نقلها السیوطی فی المزهر؛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الأفعال التی جاءت لاماتها بالواو و بالیاء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نسبت عزوته و عزیته و کنوت أحمد کنیة و کنیته</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المنطق؛ابن السکّیت،ص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أدب الکاتب،صص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المخصّص،ج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،السفر الرابع عشر،ص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تهذیب إصلاح المنطق؛التبریزی،ج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الاقتضاب فی شرح أدب الکتاب؛البطلیوسی،ق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صناعة الإعراب،ج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من الکتب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الأصوات اللغویة؛ إبراهیم أنیس،ص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لتمیز</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المنطق،ص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أدب الکاتب،ص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ما بعدها،و المخصّص؛ابن سیده الأندلسی،ج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،السفر الثالث عشر،ص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ما بعدها،و تهذیب إصلاح المنطق،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الموادّ المذکورة،مثلا،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المزهر فی علوم اللغة و أنواعها؛السیوطی،ج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،و مصادره التی أعتمد علیه فی عقد هذه الأبواب فی المزهر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الحریری؛المقامة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السادسة و 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 و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مدینتان من مدن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مقامات الحریری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مقامات الحریری،ص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یکتب</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بسکون الغین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الوجع المعترض فی الجوف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خروج ما فی البیضة،و فقس البیضة فقسا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الخمر المزة،و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المسطارة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الخفّة و الإسراع،و یأتی وصف للمکان المنحدر،أو الذی یسقط من یدک و لا تشعر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أسنان ذوات الظلف و هو السن الذی بعد السدیس من البقر أو الشاة،و ذلک فی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جانبا الفم لکن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بالصاد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لغة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الجوارح التی یصطاد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دقیق الحنطة و الشعیر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الشدید الصوت،ینظر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ذَهَبَ الْخَوْفُ سَلَقُوکُمْ بِأَلْسِنَةٍ 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مقامات الحریری،ص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الکاتب،ص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شرح المقامات؛ 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المفصل بین الکف و السّاعد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الخاء و تشدید الطاء،أی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دال،أی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السین السابق فی الخطّ،و الدرس</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التمر الیابس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النخلة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أسفل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القسر،و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أقهر،و أغلب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من الاقتباس،و هو أخذ القبس،و هو شعلة النار أو أخذ النور،ینظر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یَقُولُ الْمُنٰافِقُونَ وَ الْمُنٰافِقٰاتُ لِلَّذِینَ آمَنُوا انْظُرُونٰا نَقْتَبِسْ مِنْ نُورِکُمْ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الحدید،الآیة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بالسین و الصاد المسلّط علی الشیء؛ینظر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عَلَیْهِمْ بِمُصَیْطِرٍ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الغاشیة،الآیة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 یمنع ظهره أن یرکب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 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الجرس،الصوت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یعلق فی عنق البعیر،و الذی یضرب به أیضا،و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تصحب الملائکة رفقة فیها جرس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الآثار،ص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،الفصل السابع فی حسن القیام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 قارس،أی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شدید،و قرس الماء جمد،و أصبح الماء الیوم و قریسا،أی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تاج العروس،ج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مقامات الحریری،صص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الکاتب،ص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الآخذ بأطراف الأنامل،و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الآخذ بالکفّ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من المقامات،ص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ثقب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یوضع فی المیزان،و یوزن به،قال ابن السکّیت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إصلاح المنطق،ص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الصدر و عظمه،ینظر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الحدیث؛ابن الأثیر،ج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ألزم لک من شعرات قصّک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الأمثال؛المیدانی،ج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قلعت عینه،و أخرجتها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لحمة بین الکتف و الصد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للضعف و الفتور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صنتها،ینظر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منه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مَقْصُورٰاتٌ فِی الْخِیٰامِ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الرحمن،الآیة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أمسکت جلده بین أطراف إصبعی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مقامات الحریری،صص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الضاد و الظاء؛الصاحب بن عبّاد،ص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زینة الفضلاء فی الفرق بین الضاد و الظاء؛أبو البرکات الأنباری،ص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بعدها،و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بعدها،و المزهر،ج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الظاآت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من المقامات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السمرة،و الذبول،یقال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 ظمیاء فیها سمرة، و ساق ظمیاء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قلیلة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 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مظلمة کالظلامة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ضدّ الإنارة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 ماء الأسنان و بریقها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المقامات؛الشریشی،ج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 تاج العروس،مادّة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ظبة،و هی حدّ السیف أو السنان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جانبا لعین مما یلی الصدغ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العظایة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دویبة حمراء إلی الغبرة ذات قوائم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النعام،و بمعنی الظلمة کالظلام،بضمّ الظاء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،و 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إعمال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المدح للحیّ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تاج العروس،ج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الذوق بطرف اللسان،و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یبقی فی الفم من الطعام،و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اللمظ،و التلمّظ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حظوة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أثبتاه من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المرضعة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جحظت عینه جحوظا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 مقلتها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تیقّظ فلان للأمر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التشقق و التشعب من شظیة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ظفر کل مجتر کالبقر و الغنم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 عظم الساق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مجمع البحرین،ج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 لاصق بالذراع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غریب الحدیث؛الحربی،ج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،و 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عود یعل فی عروة الجوالق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مجمع البحرین،ج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أظفور کالظفر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المنصور علی غیره،أو المؤید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الممنوع و المحرم،و هو ما یقابل المباح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الإغضاب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حظیرة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الزرب یعمل منه شبه الدار،و تسکنها الإبل و الغنم،و أصل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مظنّة الشیء موضعه الذی یظنّ وجوده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مظنّة خیر،أی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یظنّ فیه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بالکسر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تاج العروس،ج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الحابسون المتجرعون غیظهم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الوظیفة،و هی ما تقدر فی کل یوم من طعام و غیره،أو ما یلزمک من المغرم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واظبت علی الشیء داومت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الشبع المفرط من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اللزوم و الإلحاح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تاج العروس،ج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الوظیف لکل ذی أربع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فوق الرسغ إلی الساق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القاموس المحیط،ج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فظیع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 أو الزلال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الطعام الفظیع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الکریه المطعم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،اللسان،ج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بین مکّة و الطائف کان سوقا تجتمع فیه العرب فی السنة مرة للبیع و الشراء،یقیمون فیه شهرا،و اشتقاقه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ازدحم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اللسان،ج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السفر و السیر،و الظعینة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 الرمان الری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جالبا القرظ،و جانیاه،و هو شجر یدبغ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الأخلاط و لفائف الفأس و الدخلاء فی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تاج العروس،ج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تنأ من الحجارة و حد طرفه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الروابی الصغار و جمع ظراب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الجبل المنبسط أو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الظران الحجارة المحددة واحدها ظرر و هو حجر له کحدّ السکّین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ظربان،و هو دابة منتنة الریح لا یطاق فسوها،و یجمع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ظرابی،بحذف النون،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ظربی و هو شاذّ،و لم یجیء الجمع علی فعلی إلاّ ظربی و حجلی،جمع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القاموس المحیط،ج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ذکور الخنافس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الجراد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عنظب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تاج العروس،ج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الیاسمین البرّی،و قیل شیء من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رعظ و هو مدخل النصل فی السهم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نواحی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ظأب،و ظأم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الظأب و الظأء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 لسلف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شنظیر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الرجل السیّء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تلازم الجراد و الکلاب عند السفاد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 یصبغ بعصارته الثوب؛فیصیر أحمر،أو 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زائدة فی فرج الأنثی کعرف الدیک تقطعها الخافضة و هو ختانهنّ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لسان العرب،مادّة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الذکر،و هو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أنعظ الرجل،و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انتشر ما عندهما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العین،مادّة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شرح المقامات،ج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فسّر أبو العباس أحمد بن عبد المؤمن بن موسی القیسی الشریشی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،شارح مقامات الحریری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،بعض هذه الکلمات فی تلک المقامة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مالک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کتابه الاعتضاد فی معرفة الظاء و الضاد،و نقله السیوطی فی کتابه المزهر،ج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 کان أسبق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تقدّمت کتب خاصة أیضا، فی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الظاء و الضاد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بین الضاد و الظاء؛للصاحب بن عبّاد،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زینة الفضلاء فی الضاد و الظاء؛لأبی برکات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تناولت هذه الکلمات بالذکر و الشرح و التفسیر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فی درّة الغوّاص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أوهامهم أیضا فی هذا الفنّ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أکلّمه قط،و هو من أفحش الخطأ لتعارض معانیه و تناقض الکلام فیه،و ذاک أنّ العرب تستعمل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مضی من الزمان،کما تستعمل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یستقبل منه،فیقولون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کلّمته قطّ،و لا أکلّمه أبدا،و المعنی فی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کلّمته قطّ،أی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انقطع من عمری؛لأنّه من قططت الشیء إذا قطعته،و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 القلم،أی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طرفه،و ممّا یؤثر من شجاعة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کان اعتلی قدّ،و إذا اعترض قطّ،فالقدّ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الشیء طولا،و القطّ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 عرضا،و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مشدّدة الطاء،و هی اسم مبنی علی الضمّ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حیث،و منذ،و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،بتخفیف الطاء،فهو اسم مبنیّ علی السکون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 کلاهما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تاج العروس؛الزبیدی،ج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کذا،ص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الفروق اللغویة؛أبو هلال العسکری،ص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لسان العرب،ج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تاج العروس،مادّة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إنّ اسم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الغوّاص فی أوهام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الحریری فی مقدمة کتابه،قال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فألفت هذا الکتاب تبصرة لمن تبصر،و تذکرة لمن أراد یتذکّر،و سمّیته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 الغوّاص فی أوهام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لیعمل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مثلا فی أنواع الخط و أشکاله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 العربی،تاریخه و أنواعه؛یحیی سلوم،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ابن مقلة فی الخط و القلم،ص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الاقتضاب فی شرح أدب الکتاب؛ابن السیّد البطلیوسی،ق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ما بعدها،و شرح ابن الوحید علی رائیة ابن البواب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الوحید،ص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ما بعدها،و صبح الأعشی،ج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باطنا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أذهب اللّه عنهم الرّجس و طهّرهم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اعراف،آیه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کتابهای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آیه شریفه پیشگفته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کرده و إیضاح نموده‌اند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نادانایان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آنسان که در آن روزگار معهود و متعارف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برده؛و البتّه کاربردی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بویژه از دید فصاحت‌سنجان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از شیوه شیوای فارسی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منصور بن أحمد بن إدریس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بزرگ إمامی،صاحب السّرائر و</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أبی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حسین بن علیّ بن أبی عقیل عمانی،فقیه و متکلّم نامی إمامی،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سده چهارم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المتمسّک بحبل آل الرّسول و الکرّ و الفر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محمّد بن أحمد بن جنید إسکافی،فقیه و متکلّم نامی إمامی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سده چهارم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تهذیب الشّیعة لأحکام الشّریعة و الأحمدیّ فی الفقه المحمّدیّ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 أبو جعفر محمّد بن حسن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و متکلّم و مفسّر و محدّث بلندپایه إمامی،صاحب النّهایه و المبسوط و الخلاف و العدّة و التّبیان و تهذیب الأحکام و استبصار و اختیار معرفة الرّجال و الفهرست و تلخیص الشّافی و تمهید الأصول و الاقتصاد و</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پاچناری را از رأی خلاف إجماع در 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ابن أبی عقیل و ابن جنید و شیخ طوسی و ابن إدریس رضوان اللّه علیهم أجمعین در آن هنبازاند،بروشنی ندانستم؛ لیک گمان می‌کنم نظر او همانا به نظریّه جواز اعتماد بر حسن ظاهر است و این نظریّه را به فقیهان پیشگفته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الشّیعة،ط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آل البیت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مرتضی،مدعو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کاشانی،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و محدث و فیلسوف و مفسّر و عارف إمامی،صاحب الصّافی و الوافی و الکلمات الطّریفة و علم الیقین و المحجّة البیضاء و مفاتیح الشّریعة و الأصول الأصیلة 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تنجّس آب قلیل به صرف ملاقات نجاست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لزوم تغیّر یکی از أوصاف سه‌گانه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رنگ،بو،مزه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آن آب توسّط نجاست،از برای حکم به نجاست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فقهی ریشه‌دار و کهنی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شهید،نور اللّه شوشتری نوّر اللّه مضجعه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کثیر الفائده مجالس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إسلامیّه،</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معرّفی ابن أبی عقیل عمانی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أعیان و أکابر متکلّمین إمامیّه است؛و أوّل کسی است از مجتهدان إمامیّه که با مالک موافقت نموده در آن که آب قلیل به مجرّد ملاقات نجاست نجس نمی‌شود،و به خاطر نمی‌رسد دیگری از مجتهدان این طایفه در این مسأله با او موافقت نموده باشد مگر سیّد أجلّ حسیب فاضل نقیب أمیر معزّ الدّین محمّد صدر اصفهانی که در ترویج مذهب ابن أبی عقیل رساله‌ای نوشته و اعتراضاتی که شیخ علاّمه جمال الدّین بن مطهّر حلّی قدّس سرّه در کتاب مختلف و غیره بر أدلّه ابن أبی عقیل متوجّه ساخته،رد نموده و أدلّه دیگر در تقویت ابن ابی عقیل إقامه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ضعیف،مؤلّف کتاب،در أیّامی که مطالعه کتاب مختلف می‌نموده امتحان ذهن خود را در استنباط مسایل شرعیّه می‌نمود،آن رساله را در نظر مطالعه داشت و رساله علی‌حده در ردّ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باری،این قول که مختار ابن أبی عقیل 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فتوای پیشوای مالکیان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أحمد حسین بن موسی بن محمّد بن موسی بن إبراهیم بن الإمام موسی بن جعفر علیهما السّلام معروف به شریف مرتضی،فقیه و متکلّم و مفسّر و أدیب بزرگ إمامی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الانتصار و تنزیه الأنبیاء و جمل العلم و العمل و الذّخیرة و الذّریعة إلی أصول الشّریعة و الشّافی فی الإمامة و طیف الخیال و غرر الفرائد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المقنع فی الغیبة و</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برای این رأی شریف مرتضی قدّس اللّه روحه العزیز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النّاصریّات،ط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رابطة الثّقافة و العلاقات الإسلامیّة،ص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نوزدهم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بزرگ إمامی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ابن إدریس حلّی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المسائل،ط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نام سیّد مرتضی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بهاء الدّین محمّد بن حسن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معروف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بزرگ إمامی در بیگاه فرمانروائی صفویان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حسن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بزرگ إمامی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ضروری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مصطلحات پرکاربرد و پر أهمّیّتی است که تحقیق در آن و تبیین و إیضاحش،هم در فقه و هم در کلام،موجد ثمرات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محمّد أمین استرآبادی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الفوائد المدنیّة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ضروریّ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سمعناه من محقّقی مشایخنا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مشائخنا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سرّهم هو الّذی علماء ملّتنا و علماء غیر ملّتنا یعرفون أنّه ممّا جاء به نبیّنا صلّی اللّه علیه و آله کالصّلاة و الزّکاة و الصّوم و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قیاس ذلک ضروریّ المذهب هو الّذی علماء مذهبنا و علماء غیر مذهبنا یعرفون أنّه ممّا قال به صاحب مذهبنا کبطلان العول و التّعصیب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میرزا محمّد باقر خوانساری اصفهانی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روضات الجنّات،را رسالتی است پرارج موسوم به تلویح النّوریّات من الکلام فی تنقیح الضّروریّات من الإسلام که در آن هم به تحقیق در مفهوم ضروری دین و هم به گزارش مصادیق آن اهتمام کرده و هرچند تألیف آن را بدانسان که منظور خویش می‌داشته است به فرجام نرسانیده همین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علیّ بن حسین بن بابویه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و فقیه و متکلّم بزرگ إمامی،صاحب کتاب من لا یحضره الفقیه و المقنع و الهدایة و الخصال و عیون أخبار الرّضا علیه السّلام و التّوحید و</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کتاب من لا یحضره الفقیه که اختصارا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می‌شود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است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دو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،بویژه با توجّه به دگرسانیهای تاریخی دائره این دو مفهوم و إبهاماتی که علی‌الخصوص بعض متأخّران در این‌باره پدید آورده‌اند،خالی از صعوبتی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تدقیق بیشتر در این‌باره عجالة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 آیة اللّه سبحانی،ص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صدوق رضی اللّه عنه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الغلاة و المفوّضة لعنهم اللّه ینکرون سهو النّبیّ صلّی اللّه علیه و آله و یقولون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نعمان عکبری بغدادی ملقّب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 و فقیه و محدّث و مورّخ و مفسّر بزرگ إمامی،صاحب الإرشاد فی معرفة حجج اللّه علی العباد و الجمل و تصحیح الاعتقاد و المقنعة و الإفصاح و</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هرچند گفتمان کلامی غالب شیعه در این ده یازده سده أخیر بر نفی نگره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سهو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ابتنا و اشتمال داشته است،گهگاه به عالمانی بازمی‌خوریم که از این نگره دفاع کرده یا به آن گرایشی نشان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گفتآوردی که بزودی در همین تعالیق از تحفة العالم مرحوم سیّد جعفر آل بحر العلوم خواهیم آورد،نام تنی چند از علمای سلف به همین عنوان مذکور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کسانی که صاحب تحفة العالم یاد کرده است این أفراد را نیز ما می‌افزائیم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هادی طهرانی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ذیل کتاب الصّلاة خویش وجیزه‌ای در ردّ نظر شیخ مفید و دفاع از نظر شیخ صدوق در باب سهو النّبی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الشّرق خوئی،</w:t>
      </w:r>
      <w:r>
        <w:rPr>
          <w:rFonts w:eastAsia="IRNazanin" w:cs="IRNazanin"/>
          <w:b w:val="false"/>
          <w:bCs w:val="false"/>
          <w:i w:val="false"/>
          <w:iCs w:val="false"/>
          <w:color w:val="333333"/>
          <w:sz w:val="20"/>
          <w:szCs w:val="20"/>
        </w:rPr>
        <w:t>1382/2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تقی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تستری</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قاموس الرّجال،که رساله مفرده‌ای در باب سهو النّبی پرداخته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رساله به خطّ خود او در پایان قاموس الرّجال به چاپ عکسی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ای بسا بعض عالمان إمامی ولو آن‌که نگره صدوق را در باب جواز سهو نبی در صلاة نپذیرند،به مطلق عدم سهو نبی،آنگونه که از بعض تقاریر مستفاد می‌گردد،نیز قائل نبوده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أعلی اللّه مقامه الشّریف در تنزیه الأنبیاء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النّبیّ لا یجوز علیه النّسیان فیما یؤدّیه عن اللّه تعالی،أو فی شرعه،أو فی أمر یقتضی التّنفیر عنه،فأمّا فیما هو خارج عمّا ذکرناه فلا مانع من النّسیان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رفع اللّه درجته در بحار الأنوار،باب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تعالی خالق کلّ شیء و لیس الموجد و المعدم إلاّ اللّه تعالی و أنّ ما سواه 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بخشی از خبر فتح بن یزید جرجانی را از توحید صدوق نقل می‌کند،از این 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غیر الخالق الجلیل خالق؟قال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تبارک اَللّٰهُ أَحْسَنُ الْخٰالِقِینَ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مؤمنون،آیه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أخبر أنّ فی عباده خالقین و غیر خالقین،منهم عیسی صلّی اللّه علیه خلق من الطّین کهیئة الطّیر بإذن اللّه فنفخ فیه فصار صائرا بإذن اللّه،و السّامریّ خلق لهم عجلا جسدا له خوار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خبر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ریب فی أنّ خالق الأجسام لیس إلاّ اللّه تعالی؛و أمّا الأعراض فذهبت الأشاعرة إلی أنّها جمیعا مخلوقة للّه تعالی و ذهبت الإمامیّة و المعتزلة إلی أنّ أفعال العباد و حرکاتهم واقعة بقدرتهم و اختیارهم فهم خالقون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الآیات من أنّه تعالی خالق کلّ شیء و أمثالها فإمّا مخصّص بما سوی أفعال العباد،أو مؤوّل بأنّ المعنی أنّه خالق کلّ شیء إمّا بلا واسطة أو بواسطة مخلوقاته؛و أمّا خلق عیسی علیه السّلام فذهب الأکثر إلی أنّ المراد به التّقدیر و التّصویر،و یظهر من الخبر أن تکون الهیئة العارضة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إلهیّات الشّرح الجدید للتّجرید،المولی أحمد الأردبیلیّ،تحقیق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العابدیّ،ط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یضرّ احتمال الجزء الذّهنیّ الّذی لا یکون سببا للنّقص و الاحتیاج إلیه فی الخارج،و لا یجب نفیه،فإنّ حقیقة الواجب قد ادّعی محالیّة معرفته،فعلی تقدیر فرض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الذّهن شیئان فلا یلزم محال مع أنّه محال عند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الجزء العقلیّ ینتزع من مشاهدة الحقیقة و معرفته فی الخارج علی ما قالوا،و ذلک غیر ممکن بالنّسبة إلیه تعالی و هو ظاهر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نفی و إنکار وجود عالم ذر که به بعض أعلام نسبت داده می‌شود،علی الظّاهر همانا تأویل و مجازی و تمثیلی دانستن گواهی و عهد ألست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الإسلامیّه‌ی مرکز المصطفی،</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؛ورنه هیچ مسلمان باورمند نیست که گزارش قرآن کریم را در این باره تکذیب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عمیق و عریق بحث از عالم ذر در این آیه کریمه قرآنی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 شَهِدْنٰا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بزرگوار مفید در کتاب ارجدار المسائل السّرویّة در بحث از آیه کریمه وَ إِذْ أَخَذَ رَبُّکَ مِنْ بَنِی آدَمَ مِنْ ظُهُورِهِمْ 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هذه الآیة من المجاز فی اللّغة،کنظائرها ممّا هو مجاز و استعارة؛و المعنی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تبارک و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من کلّ مکلّف یخرج من ظهر آدم و ظهور ذرّیّته العهد علیه بربوبیّته من حیث أکمل عقله و دلّه بآثار الصّنعة علی حدوثه و أن له محدثا أحدثه لا یشبهه،ستحقّ العبادة منه بنعمه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 هو أخذ العهد منهم،و آثار الصّنعة فیهم هو إشهاده لهم علی أنفسهم بأنّ اللّه تعالی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بَلیٰ ،یرید به أنّهم لم یمتنعوا من لزوم آثار الصّنعة فیهم و دلائل حدوثهم اللاّزمة لهم و حجّة العقل علیهم فی إثبات صانعهم؛فکأنّه سبحانه لمّا ألزمهم الحجّة بعقولهم علی حدوثهم و وجود محدثهم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 بِرَبِّکُمْ فلما یقدروا علی الامتناع من لزوم دلائل الحدوث لهم کانوا کالقائلین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شهدنا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السّرویّة،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صائب عبد الحمید،ص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سیّد جعفر آل بحر العلوم در تحفة العالم فی شرح خطبة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آنکه در شرح حال شیخ الطائفه طوسی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یقول أوّلا بالوعید ثمّ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القدح فی من اختار بعض الأقوال الّتی ذهبت إلیها جماعة العامّة أو غیرهم من أهل الآراء الفاسدة کما سمعت من العلاّمة رحمه اللّه أنّ الشّیخ رحمه اللّه کان یقول أوّلا بالوعید ثمّ رجع و القول بالوعید هو اختیار عدم جواز عفو اللّه عن الکبائر عقلا من غیر توبة کما علیه جماعة الوعیدیّة مثل أبی القاسم البلخیّ و أتباعه مع أنّه خلاف ما اجتمعت علیه الإمامیّة فإنّها متّفقة علی أنّ المؤمن الّذی عمل عملا صالحا یدخل الجنّة خالدا فیها و أمّا الّذی خلط عملا صالحا بغیر صالح فاختلفوا فیه فقالت التّفضیلیّة من أهل السّنّة و الإمامیّة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یجب تعذیبهم بل قد یعفو اللّه عنهم أو یشفع النّبیّ صلّی اللّه علیه و آله فیهم لقوله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ادّخرت شفاعتی لأهل الکبائر من أمّتی؛و قد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اینجا تا پایان عبارات عربی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جای خود یادآور خواهیم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پاچناری از رساله طاهریّه‌ی شیخ أحمد أحسائی أخذ کرده است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رایها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فروع کافی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کسب 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علی الأشعریّ،عن محمّد بن عبد الجبّار،عن أحمد بن النّضر،عن عمرو بن شمر،عن جابر،عن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احتجم رسول اللّه صلّی اللّه علیه و آله حجمه مولی لبنی بیاضة و أعطاه و لو کان حراما ما أعطاه،فلمّا فرغ قال له رسول اللّه صلّی اللّه علیه و آله أین الدّم؟قال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شربته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ینبغی لک أن تفعل و قد جعله اللّه عزّ و جلّ لک حجابا من النّار؛فلا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روایت،با تفاوت اندک،در کتاب من لا یحضره الفقیه صدوق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المعیشه،باب المعایش و المکاسب و الفوائد و الصّناعات،ح</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روایت را به نقل از کلینی در 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کتاب المکاسب، باب المکاسب،ح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،ش پیوسته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مولانا محمّد تقی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بنیاد کوشانپور،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جعله اللّه لک حجابا من النّار فلا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أنّ الجاهل معذور و مثاب فی بعض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برومندش،محدّث بلندپایه،علاّمه مولانا محمّد 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گرانقدر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تصریح به ضعف سند روایت مورد گفتگو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حجابا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ترتّب الثّواب و عدم الزّجر و اللّوم البلیغ لجهالته و کونه معذورا بها؛و لا یبعد أن یکون ذلک قبل تحریم الدّم؛و أمّا جعل من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النّار بیانیّة فلا یخفی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بزرگوار در کتاب کرامند ملاذ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تصریح به ضعف سند،در مقام إفادتی بشرح‌تر برآمده است و از جمله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ترتّب الثّواب و عدم الزّجر و اللّوم البلیغ،لجهالته و کونه معذورا بها،لا سیّما فی صدر الإسلام؛و لا یبعد أی یکون ذلک قبل تحریم الدّم؛و أمّا جعل من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 بیانیّا کما قیل فلا یخفی بعده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پیش از این إشارت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اینجا،عبارات مأخوذ است از رساله طاهریّه‌ی شیخ أحمد أحسائی که نامبرده در پاسخ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ملاّ محمّد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برای عبارت أحسائی که با نقل پاچناری تفاوت بسیار اندکی دارد،نگر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أحمد الأحسائیّ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الحکمة الإسلامیّة،عبد الرّسول زین الدّین،</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بحار نیامده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فی الرجالین من العامه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چنان‌که دیده می‌شود معنای روشنی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صحیح عبارت،همان است که در بحار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ذکره بعض الرّجالیّین من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119/59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برای دیدن أصل عبارات بحار الأنوار در این مقام،نگر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119/59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 به تشدید سین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بوده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عبارت مذکور در بحار را که اینجا با قدری تسامح و نقل به معنا آمده است،نگر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کسی که پاچناری باز بتسامح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الإکمال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می‌گوید و مجلسی بدرست از 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 صاحب إکمال الإکمال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کرده و پس از نقل عبارتی از حدیثنامه مسلم سخن وی را به عنوان شرح آورده است،گویا همان محمّد بن خلفة بن عمر تونسیّ وشتانی مشهور به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إکمال إکمال المعلم لفوائد کتاب مسلم‌اش شرحی است نامبردار بر حدیثنامه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منسوب است از دیهیهای تونس بشمار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زرکلی،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المطبوعات العربیّه‌ی یوسف الیان سرکیس،</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در بعض جایهای شرح أصول الکافی‌ی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درست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 باید در نسخه‌ها فرونگریست و دید که آیا این دگرگشتگی از قلم ماتنان تراویده است،یا ناشی از سهو طابعان است؛بویژه که در مواضعی نیز در هردو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مهدی بن مرتضی بن محمّد بروجردی طباطبائی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بزرگ إمامی،زبانزد به کرامات و مقامات بلند معنوی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النّجفیّة،ط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مکتبة المفید،ص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علاّمه بحر العلوم در مشابه همین بحث طهارت دماء معصومان علیهم السّلام در خصائص فاطمیّه‌ی کجوری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اللّمعة البیضاء قراچه‌داغی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استشهاد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زین العابدین گلپایگانی هم در یکی از رساله‌هایش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أنوار الولایة،ص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آوردن این بیتها به بحث طهارت دماء معصومان علیهم السّلام پرداخته است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طاقدیس چاپ کتابفروشی فرهومند را یک دور در پی این دو بیت تصفّح کردم؛نیز مظانّ وجدان را در چاپ أمیر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اهتمام حسن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بررسیدم؛لیک عجالة این بیتها را نیافتم؛ و اللّه أعلم بحقیقة الحال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 یک یاء هم بالای دال نخست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گویا رونویسگر ابتدائا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سپس منصرف شده و 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ساخته است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معانی و این قول را پاچناری بتلخیص و استنباط خویش،از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مجمع البحرین 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و البتّه به اشتباه آشکاری نیز دچار آمده است و آن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طریحی،در آنجا،نه 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رجس،که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سی‌ام سوره حج،آورده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غریب القرآن همو،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هود،آیه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 بدون إظهار نشان تنوین بر روی دال یا ألف سپسین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تصریح شمس قیس رازی،واژگان منوّن خاصّی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فارسی‌زبانان از دیرباز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می‌گفته‌اند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 هست لیک زائد می‌نماید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الإحسان بالإتمام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 متون دیده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عجائب الاثار جبرتی،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 حق آنست که آنچه مشهور و زبانزد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الإکرام بالإتمام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 به خطّی اندکک متفاوت با خطّ متن و بدون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عکس؛لا بالعکس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خرسان،</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235/98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ابن قولویه،ط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قیّومی،ص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باب نخست از مجلس ششم منتخب 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روز سوم دهه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عن طریق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 استشهد الحسین بقی فی کربلاء صریعا و دمه علی الأرض مسفوحا و إذا بطائر أبیض قد أتی و مسح بدمه و جاء و الدّم یقطر منه فرأی طیورا تحت الظّلال علی الغصون و الأشجار و کلّ منهم یذکر الحبّ و العلف و الماء،فقال لهم ذلک الطّیر المتلطّخ بالدّم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ویلکم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أتشتغلون بالملاهی و ذکر الدّنیا و المناهی و الحسین فی أرض کربلاء فی هذا الحرّ ملقی علی الرّمضاء ظام مذبوح و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مسفوح،فعادت الطّیور کلّ منها قاصدة کربلاء فرأوا سیّدنا الحسین علیه السّلام ملقی فی الأرض جثّة بلا رأس و لا غسل و لا کفن،قد سفت علیه السّوافی،و بدنه مرضوض قد هشمته الخیل بحوافرها،زوّاره وحوش القفار،و ندبته جنّ السّهول و الأوعار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أضاء التّراب من أنواره و أزهر الجوّ من إزهاره،فلمّا رأته الطّیور تصایحن و أعلنّ بالبکاء و الثّبور و تواقعن علی دمه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 شریف کافی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إبراهیم،عن أبیه،عن ابن أبی عمیر،عن عمر بن أذینة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 إلی أبی عبد اللّه علیه السّلام أسأله عن الرّجل یبعث له الدّواء من ریح البواسیر فیشربه بقدر اسکرجة من نبیذ صلب لیس یرید به اللّذّة و إنّما یرید به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لا جرعة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یجعل فی شیء ممّا حرّم شفاء و لا 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یحیی،عن محمّد بن أحمد،عن یعقوب بن یزید،عن محمّد بن الحسن المیثمی، 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 علیه السّلام عن دواء عجن بالخمر نکتحل منها؟فقال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جعل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حرم 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برای تحقیق و تأمّل بیشتر در بحث تداوی به محرّمات،از جمله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الکافی‌ی مازندرانی،</w:t>
      </w:r>
      <w:r>
        <w:rPr>
          <w:rFonts w:eastAsia="IRNazanin" w:cs="IRNazanin"/>
          <w:b w:val="false"/>
          <w:bCs w:val="false"/>
          <w:i w:val="false"/>
          <w:iCs w:val="false"/>
          <w:color w:val="333333"/>
          <w:sz w:val="20"/>
          <w:szCs w:val="20"/>
        </w:rPr>
        <w:t>253/12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المهمّه‌ی شیخ حرّ عاملی،</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الأئمّة،شرح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عقیل،صص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مشارق أنوار الیقین 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مازندرانی،ص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عنهم علیهم السّلام أنّهم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نزّهونا عن الرّبوبیّة و ارفعوا عنّا حظوظ البشریّة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الحظوظ الّتی تجوز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یقاس بنا أحد من النّاس،فإنّا نحن الأسرار الإلهیّة المودعة فی الهیاکل البشریّة،و الکلمة الرّبانیة النّاطقة فی الأجساد التّرابیّة،و قولوا بعد ذاک ما استطعتم،فإنّ البحر لا ینزف و عظمة اللّه لا توصف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موسوم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نورانیّت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همان کتاب آمده و 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سلمان و یا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چندبار در آن تکرار شده است،از جمله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شرف کلّ مبعوث،فلا تدعونا أربابا،و قولوا فینا ما شئتم،ففینا هلک من هلک و بنا نجی من 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آنچه پاچناری آورده است پیآمد خلطی میان این دو خبر نیست؟ هرچه هست،این خبر بدین صورت در متون معتبر حدیثی نیامده است،و ورود مشابه آن در مشارق أنوار الیقین رجب برسی نیز گرهی از کار نمی‌گشاید،زیرا نه مشارق متن معتبری است و نه برسی محدّثی مورد وثوق؛که اگر هم می‌بود باز عیب إرسال خبر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برجای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سطور را در باب مضمون و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نزّلونا عن الرّبوبیّة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مقالتی است علی‌حده که خواهندگان را از برای مزید اطّلاع بدان حوالت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دستنوشت،رونویسگر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بود ولی مؤلّف خود آن را خط زده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بدرستی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بدرتیکه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 و خواستن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مأثوراند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نهج البلاغه‌ی طبع صبحی صالح و شیخ فارس تبریزیان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البلاغة،تحقیق فارس تبریزیان،ص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چاپ 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؛با تفاوتهائی در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سیلان نفس در روایت دیگری نیز هست که به جای خود سزاوار نگرش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در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بإسناد له آخر یرفعه إلی علیّ بن أبی طالب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أوصانی رسول اللّه صلّی اللّه علیه و آله عند وفاته و أنا مسنده إلی صدری،فقال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 بالعرب خیرا؛یقولها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مرّات؛ثمّ سالت نفسه فی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معتزلی در شرح فقره محلّ گفتگو از روایت نهج البلاغه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قاء دما یسیرا وقت موته،و إنّ علیّا علیه السّلام مسح بذلک الدّم وجهه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عائشه نقل شده است که او به هنگام وفات رسول خدا صلّی اللّه علیه و آله سر آن حضرت را در کنار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مدّعای منتسب به عائشه و نقد و ردّ آن،نگر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روته العامّة من مناقب أهل البیت علیهم السّلام، حیدر علی شروانی،ص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 شرف الدّین،ط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الرّاضی،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أحادیث أمّ المؤمنین عائشة،السّیّد مرتضی العسکریّ،</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المدرستین،همو،</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مؤسوعة الإمام علیّ بن أبی طالب علیه السّلام فی الکتاب و السّنّة و التّاریخ،ط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ضبط این نام میان منابع قدیم همداستانی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میرزا در قمقام زخّار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تصحیح الأسامی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الجنوب اسمه عبد الرّحمن الجعفی أو زیاد بن عبد الرّحمن لعنه اللّه تعالی،و لمّا رأیت النّاس یرونه أبو الحتوف بالتّاء المثنّاة من فوق و بعد الواو فاء،و بعضهم أبو الحنوق بالحاء المهملة و النّون و القاف،أحببت توضیحه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تصحیف و غلط و إنّما کنّی أبعده اللّه باسم ابنته جنوب بفتح الجیم و ضمّ النّون و بعد الواو باء موحدة و کثیرا مّا یکتنون بأسمائهنّ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قمقام،ط</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در دستنوشت به پیش 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فرهنگها هم به زیر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 بسا أجح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به پیش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گردیده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بپروردکار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شایان یادکرد است که این بخش از رساله به خطّ خود مؤلّف 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ارثیّه از أجداد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ارثی است از اجداد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مؤلّف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نیست در این مقام،از این عبارت که به خطّ مؤلّف نیز هست،یک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 شده باشد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مؤیّد این مطلب آن‌که ابو الحنوق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اینجا به خطّ مؤلّف با رادّه‌ای در حاشیه إلحاق شده تا در همین جای رساله،جای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تعجّبی ندارد اگر از اینجا به بعد سخن مؤلّف به همان بحث پیش از إلحاق،یعنی بحث در روایت نهج البلاغه‌ی شریف،راجع گردد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 نهج البلاغه که لختی پیش گذشت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عامّ إلاّ و قد 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أصولیانه است که از غایت اشتهار بر ألسنه فقیهان و أصولیان،مثل گردیده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دربندی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آقا بن عابد بن رمضان بن زاهد شیروانی دربندی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و أصولی و متکلّم إمامی،صاحب کتاب إکسیر العبادات فی أسرار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أسرار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جواهر الإیقان و خزائن الأحکام و خزائن الأصول و سعادات ناصریّه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دربندی علی‌رغم مایه‌ای که در علوم مرسوم داشته است،به واسطه برخی جهتگیریهای بیش از حد عاطفی‌اش هم در مسائل مربوط به عزاداری إمام حسین علیه السّلام و هم در آنچه درباره آن حضرت نوشته و أحیانا شرط احتیاط علمی و إتقان و تحقیق را در آن مراعات نکرده است،بارها و بارها مورد انتقاد پسینیانش واقع گردیده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سعادات ناصریّه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ترجمه‌گونه‌ای است از بخشهائی از إکسیر العبادات دربندی که خود او به نام ناصر الدّین شاه قاجار ساخته و پرداخته و مدحی إفراط آمیز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نمودی از حالات إفراطی او تواند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برای شاه قاجار در مقدّمه آن قلمی کرده است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که إکسیر العبادات فی أسرار الشّهادات نام دارد و باختصار أسرار الشّهاده خوانده می‌شود و متن آن در چاپ امروزینه‌اش،در سه دفتر ستبر عرضه گردیده است،به واسطه پاره‌ای مسامحات مؤلّف و نیز بعض آراء و تحلیلهای شاذّی که در آن درج کرده است، سخت مورد انتقاد کسانی که به تحقیق در تاریخ و فرهنگ و شعائر حسینی می‌پردازند واقع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محترمانه محدّث قمی أعلی اللّه مقامه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 مشتمل است بر مطالبی که اعتماد بر آن نشاید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فواید رضویّه،ط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بخشایشی،ص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سعادات ناصریّه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عاشوراء</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محمّد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پیشگفته نیامده است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نورانیّات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نورانیّه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پیشگفته نیامده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 از قلم افتاده ولی در چاپ سنگی هست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پیشگفته نیامده است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استکفا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نیست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چاپ سنگی افزوده می‌شود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پیشگفته نیست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پیشگفته نیامده است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 هم 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ولی نقطه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قلم زده‌اند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التّصاق</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پیشگفته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پیشتر آمده بود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جهالت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محمّد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اجماعیّه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چاپ سنگی افزوده شد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تخطأ</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دماء ایشان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نیست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متلذ</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نیامده است</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اشقیا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نیامده 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دمه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روایت مورد گفتگو،هم در کافی‌ی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در تهذیب شیخ طوسی أعلی اللّه مقامه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خرسان،</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إبن أبی عمیر،عن بعض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زین روست که برخی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اللّئام،ط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الإسلامیّه،</w:t>
      </w:r>
      <w:r>
        <w:rPr>
          <w:rFonts w:eastAsia="IRNazanin" w:cs="IRNazanin"/>
          <w:b w:val="false"/>
          <w:bCs w:val="false"/>
          <w:i w:val="false"/>
          <w:iCs w:val="false"/>
          <w:color w:val="333333"/>
          <w:sz w:val="20"/>
          <w:szCs w:val="20"/>
        </w:rPr>
        <w:t>144/14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الوثقی‌ی بروجردی،</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 کرده‌اند؛و البتّه بسیاری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المطلب علاّمه حلّی،چاپ سنگی،</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مدارک الأحکام عاملی،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المعاد سبزواری،افست چاپ سنگی،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الفقیه همدانی،افست چاپ سنگی،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المدارک خوانساری،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آن‌که بگوئیم ابن أبی عمیر جز از ثقات روایت نکرده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به نام شیخ روایت تصریح ننموده باشد،بیشک او از ثقات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آن است که سند روایت را بی‌إشکال،و به تعبیری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،بدانیم؛و اللّه أعلم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لأکره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نیست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البقعة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الفرآئض</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تفاوتهائی در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بناء المساجد و ما یؤخذ منها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خرسان،</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المساجد و الصّلاة فیها و فضل الجماعة و أحکامها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پیاپی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غفّاری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میدارم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 نیست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 و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چاپ سنگی و به اقتضای سیاق افزوده شد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چاپ سنگی و به اقتضای سیاق افزوده شد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ازلیّه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چاپ سنگی و به اقتضای سیاق افزوده گردید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است؛چنان‌که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می‌رود و مثلا امروزه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نمازهای مستحبّی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واژه‌های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مستحدث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را،در ترجمه و شرحی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از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رساله اعتقادات شیخ بهائی،در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الأغسال الواجبة 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اعتقادات شیخ بهائی،به کوشش و پژوهش جویا جهانبخش،ص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غسلهای واجبی شش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کاربرد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نیز 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العالم شوشتری، به اهتمام صمد موحّد،ص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سنگی به 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اکتفا کرده‌اند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صحراهای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 نیامده است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 نیامده است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سؤال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کنید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و مطهّر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بودن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نیست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چاپ سنگی و به اقتضای سیاق افزوده شد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نیامده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 نیست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چیزی 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کتابت گردیده است البتّه فقط با یک دندانه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چاپ سنگی و به اقتضای سیاق افزوده شد</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 به 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اکتفا شده است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 نیست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 نیست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سنگی نیست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سنگی افزوده شد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است هم در دستنوشت ما و هم در 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باء</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سعادات ناصریّه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إکسیر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أبی عمیر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الفرایض</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است در دستنوشت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المصوبة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المصوبة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هیهنا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مرحوم دربندی علی‌الظّاهر کتاب خزائن الأحکام است که در آن به شرح منظومه فقهی سیّد بحر العلوم رحمة اللّه علیه پرداخته و در همان زمان قدیم در تبریز و تهران به چاپ نیز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شیعه،مدرّسی،ص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این گفتآورد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پاره‌ای دگرسانیها در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جمعه بادی و عبّاس ملاّ عطیّه الجمریّ،</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العابدین کربلائی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العابدین بن مسلم بارفروشی مازندرانی 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نامی إمامی که نزد صاحب ضوابط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إبراهیم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جواهر و شیخ أعظم أنصاری و سعید العلماء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شاگردی کرده و در کربلای معلّی مرجعیّت تام در تدریس و إفتاء و تقلید داشته و بسیاری از شیعیان ایران و عراق و بخارا و هند را در مسائل شرعی بدو رجوع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فوایّد رضویّه،ط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بخشایشی،ص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الرّجال اشکوری،ط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مرعشی،</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مرآة الشّرق،</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گویا در اینجا،مراد،همانا کتاب مستطاب ذخیرة المعاد فی تکالیف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در قالب پرسش و پاسخ تدوین گردیده است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باینکه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سنه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اینجا به خطّ مؤلّف در هوامش إلحاق گردیده و با رادّه تفهیم کرده است که جای آن همین‌جاست که ما آوردیم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نماند که دسترس ما به بعض این منابع به واسطه لوحهای فشرده رایانگی بوده است</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ادب فنای مقربان،آیت اللّه جوادی آملی،ج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؛از برخی شاگردان معرفتی علامه طباطبایی رحمه اللّه شنیده‌ایم که می‌فرمودند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طباطبایی رحمه اللّه عمق معنا و بلندای مضامین زیارت جامعه را گواه بر صدور آن از معصوم علیه السّلام می‌دانستند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 فنای مقربان،آیت اللّه جوادی آملی،ج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،باب زیارة جامعة لسائر المشاهد علی اصحابنا السلام،حدیث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طوسی،ص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،باب زیارة جامعة لسائر المشاهد،حدیث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تثبت به الوثاقة أو الحسن أو ینص علی ذلک أحد الأعلام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أن یکون من أخبر عن وثاقته معاصرا للمخبر أو قریب العصر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زیارة جامعة لسائر المشاهد علی أصحابنا السلام،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نجاشی،باب المیم،ص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الخلاصة،للحلی،ص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ابن داود،ص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،باب زیارة جامعة لجمیع الأئمة علیهم السّلام 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،باب زیارة جامعة لسائر المشاهد،حدیث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،باب زیارة جامعة لجمیع الأئمة علیهم السّلام،حدیث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،باب زیارة جامعة لسائر المشاهد،حدیث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نجاشی،باب المیم،ص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فی علم الرجال،آیت اللّه جعفر سبحانی،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اصفهان،دکتر سید محمد باقر کتابی،ج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و مشاهیر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 سید علی جناب،ص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آقای حاج سید محمد علی روضاتی</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اصفهان،سیّد مصلح الدین مهدوی،ج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من أهل الفسق و الزور بل العناد و الکفور،و علیه شطب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ندبنا إلی زیارتهم و لو بزیارة القبور لطلب الخیر و دفع الشرور،و علیه شطب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الهامش؛میسرات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یدخله السرور فی یوم الحشر و النشور،و علیه شطب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 الطهر الطهور محمد و آله ما نشر علی مشاهدهم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شطب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بین المسلم و الکافر و المؤمن و الصالح و الفاجر و الأولیا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 و بصر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باقیة إن شاء اللّه إلی أن تصل الدنیا بالآخرة فهذه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مقتبس من 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أتوسّل بذکره إلی نیل المرام و إن لم یمکن احصاء مناقبه علی التمام 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التوفیق و هو الرفیق فی الطریق مؤلفها سیدنا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المصباح،الکفعمی،ص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نسب أبی الحسن علی بن محمد علیه 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المصباح،الکفعمی،ص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هنا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بنفایس أوصافها فی نسخة الف علیه شطب</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لمهمّ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رجل من الأعراب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الانعام،الآیة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یقبح الکذب لأجله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قدامهما کل فوج منهم فی مرتبتهم قربا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مهج الدعوات،ص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،فمن ذلک ما وجدناه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الکفعمی أیضا فی حواشی المصباح</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 الذی أوجب علیک به القول بإمامة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غیره من أهل الزمان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قوم آخرین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فکنّا بباب المتوکّل یوما إذ</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أمر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 هذا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و یقدّر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رجل هو؟قال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ینظرون اللّه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عرف دابته لا ینظر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دائم الدّعاء</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بإزائی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بوجهه و قال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یقولون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مخلوقا فانصرفنا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بدعائه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أنا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الاولاد قد بلغت</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نیفا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بإمامة هذا الذی علم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،باب الحادی عشر فی معجزات الإمام علیه السّلام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هذا فاعلم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،زیارة جامعة لجمیع الأئمة علیهم السّلام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 علی غسل الجنابة و أنه یجب أن لا یکون جنبا بعید إلا أن اعتبار غسل الزیارة فی حقیقتها أو شرطا لها مطلقا أو هنا و إن کان ظاهر اللفظ بعید بل هو کمال لها فهو مستحب فی مستحّب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الرّعد،الآیة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؛سورة غافر،الآیة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الأمالی،للصدوق،ص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الأمالی،للطوسی،ص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،المجلس العاشر،ح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،باب اتصال الوصیة من لدن آدم علیه السّلام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،باب معانی الآل و الأهل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الأمالی،للصدوق،ص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،لمجلس الثانی و الأربعون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 الرسالة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مقاییس اللغة،ج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الأنبیاء،الآیة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،سورة الأنبیاء و ما فیها من الآیات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 فی الکافی 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،باب نادر فی تأویل النحل بهم علیهم السّلام،ح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ابن شهر آشوب فی مناقب آل أبی طالب،ج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،فصل فی انقیاد الحیوانات 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علیه السّلام فی هذه الآیة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أمیرها فسمی أمیر النحل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صلّی اللّه علیه و اله وجه عسکرا إلی قلعة بنی ثعل فحاربهم أهل القلعة حتی نفذت أسلحتهم فأرسلوا إلیهم کواز النحل فعجز عسکر النبی عنها فجاء علی فذلت النحل له فلذلک سمی أمیر النحل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المنام الاّ ذلک فی الیقظه و،و علیه شطب</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شبهات الاوهام بل أوهام العوام حیث حصروا الموجود الخارجی فی الاجسام و إلاّ فالصور المتحققة فی المنام و سایر موجودات عالم المثال موجودات خارجیة و محسوسة بالحس الخارجی و لیست اجساما و لا امورا ذهنیّة فقط،و علیه شطب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نسخه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 للأوامر الهیّة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،نبذ و أقول فی حسن الخلق و مدحه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السالکین،ج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معنی کونهم معدن الرسالة و مختلف الملایکة،و علیه شطب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یدعم الأخیار دینهم بهم کما یدعم البیت بعماده و کما یصح اضافته إلی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،باب فیما جاء فی الاثنی عشر و النص علیهم علیهم السّلام،ح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لا تخلو الأرض من حجة اللّه،ح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ولایتهم أعظم اجزاء الایمان فبحبهم یقبل سائر اجزائه و ببغضهم یرد فبهم دخول الایمان فی حیّز القبول و خروجه عنه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النسخة حیث اعرب بهما آخر خفضت</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،باب معنی الثقلین و العترة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الطرائف،ص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،حدیث الثقلین،ح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،باب معنی الثقلین و العترة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اضیفت العترة إلی رجل مستعملة فی ولده کانت لا محالة بالمعنی الذی یناسبهم أعنی النسل و الرهط و العشیرة لا غیر علی أن جعلها ببعض المعانی الآخر لا یتمشی إلا بنوع تحریف فی اللفظ أو المعنی لا یستقیم و لا داعی إلی ارتکابه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،الباب الخمسون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أصحاب الکساء و فضلهم،ح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فصلت،الآیة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دجی سقطت الضمة لنقلها ثم الیاء للساکنین صار دجی کهدی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الفتح،الآیة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کالنهی و هو یکون جمع نهیة أیضا انتهی؛کأنّه سمی به العقل لأنّه ینهی عن الفحشاء و المنکر فإن حمل علی الجمع فظاهر و إن جعل مفردا فالنکتة فیه الإشارة إلی أن عقولهم واحدة بحسب الکمال و الرتبة إذ المراد العقل الکامل إذ لا وقع لوصفهم بمطلق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،سورة طه و ما فیها من الآیات فی الأئمة الهداة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،ما فیها من الآیات فی الأئمة الهداة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الحق،ص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،منعه فاطمة ارثها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،باب العرش و صفاته،ح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الروم،الآیة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فیما جاء من الرضا علیه السّلام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،باب العشرة،ح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عنه الشیخ علم الدین بن سیف بن منصور الغروی فی تفسیره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 فی فضایل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وجوهکم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،مقدمة المؤلف،باختلاف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الإعتقادات للشیخ الصدوق،ص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،باب الإعتقاد فی مبلغ القرآن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لمنافوتها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،باب زیارة من بالبقیع</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،تفسیر آیة النور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،صفات خیار العباد،باختلاف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نور اللّه عز و جلّ،ح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،سورة النور و ما فیها من الآیات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،تفسیر سورة النور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،باب تفسیر قول اللّه عز و جل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فی الحائط</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،سورة النور و ما فیها من الآیات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،سورة النور و ما فیها من الآیات</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،باب أن الأئمة علیهم السّلام نور اللّه عز و جل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،تفسیر آیة النور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 العصمة فإن تکلیف المعصومین أعلی من تکلیف غیرهم إما بتقدیر مضاف إلی أهل الدعوة الحسنی أو علی التجوز إما بجعل المصدر بمعنی المفعول أی المدعوین بتلک الدعوة أو بحمل المصدر بمعناه علی الذات مبالغة فإنهم لما لم یتوقفوا فی اجابة تلک الدعوة فأجابوها من غیر ریث کانوا کأنهم نفس الاجابة ثم الإجابة المسببة عن الدعوة لقوة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 و الأوصیاء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ابراهیم،الآیة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مریم،الآیة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فاطر،الآیة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،سورة البقرة و ما فیها من الآیات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یوسف،الآیة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الصافات،الآیة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،باب النهی عن الصفة بغیر ما وصف به نفسه تعالی،ح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،باب النهی عن الکلام فی الکیفیة،ح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نسخ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أحل نفسه بالعقوبة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المفضل،ص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،معرفة العقل للخالق</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 و المعتزلة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متمیزة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نفی ما یعلم منه تعالی صفات الألوهیة عن الغیر و هو التوحید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ذاته المخصوصة بمعلوم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التصدیق لا یتوقف علی التصور بالکنه بل بوجه ما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المواقف،ج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،الحکم المنسوبة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الذاریات،الآیة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،کیفیة صلاة اللیل و الشفع،و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 أعرف</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تأویل الآیات،ص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،سورة القمان و ما فیها من الآیات</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،باب أن الأئمة علیهم السّلام ولاة الأمر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السعادة و من المعلوم أن کل ذلک إنما یصل إلی الخلق بتوسط النبی و عترته الأطهار فهم مساکن برکات اللّه و مظاهرها و وسایطها و وسایلها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استودعهم إیاه و إئتمنهم علیه و المراد بسر اللّه مراده من کتابه و حقایق أحکامه لأن المعانی أسرار الألفاظ إلا أنها أسرار قد أمروا باذاعتها للعباد و ابانتها و تفسیرها لهم أو علومه التی أمرهم بکتمانها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علیه السّلام و الحفظ علی الاول حفظه للناس عن التحریف و التغییر و الإندراس و علی الثانی اخفاء السر و حفظه عن أن یذاع و تناله الإسماع أو السر اعم و کذا الحفظ فاضافة السر من باب اضافته إلی جاعله سرا أو الآمر بأسراره و اخفائه و یحتمل جعله من باب اضافته إلی متعلقه فمعناه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،باب فیما جاء أن حدیثهم صعب مستصعب،ح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کونه مبنیا لکونهم حملة کقولک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 القرآن أی المذکورین فیه فالمحمول سکوت عنه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الروایة فی جوامع الفریقین مع اختلاف،انظر مستدرک الوسائل،ج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،باب جواز الصدقة فی حال الرکوع،ح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؛کشف الیقین،ص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،المبحث الثالث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خبر المناشدة؛شرح نهج البلاغة،ج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،فصل فی العباد و الزهاد و العارفین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الأمالی،للصدوق،ص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،المجلس الثلاثون،ح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،باب ذکر مجلس الرضا علیه السّلام مع المأمون،ح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،تفسیر سورة الأنعام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قریب منه فی بحار الأنوار،ج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أولادها و ذریتها و أحوالهم،ح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؛کتاب الروضة،ح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؛کشف الغمة،ج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،ذکر إمامته و بیعته،الإرشاد،ج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،باب ذکر الإمام بعد الحسن بن علی علیهما السّلام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،تفسیر سورة الأنعام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،باب جعل من أخبار موسی بن جعفر علیه السّلام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البیضاوی،ج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،تفسیر سورة الأنعام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،ولادة ابراهیم علیه السّلام،باختلاف</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الخفاء،ج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،حرف المیم،ح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،باب معنی الآل و الأهل و العترة و الأمة،ح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المستقرین أی الثابتین فی أموره و شئونه و الأحوال و الأفعال المنسوبة إلیه تعالی المفعولة لأجله فالأمر بمعنی الحال و الشیء و یحتمل جعله مقابلا للنهی علی فی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اللغویین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 علیه توفیرا اعطاه و استوفره استعطاه و استوفاه و طلب منه التوفیر و هو ظاهر و کان الغلط إنما نشأ من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الرسالة السعدیة،ص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 تعالی یستحق الصفات لذاته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توحیده الإخلاص له،و کمال الإخلاص له نفی الصفات عنه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الشوری،الآیة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،ذکر الشهادة للّه جلّ جلاله بالوحدانیة،باختلاف یسیر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الأنبیاء،الآیة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،خروج القائم باختلاف یسیر؛انظر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،تفسیر سورة الأنبیاء</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تنبیها علی استهجان السبق المعرض به للقائلین علی اللّه ما لم یقله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البیضاوی،ج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معجزات علی بن أبی طالب علیه السّلام،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الصافی،ج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،تفسیر سورة الأنبیاء</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الأنبیاء،الآیة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قَبْلَکَ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،باب أن أهل الذکر الذین أمر اللّه الخلق بسؤالهم هم الأئمة علیه السّلام،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البیضاوی،ج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،تفسیر سورة النحل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الزخرف،الآیة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القلم،الآیة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الأمالی،للشیخ الصدوق،ص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الستون،ح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،باب الإشارة و النص علی أمیر المؤمنین علیه السّلام،ح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الطلاق،الآیة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مجلس الرضا علیه السّلام مع المأمون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الجمعة،الآیة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 معنوی،ص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،وحی آمدن موسی را علیه السّلام در عذر آن شبان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المذکورون فی القرآن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فَسْئَلُوا أَهْلَ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 معنی کان الذکر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،باب مولد أبی جعفر علیه السّلام،ح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،الباب الثانی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أخبر به محمد الباقر علیه السّلام من وقوع الغیبة،ح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؛سورة المریم،الآیة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،تفسیر سورة الفاتحة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،باب فیه نکت و نتف من التنزیل فی الولایة،ح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،باب معنی الصراط،ح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بولایته ولایته و ولایة الأئمة من ولده إذ لا تنفع و اللّه بدون ولایتهم فولایته مشروط بولایتهم کما أن الاقرار بالرسالة مشروط بالاقرار بالإمامة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إلی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مَثَلُ نُورِهِ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النور،الآیة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،باب أن الأئمة نور اللّه عز و جل،ح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المنافقون،الآیة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الشعر من أبو دؤاد الأیادی</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الآلوسی،ج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الطلاق،الآیة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موجود أو ممکن إلا اللّه؛و أورد علیه إن کلمة الواجب لا تنفی</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البهیة،ج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،مقدمة المصنف</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نعبدها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الزمر،الآیة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الثانی أبا نصر الفارابی اعتبر امکان الإتصاف بالوصف العنوانی و لا اشکال علیه و أما الشیخ فإنما یرد علیه الإشکال لو اعتبر الفعلیة الحقیقیة الواقعیة و التحقیق أنه لم یعتبرها و إنما اعتبر الفعلیة بوجه ما سواء کانت فی نفس الأمر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ممکن یدخل فی اطلاق الشریک المشارک فی الذات و الصفات</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،صلاة أخری یوم الجمعة،باختلاف یسیر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فی القاموس،ج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قاطع؛ثم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اللّه أنه لا إله إلا هو أی علم اللّه أو قال أو کتب و أشهد أن لا إله إلا اللّه أی أعلم و أبیّن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 للتعلیل 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اشکروه کما هداکم أو لتشبیه الجملة بالجملة أو</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المنافقون،الآیة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شافیة ابن الحاجب،ج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الملائکة الملأکة و هو مقلوب مألکة بمعنی الرسالة کالالوکة أو اسم مکان أی محل الرسالة و أولوا العلم العلماء أو نوع الإنس و الجن فالعلم علی الأول هو المعتد به و علی الثانی الجنس مطلقا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بیان للمشهود به أی بأن لا إله إلا هو أو استیناف لتأکیده و تحقق الشهادة به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 بیان أو بدلان من الضمیران جوزنا البدل الثانی أعنی البدل من البدل أو خبر لمقدر أی هو کذا و هو اقتباس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الْمَلاٰئِکَةُ وَ أُولُوا الْعِلْمِ قٰائِماً بِالْقِسْطِ لاٰ إِلٰهَ إِلاّٰ هُوَ الْعَزِیزُ الْحَکِیمُ و اجیز فی الآیة کونهما نعتین لفاعل شهد و هو مع بعده یستلزم الفصل بالأجنبی بین الموصوف و صفته و إنما کرر التهلیل للتأکید و التسجیل و مزید الإعتناء به و یمکن جعله مفعولا لمحذوف حال من الشهود أعنی الحق سبحانه و الملائکة و أولی العلم أی قائلین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هو أو یستأنف أی قالوا ذلک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الأنعام،الآیة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نقوش الخواتیم،باختلاف یسیر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،تفسیر سورة التوبة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عصمتهم و لزوم عصمة الإمام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الاسراء،الآیة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،باب معنی عصمة الإمام؛بحار الانوار،ج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عصمتهم و لزوم عصمة الإمام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الآل عمران،الآیة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إلی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دائمة باقیة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،باب معنی عصمة الإمام،باختلاف یسیر؛علل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یجب أن؛الخصال،ج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،وجوه الذنوب أربعة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image" Target="media/image2.jpeg"/><Relationship Id="rId653" Type="http://schemas.openxmlformats.org/officeDocument/2006/relationships/image" Target="media/image2.jpeg"/><Relationship Id="rId654" Type="http://schemas.openxmlformats.org/officeDocument/2006/relationships/footer" Target="footer647.xml"/><Relationship Id="rId655" Type="http://schemas.openxmlformats.org/officeDocument/2006/relationships/footnotes" Target="footnotes.xml"/><Relationship Id="rId656" Type="http://schemas.openxmlformats.org/officeDocument/2006/relationships/numbering" Target="numbering.xml"/><Relationship Id="rId657" Type="http://schemas.openxmlformats.org/officeDocument/2006/relationships/fontTable" Target="fontTable.xml"/><Relationship Id="rId658" Type="http://schemas.openxmlformats.org/officeDocument/2006/relationships/settings" Target="settings.xml"/><Relationship Id="rId6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102150</Words>
  <Characters>504185</Characters>
  <CharactersWithSpaces>601094</CharactersWithSpaces>
  <Paragraphs>5764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2026-08-23T22:20:10Z</dcterms:created>
  <dc:creator>ghaemiyeh.com</dc:creator>
  <dc:description/>
  <dc:language>en-US</dc:language>
  <cp:lastModifiedBy/>
  <dcterms:modified xsi:type="dcterms:W3CDTF">2026-08-24T01:50:29Z</dcterms:modified>
  <cp:revision>1</cp:revision>
  <dc:subject/>
  <dc:title>میراث حوزه اصفهان جلد 8</dc:title>
</cp:coreProperties>
</file>

<file path=docProps/custom.xml><?xml version="1.0" encoding="utf-8"?>
<Properties xmlns="http://schemas.openxmlformats.org/officeDocument/2006/custom-properties" xmlns:vt="http://schemas.openxmlformats.org/officeDocument/2006/docPropsVTypes"/>
</file>