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284.xml" ContentType="application/vnd.openxmlformats-officedocument.wordprocessingml.footer+xml"/>
  <Override PartName="/word/footer477.xml" ContentType="application/vnd.openxmlformats-officedocument.wordprocessingml.footer+xml"/>
  <Override PartName="/word/footer285.xml" ContentType="application/vnd.openxmlformats-officedocument.wordprocessingml.footer+xml"/>
  <Override PartName="/word/footer478.xml" ContentType="application/vnd.openxmlformats-officedocument.wordprocessingml.footer+xml"/>
  <Override PartName="/word/footer286.xml" ContentType="application/vnd.openxmlformats-officedocument.wordprocessingml.footer+xml"/>
  <Override PartName="/word/footer479.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05.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468.xml" ContentType="application/vnd.openxmlformats-officedocument.wordprocessingml.footer+xml"/>
  <Override PartName="/word/footer469.xml" ContentType="application/vnd.openxmlformats-officedocument.wordprocessingml.footer+xml"/>
  <Override PartName="/word/footer471.xml" ContentType="application/vnd.openxmlformats-officedocument.wordprocessingml.footer+xml"/>
  <Override PartName="/word/footer482.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462.xml" ContentType="application/vnd.openxmlformats-officedocument.wordprocessingml.footer+xml"/>
  <Override PartName="/word/footer353.xml" ContentType="application/vnd.openxmlformats-officedocument.wordprocessingml.footer+xml"/>
  <Override PartName="/word/footer444.xml" ContentType="application/vnd.openxmlformats-officedocument.wordprocessingml.footer+xml"/>
  <Override PartName="/word/footer481.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480.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theme/theme1.xml" ContentType="application/vnd.openxmlformats-officedocument.theme+xml"/>
  <Override PartName="/word/footer441.xml" ContentType="application/vnd.openxmlformats-officedocument.wordprocessingml.footer+xml"/>
  <Override PartName="/word/footer440.xml" ContentType="application/vnd.openxmlformats-officedocument.wordprocessingml.footer+xml"/>
  <Override PartName="/word/footer476.xml" ContentType="application/vnd.openxmlformats-officedocument.wordprocessingml.footer+xml"/>
  <Override PartName="/word/footer449.xml" ContentType="application/vnd.openxmlformats-officedocument.wordprocessingml.footer+xml"/>
  <Override PartName="/word/footer283.xml" ContentType="application/vnd.openxmlformats-officedocument.wordprocessingml.footer+xml"/>
  <Override PartName="/word/footer442.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3.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25.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315.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45.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261.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منتهی المطلب ط </w:t>
      </w:r>
      <w:r>
        <w:rPr>
          <w:rtl w:val="true"/>
        </w:rPr>
        <w:t xml:space="preserve">- </w:t>
      </w:r>
      <w:r>
        <w:rPr>
          <w:rtl w:val="true"/>
        </w:rPr>
        <w:t xml:space="preserve">الحدیثة جلد </w:t>
      </w:r>
      <w:r>
        <w:rPr/>
        <w:t>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795123_222507752">
            <w:r>
              <w:rPr>
                <w:webHidden/>
                <w:rStyle w:val="IndexLink"/>
                <w:rtl w:val="true"/>
              </w:rPr>
              <w:t>اشارة</w:t>
            </w:r>
            <w:r>
              <w:rPr>
                <w:rStyle w:val="IndexLink"/>
                <w:rtl w:val="true"/>
              </w:rPr>
              <w:tab/>
            </w:r>
            <w:r>
              <w:rPr>
                <w:rStyle w:val="IndexLink"/>
              </w:rPr>
              <w:t>16</w:t>
            </w:r>
          </w:hyperlink>
        </w:p>
        <w:p>
          <w:pPr>
            <w:pStyle w:val="Contents2"/>
            <w:tabs>
              <w:tab w:val="clear" w:pos="8743"/>
              <w:tab w:val="right" w:pos="9026" w:leader="dot"/>
            </w:tabs>
            <w:rPr/>
          </w:pPr>
          <w:hyperlink w:anchor="__RefHeading___Toc795125_222507752">
            <w:r>
              <w:rPr>
                <w:webHidden/>
                <w:rStyle w:val="IndexLink"/>
                <w:rtl w:val="true"/>
              </w:rPr>
              <w:t>اشارة</w:t>
            </w:r>
            <w:r>
              <w:rPr>
                <w:rStyle w:val="IndexLink"/>
                <w:rtl w:val="true"/>
              </w:rPr>
              <w:tab/>
            </w:r>
            <w:r>
              <w:rPr>
                <w:rStyle w:val="IndexLink"/>
              </w:rPr>
              <w:t>16</w:t>
            </w:r>
          </w:hyperlink>
        </w:p>
        <w:p>
          <w:pPr>
            <w:pStyle w:val="Contents2"/>
            <w:tabs>
              <w:tab w:val="clear" w:pos="8743"/>
              <w:tab w:val="right" w:pos="9026" w:leader="dot"/>
            </w:tabs>
            <w:rPr/>
          </w:pPr>
          <w:hyperlink w:anchor="__RefHeading___Toc795127_222507752">
            <w:r>
              <w:rPr>
                <w:webHidden/>
                <w:rStyle w:val="IndexLink"/>
                <w:rtl w:val="true"/>
              </w:rPr>
              <w:t>تتمة كتاب الطهارة</w:t>
            </w:r>
            <w:r>
              <w:rPr>
                <w:rStyle w:val="IndexLink"/>
                <w:rtl w:val="true"/>
              </w:rPr>
              <w:tab/>
            </w:r>
            <w:r>
              <w:rPr>
                <w:rStyle w:val="IndexLink"/>
              </w:rPr>
              <w:t>22</w:t>
            </w:r>
          </w:hyperlink>
        </w:p>
        <w:p>
          <w:pPr>
            <w:pStyle w:val="Contents3"/>
            <w:tabs>
              <w:tab w:val="clear" w:pos="8459"/>
              <w:tab w:val="right" w:pos="9026" w:leader="dot"/>
            </w:tabs>
            <w:rPr/>
          </w:pPr>
          <w:hyperlink w:anchor="__RefHeading___Toc795129_222507752">
            <w:r>
              <w:rPr>
                <w:webHidden/>
                <w:rStyle w:val="IndexLink"/>
                <w:rtl w:val="true"/>
              </w:rPr>
              <w:t>تتمة المقصد الثاني</w:t>
            </w:r>
            <w:r>
              <w:rPr>
                <w:rStyle w:val="IndexLink"/>
                <w:rtl w:val="true"/>
              </w:rPr>
              <w:tab/>
            </w:r>
            <w:r>
              <w:rPr>
                <w:rStyle w:val="IndexLink"/>
              </w:rPr>
              <w:t>22</w:t>
            </w:r>
          </w:hyperlink>
        </w:p>
        <w:p>
          <w:pPr>
            <w:pStyle w:val="Contents4"/>
            <w:tabs>
              <w:tab w:val="clear" w:pos="8176"/>
              <w:tab w:val="right" w:pos="9026" w:leader="dot"/>
            </w:tabs>
            <w:rPr/>
          </w:pPr>
          <w:hyperlink w:anchor="__RefHeading___Toc795131_222507752">
            <w:r>
              <w:rPr>
                <w:webHidden/>
                <w:rStyle w:val="IndexLink"/>
                <w:rtl w:val="true"/>
              </w:rPr>
              <w:t>البحث الرّابع</w:t>
            </w:r>
            <w:r>
              <w:rPr>
                <w:rStyle w:val="IndexLink"/>
                <w:rtl w:val="true"/>
              </w:rPr>
              <w:t>:</w:t>
            </w:r>
            <w:r>
              <w:rPr>
                <w:rStyle w:val="IndexLink"/>
                <w:rtl w:val="true"/>
              </w:rPr>
              <w:t>في أفعال الوضوء و كيفيّته</w:t>
            </w:r>
            <w:r>
              <w:rPr>
                <w:rStyle w:val="IndexLink"/>
                <w:rtl w:val="true"/>
              </w:rPr>
              <w:t>:</w:t>
              <w:tab/>
            </w:r>
            <w:r>
              <w:rPr>
                <w:rStyle w:val="IndexLink"/>
              </w:rPr>
              <w:t>22</w:t>
            </w:r>
          </w:hyperlink>
        </w:p>
        <w:p>
          <w:pPr>
            <w:pStyle w:val="Contents5"/>
            <w:tabs>
              <w:tab w:val="clear" w:pos="7892"/>
              <w:tab w:val="right" w:pos="9026" w:leader="dot"/>
            </w:tabs>
            <w:rPr/>
          </w:pPr>
          <w:hyperlink w:anchor="__RefHeading___Toc795133_222507752">
            <w:r>
              <w:rPr>
                <w:webHidden/>
                <w:rStyle w:val="IndexLink"/>
                <w:rtl w:val="true"/>
              </w:rPr>
              <w:t>مسألة</w:t>
            </w:r>
            <w:r>
              <w:rPr>
                <w:rStyle w:val="IndexLink"/>
                <w:rtl w:val="true"/>
              </w:rPr>
              <w:t>:</w:t>
            </w:r>
            <w:r>
              <w:rPr>
                <w:rStyle w:val="IndexLink"/>
                <w:rtl w:val="true"/>
              </w:rPr>
              <w:t>في النّيّة،</w:t>
            </w:r>
            <w:r>
              <w:rPr>
                <w:rStyle w:val="IndexLink"/>
                <w:rtl w:val="true"/>
              </w:rPr>
              <w:tab/>
            </w:r>
            <w:r>
              <w:rPr>
                <w:rStyle w:val="IndexLink"/>
              </w:rPr>
              <w:t>22</w:t>
            </w:r>
          </w:hyperlink>
        </w:p>
        <w:p>
          <w:pPr>
            <w:pStyle w:val="Contents6"/>
            <w:tabs>
              <w:tab w:val="clear" w:pos="7609"/>
              <w:tab w:val="right" w:pos="9026" w:leader="dot"/>
            </w:tabs>
            <w:rPr/>
          </w:pPr>
          <w:hyperlink w:anchor="__RefHeading___Toc795135_222507752">
            <w:r>
              <w:rPr>
                <w:webHidden/>
                <w:rStyle w:val="IndexLink"/>
                <w:rtl w:val="true"/>
              </w:rPr>
              <w:t>اشارة</w:t>
            </w:r>
            <w:r>
              <w:rPr>
                <w:rStyle w:val="IndexLink"/>
                <w:rtl w:val="true"/>
              </w:rPr>
              <w:tab/>
            </w:r>
            <w:r>
              <w:rPr>
                <w:rStyle w:val="IndexLink"/>
              </w:rPr>
              <w:t>22</w:t>
            </w:r>
          </w:hyperlink>
        </w:p>
        <w:p>
          <w:pPr>
            <w:pStyle w:val="Contents6"/>
            <w:tabs>
              <w:tab w:val="clear" w:pos="7609"/>
              <w:tab w:val="right" w:pos="9026" w:leader="dot"/>
            </w:tabs>
            <w:rPr/>
          </w:pPr>
          <w:hyperlink w:anchor="__RefHeading___Toc795137_222507752">
            <w:r>
              <w:rPr>
                <w:webHidden/>
                <w:rStyle w:val="IndexLink"/>
                <w:rtl w:val="true"/>
              </w:rPr>
              <w:t>الأوّل</w:t>
            </w:r>
            <w:r>
              <w:rPr>
                <w:rStyle w:val="IndexLink"/>
                <w:rtl w:val="true"/>
              </w:rPr>
              <w:t>:</w:t>
            </w:r>
            <w:r>
              <w:rPr>
                <w:rStyle w:val="IndexLink"/>
                <w:rtl w:val="true"/>
              </w:rPr>
              <w:t>في وجوبها</w:t>
            </w:r>
            <w:r>
              <w:rPr>
                <w:rStyle w:val="IndexLink"/>
                <w:rtl w:val="true"/>
              </w:rPr>
              <w:t>:</w:t>
              <w:tab/>
            </w:r>
            <w:r>
              <w:rPr>
                <w:rStyle w:val="IndexLink"/>
              </w:rPr>
              <w:t>22</w:t>
            </w:r>
          </w:hyperlink>
        </w:p>
        <w:p>
          <w:pPr>
            <w:pStyle w:val="Contents6"/>
            <w:tabs>
              <w:tab w:val="clear" w:pos="7609"/>
              <w:tab w:val="right" w:pos="9026" w:leader="dot"/>
            </w:tabs>
            <w:rPr/>
          </w:pPr>
          <w:hyperlink w:anchor="__RefHeading___Toc795139_222507752">
            <w:r>
              <w:rPr>
                <w:webHidden/>
                <w:rStyle w:val="IndexLink"/>
                <w:rtl w:val="true"/>
              </w:rPr>
              <w:t>فروع</w:t>
            </w:r>
            <w:r>
              <w:rPr>
                <w:rStyle w:val="IndexLink"/>
                <w:rtl w:val="true"/>
              </w:rPr>
              <w:t>:</w:t>
              <w:tab/>
            </w:r>
            <w:r>
              <w:rPr>
                <w:rStyle w:val="IndexLink"/>
              </w:rPr>
              <w:t>27</w:t>
            </w:r>
          </w:hyperlink>
        </w:p>
        <w:p>
          <w:pPr>
            <w:pStyle w:val="Contents6"/>
            <w:tabs>
              <w:tab w:val="clear" w:pos="7609"/>
              <w:tab w:val="right" w:pos="9026" w:leader="dot"/>
            </w:tabs>
            <w:rPr/>
          </w:pPr>
          <w:hyperlink w:anchor="__RefHeading___Toc795141_222507752">
            <w:r>
              <w:rPr>
                <w:webHidden/>
                <w:rStyle w:val="IndexLink"/>
                <w:rtl w:val="true"/>
              </w:rPr>
              <w:t>الأوّل</w:t>
            </w:r>
            <w:r>
              <w:rPr>
                <w:rStyle w:val="IndexLink"/>
                <w:rtl w:val="true"/>
              </w:rPr>
              <w:t>:</w:t>
            </w:r>
            <w:r>
              <w:rPr>
                <w:rStyle w:val="IndexLink"/>
                <w:rtl w:val="true"/>
              </w:rPr>
              <w:t>إزالة النّجاسة لا تفتقر إلى النّيّة</w:t>
            </w:r>
            <w:r>
              <w:rPr>
                <w:rStyle w:val="IndexLink"/>
                <w:rtl w:val="true"/>
              </w:rPr>
              <w:t>.</w:t>
              <w:tab/>
            </w:r>
            <w:r>
              <w:rPr>
                <w:rStyle w:val="IndexLink"/>
              </w:rPr>
              <w:t>27</w:t>
            </w:r>
          </w:hyperlink>
        </w:p>
        <w:p>
          <w:pPr>
            <w:pStyle w:val="Contents6"/>
            <w:tabs>
              <w:tab w:val="clear" w:pos="7609"/>
              <w:tab w:val="right" w:pos="9026" w:leader="dot"/>
            </w:tabs>
            <w:rPr/>
          </w:pPr>
          <w:hyperlink w:anchor="__RefHeading___Toc795143_222507752">
            <w:r>
              <w:rPr>
                <w:webHidden/>
                <w:rStyle w:val="IndexLink"/>
                <w:rtl w:val="true"/>
              </w:rPr>
              <w:t>الثّاني</w:t>
            </w:r>
            <w:r>
              <w:rPr>
                <w:rStyle w:val="IndexLink"/>
                <w:rtl w:val="true"/>
              </w:rPr>
              <w:t>:</w:t>
            </w:r>
            <w:r>
              <w:rPr>
                <w:rStyle w:val="IndexLink"/>
                <w:rtl w:val="true"/>
              </w:rPr>
              <w:t>غسل الميّت لا بدّ فيه من النّيّة</w:t>
            </w:r>
            <w:r>
              <w:rPr>
                <w:rStyle w:val="IndexLink"/>
                <w:rtl w:val="true"/>
              </w:rPr>
              <w:tab/>
            </w:r>
            <w:r>
              <w:rPr>
                <w:rStyle w:val="IndexLink"/>
              </w:rPr>
              <w:t>28</w:t>
            </w:r>
          </w:hyperlink>
        </w:p>
        <w:p>
          <w:pPr>
            <w:pStyle w:val="Contents6"/>
            <w:tabs>
              <w:tab w:val="clear" w:pos="7609"/>
              <w:tab w:val="right" w:pos="9026" w:leader="dot"/>
            </w:tabs>
            <w:rPr/>
          </w:pPr>
          <w:hyperlink w:anchor="__RefHeading___Toc795145_222507752">
            <w:r>
              <w:rPr>
                <w:webHidden/>
                <w:rStyle w:val="IndexLink"/>
                <w:rtl w:val="true"/>
              </w:rPr>
              <w:t>الثّالث</w:t>
            </w:r>
            <w:r>
              <w:rPr>
                <w:rStyle w:val="IndexLink"/>
                <w:rtl w:val="true"/>
              </w:rPr>
              <w:t>:</w:t>
            </w:r>
            <w:r>
              <w:rPr>
                <w:rStyle w:val="IndexLink"/>
                <w:rtl w:val="true"/>
              </w:rPr>
              <w:t>الحائض إذا انقطع دمها قال بعض علمائنا</w:t>
            </w:r>
            <w:r>
              <w:rPr>
                <w:rStyle w:val="IndexLink"/>
                <w:rtl w:val="true"/>
              </w:rPr>
              <w:t>:</w:t>
            </w:r>
            <w:r>
              <w:rPr>
                <w:rStyle w:val="IndexLink"/>
                <w:rtl w:val="true"/>
              </w:rPr>
              <w:t>لا يحلّ للزّوج الوطء</w:t>
            </w:r>
            <w:r>
              <w:rPr>
                <w:rStyle w:val="IndexLink"/>
                <w:rtl w:val="true"/>
              </w:rPr>
              <w:tab/>
            </w:r>
            <w:r>
              <w:rPr>
                <w:rStyle w:val="IndexLink"/>
              </w:rPr>
              <w:t>28</w:t>
            </w:r>
          </w:hyperlink>
        </w:p>
        <w:p>
          <w:pPr>
            <w:pStyle w:val="Contents6"/>
            <w:tabs>
              <w:tab w:val="clear" w:pos="7609"/>
              <w:tab w:val="right" w:pos="9026" w:leader="dot"/>
            </w:tabs>
            <w:rPr/>
          </w:pPr>
          <w:hyperlink w:anchor="__RefHeading___Toc795147_222507752">
            <w:r>
              <w:rPr>
                <w:webHidden/>
                <w:rStyle w:val="IndexLink"/>
                <w:rtl w:val="true"/>
              </w:rPr>
              <w:t>الرّابع</w:t>
            </w:r>
            <w:r>
              <w:rPr>
                <w:rStyle w:val="IndexLink"/>
                <w:rtl w:val="true"/>
              </w:rPr>
              <w:t>:</w:t>
            </w:r>
            <w:r>
              <w:rPr>
                <w:rStyle w:val="IndexLink"/>
                <w:rtl w:val="true"/>
              </w:rPr>
              <w:t>لو ارتدّ لم يبطل غسله و لا وضوؤه على الأقوى</w:t>
            </w:r>
            <w:r>
              <w:rPr>
                <w:rStyle w:val="IndexLink"/>
                <w:rtl w:val="true"/>
              </w:rPr>
              <w:tab/>
            </w:r>
            <w:r>
              <w:rPr>
                <w:rStyle w:val="IndexLink"/>
              </w:rPr>
              <w:t>28</w:t>
            </w:r>
          </w:hyperlink>
        </w:p>
        <w:p>
          <w:pPr>
            <w:pStyle w:val="Contents6"/>
            <w:tabs>
              <w:tab w:val="clear" w:pos="7609"/>
              <w:tab w:val="right" w:pos="9026" w:leader="dot"/>
            </w:tabs>
            <w:rPr/>
          </w:pPr>
          <w:hyperlink w:anchor="__RefHeading___Toc795149_222507752">
            <w:r>
              <w:rPr>
                <w:webHidden/>
                <w:rStyle w:val="IndexLink"/>
                <w:rtl w:val="true"/>
              </w:rPr>
              <w:t>الخامس</w:t>
            </w:r>
            <w:r>
              <w:rPr>
                <w:rStyle w:val="IndexLink"/>
                <w:rtl w:val="true"/>
              </w:rPr>
              <w:t>:</w:t>
            </w:r>
            <w:r>
              <w:rPr>
                <w:rStyle w:val="IndexLink"/>
                <w:rtl w:val="true"/>
              </w:rPr>
              <w:t>طهارة الصّبيّ معتبرة عند الشّيخ ،و فيه إشكال</w:t>
            </w:r>
            <w:r>
              <w:rPr>
                <w:rStyle w:val="IndexLink"/>
                <w:rtl w:val="true"/>
              </w:rPr>
              <w:tab/>
            </w:r>
            <w:r>
              <w:rPr>
                <w:rStyle w:val="IndexLink"/>
              </w:rPr>
              <w:t>28</w:t>
            </w:r>
          </w:hyperlink>
        </w:p>
        <w:p>
          <w:pPr>
            <w:pStyle w:val="Contents6"/>
            <w:tabs>
              <w:tab w:val="clear" w:pos="7609"/>
              <w:tab w:val="right" w:pos="9026" w:leader="dot"/>
            </w:tabs>
            <w:rPr/>
          </w:pPr>
          <w:hyperlink w:anchor="__RefHeading___Toc795151_222507752">
            <w:r>
              <w:rPr>
                <w:webHidden/>
                <w:rStyle w:val="IndexLink"/>
                <w:rtl w:val="true"/>
              </w:rPr>
              <w:t>السّادس</w:t>
            </w:r>
            <w:r>
              <w:rPr>
                <w:rStyle w:val="IndexLink"/>
                <w:rtl w:val="true"/>
              </w:rPr>
              <w:t>:</w:t>
            </w:r>
            <w:r>
              <w:rPr>
                <w:rStyle w:val="IndexLink"/>
                <w:rtl w:val="true"/>
              </w:rPr>
              <w:t>لو اغتسل الجنب و ترك جزءا من بدنه،</w:t>
            </w:r>
            <w:r>
              <w:rPr>
                <w:rStyle w:val="IndexLink"/>
                <w:rtl w:val="true"/>
              </w:rPr>
              <w:tab/>
            </w:r>
            <w:r>
              <w:rPr>
                <w:rStyle w:val="IndexLink"/>
              </w:rPr>
              <w:t>29</w:t>
            </w:r>
          </w:hyperlink>
        </w:p>
        <w:p>
          <w:pPr>
            <w:pStyle w:val="Contents6"/>
            <w:tabs>
              <w:tab w:val="clear" w:pos="7609"/>
              <w:tab w:val="right" w:pos="9026" w:leader="dot"/>
            </w:tabs>
            <w:rPr/>
          </w:pPr>
          <w:hyperlink w:anchor="__RefHeading___Toc795153_222507752">
            <w:r>
              <w:rPr>
                <w:webHidden/>
                <w:rStyle w:val="IndexLink"/>
                <w:rtl w:val="true"/>
              </w:rPr>
              <w:t>السّابع</w:t>
            </w:r>
            <w:r>
              <w:rPr>
                <w:rStyle w:val="IndexLink"/>
                <w:rtl w:val="true"/>
              </w:rPr>
              <w:t>:</w:t>
            </w:r>
            <w:r>
              <w:rPr>
                <w:rStyle w:val="IndexLink"/>
                <w:rtl w:val="true"/>
              </w:rPr>
              <w:t>لو نوت المستحاضة بالوضوء استباحة صلاتين فما زاد،ففي صحّة</w:t>
            </w:r>
            <w:r>
              <w:rPr>
                <w:rStyle w:val="IndexLink"/>
                <w:rtl w:val="true"/>
              </w:rPr>
              <w:tab/>
            </w:r>
            <w:r>
              <w:rPr>
                <w:rStyle w:val="IndexLink"/>
              </w:rPr>
              <w:t>29</w:t>
            </w:r>
          </w:hyperlink>
        </w:p>
        <w:p>
          <w:pPr>
            <w:pStyle w:val="Contents6"/>
            <w:tabs>
              <w:tab w:val="clear" w:pos="7609"/>
              <w:tab w:val="right" w:pos="9026" w:leader="dot"/>
            </w:tabs>
            <w:rPr/>
          </w:pPr>
          <w:hyperlink w:anchor="__RefHeading___Toc795155_222507752">
            <w:r>
              <w:rPr>
                <w:webHidden/>
                <w:rStyle w:val="IndexLink"/>
                <w:rtl w:val="true"/>
              </w:rPr>
              <w:t>الثّاني</w:t>
            </w:r>
            <w:r>
              <w:rPr>
                <w:rStyle w:val="IndexLink"/>
                <w:rtl w:val="true"/>
              </w:rPr>
              <w:t>:</w:t>
            </w:r>
            <w:r>
              <w:rPr>
                <w:rStyle w:val="IndexLink"/>
                <w:rtl w:val="true"/>
              </w:rPr>
              <w:t>في كيفيّتها و شرائطها</w:t>
            </w:r>
            <w:r>
              <w:rPr>
                <w:rStyle w:val="IndexLink"/>
                <w:rtl w:val="true"/>
              </w:rPr>
              <w:t>.</w:t>
              <w:tab/>
            </w:r>
            <w:r>
              <w:rPr>
                <w:rStyle w:val="IndexLink"/>
              </w:rPr>
              <w:t>29</w:t>
            </w:r>
          </w:hyperlink>
        </w:p>
        <w:p>
          <w:pPr>
            <w:pStyle w:val="Contents6"/>
            <w:tabs>
              <w:tab w:val="clear" w:pos="7609"/>
              <w:tab w:val="right" w:pos="9026" w:leader="dot"/>
            </w:tabs>
            <w:rPr/>
          </w:pPr>
          <w:hyperlink w:anchor="__RefHeading___Toc795157_222507752">
            <w:r>
              <w:rPr>
                <w:webHidden/>
                <w:rStyle w:val="IndexLink"/>
                <w:rtl w:val="true"/>
              </w:rPr>
              <w:t>فروع</w:t>
            </w:r>
            <w:r>
              <w:rPr>
                <w:rStyle w:val="IndexLink"/>
                <w:rtl w:val="true"/>
              </w:rPr>
              <w:t>:</w:t>
              <w:tab/>
            </w:r>
            <w:r>
              <w:rPr>
                <w:rStyle w:val="IndexLink"/>
              </w:rPr>
              <w:t>30</w:t>
            </w:r>
          </w:hyperlink>
        </w:p>
        <w:p>
          <w:pPr>
            <w:pStyle w:val="Contents6"/>
            <w:tabs>
              <w:tab w:val="clear" w:pos="7609"/>
              <w:tab w:val="right" w:pos="9026" w:leader="dot"/>
            </w:tabs>
            <w:rPr/>
          </w:pPr>
          <w:hyperlink w:anchor="__RefHeading___Toc795159_222507752">
            <w:r>
              <w:rPr>
                <w:webHidden/>
                <w:rStyle w:val="IndexLink"/>
                <w:rtl w:val="true"/>
              </w:rPr>
              <w:t>الأوّل</w:t>
            </w:r>
            <w:r>
              <w:rPr>
                <w:rStyle w:val="IndexLink"/>
                <w:rtl w:val="true"/>
              </w:rPr>
              <w:t>:</w:t>
            </w:r>
            <w:r>
              <w:rPr>
                <w:rStyle w:val="IndexLink"/>
                <w:rtl w:val="true"/>
              </w:rPr>
              <w:t>لو نوى ما لا يشرع له الطّهارة كالأكل،و البيع،و التّبرّد لم يرتفع حدثه</w:t>
            </w:r>
            <w:r>
              <w:rPr>
                <w:rStyle w:val="IndexLink"/>
                <w:rtl w:val="true"/>
              </w:rPr>
              <w:tab/>
            </w:r>
            <w:r>
              <w:rPr>
                <w:rStyle w:val="IndexLink"/>
              </w:rPr>
              <w:t>30</w:t>
            </w:r>
          </w:hyperlink>
        </w:p>
        <w:p>
          <w:pPr>
            <w:pStyle w:val="Contents6"/>
            <w:tabs>
              <w:tab w:val="clear" w:pos="7609"/>
              <w:tab w:val="right" w:pos="9026" w:leader="dot"/>
            </w:tabs>
            <w:rPr/>
          </w:pPr>
          <w:hyperlink w:anchor="__RefHeading___Toc795161_222507752">
            <w:r>
              <w:rPr>
                <w:webHidden/>
                <w:rStyle w:val="IndexLink"/>
                <w:rtl w:val="true"/>
              </w:rPr>
              <w:t>الثّاني</w:t>
            </w:r>
            <w:r>
              <w:rPr>
                <w:rStyle w:val="IndexLink"/>
                <w:rtl w:val="true"/>
              </w:rPr>
              <w:t>:</w:t>
            </w:r>
            <w:r>
              <w:rPr>
                <w:rStyle w:val="IndexLink"/>
                <w:rtl w:val="true"/>
              </w:rPr>
              <w:t>لو نوى ما ليس من شرطه الطّهارة</w:t>
            </w:r>
            <w:r>
              <w:rPr>
                <w:rStyle w:val="IndexLink"/>
                <w:rtl w:val="true"/>
              </w:rPr>
              <w:tab/>
            </w:r>
            <w:r>
              <w:rPr>
                <w:rStyle w:val="IndexLink"/>
              </w:rPr>
              <w:t>31</w:t>
            </w:r>
          </w:hyperlink>
        </w:p>
        <w:p>
          <w:pPr>
            <w:pStyle w:val="Contents6"/>
            <w:tabs>
              <w:tab w:val="clear" w:pos="7609"/>
              <w:tab w:val="right" w:pos="9026" w:leader="dot"/>
            </w:tabs>
            <w:rPr/>
          </w:pPr>
          <w:hyperlink w:anchor="__RefHeading___Toc795163_222507752">
            <w:r>
              <w:rPr>
                <w:webHidden/>
                <w:rStyle w:val="IndexLink"/>
                <w:rtl w:val="true"/>
              </w:rPr>
              <w:t>الثّالث</w:t>
            </w:r>
            <w:r>
              <w:rPr>
                <w:rStyle w:val="IndexLink"/>
                <w:rtl w:val="true"/>
              </w:rPr>
              <w:t>:</w:t>
            </w:r>
            <w:r>
              <w:rPr>
                <w:rStyle w:val="IndexLink"/>
                <w:rtl w:val="true"/>
              </w:rPr>
              <w:t>لو جدّد الطّهارة ندبا فتبيّن انّه كان محدثا فوجهان</w:t>
            </w:r>
            <w:r>
              <w:rPr>
                <w:rStyle w:val="IndexLink"/>
                <w:rtl w:val="true"/>
              </w:rPr>
              <w:t>:</w:t>
              <w:tab/>
            </w:r>
            <w:r>
              <w:rPr>
                <w:rStyle w:val="IndexLink"/>
              </w:rPr>
              <w:t>31</w:t>
            </w:r>
          </w:hyperlink>
        </w:p>
        <w:p>
          <w:pPr>
            <w:pStyle w:val="Contents6"/>
            <w:tabs>
              <w:tab w:val="clear" w:pos="7609"/>
              <w:tab w:val="right" w:pos="9026" w:leader="dot"/>
            </w:tabs>
            <w:rPr/>
          </w:pPr>
          <w:hyperlink w:anchor="__RefHeading___Toc795165_222507752">
            <w:r>
              <w:rPr>
                <w:webHidden/>
                <w:rStyle w:val="IndexLink"/>
                <w:rtl w:val="true"/>
              </w:rPr>
              <w:t>الرّابع</w:t>
            </w:r>
            <w:r>
              <w:rPr>
                <w:rStyle w:val="IndexLink"/>
                <w:rtl w:val="true"/>
              </w:rPr>
              <w:t>:</w:t>
            </w:r>
            <w:r>
              <w:rPr>
                <w:rStyle w:val="IndexLink"/>
                <w:rtl w:val="true"/>
              </w:rPr>
              <w:t>لو نوى الجنب الاستيطان في المسجد،أو قراءة العزائم،أو مسّ كتابة</w:t>
            </w:r>
            <w:r>
              <w:rPr>
                <w:rStyle w:val="IndexLink"/>
                <w:rtl w:val="true"/>
              </w:rPr>
              <w:tab/>
            </w:r>
            <w:r>
              <w:rPr>
                <w:rStyle w:val="IndexLink"/>
              </w:rPr>
              <w:t>31</w:t>
            </w:r>
          </w:hyperlink>
        </w:p>
        <w:p>
          <w:pPr>
            <w:pStyle w:val="Contents6"/>
            <w:tabs>
              <w:tab w:val="clear" w:pos="7609"/>
              <w:tab w:val="right" w:pos="9026" w:leader="dot"/>
            </w:tabs>
            <w:rPr/>
          </w:pPr>
          <w:hyperlink w:anchor="__RefHeading___Toc795167_222507752">
            <w:r>
              <w:rPr>
                <w:webHidden/>
                <w:rStyle w:val="IndexLink"/>
                <w:rtl w:val="true"/>
              </w:rPr>
              <w:t>الخامس</w:t>
            </w:r>
            <w:r>
              <w:rPr>
                <w:rStyle w:val="IndexLink"/>
                <w:rtl w:val="true"/>
              </w:rPr>
              <w:t>:</w:t>
            </w:r>
            <w:r>
              <w:rPr>
                <w:rStyle w:val="IndexLink"/>
                <w:rtl w:val="true"/>
              </w:rPr>
              <w:t>لو نوى الطّهارة و التّبرّد أجزأه</w:t>
            </w:r>
            <w:r>
              <w:rPr>
                <w:rStyle w:val="IndexLink"/>
                <w:rtl w:val="true"/>
              </w:rPr>
              <w:tab/>
            </w:r>
            <w:r>
              <w:rPr>
                <w:rStyle w:val="IndexLink"/>
              </w:rPr>
              <w:t>32</w:t>
            </w:r>
          </w:hyperlink>
        </w:p>
        <w:p>
          <w:pPr>
            <w:pStyle w:val="Contents6"/>
            <w:tabs>
              <w:tab w:val="clear" w:pos="7609"/>
              <w:tab w:val="right" w:pos="9026" w:leader="dot"/>
            </w:tabs>
            <w:rPr/>
          </w:pPr>
          <w:hyperlink w:anchor="__RefHeading___Toc795169_222507752">
            <w:r>
              <w:rPr>
                <w:webHidden/>
                <w:rStyle w:val="IndexLink"/>
                <w:rtl w:val="true"/>
              </w:rPr>
              <w:t>السّادس</w:t>
            </w:r>
            <w:r>
              <w:rPr>
                <w:rStyle w:val="IndexLink"/>
                <w:rtl w:val="true"/>
              </w:rPr>
              <w:t>:</w:t>
            </w:r>
            <w:r>
              <w:rPr>
                <w:rStyle w:val="IndexLink"/>
                <w:rtl w:val="true"/>
              </w:rPr>
              <w:t>لو عزبت النّيّة عن خاطره في أثناء الطّهارة لم يؤثّر في صحّتها،</w:t>
            </w:r>
            <w:r>
              <w:rPr>
                <w:rStyle w:val="IndexLink"/>
                <w:rtl w:val="true"/>
              </w:rPr>
              <w:tab/>
            </w:r>
            <w:r>
              <w:rPr>
                <w:rStyle w:val="IndexLink"/>
              </w:rPr>
              <w:t>32</w:t>
            </w:r>
          </w:hyperlink>
        </w:p>
        <w:p>
          <w:pPr>
            <w:pStyle w:val="Contents6"/>
            <w:tabs>
              <w:tab w:val="clear" w:pos="7609"/>
              <w:tab w:val="right" w:pos="9026" w:leader="dot"/>
            </w:tabs>
            <w:rPr/>
          </w:pPr>
          <w:hyperlink w:anchor="__RefHeading___Toc795171_222507752">
            <w:r>
              <w:rPr>
                <w:webHidden/>
                <w:rStyle w:val="IndexLink"/>
                <w:rtl w:val="true"/>
              </w:rPr>
              <w:t>السّابع</w:t>
            </w:r>
            <w:r>
              <w:rPr>
                <w:rStyle w:val="IndexLink"/>
                <w:rtl w:val="true"/>
              </w:rPr>
              <w:t>:</w:t>
            </w:r>
            <w:r>
              <w:rPr>
                <w:rStyle w:val="IndexLink"/>
                <w:rtl w:val="true"/>
              </w:rPr>
              <w:t>لو نوى قطع النّيّة في أثناء الطّهارة لم يبطل فعله</w:t>
            </w:r>
            <w:r>
              <w:rPr>
                <w:rStyle w:val="IndexLink"/>
                <w:rtl w:val="true"/>
              </w:rPr>
              <w:tab/>
            </w:r>
            <w:r>
              <w:rPr>
                <w:rStyle w:val="IndexLink"/>
              </w:rPr>
              <w:t>33</w:t>
            </w:r>
          </w:hyperlink>
        </w:p>
        <w:p>
          <w:pPr>
            <w:pStyle w:val="Contents6"/>
            <w:tabs>
              <w:tab w:val="clear" w:pos="7609"/>
              <w:tab w:val="right" w:pos="9026" w:leader="dot"/>
            </w:tabs>
            <w:rPr/>
          </w:pPr>
          <w:hyperlink w:anchor="__RefHeading___Toc795173_222507752">
            <w:r>
              <w:rPr>
                <w:webHidden/>
                <w:rStyle w:val="IndexLink"/>
                <w:rtl w:val="true"/>
              </w:rPr>
              <w:t>الثّامن</w:t>
            </w:r>
            <w:r>
              <w:rPr>
                <w:rStyle w:val="IndexLink"/>
                <w:rtl w:val="true"/>
              </w:rPr>
              <w:t>:</w:t>
            </w:r>
            <w:r>
              <w:rPr>
                <w:rStyle w:val="IndexLink"/>
                <w:rtl w:val="true"/>
              </w:rPr>
              <w:t>لو شكّ في النّيّة بعد الفراغ لم يلتفت،</w:t>
            </w:r>
            <w:r>
              <w:rPr>
                <w:rStyle w:val="IndexLink"/>
                <w:rtl w:val="true"/>
              </w:rPr>
              <w:tab/>
            </w:r>
            <w:r>
              <w:rPr>
                <w:rStyle w:val="IndexLink"/>
              </w:rPr>
              <w:t>33</w:t>
            </w:r>
          </w:hyperlink>
        </w:p>
        <w:p>
          <w:pPr>
            <w:pStyle w:val="Contents6"/>
            <w:tabs>
              <w:tab w:val="clear" w:pos="7609"/>
              <w:tab w:val="right" w:pos="9026" w:leader="dot"/>
            </w:tabs>
            <w:rPr/>
          </w:pPr>
          <w:hyperlink w:anchor="__RefHeading___Toc795175_222507752">
            <w:r>
              <w:rPr>
                <w:webHidden/>
                <w:rStyle w:val="IndexLink"/>
                <w:rtl w:val="true"/>
              </w:rPr>
              <w:t>التّاسع</w:t>
            </w:r>
            <w:r>
              <w:rPr>
                <w:rStyle w:val="IndexLink"/>
                <w:rtl w:val="true"/>
              </w:rPr>
              <w:t>:</w:t>
            </w:r>
            <w:r>
              <w:rPr>
                <w:rStyle w:val="IndexLink"/>
                <w:rtl w:val="true"/>
              </w:rPr>
              <w:t>لو وضّأه غيره لعذر اعتبرت نيّة المتوضّئ،</w:t>
            </w:r>
            <w:r>
              <w:rPr>
                <w:rStyle w:val="IndexLink"/>
                <w:rtl w:val="true"/>
              </w:rPr>
              <w:tab/>
            </w:r>
            <w:r>
              <w:rPr>
                <w:rStyle w:val="IndexLink"/>
              </w:rPr>
              <w:t>33</w:t>
            </w:r>
          </w:hyperlink>
        </w:p>
        <w:p>
          <w:pPr>
            <w:pStyle w:val="Contents6"/>
            <w:tabs>
              <w:tab w:val="clear" w:pos="7609"/>
              <w:tab w:val="right" w:pos="9026" w:leader="dot"/>
            </w:tabs>
            <w:rPr/>
          </w:pPr>
          <w:hyperlink w:anchor="__RefHeading___Toc795177_222507752">
            <w:r>
              <w:rPr>
                <w:webHidden/>
                <w:rStyle w:val="IndexLink"/>
                <w:rtl w:val="true"/>
              </w:rPr>
              <w:t>العاشر</w:t>
            </w:r>
            <w:r>
              <w:rPr>
                <w:rStyle w:val="IndexLink"/>
                <w:rtl w:val="true"/>
              </w:rPr>
              <w:t>:</w:t>
            </w:r>
            <w:r>
              <w:rPr>
                <w:rStyle w:val="IndexLink"/>
                <w:rtl w:val="true"/>
              </w:rPr>
              <w:t>لا تصحّ طهارة الكافر</w:t>
            </w:r>
            <w:r>
              <w:rPr>
                <w:rStyle w:val="IndexLink"/>
                <w:rtl w:val="true"/>
              </w:rPr>
              <w:tab/>
            </w:r>
            <w:r>
              <w:rPr>
                <w:rStyle w:val="IndexLink"/>
              </w:rPr>
              <w:t>33</w:t>
            </w:r>
          </w:hyperlink>
        </w:p>
        <w:p>
          <w:pPr>
            <w:pStyle w:val="Contents6"/>
            <w:tabs>
              <w:tab w:val="clear" w:pos="7609"/>
              <w:tab w:val="right" w:pos="9026" w:leader="dot"/>
            </w:tabs>
            <w:rPr/>
          </w:pPr>
          <w:hyperlink w:anchor="__RefHeading___Toc795179_222507752">
            <w:r>
              <w:rPr>
                <w:webHidden/>
                <w:rStyle w:val="IndexLink"/>
                <w:rtl w:val="true"/>
              </w:rPr>
              <w:t>الحادي عشر</w:t>
            </w:r>
            <w:r>
              <w:rPr>
                <w:rStyle w:val="IndexLink"/>
                <w:rtl w:val="true"/>
              </w:rPr>
              <w:t>:</w:t>
            </w:r>
            <w:r>
              <w:rPr>
                <w:rStyle w:val="IndexLink"/>
                <w:rtl w:val="true"/>
              </w:rPr>
              <w:t>لو نوى بطهارته صلاة معيّنة،كان كما لو نوى استباحة</w:t>
            </w:r>
            <w:r>
              <w:rPr>
                <w:rStyle w:val="IndexLink"/>
                <w:rtl w:val="true"/>
              </w:rPr>
              <w:tab/>
            </w:r>
            <w:r>
              <w:rPr>
                <w:rStyle w:val="IndexLink"/>
              </w:rPr>
              <w:t>33</w:t>
            </w:r>
          </w:hyperlink>
        </w:p>
        <w:p>
          <w:pPr>
            <w:pStyle w:val="Contents6"/>
            <w:tabs>
              <w:tab w:val="clear" w:pos="7609"/>
              <w:tab w:val="right" w:pos="9026" w:leader="dot"/>
            </w:tabs>
            <w:rPr/>
          </w:pPr>
          <w:hyperlink w:anchor="__RefHeading___Toc795181_222507752">
            <w:r>
              <w:rPr>
                <w:webHidden/>
                <w:rStyle w:val="IndexLink"/>
                <w:rtl w:val="true"/>
              </w:rPr>
              <w:t>الثّاني عشر</w:t>
            </w:r>
            <w:r>
              <w:rPr>
                <w:rStyle w:val="IndexLink"/>
                <w:rtl w:val="true"/>
              </w:rPr>
              <w:t>:</w:t>
            </w:r>
            <w:r>
              <w:rPr>
                <w:rStyle w:val="IndexLink"/>
                <w:rtl w:val="true"/>
              </w:rPr>
              <w:t>المستحاضة تكفيها نيّة استباحة الصّلاة</w:t>
            </w:r>
            <w:r>
              <w:rPr>
                <w:rStyle w:val="IndexLink"/>
                <w:rtl w:val="true"/>
              </w:rPr>
              <w:t>.</w:t>
              <w:tab/>
            </w:r>
            <w:r>
              <w:rPr>
                <w:rStyle w:val="IndexLink"/>
              </w:rPr>
              <w:t>34</w:t>
            </w:r>
          </w:hyperlink>
        </w:p>
        <w:p>
          <w:pPr>
            <w:pStyle w:val="Contents6"/>
            <w:tabs>
              <w:tab w:val="clear" w:pos="7609"/>
              <w:tab w:val="right" w:pos="9026" w:leader="dot"/>
            </w:tabs>
            <w:rPr/>
          </w:pPr>
          <w:hyperlink w:anchor="__RefHeading___Toc795183_222507752">
            <w:r>
              <w:rPr>
                <w:webHidden/>
                <w:rStyle w:val="IndexLink"/>
                <w:rtl w:val="true"/>
              </w:rPr>
              <w:t>الثّالث عشر</w:t>
            </w:r>
            <w:r>
              <w:rPr>
                <w:rStyle w:val="IndexLink"/>
                <w:rtl w:val="true"/>
              </w:rPr>
              <w:t>:</w:t>
            </w:r>
            <w:r>
              <w:rPr>
                <w:rStyle w:val="IndexLink"/>
                <w:rtl w:val="true"/>
              </w:rPr>
              <w:t>لو فرّق النّيّة على أعضاء الوضوء،بأن نوى غسل الوجه لرفع</w:t>
            </w:r>
            <w:r>
              <w:rPr>
                <w:rStyle w:val="IndexLink"/>
                <w:rtl w:val="true"/>
              </w:rPr>
              <w:tab/>
            </w:r>
            <w:r>
              <w:rPr>
                <w:rStyle w:val="IndexLink"/>
              </w:rPr>
              <w:t>34</w:t>
            </w:r>
          </w:hyperlink>
        </w:p>
        <w:p>
          <w:pPr>
            <w:pStyle w:val="Contents6"/>
            <w:tabs>
              <w:tab w:val="clear" w:pos="7609"/>
              <w:tab w:val="right" w:pos="9026" w:leader="dot"/>
            </w:tabs>
            <w:rPr/>
          </w:pPr>
          <w:hyperlink w:anchor="__RefHeading___Toc795185_222507752">
            <w:r>
              <w:rPr>
                <w:webHidden/>
                <w:rStyle w:val="IndexLink"/>
                <w:rtl w:val="true"/>
              </w:rPr>
              <w:t>الرّابع عشر</w:t>
            </w:r>
            <w:r>
              <w:rPr>
                <w:rStyle w:val="IndexLink"/>
                <w:rtl w:val="true"/>
              </w:rPr>
              <w:t>:</w:t>
            </w:r>
            <w:r>
              <w:rPr>
                <w:rStyle w:val="IndexLink"/>
                <w:rtl w:val="true"/>
              </w:rPr>
              <w:t>قد بيّنا انّه يستحبّ غسل اليدين قبل إدخالهما الإناء ،</w:t>
            </w:r>
            <w:r>
              <w:rPr>
                <w:rStyle w:val="IndexLink"/>
                <w:rtl w:val="true"/>
              </w:rPr>
              <w:tab/>
            </w:r>
            <w:r>
              <w:rPr>
                <w:rStyle w:val="IndexLink"/>
              </w:rPr>
              <w:t>35</w:t>
            </w:r>
          </w:hyperlink>
        </w:p>
        <w:p>
          <w:pPr>
            <w:pStyle w:val="Contents6"/>
            <w:tabs>
              <w:tab w:val="clear" w:pos="7609"/>
              <w:tab w:val="right" w:pos="9026" w:leader="dot"/>
            </w:tabs>
            <w:rPr/>
          </w:pPr>
          <w:hyperlink w:anchor="__RefHeading___Toc795187_222507752">
            <w:r>
              <w:rPr>
                <w:webHidden/>
                <w:rStyle w:val="IndexLink"/>
                <w:rtl w:val="true"/>
              </w:rPr>
              <w:t>الخامس عشر</w:t>
            </w:r>
            <w:r>
              <w:rPr>
                <w:rStyle w:val="IndexLink"/>
                <w:rtl w:val="true"/>
              </w:rPr>
              <w:t>:</w:t>
            </w:r>
            <w:r>
              <w:rPr>
                <w:rStyle w:val="IndexLink"/>
                <w:rtl w:val="true"/>
              </w:rPr>
              <w:t>لو نوى رفع حدث معيّن ارتفعت جميع الأحداث،</w:t>
            </w:r>
            <w:r>
              <w:rPr>
                <w:rStyle w:val="IndexLink"/>
                <w:rtl w:val="true"/>
              </w:rPr>
              <w:tab/>
            </w:r>
            <w:r>
              <w:rPr>
                <w:rStyle w:val="IndexLink"/>
              </w:rPr>
              <w:t>35</w:t>
            </w:r>
          </w:hyperlink>
        </w:p>
        <w:p>
          <w:pPr>
            <w:pStyle w:val="Contents6"/>
            <w:tabs>
              <w:tab w:val="clear" w:pos="7609"/>
              <w:tab w:val="right" w:pos="9026" w:leader="dot"/>
            </w:tabs>
            <w:rPr/>
          </w:pPr>
          <w:hyperlink w:anchor="__RefHeading___Toc795189_222507752">
            <w:r>
              <w:rPr>
                <w:webHidden/>
                <w:rStyle w:val="IndexLink"/>
                <w:rtl w:val="true"/>
              </w:rPr>
              <w:t>السّادس عشر</w:t>
            </w:r>
            <w:r>
              <w:rPr>
                <w:rStyle w:val="IndexLink"/>
                <w:rtl w:val="true"/>
              </w:rPr>
              <w:t>:</w:t>
            </w:r>
            <w:r>
              <w:rPr>
                <w:rStyle w:val="IndexLink"/>
                <w:rtl w:val="true"/>
              </w:rPr>
              <w:t>لو نوى رفع حدث بعينه و الواقع غيره،</w:t>
            </w:r>
            <w:r>
              <w:rPr>
                <w:rStyle w:val="IndexLink"/>
                <w:rtl w:val="true"/>
              </w:rPr>
              <w:tab/>
            </w:r>
            <w:r>
              <w:rPr>
                <w:rStyle w:val="IndexLink"/>
              </w:rPr>
              <w:t>35</w:t>
            </w:r>
          </w:hyperlink>
        </w:p>
        <w:p>
          <w:pPr>
            <w:pStyle w:val="Contents6"/>
            <w:tabs>
              <w:tab w:val="clear" w:pos="7609"/>
              <w:tab w:val="right" w:pos="9026" w:leader="dot"/>
            </w:tabs>
            <w:rPr/>
          </w:pPr>
          <w:hyperlink w:anchor="__RefHeading___Toc795191_222507752">
            <w:r>
              <w:rPr>
                <w:webHidden/>
                <w:rStyle w:val="IndexLink"/>
                <w:rtl w:val="true"/>
              </w:rPr>
              <w:t>السّابع عشر</w:t>
            </w:r>
            <w:r>
              <w:rPr>
                <w:rStyle w:val="IndexLink"/>
                <w:rtl w:val="true"/>
              </w:rPr>
              <w:t>:</w:t>
            </w:r>
            <w:r>
              <w:rPr>
                <w:rStyle w:val="IndexLink"/>
                <w:rtl w:val="true"/>
              </w:rPr>
              <w:t>كلّ من عليه طهارة واجبة يجب أن ينوي الوجوب،و غيره ينوي</w:t>
            </w:r>
            <w:r>
              <w:rPr>
                <w:rStyle w:val="IndexLink"/>
                <w:rtl w:val="true"/>
              </w:rPr>
              <w:tab/>
            </w:r>
            <w:r>
              <w:rPr>
                <w:rStyle w:val="IndexLink"/>
              </w:rPr>
              <w:t>35</w:t>
            </w:r>
          </w:hyperlink>
        </w:p>
        <w:p>
          <w:pPr>
            <w:pStyle w:val="Contents5"/>
            <w:tabs>
              <w:tab w:val="clear" w:pos="7892"/>
              <w:tab w:val="right" w:pos="9026" w:leader="dot"/>
            </w:tabs>
            <w:rPr/>
          </w:pPr>
          <w:hyperlink w:anchor="__RefHeading___Toc795193_222507752">
            <w:r>
              <w:rPr>
                <w:webHidden/>
                <w:rStyle w:val="IndexLink"/>
                <w:rtl w:val="true"/>
              </w:rPr>
              <w:t>مسألة</w:t>
            </w:r>
            <w:r>
              <w:rPr>
                <w:rStyle w:val="IndexLink"/>
                <w:rtl w:val="true"/>
              </w:rPr>
              <w:t>:</w:t>
            </w:r>
            <w:r>
              <w:rPr>
                <w:rStyle w:val="IndexLink"/>
                <w:rtl w:val="true"/>
              </w:rPr>
              <w:t>و يجب غسل الوجه</w:t>
            </w:r>
            <w:r>
              <w:rPr>
                <w:rStyle w:val="IndexLink"/>
                <w:rtl w:val="true"/>
              </w:rPr>
              <w:t>.</w:t>
              <w:tab/>
            </w:r>
            <w:r>
              <w:rPr>
                <w:rStyle w:val="IndexLink"/>
              </w:rPr>
              <w:t>36</w:t>
            </w:r>
          </w:hyperlink>
        </w:p>
        <w:p>
          <w:pPr>
            <w:pStyle w:val="Contents6"/>
            <w:tabs>
              <w:tab w:val="clear" w:pos="7609"/>
              <w:tab w:val="right" w:pos="9026" w:leader="dot"/>
            </w:tabs>
            <w:rPr/>
          </w:pPr>
          <w:hyperlink w:anchor="__RefHeading___Toc795195_222507752">
            <w:r>
              <w:rPr>
                <w:webHidden/>
                <w:rStyle w:val="IndexLink"/>
                <w:rtl w:val="true"/>
              </w:rPr>
              <w:t>اشارة</w:t>
            </w:r>
            <w:r>
              <w:rPr>
                <w:rStyle w:val="IndexLink"/>
                <w:rtl w:val="true"/>
              </w:rPr>
              <w:tab/>
            </w:r>
            <w:r>
              <w:rPr>
                <w:rStyle w:val="IndexLink"/>
              </w:rPr>
              <w:t>36</w:t>
            </w:r>
          </w:hyperlink>
        </w:p>
        <w:p>
          <w:pPr>
            <w:pStyle w:val="Contents6"/>
            <w:tabs>
              <w:tab w:val="clear" w:pos="7609"/>
              <w:tab w:val="right" w:pos="9026" w:leader="dot"/>
            </w:tabs>
            <w:rPr/>
          </w:pPr>
          <w:hyperlink w:anchor="__RefHeading___Toc795197_222507752">
            <w:r>
              <w:rPr>
                <w:webHidden/>
                <w:rStyle w:val="IndexLink"/>
                <w:rtl w:val="true"/>
              </w:rPr>
              <w:t>فروع</w:t>
            </w:r>
            <w:r>
              <w:rPr>
                <w:rStyle w:val="IndexLink"/>
                <w:rtl w:val="true"/>
              </w:rPr>
              <w:t>:</w:t>
              <w:tab/>
            </w:r>
            <w:r>
              <w:rPr>
                <w:rStyle w:val="IndexLink"/>
              </w:rPr>
              <w:t>38</w:t>
            </w:r>
          </w:hyperlink>
        </w:p>
        <w:p>
          <w:pPr>
            <w:pStyle w:val="Contents6"/>
            <w:tabs>
              <w:tab w:val="clear" w:pos="7609"/>
              <w:tab w:val="right" w:pos="9026" w:leader="dot"/>
            </w:tabs>
            <w:rPr/>
          </w:pPr>
          <w:hyperlink w:anchor="__RefHeading___Toc795199_222507752">
            <w:r>
              <w:rPr>
                <w:webHidden/>
                <w:rStyle w:val="IndexLink"/>
                <w:rtl w:val="true"/>
              </w:rPr>
              <w:t>الأوّل</w:t>
            </w:r>
            <w:r>
              <w:rPr>
                <w:rStyle w:val="IndexLink"/>
                <w:rtl w:val="true"/>
              </w:rPr>
              <w:t>:</w:t>
            </w:r>
            <w:r>
              <w:rPr>
                <w:rStyle w:val="IndexLink"/>
                <w:rtl w:val="true"/>
              </w:rPr>
              <w:t>لا اعتبار بمن تفضل يداه عن المعتاد أو تقصر أو يبلغ وجهه حدّا في الكبر</w:t>
            </w:r>
            <w:r>
              <w:rPr>
                <w:rStyle w:val="IndexLink"/>
                <w:rtl w:val="true"/>
              </w:rPr>
              <w:tab/>
            </w:r>
            <w:r>
              <w:rPr>
                <w:rStyle w:val="IndexLink"/>
              </w:rPr>
              <w:t>38</w:t>
            </w:r>
          </w:hyperlink>
        </w:p>
        <w:p>
          <w:pPr>
            <w:pStyle w:val="Contents6"/>
            <w:tabs>
              <w:tab w:val="clear" w:pos="7609"/>
              <w:tab w:val="right" w:pos="9026" w:leader="dot"/>
            </w:tabs>
            <w:rPr/>
          </w:pPr>
          <w:hyperlink w:anchor="__RefHeading___Toc795201_222507752">
            <w:r>
              <w:rPr>
                <w:webHidden/>
                <w:rStyle w:val="IndexLink"/>
                <w:rtl w:val="true"/>
              </w:rPr>
              <w:t>الثّاني</w:t>
            </w:r>
            <w:r>
              <w:rPr>
                <w:rStyle w:val="IndexLink"/>
                <w:rtl w:val="true"/>
              </w:rPr>
              <w:t>:</w:t>
            </w:r>
            <w:r>
              <w:rPr>
                <w:rStyle w:val="IndexLink"/>
                <w:rtl w:val="true"/>
              </w:rPr>
              <w:t>لا يجب غسل ما خرج عن ما حدّدناه</w:t>
            </w:r>
            <w:r>
              <w:rPr>
                <w:rStyle w:val="IndexLink"/>
                <w:rtl w:val="true"/>
              </w:rPr>
              <w:t>.</w:t>
            </w:r>
            <w:r>
              <w:rPr>
                <w:rStyle w:val="IndexLink"/>
                <w:rtl w:val="true"/>
              </w:rPr>
              <w:t>و لا يستحبّ كالعذار</w:t>
            </w:r>
            <w:r>
              <w:rPr>
                <w:rStyle w:val="IndexLink"/>
                <w:rtl w:val="true"/>
              </w:rPr>
              <w:tab/>
            </w:r>
            <w:r>
              <w:rPr>
                <w:rStyle w:val="IndexLink"/>
              </w:rPr>
              <w:t>38</w:t>
            </w:r>
          </w:hyperlink>
        </w:p>
        <w:p>
          <w:pPr>
            <w:pStyle w:val="Contents6"/>
            <w:tabs>
              <w:tab w:val="clear" w:pos="7609"/>
              <w:tab w:val="right" w:pos="9026" w:leader="dot"/>
            </w:tabs>
            <w:rPr/>
          </w:pPr>
          <w:hyperlink w:anchor="__RefHeading___Toc795203_222507752">
            <w:r>
              <w:rPr>
                <w:webHidden/>
                <w:rStyle w:val="IndexLink"/>
                <w:rtl w:val="true"/>
              </w:rPr>
              <w:t>الثّالث</w:t>
            </w:r>
            <w:r>
              <w:rPr>
                <w:rStyle w:val="IndexLink"/>
                <w:rtl w:val="true"/>
              </w:rPr>
              <w:t>:</w:t>
            </w:r>
            <w:r>
              <w:rPr>
                <w:rStyle w:val="IndexLink"/>
                <w:rtl w:val="true"/>
              </w:rPr>
              <w:t>لا يلزم تخليل شعر اللّحية،و لا الشّارب،و لا العنفقة،و لا الأهداب</w:t>
            </w:r>
            <w:r>
              <w:rPr>
                <w:rStyle w:val="IndexLink"/>
                <w:rtl w:val="true"/>
              </w:rPr>
              <w:tab/>
            </w:r>
            <w:r>
              <w:rPr>
                <w:rStyle w:val="IndexLink"/>
              </w:rPr>
              <w:t>39</w:t>
            </w:r>
          </w:hyperlink>
        </w:p>
        <w:p>
          <w:pPr>
            <w:pStyle w:val="Contents6"/>
            <w:tabs>
              <w:tab w:val="clear" w:pos="7609"/>
              <w:tab w:val="right" w:pos="9026" w:leader="dot"/>
            </w:tabs>
            <w:rPr/>
          </w:pPr>
          <w:hyperlink w:anchor="__RefHeading___Toc795205_222507752">
            <w:r>
              <w:rPr>
                <w:webHidden/>
                <w:rStyle w:val="IndexLink"/>
                <w:rtl w:val="true"/>
              </w:rPr>
              <w:t>تذنيب</w:t>
            </w:r>
            <w:r>
              <w:rPr>
                <w:rStyle w:val="IndexLink"/>
                <w:rtl w:val="true"/>
              </w:rPr>
              <w:t>:</w:t>
            </w:r>
            <w:r>
              <w:rPr>
                <w:rStyle w:val="IndexLink"/>
                <w:rtl w:val="true"/>
              </w:rPr>
              <w:t>لو نبت للمرأة لحية،كان حكمها ذلك</w:t>
            </w:r>
            <w:r>
              <w:rPr>
                <w:rStyle w:val="IndexLink"/>
                <w:rtl w:val="true"/>
              </w:rPr>
              <w:tab/>
            </w:r>
            <w:r>
              <w:rPr>
                <w:rStyle w:val="IndexLink"/>
              </w:rPr>
              <w:t>40</w:t>
            </w:r>
          </w:hyperlink>
        </w:p>
        <w:p>
          <w:pPr>
            <w:pStyle w:val="Contents6"/>
            <w:tabs>
              <w:tab w:val="clear" w:pos="7609"/>
              <w:tab w:val="right" w:pos="9026" w:leader="dot"/>
            </w:tabs>
            <w:rPr/>
          </w:pPr>
          <w:hyperlink w:anchor="__RefHeading___Toc795207_222507752">
            <w:r>
              <w:rPr>
                <w:webHidden/>
                <w:rStyle w:val="IndexLink"/>
                <w:rtl w:val="true"/>
              </w:rPr>
              <w:t>الرّابع</w:t>
            </w:r>
            <w:r>
              <w:rPr>
                <w:rStyle w:val="IndexLink"/>
                <w:rtl w:val="true"/>
              </w:rPr>
              <w:t>:</w:t>
            </w:r>
            <w:r>
              <w:rPr>
                <w:rStyle w:val="IndexLink"/>
                <w:rtl w:val="true"/>
              </w:rPr>
              <w:t>لا يجب غسل ما استرسل من اللّحية طولا و عرضا</w:t>
            </w:r>
            <w:r>
              <w:rPr>
                <w:rStyle w:val="IndexLink"/>
                <w:rtl w:val="true"/>
              </w:rPr>
              <w:t>.</w:t>
              <w:tab/>
            </w:r>
            <w:r>
              <w:rPr>
                <w:rStyle w:val="IndexLink"/>
              </w:rPr>
              <w:t>41</w:t>
            </w:r>
          </w:hyperlink>
        </w:p>
        <w:p>
          <w:pPr>
            <w:pStyle w:val="Contents6"/>
            <w:tabs>
              <w:tab w:val="clear" w:pos="7609"/>
              <w:tab w:val="right" w:pos="9026" w:leader="dot"/>
            </w:tabs>
            <w:rPr/>
          </w:pPr>
          <w:hyperlink w:anchor="__RefHeading___Toc795209_222507752">
            <w:r>
              <w:rPr>
                <w:webHidden/>
                <w:rStyle w:val="IndexLink"/>
                <w:rtl w:val="true"/>
              </w:rPr>
              <w:t>الخامس</w:t>
            </w:r>
            <w:r>
              <w:rPr>
                <w:rStyle w:val="IndexLink"/>
                <w:rtl w:val="true"/>
              </w:rPr>
              <w:t>:</w:t>
            </w:r>
            <w:r>
              <w:rPr>
                <w:rStyle w:val="IndexLink"/>
                <w:rtl w:val="true"/>
              </w:rPr>
              <w:t>الأذنان ليسا من الوجه،</w:t>
            </w:r>
            <w:r>
              <w:rPr>
                <w:rStyle w:val="IndexLink"/>
                <w:rtl w:val="true"/>
              </w:rPr>
              <w:tab/>
            </w:r>
            <w:r>
              <w:rPr>
                <w:rStyle w:val="IndexLink"/>
              </w:rPr>
              <w:t>42</w:t>
            </w:r>
          </w:hyperlink>
        </w:p>
        <w:p>
          <w:pPr>
            <w:pStyle w:val="Contents6"/>
            <w:tabs>
              <w:tab w:val="clear" w:pos="7609"/>
              <w:tab w:val="right" w:pos="9026" w:leader="dot"/>
            </w:tabs>
            <w:rPr/>
          </w:pPr>
          <w:hyperlink w:anchor="__RefHeading___Toc795211_222507752">
            <w:r>
              <w:rPr>
                <w:webHidden/>
                <w:rStyle w:val="IndexLink"/>
                <w:rtl w:val="true"/>
              </w:rPr>
              <w:t>السّادس</w:t>
            </w:r>
            <w:r>
              <w:rPr>
                <w:rStyle w:val="IndexLink"/>
                <w:rtl w:val="true"/>
              </w:rPr>
              <w:t>:</w:t>
            </w:r>
            <w:r>
              <w:rPr>
                <w:rStyle w:val="IndexLink"/>
                <w:rtl w:val="true"/>
              </w:rPr>
              <w:t>روى الشّيخ في حديث مرسل،عن الصّادق عليه السّلام،قال</w:t>
            </w:r>
            <w:r>
              <w:rPr>
                <w:rStyle w:val="IndexLink"/>
                <w:rtl w:val="true"/>
              </w:rPr>
              <w:t>:(</w:t>
            </w:r>
            <w:r>
              <w:rPr>
                <w:rStyle w:val="IndexLink"/>
                <w:rtl w:val="true"/>
              </w:rPr>
              <w:t>إذا</w:t>
            </w:r>
            <w:r>
              <w:rPr>
                <w:rStyle w:val="IndexLink"/>
                <w:rtl w:val="true"/>
              </w:rPr>
              <w:tab/>
            </w:r>
            <w:r>
              <w:rPr>
                <w:rStyle w:val="IndexLink"/>
              </w:rPr>
              <w:t>46</w:t>
            </w:r>
          </w:hyperlink>
        </w:p>
        <w:p>
          <w:pPr>
            <w:pStyle w:val="Contents6"/>
            <w:tabs>
              <w:tab w:val="clear" w:pos="7609"/>
              <w:tab w:val="right" w:pos="9026" w:leader="dot"/>
            </w:tabs>
            <w:rPr/>
          </w:pPr>
          <w:hyperlink w:anchor="__RefHeading___Toc795213_222507752">
            <w:r>
              <w:rPr>
                <w:webHidden/>
                <w:rStyle w:val="IndexLink"/>
                <w:rtl w:val="true"/>
              </w:rPr>
              <w:t>السّابع</w:t>
            </w:r>
            <w:r>
              <w:rPr>
                <w:rStyle w:val="IndexLink"/>
                <w:rtl w:val="true"/>
              </w:rPr>
              <w:t>:</w:t>
            </w:r>
            <w:r>
              <w:rPr>
                <w:rStyle w:val="IndexLink"/>
                <w:rtl w:val="true"/>
              </w:rPr>
              <w:t>يستحبّ إسباغ ماء الوجه</w:t>
            </w:r>
            <w:r>
              <w:rPr>
                <w:rStyle w:val="IndexLink"/>
                <w:rtl w:val="true"/>
              </w:rPr>
              <w:tab/>
            </w:r>
            <w:r>
              <w:rPr>
                <w:rStyle w:val="IndexLink"/>
              </w:rPr>
              <w:t>46</w:t>
            </w:r>
          </w:hyperlink>
        </w:p>
        <w:p>
          <w:pPr>
            <w:pStyle w:val="Contents6"/>
            <w:tabs>
              <w:tab w:val="clear" w:pos="7609"/>
              <w:tab w:val="right" w:pos="9026" w:leader="dot"/>
            </w:tabs>
            <w:rPr/>
          </w:pPr>
          <w:hyperlink w:anchor="__RefHeading___Toc795215_222507752">
            <w:r>
              <w:rPr>
                <w:webHidden/>
                <w:rStyle w:val="IndexLink"/>
                <w:rtl w:val="true"/>
              </w:rPr>
              <w:t>الثّامن</w:t>
            </w:r>
            <w:r>
              <w:rPr>
                <w:rStyle w:val="IndexLink"/>
                <w:rtl w:val="true"/>
              </w:rPr>
              <w:t>:</w:t>
            </w:r>
            <w:r>
              <w:rPr>
                <w:rStyle w:val="IndexLink"/>
                <w:rtl w:val="true"/>
              </w:rPr>
              <w:t>لو غسل منكوسا،قال الشّيخ</w:t>
            </w:r>
            <w:r>
              <w:rPr>
                <w:rStyle w:val="IndexLink"/>
                <w:rtl w:val="true"/>
              </w:rPr>
              <w:t>:</w:t>
            </w:r>
            <w:r>
              <w:rPr>
                <w:rStyle w:val="IndexLink"/>
                <w:rtl w:val="true"/>
              </w:rPr>
              <w:t xml:space="preserve">لا يجزيه </w:t>
            </w:r>
            <w:r>
              <w:rPr>
                <w:rStyle w:val="IndexLink"/>
                <w:rtl w:val="true"/>
              </w:rPr>
              <w:t>.</w:t>
              <w:tab/>
            </w:r>
            <w:r>
              <w:rPr>
                <w:rStyle w:val="IndexLink"/>
              </w:rPr>
              <w:t>46</w:t>
            </w:r>
          </w:hyperlink>
        </w:p>
        <w:p>
          <w:pPr>
            <w:pStyle w:val="Contents6"/>
            <w:tabs>
              <w:tab w:val="clear" w:pos="7609"/>
              <w:tab w:val="right" w:pos="9026" w:leader="dot"/>
            </w:tabs>
            <w:rPr/>
          </w:pPr>
          <w:hyperlink w:anchor="__RefHeading___Toc795217_222507752">
            <w:r>
              <w:rPr>
                <w:webHidden/>
                <w:rStyle w:val="IndexLink"/>
                <w:rtl w:val="true"/>
              </w:rPr>
              <w:t>التّاسع</w:t>
            </w:r>
            <w:r>
              <w:rPr>
                <w:rStyle w:val="IndexLink"/>
                <w:rtl w:val="true"/>
              </w:rPr>
              <w:t>:</w:t>
            </w:r>
            <w:r>
              <w:rPr>
                <w:rStyle w:val="IndexLink"/>
                <w:rtl w:val="true"/>
              </w:rPr>
              <w:t>قال الشّيخ في الخلاف</w:t>
            </w:r>
            <w:r>
              <w:rPr>
                <w:rStyle w:val="IndexLink"/>
                <w:rtl w:val="true"/>
              </w:rPr>
              <w:t>:</w:t>
            </w:r>
            <w:r>
              <w:rPr>
                <w:rStyle w:val="IndexLink"/>
                <w:rtl w:val="true"/>
              </w:rPr>
              <w:t>لا يستحبّ فتح العين عند الوضوء،</w:t>
            </w:r>
            <w:r>
              <w:rPr>
                <w:rStyle w:val="IndexLink"/>
                <w:rtl w:val="true"/>
              </w:rPr>
              <w:tab/>
            </w:r>
            <w:r>
              <w:rPr>
                <w:rStyle w:val="IndexLink"/>
              </w:rPr>
              <w:t>47</w:t>
            </w:r>
          </w:hyperlink>
        </w:p>
        <w:p>
          <w:pPr>
            <w:pStyle w:val="Contents6"/>
            <w:tabs>
              <w:tab w:val="clear" w:pos="7609"/>
              <w:tab w:val="right" w:pos="9026" w:leader="dot"/>
            </w:tabs>
            <w:rPr/>
          </w:pPr>
          <w:hyperlink w:anchor="__RefHeading___Toc795219_222507752">
            <w:r>
              <w:rPr>
                <w:webHidden/>
                <w:rStyle w:val="IndexLink"/>
                <w:rtl w:val="true"/>
              </w:rPr>
              <w:t>العاشر</w:t>
            </w:r>
            <w:r>
              <w:rPr>
                <w:rStyle w:val="IndexLink"/>
                <w:rtl w:val="true"/>
              </w:rPr>
              <w:t>:</w:t>
            </w:r>
            <w:r>
              <w:rPr>
                <w:rStyle w:val="IndexLink"/>
                <w:rtl w:val="true"/>
              </w:rPr>
              <w:t>لو غسل الشّعر النّابت على الوجه،ثمَّ زال عنه،أو انقلعت جلدة من</w:t>
            </w:r>
            <w:r>
              <w:rPr>
                <w:rStyle w:val="IndexLink"/>
                <w:rtl w:val="true"/>
              </w:rPr>
              <w:tab/>
            </w:r>
            <w:r>
              <w:rPr>
                <w:rStyle w:val="IndexLink"/>
              </w:rPr>
              <w:t>48</w:t>
            </w:r>
          </w:hyperlink>
        </w:p>
        <w:p>
          <w:pPr>
            <w:pStyle w:val="Contents5"/>
            <w:tabs>
              <w:tab w:val="clear" w:pos="7892"/>
              <w:tab w:val="right" w:pos="9026" w:leader="dot"/>
            </w:tabs>
            <w:rPr/>
          </w:pPr>
          <w:hyperlink w:anchor="__RefHeading___Toc795221_222507752">
            <w:r>
              <w:rPr>
                <w:webHidden/>
                <w:rStyle w:val="IndexLink"/>
                <w:rtl w:val="true"/>
              </w:rPr>
              <w:t>مسألة</w:t>
            </w:r>
            <w:r>
              <w:rPr>
                <w:rStyle w:val="IndexLink"/>
                <w:rtl w:val="true"/>
              </w:rPr>
              <w:t>:</w:t>
            </w:r>
            <w:r>
              <w:rPr>
                <w:rStyle w:val="IndexLink"/>
                <w:rtl w:val="true"/>
              </w:rPr>
              <w:t>و يجب غسل اليدين بالإجماع و النّصّ،</w:t>
            </w:r>
            <w:r>
              <w:rPr>
                <w:rStyle w:val="IndexLink"/>
                <w:rtl w:val="true"/>
              </w:rPr>
              <w:tab/>
            </w:r>
            <w:r>
              <w:rPr>
                <w:rStyle w:val="IndexLink"/>
              </w:rPr>
              <w:t>48</w:t>
            </w:r>
          </w:hyperlink>
        </w:p>
        <w:p>
          <w:pPr>
            <w:pStyle w:val="Contents6"/>
            <w:tabs>
              <w:tab w:val="clear" w:pos="7609"/>
              <w:tab w:val="right" w:pos="9026" w:leader="dot"/>
            </w:tabs>
            <w:rPr/>
          </w:pPr>
          <w:hyperlink w:anchor="__RefHeading___Toc795223_222507752">
            <w:r>
              <w:rPr>
                <w:webHidden/>
                <w:rStyle w:val="IndexLink"/>
                <w:rtl w:val="true"/>
              </w:rPr>
              <w:t>اشارة</w:t>
            </w:r>
            <w:r>
              <w:rPr>
                <w:rStyle w:val="IndexLink"/>
                <w:rtl w:val="true"/>
              </w:rPr>
              <w:tab/>
            </w:r>
            <w:r>
              <w:rPr>
                <w:rStyle w:val="IndexLink"/>
              </w:rPr>
              <w:t>48</w:t>
            </w:r>
          </w:hyperlink>
        </w:p>
        <w:p>
          <w:pPr>
            <w:pStyle w:val="Contents6"/>
            <w:tabs>
              <w:tab w:val="clear" w:pos="7609"/>
              <w:tab w:val="right" w:pos="9026" w:leader="dot"/>
            </w:tabs>
            <w:rPr/>
          </w:pPr>
          <w:hyperlink w:anchor="__RefHeading___Toc795225_222507752">
            <w:r>
              <w:rPr>
                <w:webHidden/>
                <w:rStyle w:val="IndexLink"/>
                <w:rtl w:val="true"/>
              </w:rPr>
              <w:t>فروع</w:t>
            </w:r>
            <w:r>
              <w:rPr>
                <w:rStyle w:val="IndexLink"/>
                <w:rtl w:val="true"/>
              </w:rPr>
              <w:t>:</w:t>
              <w:tab/>
            </w:r>
            <w:r>
              <w:rPr>
                <w:rStyle w:val="IndexLink"/>
              </w:rPr>
              <w:t>50</w:t>
            </w:r>
          </w:hyperlink>
        </w:p>
        <w:p>
          <w:pPr>
            <w:pStyle w:val="Contents6"/>
            <w:tabs>
              <w:tab w:val="clear" w:pos="7609"/>
              <w:tab w:val="right" w:pos="9026" w:leader="dot"/>
            </w:tabs>
            <w:rPr/>
          </w:pPr>
          <w:hyperlink w:anchor="__RefHeading___Toc795227_222507752">
            <w:r>
              <w:rPr>
                <w:webHidden/>
                <w:rStyle w:val="IndexLink"/>
                <w:rtl w:val="true"/>
              </w:rPr>
              <w:t>الأوّل</w:t>
            </w:r>
            <w:r>
              <w:rPr>
                <w:rStyle w:val="IndexLink"/>
                <w:rtl w:val="true"/>
              </w:rPr>
              <w:t>:</w:t>
            </w:r>
            <w:r>
              <w:rPr>
                <w:rStyle w:val="IndexLink"/>
                <w:rtl w:val="true"/>
              </w:rPr>
              <w:t>لو غسلهما مبتدئا بالمرافق أجزأ</w:t>
            </w:r>
            <w:r>
              <w:rPr>
                <w:rStyle w:val="IndexLink"/>
                <w:rtl w:val="true"/>
              </w:rPr>
              <w:tab/>
            </w:r>
            <w:r>
              <w:rPr>
                <w:rStyle w:val="IndexLink"/>
              </w:rPr>
              <w:t>50</w:t>
            </w:r>
          </w:hyperlink>
        </w:p>
        <w:p>
          <w:pPr>
            <w:pStyle w:val="Contents6"/>
            <w:tabs>
              <w:tab w:val="clear" w:pos="7609"/>
              <w:tab w:val="right" w:pos="9026" w:leader="dot"/>
            </w:tabs>
            <w:rPr/>
          </w:pPr>
          <w:hyperlink w:anchor="__RefHeading___Toc795229_222507752">
            <w:r>
              <w:rPr>
                <w:webHidden/>
                <w:rStyle w:val="IndexLink"/>
                <w:rtl w:val="true"/>
              </w:rPr>
              <w:t>الثّاني</w:t>
            </w:r>
            <w:r>
              <w:rPr>
                <w:rStyle w:val="IndexLink"/>
                <w:rtl w:val="true"/>
              </w:rPr>
              <w:t>:</w:t>
            </w:r>
            <w:r>
              <w:rPr>
                <w:rStyle w:val="IndexLink"/>
                <w:rtl w:val="true"/>
              </w:rPr>
              <w:t>الواجب في الغسل ما يحصل به مسمّاه</w:t>
            </w:r>
            <w:r>
              <w:rPr>
                <w:rStyle w:val="IndexLink"/>
                <w:rtl w:val="true"/>
              </w:rPr>
              <w:tab/>
            </w:r>
            <w:r>
              <w:rPr>
                <w:rStyle w:val="IndexLink"/>
              </w:rPr>
              <w:t>51</w:t>
            </w:r>
          </w:hyperlink>
        </w:p>
        <w:p>
          <w:pPr>
            <w:pStyle w:val="Contents6"/>
            <w:tabs>
              <w:tab w:val="clear" w:pos="7609"/>
              <w:tab w:val="right" w:pos="9026" w:leader="dot"/>
            </w:tabs>
            <w:rPr/>
          </w:pPr>
          <w:hyperlink w:anchor="__RefHeading___Toc795231_222507752">
            <w:r>
              <w:rPr>
                <w:webHidden/>
                <w:rStyle w:val="IndexLink"/>
                <w:rtl w:val="true"/>
              </w:rPr>
              <w:t>الثّالث</w:t>
            </w:r>
            <w:r>
              <w:rPr>
                <w:rStyle w:val="IndexLink"/>
                <w:rtl w:val="true"/>
              </w:rPr>
              <w:t>:</w:t>
            </w:r>
            <w:r>
              <w:rPr>
                <w:rStyle w:val="IndexLink"/>
                <w:rtl w:val="true"/>
              </w:rPr>
              <w:t>لو انقطعت يده من دون المرفق غسل الباقي من محلّ الفرض</w:t>
            </w:r>
            <w:r>
              <w:rPr>
                <w:rStyle w:val="IndexLink"/>
                <w:rtl w:val="true"/>
              </w:rPr>
              <w:t>.</w:t>
              <w:tab/>
            </w:r>
            <w:r>
              <w:rPr>
                <w:rStyle w:val="IndexLink"/>
              </w:rPr>
              <w:t>51</w:t>
            </w:r>
          </w:hyperlink>
        </w:p>
        <w:p>
          <w:pPr>
            <w:pStyle w:val="Contents6"/>
            <w:tabs>
              <w:tab w:val="clear" w:pos="7609"/>
              <w:tab w:val="right" w:pos="9026" w:leader="dot"/>
            </w:tabs>
            <w:rPr/>
          </w:pPr>
          <w:hyperlink w:anchor="__RefHeading___Toc795233_222507752">
            <w:r>
              <w:rPr>
                <w:webHidden/>
                <w:rStyle w:val="IndexLink"/>
                <w:rtl w:val="true"/>
              </w:rPr>
              <w:t>الرّابع</w:t>
            </w:r>
            <w:r>
              <w:rPr>
                <w:rStyle w:val="IndexLink"/>
                <w:rtl w:val="true"/>
              </w:rPr>
              <w:t>:</w:t>
            </w:r>
            <w:r>
              <w:rPr>
                <w:rStyle w:val="IndexLink"/>
                <w:rtl w:val="true"/>
              </w:rPr>
              <w:t>لو انقطعت يده من المرفق سقط غسلها</w:t>
            </w:r>
            <w:r>
              <w:rPr>
                <w:rStyle w:val="IndexLink"/>
                <w:rtl w:val="true"/>
              </w:rPr>
              <w:tab/>
            </w:r>
            <w:r>
              <w:rPr>
                <w:rStyle w:val="IndexLink"/>
              </w:rPr>
              <w:t>52</w:t>
            </w:r>
          </w:hyperlink>
        </w:p>
        <w:p>
          <w:pPr>
            <w:pStyle w:val="Contents6"/>
            <w:tabs>
              <w:tab w:val="clear" w:pos="7609"/>
              <w:tab w:val="right" w:pos="9026" w:leader="dot"/>
            </w:tabs>
            <w:rPr/>
          </w:pPr>
          <w:hyperlink w:anchor="__RefHeading___Toc795235_222507752">
            <w:r>
              <w:rPr>
                <w:webHidden/>
                <w:rStyle w:val="IndexLink"/>
                <w:rtl w:val="true"/>
              </w:rPr>
              <w:t>الخامس</w:t>
            </w:r>
            <w:r>
              <w:rPr>
                <w:rStyle w:val="IndexLink"/>
                <w:rtl w:val="true"/>
              </w:rPr>
              <w:t>:</w:t>
            </w:r>
            <w:r>
              <w:rPr>
                <w:rStyle w:val="IndexLink"/>
                <w:rtl w:val="true"/>
              </w:rPr>
              <w:t>إذا كان أقطع اليدين فوجد من يوضّئه متبرّعا،لزمه ذلك</w:t>
            </w:r>
            <w:r>
              <w:rPr>
                <w:rStyle w:val="IndexLink"/>
                <w:rtl w:val="true"/>
              </w:rPr>
              <w:tab/>
            </w:r>
            <w:r>
              <w:rPr>
                <w:rStyle w:val="IndexLink"/>
              </w:rPr>
              <w:t>53</w:t>
            </w:r>
          </w:hyperlink>
        </w:p>
        <w:p>
          <w:pPr>
            <w:pStyle w:val="Contents6"/>
            <w:tabs>
              <w:tab w:val="clear" w:pos="7609"/>
              <w:tab w:val="right" w:pos="9026" w:leader="dot"/>
            </w:tabs>
            <w:rPr/>
          </w:pPr>
          <w:hyperlink w:anchor="__RefHeading___Toc795237_222507752">
            <w:r>
              <w:rPr>
                <w:webHidden/>
                <w:rStyle w:val="IndexLink"/>
                <w:rtl w:val="true"/>
              </w:rPr>
              <w:t>السّادس</w:t>
            </w:r>
            <w:r>
              <w:rPr>
                <w:rStyle w:val="IndexLink"/>
                <w:rtl w:val="true"/>
              </w:rPr>
              <w:t>:</w:t>
            </w:r>
            <w:r>
              <w:rPr>
                <w:rStyle w:val="IndexLink"/>
                <w:rtl w:val="true"/>
              </w:rPr>
              <w:t>لو خلق له يد زائدة،أو إصبع،أو لحم نابت،أو جلد منبسط في محلّ</w:t>
            </w:r>
            <w:r>
              <w:rPr>
                <w:rStyle w:val="IndexLink"/>
                <w:rtl w:val="true"/>
              </w:rPr>
              <w:tab/>
            </w:r>
            <w:r>
              <w:rPr>
                <w:rStyle w:val="IndexLink"/>
              </w:rPr>
              <w:t>53</w:t>
            </w:r>
          </w:hyperlink>
        </w:p>
        <w:p>
          <w:pPr>
            <w:pStyle w:val="Contents6"/>
            <w:tabs>
              <w:tab w:val="clear" w:pos="7609"/>
              <w:tab w:val="right" w:pos="9026" w:leader="dot"/>
            </w:tabs>
            <w:rPr/>
          </w:pPr>
          <w:hyperlink w:anchor="__RefHeading___Toc795239_222507752">
            <w:r>
              <w:rPr>
                <w:webHidden/>
                <w:rStyle w:val="IndexLink"/>
                <w:rtl w:val="true"/>
              </w:rPr>
              <w:t>السّابع</w:t>
            </w:r>
            <w:r>
              <w:rPr>
                <w:rStyle w:val="IndexLink"/>
                <w:rtl w:val="true"/>
              </w:rPr>
              <w:t>:</w:t>
            </w:r>
            <w:r>
              <w:rPr>
                <w:rStyle w:val="IndexLink"/>
                <w:rtl w:val="true"/>
              </w:rPr>
              <w:t>لو لم يعلم اليد الزّائدة من الأصليّة،وجب غسلهما</w:t>
            </w:r>
            <w:r>
              <w:rPr>
                <w:rStyle w:val="IndexLink"/>
                <w:rtl w:val="true"/>
              </w:rPr>
              <w:tab/>
            </w:r>
            <w:r>
              <w:rPr>
                <w:rStyle w:val="IndexLink"/>
              </w:rPr>
              <w:t>53</w:t>
            </w:r>
          </w:hyperlink>
        </w:p>
        <w:p>
          <w:pPr>
            <w:pStyle w:val="Contents6"/>
            <w:tabs>
              <w:tab w:val="clear" w:pos="7609"/>
              <w:tab w:val="right" w:pos="9026" w:leader="dot"/>
            </w:tabs>
            <w:rPr/>
          </w:pPr>
          <w:hyperlink w:anchor="__RefHeading___Toc795241_222507752">
            <w:r>
              <w:rPr>
                <w:webHidden/>
                <w:rStyle w:val="IndexLink"/>
                <w:rtl w:val="true"/>
              </w:rPr>
              <w:t>الثّامن</w:t>
            </w:r>
            <w:r>
              <w:rPr>
                <w:rStyle w:val="IndexLink"/>
                <w:rtl w:val="true"/>
              </w:rPr>
              <w:t>:</w:t>
            </w:r>
            <w:r>
              <w:rPr>
                <w:rStyle w:val="IndexLink"/>
                <w:rtl w:val="true"/>
              </w:rPr>
              <w:t>لو انقلعت جلدة من غير محلّ الفرض حتّى تدلّت من محلّ الفرض وجب</w:t>
            </w:r>
            <w:r>
              <w:rPr>
                <w:rStyle w:val="IndexLink"/>
                <w:rtl w:val="true"/>
              </w:rPr>
              <w:tab/>
            </w:r>
            <w:r>
              <w:rPr>
                <w:rStyle w:val="IndexLink"/>
              </w:rPr>
              <w:t>53</w:t>
            </w:r>
          </w:hyperlink>
        </w:p>
        <w:p>
          <w:pPr>
            <w:pStyle w:val="Contents6"/>
            <w:tabs>
              <w:tab w:val="clear" w:pos="7609"/>
              <w:tab w:val="right" w:pos="9026" w:leader="dot"/>
            </w:tabs>
            <w:rPr/>
          </w:pPr>
          <w:hyperlink w:anchor="__RefHeading___Toc795243_222507752">
            <w:r>
              <w:rPr>
                <w:webHidden/>
                <w:rStyle w:val="IndexLink"/>
                <w:rtl w:val="true"/>
              </w:rPr>
              <w:t>التّاسع</w:t>
            </w:r>
            <w:r>
              <w:rPr>
                <w:rStyle w:val="IndexLink"/>
                <w:rtl w:val="true"/>
              </w:rPr>
              <w:t>:</w:t>
            </w:r>
            <w:r>
              <w:rPr>
                <w:rStyle w:val="IndexLink"/>
                <w:rtl w:val="true"/>
              </w:rPr>
              <w:t>لو قطعت يده من دون المرفق بعد الطّهارة،لم يجب غسل ما ظهر منها،</w:t>
            </w:r>
            <w:r>
              <w:rPr>
                <w:rStyle w:val="IndexLink"/>
                <w:rtl w:val="true"/>
              </w:rPr>
              <w:tab/>
            </w:r>
            <w:r>
              <w:rPr>
                <w:rStyle w:val="IndexLink"/>
              </w:rPr>
              <w:t>54</w:t>
            </w:r>
          </w:hyperlink>
        </w:p>
        <w:p>
          <w:pPr>
            <w:pStyle w:val="Contents6"/>
            <w:tabs>
              <w:tab w:val="clear" w:pos="7609"/>
              <w:tab w:val="right" w:pos="9026" w:leader="dot"/>
            </w:tabs>
            <w:rPr/>
          </w:pPr>
          <w:hyperlink w:anchor="__RefHeading___Toc795245_222507752">
            <w:r>
              <w:rPr>
                <w:webHidden/>
                <w:rStyle w:val="IndexLink"/>
                <w:rtl w:val="true"/>
              </w:rPr>
              <w:t>العاشر</w:t>
            </w:r>
            <w:r>
              <w:rPr>
                <w:rStyle w:val="IndexLink"/>
                <w:rtl w:val="true"/>
              </w:rPr>
              <w:t>:</w:t>
            </w:r>
            <w:r>
              <w:rPr>
                <w:rStyle w:val="IndexLink"/>
                <w:rtl w:val="true"/>
              </w:rPr>
              <w:t>لو طالت أظفاره حتّى خرجت عن سمت يده،احتمل وجوب غسلها</w:t>
            </w:r>
            <w:r>
              <w:rPr>
                <w:rStyle w:val="IndexLink"/>
                <w:rtl w:val="true"/>
              </w:rPr>
              <w:tab/>
            </w:r>
            <w:r>
              <w:rPr>
                <w:rStyle w:val="IndexLink"/>
              </w:rPr>
              <w:t>54</w:t>
            </w:r>
          </w:hyperlink>
        </w:p>
        <w:p>
          <w:pPr>
            <w:pStyle w:val="Contents6"/>
            <w:tabs>
              <w:tab w:val="clear" w:pos="7609"/>
              <w:tab w:val="right" w:pos="9026" w:leader="dot"/>
            </w:tabs>
            <w:rPr/>
          </w:pPr>
          <w:hyperlink w:anchor="__RefHeading___Toc795247_222507752">
            <w:r>
              <w:rPr>
                <w:webHidden/>
                <w:rStyle w:val="IndexLink"/>
                <w:rtl w:val="true"/>
              </w:rPr>
              <w:t>الحادي عشر</w:t>
            </w:r>
            <w:r>
              <w:rPr>
                <w:rStyle w:val="IndexLink"/>
                <w:rtl w:val="true"/>
              </w:rPr>
              <w:t>:</w:t>
            </w:r>
            <w:r>
              <w:rPr>
                <w:rStyle w:val="IndexLink"/>
                <w:rtl w:val="true"/>
              </w:rPr>
              <w:t>الوسخ تحت الظّفر المانع من وصول الماء إلى ما تحته،هل يجب</w:t>
            </w:r>
            <w:r>
              <w:rPr>
                <w:rStyle w:val="IndexLink"/>
                <w:rtl w:val="true"/>
              </w:rPr>
              <w:tab/>
            </w:r>
            <w:r>
              <w:rPr>
                <w:rStyle w:val="IndexLink"/>
              </w:rPr>
              <w:t>54</w:t>
            </w:r>
          </w:hyperlink>
        </w:p>
        <w:p>
          <w:pPr>
            <w:pStyle w:val="Contents6"/>
            <w:tabs>
              <w:tab w:val="clear" w:pos="7609"/>
              <w:tab w:val="right" w:pos="9026" w:leader="dot"/>
            </w:tabs>
            <w:rPr/>
          </w:pPr>
          <w:hyperlink w:anchor="__RefHeading___Toc795249_222507752">
            <w:r>
              <w:rPr>
                <w:webHidden/>
                <w:rStyle w:val="IndexLink"/>
                <w:rtl w:val="true"/>
              </w:rPr>
              <w:t>الثّاني عشر</w:t>
            </w:r>
            <w:r>
              <w:rPr>
                <w:rStyle w:val="IndexLink"/>
                <w:rtl w:val="true"/>
              </w:rPr>
              <w:t>:</w:t>
            </w:r>
            <w:r>
              <w:rPr>
                <w:rStyle w:val="IndexLink"/>
                <w:rtl w:val="true"/>
              </w:rPr>
              <w:t>ذو الرّأسين و اليدين يغسل أعضاءه مطلقا</w:t>
            </w:r>
            <w:r>
              <w:rPr>
                <w:rStyle w:val="IndexLink"/>
                <w:rtl w:val="true"/>
              </w:rPr>
              <w:tab/>
            </w:r>
            <w:r>
              <w:rPr>
                <w:rStyle w:val="IndexLink"/>
              </w:rPr>
              <w:t>54</w:t>
            </w:r>
          </w:hyperlink>
        </w:p>
        <w:p>
          <w:pPr>
            <w:pStyle w:val="Contents6"/>
            <w:tabs>
              <w:tab w:val="clear" w:pos="7609"/>
              <w:tab w:val="right" w:pos="9026" w:leader="dot"/>
            </w:tabs>
            <w:rPr/>
          </w:pPr>
          <w:hyperlink w:anchor="__RefHeading___Toc795251_222507752">
            <w:r>
              <w:rPr>
                <w:webHidden/>
                <w:rStyle w:val="IndexLink"/>
                <w:rtl w:val="true"/>
              </w:rPr>
              <w:t>(</w:t>
            </w:r>
            <w:r>
              <w:rPr>
                <w:rStyle w:val="IndexLink"/>
                <w:rtl w:val="true"/>
              </w:rPr>
              <w:t>أصل</w:t>
            </w:r>
            <w:r>
              <w:rPr>
                <w:rStyle w:val="IndexLink"/>
                <w:rtl w:val="true"/>
              </w:rPr>
              <w:t>:</w:t>
            </w:r>
            <w:r>
              <w:rPr>
                <w:rStyle w:val="IndexLink"/>
                <w:rtl w:val="true"/>
              </w:rPr>
              <w:t>الباء إذا أدخلت على فعل متعدّ بنفسه أفادت التّبعيض</w:t>
            </w:r>
            <w:r>
              <w:rPr>
                <w:rStyle w:val="IndexLink"/>
                <w:rtl w:val="true"/>
              </w:rPr>
              <w:tab/>
            </w:r>
            <w:r>
              <w:rPr>
                <w:rStyle w:val="IndexLink"/>
              </w:rPr>
              <w:t>54</w:t>
            </w:r>
          </w:hyperlink>
        </w:p>
        <w:p>
          <w:pPr>
            <w:pStyle w:val="Contents5"/>
            <w:tabs>
              <w:tab w:val="clear" w:pos="7892"/>
              <w:tab w:val="right" w:pos="9026" w:leader="dot"/>
            </w:tabs>
            <w:rPr/>
          </w:pPr>
          <w:hyperlink w:anchor="__RefHeading___Toc795253_222507752">
            <w:r>
              <w:rPr>
                <w:webHidden/>
                <w:rStyle w:val="IndexLink"/>
                <w:rtl w:val="true"/>
              </w:rPr>
              <w:t>مسألة</w:t>
            </w:r>
            <w:r>
              <w:rPr>
                <w:rStyle w:val="IndexLink"/>
                <w:rtl w:val="true"/>
              </w:rPr>
              <w:t>:</w:t>
            </w:r>
            <w:r>
              <w:rPr>
                <w:rStyle w:val="IndexLink"/>
                <w:rtl w:val="true"/>
              </w:rPr>
              <w:t>و يجب مسح الرّأس بالنّصّ و الإجماع،</w:t>
            </w:r>
            <w:r>
              <w:rPr>
                <w:rStyle w:val="IndexLink"/>
                <w:rtl w:val="true"/>
              </w:rPr>
              <w:tab/>
            </w:r>
            <w:r>
              <w:rPr>
                <w:rStyle w:val="IndexLink"/>
              </w:rPr>
              <w:t>55</w:t>
            </w:r>
          </w:hyperlink>
        </w:p>
        <w:p>
          <w:pPr>
            <w:pStyle w:val="Contents6"/>
            <w:tabs>
              <w:tab w:val="clear" w:pos="7609"/>
              <w:tab w:val="right" w:pos="9026" w:leader="dot"/>
            </w:tabs>
            <w:rPr/>
          </w:pPr>
          <w:hyperlink w:anchor="__RefHeading___Toc795255_222507752">
            <w:r>
              <w:rPr>
                <w:webHidden/>
                <w:rStyle w:val="IndexLink"/>
                <w:rtl w:val="true"/>
              </w:rPr>
              <w:t>اشارة</w:t>
            </w:r>
            <w:r>
              <w:rPr>
                <w:rStyle w:val="IndexLink"/>
                <w:rtl w:val="true"/>
              </w:rPr>
              <w:tab/>
            </w:r>
            <w:r>
              <w:rPr>
                <w:rStyle w:val="IndexLink"/>
              </w:rPr>
              <w:t>55</w:t>
            </w:r>
          </w:hyperlink>
        </w:p>
        <w:p>
          <w:pPr>
            <w:pStyle w:val="Contents6"/>
            <w:tabs>
              <w:tab w:val="clear" w:pos="7609"/>
              <w:tab w:val="right" w:pos="9026" w:leader="dot"/>
            </w:tabs>
            <w:rPr/>
          </w:pPr>
          <w:hyperlink w:anchor="__RefHeading___Toc795257_222507752">
            <w:r>
              <w:rPr>
                <w:webHidden/>
                <w:rStyle w:val="IndexLink"/>
                <w:rtl w:val="true"/>
              </w:rPr>
              <w:t>أصل</w:t>
            </w:r>
            <w:r>
              <w:rPr>
                <w:rStyle w:val="IndexLink"/>
                <w:rtl w:val="true"/>
              </w:rPr>
              <w:t>:</w:t>
            </w:r>
            <w:r>
              <w:rPr>
                <w:rStyle w:val="IndexLink"/>
                <w:rtl w:val="true"/>
              </w:rPr>
              <w:t>الأمر بالماهيّة الكلّيّة لا يقتضي الأمر بشيء من جزئيّاتها على التّعيين،</w:t>
            </w:r>
            <w:r>
              <w:rPr>
                <w:rStyle w:val="IndexLink"/>
                <w:rtl w:val="true"/>
              </w:rPr>
              <w:tab/>
            </w:r>
            <w:r>
              <w:rPr>
                <w:rStyle w:val="IndexLink"/>
              </w:rPr>
              <w:t>60</w:t>
            </w:r>
          </w:hyperlink>
        </w:p>
        <w:p>
          <w:pPr>
            <w:pStyle w:val="Contents6"/>
            <w:tabs>
              <w:tab w:val="clear" w:pos="7609"/>
              <w:tab w:val="right" w:pos="9026" w:leader="dot"/>
            </w:tabs>
            <w:rPr/>
          </w:pPr>
          <w:hyperlink w:anchor="__RefHeading___Toc795259_222507752">
            <w:r>
              <w:rPr>
                <w:webHidden/>
                <w:rStyle w:val="IndexLink"/>
                <w:rtl w:val="true"/>
              </w:rPr>
              <w:t>فروع</w:t>
            </w:r>
            <w:r>
              <w:rPr>
                <w:rStyle w:val="IndexLink"/>
                <w:rtl w:val="true"/>
              </w:rPr>
              <w:t>:</w:t>
              <w:tab/>
            </w:r>
            <w:r>
              <w:rPr>
                <w:rStyle w:val="IndexLink"/>
              </w:rPr>
              <w:t>60</w:t>
            </w:r>
          </w:hyperlink>
        </w:p>
        <w:p>
          <w:pPr>
            <w:pStyle w:val="Contents6"/>
            <w:tabs>
              <w:tab w:val="clear" w:pos="7609"/>
              <w:tab w:val="right" w:pos="9026" w:leader="dot"/>
            </w:tabs>
            <w:rPr/>
          </w:pPr>
          <w:hyperlink w:anchor="__RefHeading___Toc795261_222507752">
            <w:r>
              <w:rPr>
                <w:webHidden/>
                <w:rStyle w:val="IndexLink"/>
                <w:rtl w:val="true"/>
              </w:rPr>
              <w:t>الأوّل</w:t>
            </w:r>
            <w:r>
              <w:rPr>
                <w:rStyle w:val="IndexLink"/>
                <w:rtl w:val="true"/>
              </w:rPr>
              <w:t>:</w:t>
            </w:r>
            <w:r>
              <w:rPr>
                <w:rStyle w:val="IndexLink"/>
                <w:rtl w:val="true"/>
              </w:rPr>
              <w:t>الحقّ عندي انّ الواجب من مسح الرّأس لا يتقدّر بقدر في الرّجل و المرأة،</w:t>
            </w:r>
            <w:r>
              <w:rPr>
                <w:rStyle w:val="IndexLink"/>
                <w:rtl w:val="true"/>
              </w:rPr>
              <w:tab/>
            </w:r>
            <w:r>
              <w:rPr>
                <w:rStyle w:val="IndexLink"/>
              </w:rPr>
              <w:t>60</w:t>
            </w:r>
          </w:hyperlink>
        </w:p>
        <w:p>
          <w:pPr>
            <w:pStyle w:val="Contents6"/>
            <w:tabs>
              <w:tab w:val="clear" w:pos="7609"/>
              <w:tab w:val="right" w:pos="9026" w:leader="dot"/>
            </w:tabs>
            <w:rPr/>
          </w:pPr>
          <w:hyperlink w:anchor="__RefHeading___Toc795263_222507752">
            <w:r>
              <w:rPr>
                <w:webHidden/>
                <w:rStyle w:val="IndexLink"/>
                <w:rtl w:val="true"/>
              </w:rPr>
              <w:t>الثّاني</w:t>
            </w:r>
            <w:r>
              <w:rPr>
                <w:rStyle w:val="IndexLink"/>
                <w:rtl w:val="true"/>
              </w:rPr>
              <w:t>:</w:t>
            </w:r>
            <w:r>
              <w:rPr>
                <w:rStyle w:val="IndexLink"/>
                <w:rtl w:val="true"/>
              </w:rPr>
              <w:t>القائلون بالاكتفاء بالأقلّ اختلفوا</w:t>
            </w:r>
            <w:r>
              <w:rPr>
                <w:rStyle w:val="IndexLink"/>
                <w:rtl w:val="true"/>
              </w:rPr>
              <w:tab/>
            </w:r>
            <w:r>
              <w:rPr>
                <w:rStyle w:val="IndexLink"/>
              </w:rPr>
              <w:t>63</w:t>
            </w:r>
          </w:hyperlink>
        </w:p>
        <w:p>
          <w:pPr>
            <w:pStyle w:val="Contents6"/>
            <w:tabs>
              <w:tab w:val="clear" w:pos="7609"/>
              <w:tab w:val="right" w:pos="9026" w:leader="dot"/>
            </w:tabs>
            <w:rPr/>
          </w:pPr>
          <w:hyperlink w:anchor="__RefHeading___Toc795265_222507752">
            <w:r>
              <w:rPr>
                <w:webHidden/>
                <w:rStyle w:val="IndexLink"/>
                <w:rtl w:val="true"/>
              </w:rPr>
              <w:t>الثّالث</w:t>
            </w:r>
            <w:r>
              <w:rPr>
                <w:rStyle w:val="IndexLink"/>
                <w:rtl w:val="true"/>
              </w:rPr>
              <w:t>:</w:t>
            </w:r>
            <w:r>
              <w:rPr>
                <w:rStyle w:val="IndexLink"/>
                <w:rtl w:val="true"/>
              </w:rPr>
              <w:t>المسح عندنا مختصّ بالمقدّم،</w:t>
            </w:r>
            <w:r>
              <w:rPr>
                <w:rStyle w:val="IndexLink"/>
                <w:rtl w:val="true"/>
              </w:rPr>
              <w:tab/>
            </w:r>
            <w:r>
              <w:rPr>
                <w:rStyle w:val="IndexLink"/>
              </w:rPr>
              <w:t>63</w:t>
            </w:r>
          </w:hyperlink>
        </w:p>
        <w:p>
          <w:pPr>
            <w:pStyle w:val="Contents6"/>
            <w:tabs>
              <w:tab w:val="clear" w:pos="7609"/>
              <w:tab w:val="right" w:pos="9026" w:leader="dot"/>
            </w:tabs>
            <w:rPr/>
          </w:pPr>
          <w:hyperlink w:anchor="__RefHeading___Toc795267_222507752">
            <w:r>
              <w:rPr>
                <w:webHidden/>
                <w:rStyle w:val="IndexLink"/>
                <w:rtl w:val="true"/>
              </w:rPr>
              <w:t>الرّابع</w:t>
            </w:r>
            <w:r>
              <w:rPr>
                <w:rStyle w:val="IndexLink"/>
                <w:rtl w:val="true"/>
              </w:rPr>
              <w:t>:</w:t>
            </w:r>
            <w:r>
              <w:rPr>
                <w:rStyle w:val="IndexLink"/>
                <w:rtl w:val="true"/>
              </w:rPr>
              <w:t>يجوز المسح على المقدّم مقبلا و مدبرا</w:t>
            </w:r>
            <w:r>
              <w:rPr>
                <w:rStyle w:val="IndexLink"/>
                <w:rtl w:val="true"/>
              </w:rPr>
              <w:tab/>
            </w:r>
            <w:r>
              <w:rPr>
                <w:rStyle w:val="IndexLink"/>
              </w:rPr>
              <w:t>64</w:t>
            </w:r>
          </w:hyperlink>
        </w:p>
        <w:p>
          <w:pPr>
            <w:pStyle w:val="Contents6"/>
            <w:tabs>
              <w:tab w:val="clear" w:pos="7609"/>
              <w:tab w:val="right" w:pos="9026" w:leader="dot"/>
            </w:tabs>
            <w:rPr/>
          </w:pPr>
          <w:hyperlink w:anchor="__RefHeading___Toc795269_222507752">
            <w:r>
              <w:rPr>
                <w:webHidden/>
                <w:rStyle w:val="IndexLink"/>
                <w:rtl w:val="true"/>
              </w:rPr>
              <w:t>الخامس</w:t>
            </w:r>
            <w:r>
              <w:rPr>
                <w:rStyle w:val="IndexLink"/>
                <w:rtl w:val="true"/>
              </w:rPr>
              <w:t>:</w:t>
            </w:r>
            <w:r>
              <w:rPr>
                <w:rStyle w:val="IndexLink"/>
                <w:rtl w:val="true"/>
              </w:rPr>
              <w:t>يجوز المسح على البشرة و على شعرها</w:t>
            </w:r>
            <w:r>
              <w:rPr>
                <w:rStyle w:val="IndexLink"/>
                <w:rtl w:val="true"/>
              </w:rPr>
              <w:tab/>
            </w:r>
            <w:r>
              <w:rPr>
                <w:rStyle w:val="IndexLink"/>
              </w:rPr>
              <w:t>65</w:t>
            </w:r>
          </w:hyperlink>
        </w:p>
        <w:p>
          <w:pPr>
            <w:pStyle w:val="Contents6"/>
            <w:tabs>
              <w:tab w:val="clear" w:pos="7609"/>
              <w:tab w:val="right" w:pos="9026" w:leader="dot"/>
            </w:tabs>
            <w:rPr/>
          </w:pPr>
          <w:hyperlink w:anchor="__RefHeading___Toc795271_222507752">
            <w:r>
              <w:rPr>
                <w:webHidden/>
                <w:rStyle w:val="IndexLink"/>
                <w:rtl w:val="true"/>
              </w:rPr>
              <w:t>السّادس</w:t>
            </w:r>
            <w:r>
              <w:rPr>
                <w:rStyle w:val="IndexLink"/>
                <w:rtl w:val="true"/>
              </w:rPr>
              <w:t>:</w:t>
            </w:r>
            <w:r>
              <w:rPr>
                <w:rStyle w:val="IndexLink"/>
                <w:rtl w:val="true"/>
              </w:rPr>
              <w:t>لا يجوز المسح على حائل غير الشّعر</w:t>
            </w:r>
            <w:r>
              <w:rPr>
                <w:rStyle w:val="IndexLink"/>
                <w:rtl w:val="true"/>
              </w:rPr>
              <w:tab/>
            </w:r>
            <w:r>
              <w:rPr>
                <w:rStyle w:val="IndexLink"/>
              </w:rPr>
              <w:t>65</w:t>
            </w:r>
          </w:hyperlink>
        </w:p>
        <w:p>
          <w:pPr>
            <w:pStyle w:val="Contents6"/>
            <w:tabs>
              <w:tab w:val="clear" w:pos="7609"/>
              <w:tab w:val="right" w:pos="9026" w:leader="dot"/>
            </w:tabs>
            <w:rPr/>
          </w:pPr>
          <w:hyperlink w:anchor="__RefHeading___Toc795273_222507752">
            <w:r>
              <w:rPr>
                <w:webHidden/>
                <w:rStyle w:val="IndexLink"/>
                <w:rtl w:val="true"/>
              </w:rPr>
              <w:t>تذنيب</w:t>
            </w:r>
            <w:r>
              <w:rPr>
                <w:rStyle w:val="IndexLink"/>
                <w:rtl w:val="true"/>
              </w:rPr>
              <w:t>:</w:t>
            </w:r>
            <w:r>
              <w:rPr>
                <w:rStyle w:val="IndexLink"/>
                <w:rtl w:val="true"/>
              </w:rPr>
              <w:t>لا فرق بين أن يكون الحائل ثخينا يمنع من وصول ماء المسح إلى الرّأس،أو</w:t>
            </w:r>
            <w:r>
              <w:rPr>
                <w:rStyle w:val="IndexLink"/>
                <w:rtl w:val="true"/>
              </w:rPr>
              <w:tab/>
            </w:r>
            <w:r>
              <w:rPr>
                <w:rStyle w:val="IndexLink"/>
              </w:rPr>
              <w:t>67</w:t>
            </w:r>
          </w:hyperlink>
        </w:p>
        <w:p>
          <w:pPr>
            <w:pStyle w:val="Contents6"/>
            <w:tabs>
              <w:tab w:val="clear" w:pos="7609"/>
              <w:tab w:val="right" w:pos="9026" w:leader="dot"/>
            </w:tabs>
            <w:rPr/>
          </w:pPr>
          <w:hyperlink w:anchor="__RefHeading___Toc795275_222507752">
            <w:r>
              <w:rPr>
                <w:webHidden/>
                <w:rStyle w:val="IndexLink"/>
                <w:rtl w:val="true"/>
              </w:rPr>
              <w:t>السّابع</w:t>
            </w:r>
            <w:r>
              <w:rPr>
                <w:rStyle w:val="IndexLink"/>
                <w:rtl w:val="true"/>
              </w:rPr>
              <w:t>:</w:t>
            </w:r>
            <w:r>
              <w:rPr>
                <w:rStyle w:val="IndexLink"/>
                <w:rtl w:val="true"/>
              </w:rPr>
              <w:t>يستحبّ أن تضع المرأة القناع،</w:t>
            </w:r>
            <w:r>
              <w:rPr>
                <w:rStyle w:val="IndexLink"/>
                <w:rtl w:val="true"/>
              </w:rPr>
              <w:tab/>
            </w:r>
            <w:r>
              <w:rPr>
                <w:rStyle w:val="IndexLink"/>
              </w:rPr>
              <w:t>67</w:t>
            </w:r>
          </w:hyperlink>
        </w:p>
        <w:p>
          <w:pPr>
            <w:pStyle w:val="Contents6"/>
            <w:tabs>
              <w:tab w:val="clear" w:pos="7609"/>
              <w:tab w:val="right" w:pos="9026" w:leader="dot"/>
            </w:tabs>
            <w:rPr/>
          </w:pPr>
          <w:hyperlink w:anchor="__RefHeading___Toc795277_222507752">
            <w:r>
              <w:rPr>
                <w:webHidden/>
                <w:rStyle w:val="IndexLink"/>
                <w:rtl w:val="true"/>
              </w:rPr>
              <w:t>الثّامن</w:t>
            </w:r>
            <w:r>
              <w:rPr>
                <w:rStyle w:val="IndexLink"/>
                <w:rtl w:val="true"/>
              </w:rPr>
              <w:t>:</w:t>
            </w:r>
            <w:r>
              <w:rPr>
                <w:rStyle w:val="IndexLink"/>
                <w:rtl w:val="true"/>
              </w:rPr>
              <w:t>لا يمسح على الجمّة و لا على ما يجمع على مقدّم الرأس من غير شعر</w:t>
            </w:r>
            <w:r>
              <w:rPr>
                <w:rStyle w:val="IndexLink"/>
                <w:rtl w:val="true"/>
              </w:rPr>
              <w:tab/>
            </w:r>
            <w:r>
              <w:rPr>
                <w:rStyle w:val="IndexLink"/>
              </w:rPr>
              <w:t>67</w:t>
            </w:r>
          </w:hyperlink>
        </w:p>
        <w:p>
          <w:pPr>
            <w:pStyle w:val="Contents6"/>
            <w:tabs>
              <w:tab w:val="clear" w:pos="7609"/>
              <w:tab w:val="right" w:pos="9026" w:leader="dot"/>
            </w:tabs>
            <w:rPr/>
          </w:pPr>
          <w:hyperlink w:anchor="__RefHeading___Toc795279_222507752">
            <w:r>
              <w:rPr>
                <w:webHidden/>
                <w:rStyle w:val="IndexLink"/>
                <w:rtl w:val="true"/>
              </w:rPr>
              <w:t>التّاسع</w:t>
            </w:r>
            <w:r>
              <w:rPr>
                <w:rStyle w:val="IndexLink"/>
                <w:rtl w:val="true"/>
              </w:rPr>
              <w:t>:</w:t>
            </w:r>
            <w:r>
              <w:rPr>
                <w:rStyle w:val="IndexLink"/>
                <w:rtl w:val="true"/>
              </w:rPr>
              <w:t>لو كان على رأسه جمّة فأدخل يده تحتها و مسح على رأسه،أجزأه،</w:t>
            </w:r>
            <w:r>
              <w:rPr>
                <w:rStyle w:val="IndexLink"/>
                <w:rtl w:val="true"/>
              </w:rPr>
              <w:tab/>
            </w:r>
            <w:r>
              <w:rPr>
                <w:rStyle w:val="IndexLink"/>
              </w:rPr>
              <w:t>67</w:t>
            </w:r>
          </w:hyperlink>
        </w:p>
        <w:p>
          <w:pPr>
            <w:pStyle w:val="Contents6"/>
            <w:tabs>
              <w:tab w:val="clear" w:pos="7609"/>
              <w:tab w:val="right" w:pos="9026" w:leader="dot"/>
            </w:tabs>
            <w:rPr/>
          </w:pPr>
          <w:hyperlink w:anchor="__RefHeading___Toc795281_222507752">
            <w:r>
              <w:rPr>
                <w:webHidden/>
                <w:rStyle w:val="IndexLink"/>
                <w:rtl w:val="true"/>
              </w:rPr>
              <w:t>العاشر</w:t>
            </w:r>
            <w:r>
              <w:rPr>
                <w:rStyle w:val="IndexLink"/>
                <w:rtl w:val="true"/>
              </w:rPr>
              <w:t>:</w:t>
            </w:r>
            <w:r>
              <w:rPr>
                <w:rStyle w:val="IndexLink"/>
                <w:rtl w:val="true"/>
              </w:rPr>
              <w:t>يجب المسح في الرّأس و الرّجلين ببقيّة البلل</w:t>
            </w:r>
            <w:r>
              <w:rPr>
                <w:rStyle w:val="IndexLink"/>
                <w:rtl w:val="true"/>
              </w:rPr>
              <w:tab/>
            </w:r>
            <w:r>
              <w:rPr>
                <w:rStyle w:val="IndexLink"/>
              </w:rPr>
              <w:t>68</w:t>
            </w:r>
          </w:hyperlink>
        </w:p>
        <w:p>
          <w:pPr>
            <w:pStyle w:val="Contents6"/>
            <w:tabs>
              <w:tab w:val="clear" w:pos="7609"/>
              <w:tab w:val="right" w:pos="9026" w:leader="dot"/>
            </w:tabs>
            <w:rPr/>
          </w:pPr>
          <w:hyperlink w:anchor="__RefHeading___Toc795283_222507752">
            <w:r>
              <w:rPr>
                <w:webHidden/>
                <w:rStyle w:val="IndexLink"/>
                <w:rtl w:val="true"/>
              </w:rPr>
              <w:t>الحادي عشر</w:t>
            </w:r>
            <w:r>
              <w:rPr>
                <w:rStyle w:val="IndexLink"/>
                <w:rtl w:val="true"/>
              </w:rPr>
              <w:t>:</w:t>
            </w:r>
            <w:r>
              <w:rPr>
                <w:rStyle w:val="IndexLink"/>
                <w:rtl w:val="true"/>
              </w:rPr>
              <w:t>لو غسل موضع المسح لم يجزئه</w:t>
            </w:r>
            <w:r>
              <w:rPr>
                <w:rStyle w:val="IndexLink"/>
                <w:rtl w:val="true"/>
              </w:rPr>
              <w:t>.</w:t>
              <w:tab/>
            </w:r>
            <w:r>
              <w:rPr>
                <w:rStyle w:val="IndexLink"/>
              </w:rPr>
              <w:t>69</w:t>
            </w:r>
          </w:hyperlink>
        </w:p>
        <w:p>
          <w:pPr>
            <w:pStyle w:val="Contents6"/>
            <w:tabs>
              <w:tab w:val="clear" w:pos="7609"/>
              <w:tab w:val="right" w:pos="9026" w:leader="dot"/>
            </w:tabs>
            <w:rPr/>
          </w:pPr>
          <w:hyperlink w:anchor="__RefHeading___Toc795285_222507752">
            <w:r>
              <w:rPr>
                <w:webHidden/>
                <w:rStyle w:val="IndexLink"/>
                <w:rtl w:val="true"/>
              </w:rPr>
              <w:t>الثّاني عشر</w:t>
            </w:r>
            <w:r>
              <w:rPr>
                <w:rStyle w:val="IndexLink"/>
                <w:rtl w:val="true"/>
              </w:rPr>
              <w:t>:</w:t>
            </w:r>
            <w:r>
              <w:rPr>
                <w:rStyle w:val="IndexLink"/>
                <w:rtl w:val="true"/>
              </w:rPr>
              <w:t>لو ذكر انّه لم يمسح،مسح ببقيّة النّداوة</w:t>
            </w:r>
            <w:r>
              <w:rPr>
                <w:rStyle w:val="IndexLink"/>
                <w:rtl w:val="true"/>
              </w:rPr>
              <w:tab/>
            </w:r>
            <w:r>
              <w:rPr>
                <w:rStyle w:val="IndexLink"/>
              </w:rPr>
              <w:t>70</w:t>
            </w:r>
          </w:hyperlink>
        </w:p>
        <w:p>
          <w:pPr>
            <w:pStyle w:val="Contents6"/>
            <w:tabs>
              <w:tab w:val="clear" w:pos="7609"/>
              <w:tab w:val="right" w:pos="9026" w:leader="dot"/>
            </w:tabs>
            <w:rPr/>
          </w:pPr>
          <w:hyperlink w:anchor="__RefHeading___Toc795287_222507752">
            <w:r>
              <w:rPr>
                <w:webHidden/>
                <w:rStyle w:val="IndexLink"/>
                <w:rtl w:val="true"/>
              </w:rPr>
              <w:t>الثّالث عشر</w:t>
            </w:r>
            <w:r>
              <w:rPr>
                <w:rStyle w:val="IndexLink"/>
                <w:rtl w:val="true"/>
              </w:rPr>
              <w:t>:</w:t>
            </w:r>
            <w:r>
              <w:rPr>
                <w:rStyle w:val="IndexLink"/>
                <w:rtl w:val="true"/>
              </w:rPr>
              <w:t>لو مسح رأسه بخرقة مبلولة أو خشبة،لم يجزئه</w:t>
            </w:r>
            <w:r>
              <w:rPr>
                <w:rStyle w:val="IndexLink"/>
                <w:rtl w:val="true"/>
              </w:rPr>
              <w:tab/>
            </w:r>
            <w:r>
              <w:rPr>
                <w:rStyle w:val="IndexLink"/>
              </w:rPr>
              <w:t>71</w:t>
            </w:r>
          </w:hyperlink>
        </w:p>
        <w:p>
          <w:pPr>
            <w:pStyle w:val="Contents6"/>
            <w:tabs>
              <w:tab w:val="clear" w:pos="7609"/>
              <w:tab w:val="right" w:pos="9026" w:leader="dot"/>
            </w:tabs>
            <w:rPr/>
          </w:pPr>
          <w:hyperlink w:anchor="__RefHeading___Toc795289_222507752">
            <w:r>
              <w:rPr>
                <w:webHidden/>
                <w:rStyle w:val="IndexLink"/>
                <w:rtl w:val="true"/>
              </w:rPr>
              <w:t>الرّابع عشر</w:t>
            </w:r>
            <w:r>
              <w:rPr>
                <w:rStyle w:val="IndexLink"/>
                <w:rtl w:val="true"/>
              </w:rPr>
              <w:t>:</w:t>
            </w:r>
            <w:r>
              <w:rPr>
                <w:rStyle w:val="IndexLink"/>
                <w:rtl w:val="true"/>
              </w:rPr>
              <w:t>إن مسح بإصبع واحدة،أو إصبعين أجزأه</w:t>
            </w:r>
            <w:r>
              <w:rPr>
                <w:rStyle w:val="IndexLink"/>
                <w:rtl w:val="true"/>
              </w:rPr>
              <w:tab/>
            </w:r>
            <w:r>
              <w:rPr>
                <w:rStyle w:val="IndexLink"/>
              </w:rPr>
              <w:t>71</w:t>
            </w:r>
          </w:hyperlink>
        </w:p>
        <w:p>
          <w:pPr>
            <w:pStyle w:val="Contents6"/>
            <w:tabs>
              <w:tab w:val="clear" w:pos="7609"/>
              <w:tab w:val="right" w:pos="9026" w:leader="dot"/>
            </w:tabs>
            <w:rPr/>
          </w:pPr>
          <w:hyperlink w:anchor="__RefHeading___Toc795291_222507752">
            <w:r>
              <w:rPr>
                <w:webHidden/>
                <w:rStyle w:val="IndexLink"/>
                <w:rtl w:val="true"/>
              </w:rPr>
              <w:t>الخامس عشر</w:t>
            </w:r>
            <w:r>
              <w:rPr>
                <w:rStyle w:val="IndexLink"/>
                <w:rtl w:val="true"/>
              </w:rPr>
              <w:t>:</w:t>
            </w:r>
            <w:r>
              <w:rPr>
                <w:rStyle w:val="IndexLink"/>
                <w:rtl w:val="true"/>
              </w:rPr>
              <w:t>مسح جميع الرّأس غير مستحبّ و لا مسح الأذنين،</w:t>
            </w:r>
            <w:r>
              <w:rPr>
                <w:rStyle w:val="IndexLink"/>
                <w:rtl w:val="true"/>
              </w:rPr>
              <w:tab/>
            </w:r>
            <w:r>
              <w:rPr>
                <w:rStyle w:val="IndexLink"/>
              </w:rPr>
              <w:t>72</w:t>
            </w:r>
          </w:hyperlink>
        </w:p>
        <w:p>
          <w:pPr>
            <w:pStyle w:val="Contents6"/>
            <w:tabs>
              <w:tab w:val="clear" w:pos="7609"/>
              <w:tab w:val="right" w:pos="9026" w:leader="dot"/>
            </w:tabs>
            <w:rPr/>
          </w:pPr>
          <w:hyperlink w:anchor="__RefHeading___Toc795293_222507752">
            <w:r>
              <w:rPr>
                <w:webHidden/>
                <w:rStyle w:val="IndexLink"/>
                <w:rtl w:val="true"/>
              </w:rPr>
              <w:t>السّادس عشر</w:t>
            </w:r>
            <w:r>
              <w:rPr>
                <w:rStyle w:val="IndexLink"/>
                <w:rtl w:val="true"/>
              </w:rPr>
              <w:t>:</w:t>
            </w:r>
            <w:r>
              <w:rPr>
                <w:rStyle w:val="IndexLink"/>
                <w:rtl w:val="true"/>
              </w:rPr>
              <w:t>لو أصاب رأسه من ماء المطر لم يجزئه</w:t>
            </w:r>
            <w:r>
              <w:rPr>
                <w:rStyle w:val="IndexLink"/>
                <w:rtl w:val="true"/>
              </w:rPr>
              <w:tab/>
            </w:r>
            <w:r>
              <w:rPr>
                <w:rStyle w:val="IndexLink"/>
              </w:rPr>
              <w:t>73</w:t>
            </w:r>
          </w:hyperlink>
        </w:p>
        <w:p>
          <w:pPr>
            <w:pStyle w:val="Contents6"/>
            <w:tabs>
              <w:tab w:val="clear" w:pos="7609"/>
              <w:tab w:val="right" w:pos="9026" w:leader="dot"/>
            </w:tabs>
            <w:rPr/>
          </w:pPr>
          <w:hyperlink w:anchor="__RefHeading___Toc795295_222507752">
            <w:r>
              <w:rPr>
                <w:webHidden/>
                <w:rStyle w:val="IndexLink"/>
                <w:rtl w:val="true"/>
              </w:rPr>
              <w:t>السابع عشر</w:t>
            </w:r>
            <w:r>
              <w:rPr>
                <w:rStyle w:val="IndexLink"/>
                <w:rtl w:val="true"/>
              </w:rPr>
              <w:t>:</w:t>
            </w:r>
            <w:r>
              <w:rPr>
                <w:rStyle w:val="IndexLink"/>
                <w:rtl w:val="true"/>
              </w:rPr>
              <w:t>لا يستحبّ مسح العنق،و لو اعتقده كان بدعة</w:t>
            </w:r>
            <w:r>
              <w:rPr>
                <w:rStyle w:val="IndexLink"/>
                <w:rtl w:val="true"/>
              </w:rPr>
              <w:t>.</w:t>
              <w:tab/>
            </w:r>
            <w:r>
              <w:rPr>
                <w:rStyle w:val="IndexLink"/>
              </w:rPr>
              <w:t>73</w:t>
            </w:r>
          </w:hyperlink>
        </w:p>
        <w:p>
          <w:pPr>
            <w:pStyle w:val="Contents6"/>
            <w:tabs>
              <w:tab w:val="clear" w:pos="7609"/>
              <w:tab w:val="right" w:pos="9026" w:leader="dot"/>
            </w:tabs>
            <w:rPr/>
          </w:pPr>
          <w:hyperlink w:anchor="__RefHeading___Toc795297_222507752">
            <w:r>
              <w:rPr>
                <w:webHidden/>
                <w:rStyle w:val="IndexLink"/>
                <w:rtl w:val="true"/>
              </w:rPr>
              <w:t>الثّامن عشر</w:t>
            </w:r>
            <w:r>
              <w:rPr>
                <w:rStyle w:val="IndexLink"/>
                <w:rtl w:val="true"/>
              </w:rPr>
              <w:t>:</w:t>
            </w:r>
            <w:r>
              <w:rPr>
                <w:rStyle w:val="IndexLink"/>
                <w:rtl w:val="true"/>
              </w:rPr>
              <w:t>لا يجوز المسح على الأذنين</w:t>
            </w:r>
            <w:r>
              <w:rPr>
                <w:rStyle w:val="IndexLink"/>
                <w:rtl w:val="true"/>
              </w:rPr>
              <w:tab/>
            </w:r>
            <w:r>
              <w:rPr>
                <w:rStyle w:val="IndexLink"/>
              </w:rPr>
              <w:t>73</w:t>
            </w:r>
          </w:hyperlink>
        </w:p>
        <w:p>
          <w:pPr>
            <w:pStyle w:val="Contents6"/>
            <w:tabs>
              <w:tab w:val="clear" w:pos="7609"/>
              <w:tab w:val="right" w:pos="9026" w:leader="dot"/>
            </w:tabs>
            <w:rPr/>
          </w:pPr>
          <w:hyperlink w:anchor="__RefHeading___Toc795299_222507752">
            <w:r>
              <w:rPr>
                <w:webHidden/>
                <w:rStyle w:val="IndexLink"/>
                <w:rtl w:val="true"/>
              </w:rPr>
              <w:t>التّاسع عشر</w:t>
            </w:r>
            <w:r>
              <w:rPr>
                <w:rStyle w:val="IndexLink"/>
                <w:rtl w:val="true"/>
              </w:rPr>
              <w:t>:</w:t>
            </w:r>
            <w:r>
              <w:rPr>
                <w:rStyle w:val="IndexLink"/>
                <w:rtl w:val="true"/>
              </w:rPr>
              <w:t>لو وضع يده المبتلّة على موضع المسح و رفعها لم يجزئه</w:t>
            </w:r>
            <w:r>
              <w:rPr>
                <w:rStyle w:val="IndexLink"/>
                <w:rtl w:val="true"/>
              </w:rPr>
              <w:tab/>
            </w:r>
            <w:r>
              <w:rPr>
                <w:rStyle w:val="IndexLink"/>
              </w:rPr>
              <w:t>75</w:t>
            </w:r>
          </w:hyperlink>
        </w:p>
        <w:p>
          <w:pPr>
            <w:pStyle w:val="Contents5"/>
            <w:tabs>
              <w:tab w:val="clear" w:pos="7892"/>
              <w:tab w:val="right" w:pos="9026" w:leader="dot"/>
            </w:tabs>
            <w:rPr/>
          </w:pPr>
          <w:hyperlink w:anchor="__RefHeading___Toc795301_222507752">
            <w:r>
              <w:rPr>
                <w:webHidden/>
                <w:rStyle w:val="IndexLink"/>
                <w:rtl w:val="true"/>
              </w:rPr>
              <w:t>مسألة</w:t>
            </w:r>
            <w:r>
              <w:rPr>
                <w:rStyle w:val="IndexLink"/>
                <w:rtl w:val="true"/>
              </w:rPr>
              <w:t>:</w:t>
            </w:r>
            <w:r>
              <w:rPr>
                <w:rStyle w:val="IndexLink"/>
                <w:rtl w:val="true"/>
              </w:rPr>
              <w:t>قال علماؤنا</w:t>
            </w:r>
            <w:r>
              <w:rPr>
                <w:rStyle w:val="IndexLink"/>
                <w:rtl w:val="true"/>
              </w:rPr>
              <w:t>:</w:t>
            </w:r>
            <w:r>
              <w:rPr>
                <w:rStyle w:val="IndexLink"/>
                <w:rtl w:val="true"/>
              </w:rPr>
              <w:t>الواجب مسح الرّجلين إلى الكعبين</w:t>
            </w:r>
            <w:r>
              <w:rPr>
                <w:rStyle w:val="IndexLink"/>
                <w:rtl w:val="true"/>
              </w:rPr>
              <w:t>.</w:t>
              <w:tab/>
            </w:r>
            <w:r>
              <w:rPr>
                <w:rStyle w:val="IndexLink"/>
              </w:rPr>
              <w:t>75</w:t>
            </w:r>
          </w:hyperlink>
        </w:p>
        <w:p>
          <w:pPr>
            <w:pStyle w:val="Contents5"/>
            <w:tabs>
              <w:tab w:val="clear" w:pos="7892"/>
              <w:tab w:val="right" w:pos="9026" w:leader="dot"/>
            </w:tabs>
            <w:rPr/>
          </w:pPr>
          <w:hyperlink w:anchor="__RefHeading___Toc795303_222507752">
            <w:r>
              <w:rPr>
                <w:webHidden/>
                <w:rStyle w:val="IndexLink"/>
                <w:rtl w:val="true"/>
              </w:rPr>
              <w:t>مسألة</w:t>
            </w:r>
            <w:r>
              <w:rPr>
                <w:rStyle w:val="IndexLink"/>
                <w:rtl w:val="true"/>
              </w:rPr>
              <w:t>:</w:t>
            </w:r>
            <w:r>
              <w:rPr>
                <w:rStyle w:val="IndexLink"/>
                <w:rtl w:val="true"/>
              </w:rPr>
              <w:t>لا يجب استيعاب الرّجلين بالمسح،</w:t>
            </w:r>
            <w:r>
              <w:rPr>
                <w:rStyle w:val="IndexLink"/>
                <w:rtl w:val="true"/>
              </w:rPr>
              <w:tab/>
            </w:r>
            <w:r>
              <w:rPr>
                <w:rStyle w:val="IndexLink"/>
              </w:rPr>
              <w:t>84</w:t>
            </w:r>
          </w:hyperlink>
        </w:p>
        <w:p>
          <w:pPr>
            <w:pStyle w:val="Contents5"/>
            <w:tabs>
              <w:tab w:val="clear" w:pos="7892"/>
              <w:tab w:val="right" w:pos="9026" w:leader="dot"/>
            </w:tabs>
            <w:rPr/>
          </w:pPr>
          <w:hyperlink w:anchor="__RefHeading___Toc795305_222507752">
            <w:r>
              <w:rPr>
                <w:webHidden/>
                <w:rStyle w:val="IndexLink"/>
                <w:rtl w:val="true"/>
              </w:rPr>
              <w:t>مسألة</w:t>
            </w:r>
            <w:r>
              <w:rPr>
                <w:rStyle w:val="IndexLink"/>
                <w:rtl w:val="true"/>
              </w:rPr>
              <w:t>:</w:t>
            </w:r>
            <w:r>
              <w:rPr>
                <w:rStyle w:val="IndexLink"/>
                <w:rtl w:val="true"/>
              </w:rPr>
              <w:t>ذهب علماؤنا إلى انّ الكعبين هما العظمان النّاتئان في وسط القدم</w:t>
            </w:r>
            <w:r>
              <w:rPr>
                <w:rStyle w:val="IndexLink"/>
                <w:rtl w:val="true"/>
              </w:rPr>
              <w:tab/>
            </w:r>
            <w:r>
              <w:rPr>
                <w:rStyle w:val="IndexLink"/>
              </w:rPr>
              <w:t>86</w:t>
            </w:r>
          </w:hyperlink>
        </w:p>
        <w:p>
          <w:pPr>
            <w:pStyle w:val="Contents6"/>
            <w:tabs>
              <w:tab w:val="clear" w:pos="7609"/>
              <w:tab w:val="right" w:pos="9026" w:leader="dot"/>
            </w:tabs>
            <w:rPr/>
          </w:pPr>
          <w:hyperlink w:anchor="__RefHeading___Toc795307_222507752">
            <w:r>
              <w:rPr>
                <w:webHidden/>
                <w:rStyle w:val="IndexLink"/>
                <w:rtl w:val="true"/>
              </w:rPr>
              <w:t>اشارة</w:t>
            </w:r>
            <w:r>
              <w:rPr>
                <w:rStyle w:val="IndexLink"/>
                <w:rtl w:val="true"/>
              </w:rPr>
              <w:tab/>
            </w:r>
            <w:r>
              <w:rPr>
                <w:rStyle w:val="IndexLink"/>
              </w:rPr>
              <w:t>86</w:t>
            </w:r>
          </w:hyperlink>
        </w:p>
        <w:p>
          <w:pPr>
            <w:pStyle w:val="Contents6"/>
            <w:tabs>
              <w:tab w:val="clear" w:pos="7609"/>
              <w:tab w:val="right" w:pos="9026" w:leader="dot"/>
            </w:tabs>
            <w:rPr/>
          </w:pPr>
          <w:hyperlink w:anchor="__RefHeading___Toc795309_222507752">
            <w:r>
              <w:rPr>
                <w:webHidden/>
                <w:rStyle w:val="IndexLink"/>
                <w:rtl w:val="true"/>
              </w:rPr>
              <w:t>فروع</w:t>
            </w:r>
            <w:r>
              <w:rPr>
                <w:rStyle w:val="IndexLink"/>
                <w:rtl w:val="true"/>
              </w:rPr>
              <w:t>:</w:t>
              <w:tab/>
            </w:r>
            <w:r>
              <w:rPr>
                <w:rStyle w:val="IndexLink"/>
              </w:rPr>
              <w:t>89</w:t>
            </w:r>
          </w:hyperlink>
        </w:p>
        <w:p>
          <w:pPr>
            <w:pStyle w:val="Contents6"/>
            <w:tabs>
              <w:tab w:val="clear" w:pos="7609"/>
              <w:tab w:val="right" w:pos="9026" w:leader="dot"/>
            </w:tabs>
            <w:rPr/>
          </w:pPr>
          <w:hyperlink w:anchor="__RefHeading___Toc795311_222507752">
            <w:r>
              <w:rPr>
                <w:webHidden/>
                <w:rStyle w:val="IndexLink"/>
                <w:rtl w:val="true"/>
              </w:rPr>
              <w:t>الأوّل</w:t>
            </w:r>
            <w:r>
              <w:rPr>
                <w:rStyle w:val="IndexLink"/>
                <w:rtl w:val="true"/>
              </w:rPr>
              <w:t>:</w:t>
            </w:r>
            <w:r>
              <w:rPr>
                <w:rStyle w:val="IndexLink"/>
                <w:rtl w:val="true"/>
              </w:rPr>
              <w:t>قد تشتبه عبارة علمائنا على بعض من لا مزيد تحصيل له في معنى</w:t>
            </w:r>
            <w:r>
              <w:rPr>
                <w:rStyle w:val="IndexLink"/>
                <w:rtl w:val="true"/>
              </w:rPr>
              <w:tab/>
            </w:r>
            <w:r>
              <w:rPr>
                <w:rStyle w:val="IndexLink"/>
              </w:rPr>
              <w:t>89</w:t>
            </w:r>
          </w:hyperlink>
        </w:p>
        <w:p>
          <w:pPr>
            <w:pStyle w:val="Contents6"/>
            <w:tabs>
              <w:tab w:val="clear" w:pos="7609"/>
              <w:tab w:val="right" w:pos="9026" w:leader="dot"/>
            </w:tabs>
            <w:rPr/>
          </w:pPr>
          <w:hyperlink w:anchor="__RefHeading___Toc795313_222507752">
            <w:r>
              <w:rPr>
                <w:webHidden/>
                <w:rStyle w:val="IndexLink"/>
                <w:rtl w:val="true"/>
              </w:rPr>
              <w:t>الثّاني</w:t>
            </w:r>
            <w:r>
              <w:rPr>
                <w:rStyle w:val="IndexLink"/>
                <w:rtl w:val="true"/>
              </w:rPr>
              <w:t>:</w:t>
            </w:r>
            <w:r>
              <w:rPr>
                <w:rStyle w:val="IndexLink"/>
                <w:rtl w:val="true"/>
              </w:rPr>
              <w:t>يجوز المسح مقبلا و مدبرا</w:t>
            </w:r>
            <w:r>
              <w:rPr>
                <w:rStyle w:val="IndexLink"/>
                <w:rtl w:val="true"/>
              </w:rPr>
              <w:t>.</w:t>
              <w:tab/>
            </w:r>
            <w:r>
              <w:rPr>
                <w:rStyle w:val="IndexLink"/>
              </w:rPr>
              <w:t>90</w:t>
            </w:r>
          </w:hyperlink>
        </w:p>
        <w:p>
          <w:pPr>
            <w:pStyle w:val="Contents6"/>
            <w:tabs>
              <w:tab w:val="clear" w:pos="7609"/>
              <w:tab w:val="right" w:pos="9026" w:leader="dot"/>
            </w:tabs>
            <w:rPr/>
          </w:pPr>
          <w:hyperlink w:anchor="__RefHeading___Toc795315_222507752">
            <w:r>
              <w:rPr>
                <w:webHidden/>
                <w:rStyle w:val="IndexLink"/>
                <w:rtl w:val="true"/>
              </w:rPr>
              <w:t>الثّالث</w:t>
            </w:r>
            <w:r>
              <w:rPr>
                <w:rStyle w:val="IndexLink"/>
                <w:rtl w:val="true"/>
              </w:rPr>
              <w:t>:</w:t>
            </w:r>
            <w:r>
              <w:rPr>
                <w:rStyle w:val="IndexLink"/>
                <w:rtl w:val="true"/>
              </w:rPr>
              <w:t>لا يجوز استئناف ماء جديد</w:t>
            </w:r>
            <w:r>
              <w:rPr>
                <w:rStyle w:val="IndexLink"/>
                <w:rtl w:val="true"/>
              </w:rPr>
              <w:tab/>
            </w:r>
            <w:r>
              <w:rPr>
                <w:rStyle w:val="IndexLink"/>
              </w:rPr>
              <w:t>90</w:t>
            </w:r>
          </w:hyperlink>
        </w:p>
        <w:p>
          <w:pPr>
            <w:pStyle w:val="Contents6"/>
            <w:tabs>
              <w:tab w:val="clear" w:pos="7609"/>
              <w:tab w:val="right" w:pos="9026" w:leader="dot"/>
            </w:tabs>
            <w:rPr/>
          </w:pPr>
          <w:hyperlink w:anchor="__RefHeading___Toc795317_222507752">
            <w:r>
              <w:rPr>
                <w:webHidden/>
                <w:rStyle w:val="IndexLink"/>
                <w:rtl w:val="true"/>
              </w:rPr>
              <w:t>الرّابع</w:t>
            </w:r>
            <w:r>
              <w:rPr>
                <w:rStyle w:val="IndexLink"/>
                <w:rtl w:val="true"/>
              </w:rPr>
              <w:t>:</w:t>
            </w:r>
            <w:r>
              <w:rPr>
                <w:rStyle w:val="IndexLink"/>
                <w:rtl w:val="true"/>
              </w:rPr>
              <w:t>لو كان على رجليه رطوبة غير ماء الوضوء،ثمَّ مسح بباقي النّداوة على تلك</w:t>
            </w:r>
            <w:r>
              <w:rPr>
                <w:rStyle w:val="IndexLink"/>
                <w:rtl w:val="true"/>
              </w:rPr>
              <w:tab/>
            </w:r>
            <w:r>
              <w:rPr>
                <w:rStyle w:val="IndexLink"/>
              </w:rPr>
              <w:t>90</w:t>
            </w:r>
          </w:hyperlink>
        </w:p>
        <w:p>
          <w:pPr>
            <w:pStyle w:val="Contents6"/>
            <w:tabs>
              <w:tab w:val="clear" w:pos="7609"/>
              <w:tab w:val="right" w:pos="9026" w:leader="dot"/>
            </w:tabs>
            <w:rPr/>
          </w:pPr>
          <w:hyperlink w:anchor="__RefHeading___Toc795319_222507752">
            <w:r>
              <w:rPr>
                <w:webHidden/>
                <w:rStyle w:val="IndexLink"/>
                <w:rtl w:val="true"/>
              </w:rPr>
              <w:t>الخامس</w:t>
            </w:r>
            <w:r>
              <w:rPr>
                <w:rStyle w:val="IndexLink"/>
                <w:rtl w:val="true"/>
              </w:rPr>
              <w:t>:</w:t>
            </w:r>
            <w:r>
              <w:rPr>
                <w:rStyle w:val="IndexLink"/>
                <w:rtl w:val="true"/>
              </w:rPr>
              <w:t>يجب الانتهاء في المسح إلى الكعب</w:t>
            </w:r>
            <w:r>
              <w:rPr>
                <w:rStyle w:val="IndexLink"/>
                <w:rtl w:val="true"/>
              </w:rPr>
              <w:tab/>
            </w:r>
            <w:r>
              <w:rPr>
                <w:rStyle w:val="IndexLink"/>
              </w:rPr>
              <w:t>90</w:t>
            </w:r>
          </w:hyperlink>
        </w:p>
        <w:p>
          <w:pPr>
            <w:pStyle w:val="Contents6"/>
            <w:tabs>
              <w:tab w:val="clear" w:pos="7609"/>
              <w:tab w:val="right" w:pos="9026" w:leader="dot"/>
            </w:tabs>
            <w:rPr/>
          </w:pPr>
          <w:hyperlink w:anchor="__RefHeading___Toc795321_222507752">
            <w:r>
              <w:rPr>
                <w:webHidden/>
                <w:rStyle w:val="IndexLink"/>
                <w:rtl w:val="true"/>
              </w:rPr>
              <w:t>السّادس</w:t>
            </w:r>
            <w:r>
              <w:rPr>
                <w:rStyle w:val="IndexLink"/>
                <w:rtl w:val="true"/>
              </w:rPr>
              <w:t>:</w:t>
            </w:r>
            <w:r>
              <w:rPr>
                <w:rStyle w:val="IndexLink"/>
                <w:rtl w:val="true"/>
              </w:rPr>
              <w:t xml:space="preserve">يسقط فرض المسح عمّن قطعت قدمه </w:t>
            </w:r>
            <w:r>
              <w:rPr>
                <w:rStyle w:val="IndexLink"/>
                <w:rtl w:val="true"/>
              </w:rPr>
              <w:t>.</w:t>
              <w:tab/>
            </w:r>
            <w:r>
              <w:rPr>
                <w:rStyle w:val="IndexLink"/>
              </w:rPr>
              <w:t>91</w:t>
            </w:r>
          </w:hyperlink>
        </w:p>
        <w:p>
          <w:pPr>
            <w:pStyle w:val="Contents6"/>
            <w:tabs>
              <w:tab w:val="clear" w:pos="7609"/>
              <w:tab w:val="right" w:pos="9026" w:leader="dot"/>
            </w:tabs>
            <w:rPr/>
          </w:pPr>
          <w:hyperlink w:anchor="__RefHeading___Toc795323_222507752">
            <w:r>
              <w:rPr>
                <w:webHidden/>
                <w:rStyle w:val="IndexLink"/>
                <w:rtl w:val="true"/>
              </w:rPr>
              <w:t>السّابع</w:t>
            </w:r>
            <w:r>
              <w:rPr>
                <w:rStyle w:val="IndexLink"/>
                <w:rtl w:val="true"/>
              </w:rPr>
              <w:t>:</w:t>
            </w:r>
            <w:r>
              <w:rPr>
                <w:rStyle w:val="IndexLink"/>
                <w:rtl w:val="true"/>
              </w:rPr>
              <w:t>لو غسل موضع المسح لم يجز،</w:t>
            </w:r>
            <w:r>
              <w:rPr>
                <w:rStyle w:val="IndexLink"/>
                <w:rtl w:val="true"/>
              </w:rPr>
              <w:tab/>
            </w:r>
            <w:r>
              <w:rPr>
                <w:rStyle w:val="IndexLink"/>
              </w:rPr>
              <w:t>92</w:t>
            </w:r>
          </w:hyperlink>
        </w:p>
        <w:p>
          <w:pPr>
            <w:pStyle w:val="Contents6"/>
            <w:tabs>
              <w:tab w:val="clear" w:pos="7609"/>
              <w:tab w:val="right" w:pos="9026" w:leader="dot"/>
            </w:tabs>
            <w:rPr/>
          </w:pPr>
          <w:hyperlink w:anchor="__RefHeading___Toc795325_222507752">
            <w:r>
              <w:rPr>
                <w:webHidden/>
                <w:rStyle w:val="IndexLink"/>
                <w:rtl w:val="true"/>
              </w:rPr>
              <w:t>تذنيب</w:t>
            </w:r>
            <w:r>
              <w:rPr>
                <w:rStyle w:val="IndexLink"/>
                <w:rtl w:val="true"/>
              </w:rPr>
              <w:t>:</w:t>
              <w:tab/>
            </w:r>
            <w:r>
              <w:rPr>
                <w:rStyle w:val="IndexLink"/>
              </w:rPr>
              <w:t>92</w:t>
            </w:r>
          </w:hyperlink>
        </w:p>
        <w:p>
          <w:pPr>
            <w:pStyle w:val="Contents6"/>
            <w:tabs>
              <w:tab w:val="clear" w:pos="7609"/>
              <w:tab w:val="right" w:pos="9026" w:leader="dot"/>
            </w:tabs>
            <w:rPr/>
          </w:pPr>
          <w:hyperlink w:anchor="__RefHeading___Toc795327_222507752">
            <w:r>
              <w:rPr>
                <w:webHidden/>
                <w:rStyle w:val="IndexLink"/>
                <w:rtl w:val="true"/>
              </w:rPr>
              <w:t>الثّامن</w:t>
            </w:r>
            <w:r>
              <w:rPr>
                <w:rStyle w:val="IndexLink"/>
                <w:rtl w:val="true"/>
              </w:rPr>
              <w:t>:</w:t>
            </w:r>
            <w:r>
              <w:rPr>
                <w:rStyle w:val="IndexLink"/>
                <w:rtl w:val="true"/>
              </w:rPr>
              <w:t>لا بأس بالمسح على النّعل العربيّ</w:t>
            </w:r>
            <w:r>
              <w:rPr>
                <w:rStyle w:val="IndexLink"/>
                <w:rtl w:val="true"/>
              </w:rPr>
              <w:tab/>
            </w:r>
            <w:r>
              <w:rPr>
                <w:rStyle w:val="IndexLink"/>
              </w:rPr>
              <w:t>92</w:t>
            </w:r>
          </w:hyperlink>
        </w:p>
        <w:p>
          <w:pPr>
            <w:pStyle w:val="Contents5"/>
            <w:tabs>
              <w:tab w:val="clear" w:pos="7892"/>
              <w:tab w:val="right" w:pos="9026" w:leader="dot"/>
            </w:tabs>
            <w:rPr/>
          </w:pPr>
          <w:hyperlink w:anchor="__RefHeading___Toc795329_222507752">
            <w:r>
              <w:rPr>
                <w:webHidden/>
                <w:rStyle w:val="IndexLink"/>
                <w:rtl w:val="true"/>
              </w:rPr>
              <w:t>مسألة</w:t>
            </w:r>
            <w:r>
              <w:rPr>
                <w:rStyle w:val="IndexLink"/>
                <w:rtl w:val="true"/>
              </w:rPr>
              <w:t>:</w:t>
            </w:r>
            <w:r>
              <w:rPr>
                <w:rStyle w:val="IndexLink"/>
                <w:rtl w:val="true"/>
              </w:rPr>
              <w:t>لا يجوز المسح على الخفّين،و لا على الجوربين،و لا على شيء ممّا يستر ظهر</w:t>
            </w:r>
            <w:r>
              <w:rPr>
                <w:rStyle w:val="IndexLink"/>
                <w:rtl w:val="true"/>
              </w:rPr>
              <w:tab/>
            </w:r>
            <w:r>
              <w:rPr>
                <w:rStyle w:val="IndexLink"/>
              </w:rPr>
              <w:t>93</w:t>
            </w:r>
          </w:hyperlink>
        </w:p>
        <w:p>
          <w:pPr>
            <w:pStyle w:val="Contents6"/>
            <w:tabs>
              <w:tab w:val="clear" w:pos="7609"/>
              <w:tab w:val="right" w:pos="9026" w:leader="dot"/>
            </w:tabs>
            <w:rPr/>
          </w:pPr>
          <w:hyperlink w:anchor="__RefHeading___Toc795331_222507752">
            <w:r>
              <w:rPr>
                <w:webHidden/>
                <w:rStyle w:val="IndexLink"/>
                <w:rtl w:val="true"/>
              </w:rPr>
              <w:t>اشارة</w:t>
            </w:r>
            <w:r>
              <w:rPr>
                <w:rStyle w:val="IndexLink"/>
                <w:rtl w:val="true"/>
              </w:rPr>
              <w:tab/>
            </w:r>
            <w:r>
              <w:rPr>
                <w:rStyle w:val="IndexLink"/>
              </w:rPr>
              <w:t>93</w:t>
            </w:r>
          </w:hyperlink>
        </w:p>
        <w:p>
          <w:pPr>
            <w:pStyle w:val="Contents6"/>
            <w:tabs>
              <w:tab w:val="clear" w:pos="7609"/>
              <w:tab w:val="right" w:pos="9026" w:leader="dot"/>
            </w:tabs>
            <w:rPr/>
          </w:pPr>
          <w:hyperlink w:anchor="__RefHeading___Toc795333_222507752">
            <w:r>
              <w:rPr>
                <w:webHidden/>
                <w:rStyle w:val="IndexLink"/>
                <w:rtl w:val="true"/>
              </w:rPr>
              <w:t>فروع</w:t>
            </w:r>
            <w:r>
              <w:rPr>
                <w:rStyle w:val="IndexLink"/>
                <w:rtl w:val="true"/>
              </w:rPr>
              <w:t>:</w:t>
              <w:tab/>
            </w:r>
            <w:r>
              <w:rPr>
                <w:rStyle w:val="IndexLink"/>
              </w:rPr>
              <w:t>99</w:t>
            </w:r>
          </w:hyperlink>
        </w:p>
        <w:p>
          <w:pPr>
            <w:pStyle w:val="Contents6"/>
            <w:tabs>
              <w:tab w:val="clear" w:pos="7609"/>
              <w:tab w:val="right" w:pos="9026" w:leader="dot"/>
            </w:tabs>
            <w:rPr/>
          </w:pPr>
          <w:hyperlink w:anchor="__RefHeading___Toc795335_222507752">
            <w:r>
              <w:rPr>
                <w:webHidden/>
                <w:rStyle w:val="IndexLink"/>
                <w:rtl w:val="true"/>
              </w:rPr>
              <w:t>الأوّل</w:t>
            </w:r>
            <w:r>
              <w:rPr>
                <w:rStyle w:val="IndexLink"/>
                <w:rtl w:val="true"/>
              </w:rPr>
              <w:t>:</w:t>
            </w:r>
            <w:r>
              <w:rPr>
                <w:rStyle w:val="IndexLink"/>
                <w:rtl w:val="true"/>
              </w:rPr>
              <w:t>لا بأس بالمسح على الخفّين عند الضرورة</w:t>
            </w:r>
            <w:r>
              <w:rPr>
                <w:rStyle w:val="IndexLink"/>
                <w:rtl w:val="true"/>
              </w:rPr>
              <w:tab/>
            </w:r>
            <w:r>
              <w:rPr>
                <w:rStyle w:val="IndexLink"/>
              </w:rPr>
              <w:t>99</w:t>
            </w:r>
          </w:hyperlink>
        </w:p>
        <w:p>
          <w:pPr>
            <w:pStyle w:val="Contents6"/>
            <w:tabs>
              <w:tab w:val="clear" w:pos="7609"/>
              <w:tab w:val="right" w:pos="9026" w:leader="dot"/>
            </w:tabs>
            <w:rPr/>
          </w:pPr>
          <w:hyperlink w:anchor="__RefHeading___Toc795337_222507752">
            <w:r>
              <w:rPr>
                <w:webHidden/>
                <w:rStyle w:val="IndexLink"/>
                <w:rtl w:val="true"/>
              </w:rPr>
              <w:t>الثّاني</w:t>
            </w:r>
            <w:r>
              <w:rPr>
                <w:rStyle w:val="IndexLink"/>
                <w:rtl w:val="true"/>
              </w:rPr>
              <w:t>:</w:t>
            </w:r>
            <w:r>
              <w:rPr>
                <w:rStyle w:val="IndexLink"/>
                <w:rtl w:val="true"/>
              </w:rPr>
              <w:t>لمّا كان الجواز عندنا تابع للضّرورة،يقدّر بقدرها</w:t>
            </w:r>
            <w:r>
              <w:rPr>
                <w:rStyle w:val="IndexLink"/>
                <w:rtl w:val="true"/>
              </w:rPr>
              <w:tab/>
            </w:r>
            <w:r>
              <w:rPr>
                <w:rStyle w:val="IndexLink"/>
              </w:rPr>
              <w:t>99</w:t>
            </w:r>
          </w:hyperlink>
        </w:p>
        <w:p>
          <w:pPr>
            <w:pStyle w:val="Contents6"/>
            <w:tabs>
              <w:tab w:val="clear" w:pos="7609"/>
              <w:tab w:val="right" w:pos="9026" w:leader="dot"/>
            </w:tabs>
            <w:rPr/>
          </w:pPr>
          <w:hyperlink w:anchor="__RefHeading___Toc795339_222507752">
            <w:r>
              <w:rPr>
                <w:webHidden/>
                <w:rStyle w:val="IndexLink"/>
                <w:rtl w:val="true"/>
              </w:rPr>
              <w:t>الثّالث</w:t>
            </w:r>
            <w:r>
              <w:rPr>
                <w:rStyle w:val="IndexLink"/>
                <w:rtl w:val="true"/>
              </w:rPr>
              <w:t>:</w:t>
            </w:r>
            <w:r>
              <w:rPr>
                <w:rStyle w:val="IndexLink"/>
                <w:rtl w:val="true"/>
              </w:rPr>
              <w:t>لو زالت الضّرورة أو نزع الخف استأنف،</w:t>
            </w:r>
            <w:r>
              <w:rPr>
                <w:rStyle w:val="IndexLink"/>
                <w:rtl w:val="true"/>
              </w:rPr>
              <w:tab/>
            </w:r>
            <w:r>
              <w:rPr>
                <w:rStyle w:val="IndexLink"/>
              </w:rPr>
              <w:t>99</w:t>
            </w:r>
          </w:hyperlink>
        </w:p>
        <w:p>
          <w:pPr>
            <w:pStyle w:val="Contents6"/>
            <w:tabs>
              <w:tab w:val="clear" w:pos="7609"/>
              <w:tab w:val="right" w:pos="9026" w:leader="dot"/>
            </w:tabs>
            <w:rPr/>
          </w:pPr>
          <w:hyperlink w:anchor="__RefHeading___Toc795341_222507752">
            <w:r>
              <w:rPr>
                <w:webHidden/>
                <w:rStyle w:val="IndexLink"/>
                <w:rtl w:val="true"/>
              </w:rPr>
              <w:t>الرّابع</w:t>
            </w:r>
            <w:r>
              <w:rPr>
                <w:rStyle w:val="IndexLink"/>
                <w:rtl w:val="true"/>
              </w:rPr>
              <w:t>:</w:t>
            </w:r>
            <w:r>
              <w:rPr>
                <w:rStyle w:val="IndexLink"/>
                <w:rtl w:val="true"/>
              </w:rPr>
              <w:t>كما جاز المسح على الخفّين للضّرورة،فكذا يجوز على غيرهما</w:t>
            </w:r>
            <w:r>
              <w:rPr>
                <w:rStyle w:val="IndexLink"/>
                <w:rtl w:val="true"/>
              </w:rPr>
              <w:tab/>
            </w:r>
            <w:r>
              <w:rPr>
                <w:rStyle w:val="IndexLink"/>
              </w:rPr>
              <w:t>99</w:t>
            </w:r>
          </w:hyperlink>
        </w:p>
        <w:p>
          <w:pPr>
            <w:pStyle w:val="Contents6"/>
            <w:tabs>
              <w:tab w:val="clear" w:pos="7609"/>
              <w:tab w:val="right" w:pos="9026" w:leader="dot"/>
            </w:tabs>
            <w:rPr/>
          </w:pPr>
          <w:hyperlink w:anchor="__RefHeading___Toc795343_222507752">
            <w:r>
              <w:rPr>
                <w:webHidden/>
                <w:rStyle w:val="IndexLink"/>
                <w:rtl w:val="true"/>
              </w:rPr>
              <w:t>الفرع الأوّل</w:t>
            </w:r>
            <w:r>
              <w:rPr>
                <w:rStyle w:val="IndexLink"/>
                <w:rtl w:val="true"/>
              </w:rPr>
              <w:t>:</w:t>
            </w:r>
            <w:r>
              <w:rPr>
                <w:rStyle w:val="IndexLink"/>
                <w:rtl w:val="true"/>
              </w:rPr>
              <w:t>اشترط المجوّزون للمسح على الخفّين تقدّم الطّهارة،</w:t>
            </w:r>
            <w:r>
              <w:rPr>
                <w:rStyle w:val="IndexLink"/>
                <w:rtl w:val="true"/>
              </w:rPr>
              <w:tab/>
            </w:r>
            <w:r>
              <w:rPr>
                <w:rStyle w:val="IndexLink"/>
              </w:rPr>
              <w:t>99</w:t>
            </w:r>
          </w:hyperlink>
        </w:p>
        <w:p>
          <w:pPr>
            <w:pStyle w:val="Contents6"/>
            <w:tabs>
              <w:tab w:val="clear" w:pos="7609"/>
              <w:tab w:val="right" w:pos="9026" w:leader="dot"/>
            </w:tabs>
            <w:rPr/>
          </w:pPr>
          <w:hyperlink w:anchor="__RefHeading___Toc795345_222507752">
            <w:r>
              <w:rPr>
                <w:webHidden/>
                <w:rStyle w:val="IndexLink"/>
                <w:rtl w:val="true"/>
              </w:rPr>
              <w:t>الثّاني</w:t>
            </w:r>
            <w:r>
              <w:rPr>
                <w:rStyle w:val="IndexLink"/>
                <w:rtl w:val="true"/>
              </w:rPr>
              <w:t>:</w:t>
            </w:r>
            <w:r>
              <w:rPr>
                <w:rStyle w:val="IndexLink"/>
                <w:rtl w:val="true"/>
              </w:rPr>
              <w:t>لا يجزي المسح على الخفّين في جنابة،و لا في غسل واجب و لا مستحبّ</w:t>
            </w:r>
            <w:r>
              <w:rPr>
                <w:rStyle w:val="IndexLink"/>
                <w:rtl w:val="true"/>
              </w:rPr>
              <w:tab/>
            </w:r>
            <w:r>
              <w:rPr>
                <w:rStyle w:val="IndexLink"/>
              </w:rPr>
              <w:t>101</w:t>
            </w:r>
          </w:hyperlink>
        </w:p>
        <w:p>
          <w:pPr>
            <w:pStyle w:val="Contents6"/>
            <w:tabs>
              <w:tab w:val="clear" w:pos="7609"/>
              <w:tab w:val="right" w:pos="9026" w:leader="dot"/>
            </w:tabs>
            <w:rPr/>
          </w:pPr>
          <w:hyperlink w:anchor="__RefHeading___Toc795347_222507752">
            <w:r>
              <w:rPr>
                <w:webHidden/>
                <w:rStyle w:val="IndexLink"/>
                <w:rtl w:val="true"/>
              </w:rPr>
              <w:t>الثّالث</w:t>
            </w:r>
            <w:r>
              <w:rPr>
                <w:rStyle w:val="IndexLink"/>
                <w:rtl w:val="true"/>
              </w:rPr>
              <w:t>:</w:t>
            </w:r>
            <w:r>
              <w:rPr>
                <w:rStyle w:val="IndexLink"/>
                <w:rtl w:val="true"/>
              </w:rPr>
              <w:t>لو تطهّر،ثمَّ لبس الخفّ،فأحدث قبل بلوغ الرّجل قدم الخف</w:t>
            </w:r>
            <w:r>
              <w:rPr>
                <w:rStyle w:val="IndexLink"/>
                <w:rtl w:val="true"/>
              </w:rPr>
              <w:tab/>
            </w:r>
            <w:r>
              <w:rPr>
                <w:rStyle w:val="IndexLink"/>
              </w:rPr>
              <w:t>101</w:t>
            </w:r>
          </w:hyperlink>
        </w:p>
        <w:p>
          <w:pPr>
            <w:pStyle w:val="Contents6"/>
            <w:tabs>
              <w:tab w:val="clear" w:pos="7609"/>
              <w:tab w:val="right" w:pos="9026" w:leader="dot"/>
            </w:tabs>
            <w:rPr/>
          </w:pPr>
          <w:hyperlink w:anchor="__RefHeading___Toc795349_222507752">
            <w:r>
              <w:rPr>
                <w:webHidden/>
                <w:rStyle w:val="IndexLink"/>
                <w:rtl w:val="true"/>
              </w:rPr>
              <w:t>الرّابع</w:t>
            </w:r>
            <w:r>
              <w:rPr>
                <w:rStyle w:val="IndexLink"/>
                <w:rtl w:val="true"/>
              </w:rPr>
              <w:t>:</w:t>
            </w:r>
            <w:r>
              <w:rPr>
                <w:rStyle w:val="IndexLink"/>
                <w:rtl w:val="true"/>
              </w:rPr>
              <w:t>لو تيمّم،ثمَّ لبس الخفّ،قالوا لم يكن له المسح،</w:t>
            </w:r>
            <w:r>
              <w:rPr>
                <w:rStyle w:val="IndexLink"/>
                <w:rtl w:val="true"/>
              </w:rPr>
              <w:tab/>
            </w:r>
            <w:r>
              <w:rPr>
                <w:rStyle w:val="IndexLink"/>
              </w:rPr>
              <w:t>101</w:t>
            </w:r>
          </w:hyperlink>
        </w:p>
        <w:p>
          <w:pPr>
            <w:pStyle w:val="Contents6"/>
            <w:tabs>
              <w:tab w:val="clear" w:pos="7609"/>
              <w:tab w:val="right" w:pos="9026" w:leader="dot"/>
            </w:tabs>
            <w:rPr/>
          </w:pPr>
          <w:hyperlink w:anchor="__RefHeading___Toc795351_222507752">
            <w:r>
              <w:rPr>
                <w:webHidden/>
                <w:rStyle w:val="IndexLink"/>
                <w:rtl w:val="true"/>
              </w:rPr>
              <w:t>الخامس</w:t>
            </w:r>
            <w:r>
              <w:rPr>
                <w:rStyle w:val="IndexLink"/>
                <w:rtl w:val="true"/>
              </w:rPr>
              <w:t>:</w:t>
            </w:r>
            <w:r>
              <w:rPr>
                <w:rStyle w:val="IndexLink"/>
                <w:rtl w:val="true"/>
              </w:rPr>
              <w:t>لو لبس خفّين،ثمَّ أحدث،ثمَّ لبس فوقهما خفّين أو جرموقين لم يجز</w:t>
            </w:r>
            <w:r>
              <w:rPr>
                <w:rStyle w:val="IndexLink"/>
                <w:rtl w:val="true"/>
              </w:rPr>
              <w:tab/>
            </w:r>
            <w:r>
              <w:rPr>
                <w:rStyle w:val="IndexLink"/>
              </w:rPr>
              <w:t>102</w:t>
            </w:r>
          </w:hyperlink>
        </w:p>
        <w:p>
          <w:pPr>
            <w:pStyle w:val="Contents6"/>
            <w:tabs>
              <w:tab w:val="clear" w:pos="7609"/>
              <w:tab w:val="right" w:pos="9026" w:leader="dot"/>
            </w:tabs>
            <w:rPr/>
          </w:pPr>
          <w:hyperlink w:anchor="__RefHeading___Toc795353_222507752">
            <w:r>
              <w:rPr>
                <w:webHidden/>
                <w:rStyle w:val="IndexLink"/>
                <w:rtl w:val="true"/>
              </w:rPr>
              <w:t>السّادس</w:t>
            </w:r>
            <w:r>
              <w:rPr>
                <w:rStyle w:val="IndexLink"/>
                <w:rtl w:val="true"/>
              </w:rPr>
              <w:t>:</w:t>
            </w:r>
            <w:r>
              <w:rPr>
                <w:rStyle w:val="IndexLink"/>
                <w:rtl w:val="true"/>
              </w:rPr>
              <w:t>لو لبس خفّا مخرقا فوق صحيح،جاز على قول بعضهم ،</w:t>
            </w:r>
            <w:r>
              <w:rPr>
                <w:rStyle w:val="IndexLink"/>
                <w:rtl w:val="true"/>
              </w:rPr>
              <w:tab/>
            </w:r>
            <w:r>
              <w:rPr>
                <w:rStyle w:val="IndexLink"/>
              </w:rPr>
              <w:t>103</w:t>
            </w:r>
          </w:hyperlink>
        </w:p>
        <w:p>
          <w:pPr>
            <w:pStyle w:val="Contents6"/>
            <w:tabs>
              <w:tab w:val="clear" w:pos="7609"/>
              <w:tab w:val="right" w:pos="9026" w:leader="dot"/>
            </w:tabs>
            <w:rPr/>
          </w:pPr>
          <w:hyperlink w:anchor="__RefHeading___Toc795355_222507752">
            <w:r>
              <w:rPr>
                <w:webHidden/>
                <w:rStyle w:val="IndexLink"/>
                <w:rtl w:val="true"/>
              </w:rPr>
              <w:t>السّابع</w:t>
            </w:r>
            <w:r>
              <w:rPr>
                <w:rStyle w:val="IndexLink"/>
                <w:rtl w:val="true"/>
              </w:rPr>
              <w:t>:</w:t>
            </w:r>
            <w:r>
              <w:rPr>
                <w:rStyle w:val="IndexLink"/>
                <w:rtl w:val="true"/>
              </w:rPr>
              <w:t>قد قلنا انّ التّوقيت في المسح باطل عندنا ،</w:t>
            </w:r>
            <w:r>
              <w:rPr>
                <w:rStyle w:val="IndexLink"/>
                <w:rtl w:val="true"/>
              </w:rPr>
              <w:tab/>
            </w:r>
            <w:r>
              <w:rPr>
                <w:rStyle w:val="IndexLink"/>
              </w:rPr>
              <w:t>104</w:t>
            </w:r>
          </w:hyperlink>
        </w:p>
        <w:p>
          <w:pPr>
            <w:pStyle w:val="Contents6"/>
            <w:tabs>
              <w:tab w:val="clear" w:pos="7609"/>
              <w:tab w:val="right" w:pos="9026" w:leader="dot"/>
            </w:tabs>
            <w:rPr/>
          </w:pPr>
          <w:hyperlink w:anchor="__RefHeading___Toc795357_222507752">
            <w:r>
              <w:rPr>
                <w:webHidden/>
                <w:rStyle w:val="IndexLink"/>
                <w:rtl w:val="true"/>
              </w:rPr>
              <w:t>الثّامن</w:t>
            </w:r>
            <w:r>
              <w:rPr>
                <w:rStyle w:val="IndexLink"/>
                <w:rtl w:val="true"/>
              </w:rPr>
              <w:t>:</w:t>
            </w:r>
            <w:r>
              <w:rPr>
                <w:rStyle w:val="IndexLink"/>
                <w:rtl w:val="true"/>
              </w:rPr>
              <w:t>قالوا</w:t>
            </w:r>
            <w:r>
              <w:rPr>
                <w:rStyle w:val="IndexLink"/>
                <w:rtl w:val="true"/>
              </w:rPr>
              <w:t>:</w:t>
            </w:r>
            <w:r>
              <w:rPr>
                <w:rStyle w:val="IndexLink"/>
                <w:rtl w:val="true"/>
              </w:rPr>
              <w:t>لو سافر قبل المسح،أتمّ مسح المسافر</w:t>
            </w:r>
            <w:r>
              <w:rPr>
                <w:rStyle w:val="IndexLink"/>
                <w:rtl w:val="true"/>
              </w:rPr>
              <w:t>.</w:t>
              <w:tab/>
            </w:r>
            <w:r>
              <w:rPr>
                <w:rStyle w:val="IndexLink"/>
              </w:rPr>
              <w:t>108</w:t>
            </w:r>
          </w:hyperlink>
        </w:p>
        <w:p>
          <w:pPr>
            <w:pStyle w:val="Contents4"/>
            <w:tabs>
              <w:tab w:val="clear" w:pos="8176"/>
              <w:tab w:val="right" w:pos="9026" w:leader="dot"/>
            </w:tabs>
            <w:rPr/>
          </w:pPr>
          <w:hyperlink w:anchor="__RefHeading___Toc795359_222507752">
            <w:r>
              <w:rPr>
                <w:webHidden/>
                <w:rStyle w:val="IndexLink"/>
                <w:rtl w:val="true"/>
              </w:rPr>
              <w:t>التّاسع</w:t>
            </w:r>
            <w:r>
              <w:rPr>
                <w:rStyle w:val="IndexLink"/>
                <w:rtl w:val="true"/>
              </w:rPr>
              <w:t>:</w:t>
            </w:r>
            <w:r>
              <w:rPr>
                <w:rStyle w:val="IndexLink"/>
                <w:rtl w:val="true"/>
              </w:rPr>
              <w:t>قالوا</w:t>
            </w:r>
            <w:r>
              <w:rPr>
                <w:rStyle w:val="IndexLink"/>
                <w:rtl w:val="true"/>
              </w:rPr>
              <w:t>:</w:t>
            </w:r>
            <w:r>
              <w:rPr>
                <w:rStyle w:val="IndexLink"/>
                <w:rtl w:val="true"/>
              </w:rPr>
              <w:t>إنّما يجوز المسح على ما يكون ساترا لمحلّ الفرض</w:t>
            </w:r>
            <w:r>
              <w:rPr>
                <w:rStyle w:val="IndexLink"/>
                <w:rtl w:val="true"/>
              </w:rPr>
              <w:tab/>
            </w:r>
            <w:r>
              <w:rPr>
                <w:rStyle w:val="IndexLink"/>
              </w:rPr>
              <w:t>110</w:t>
            </w:r>
          </w:hyperlink>
        </w:p>
        <w:p>
          <w:pPr>
            <w:pStyle w:val="Contents4"/>
            <w:tabs>
              <w:tab w:val="clear" w:pos="8176"/>
              <w:tab w:val="right" w:pos="9026" w:leader="dot"/>
            </w:tabs>
            <w:rPr/>
          </w:pPr>
          <w:hyperlink w:anchor="__RefHeading___Toc795361_222507752">
            <w:r>
              <w:rPr>
                <w:webHidden/>
                <w:rStyle w:val="IndexLink"/>
                <w:rtl w:val="true"/>
              </w:rPr>
              <w:t>العاشر</w:t>
            </w:r>
            <w:r>
              <w:rPr>
                <w:rStyle w:val="IndexLink"/>
                <w:rtl w:val="true"/>
              </w:rPr>
              <w:t>:</w:t>
            </w:r>
            <w:r>
              <w:rPr>
                <w:rStyle w:val="IndexLink"/>
                <w:rtl w:val="true"/>
              </w:rPr>
              <w:t>قالوا</w:t>
            </w:r>
            <w:r>
              <w:rPr>
                <w:rStyle w:val="IndexLink"/>
                <w:rtl w:val="true"/>
              </w:rPr>
              <w:t>:</w:t>
            </w:r>
            <w:r>
              <w:rPr>
                <w:rStyle w:val="IndexLink"/>
                <w:rtl w:val="true"/>
              </w:rPr>
              <w:t>يجوز المسح على الجوربين بالشّرطين</w:t>
            </w:r>
            <w:r>
              <w:rPr>
                <w:rStyle w:val="IndexLink"/>
                <w:rtl w:val="true"/>
              </w:rPr>
              <w:t>:</w:t>
              <w:tab/>
            </w:r>
            <w:r>
              <w:rPr>
                <w:rStyle w:val="IndexLink"/>
              </w:rPr>
              <w:t>111</w:t>
            </w:r>
          </w:hyperlink>
        </w:p>
        <w:p>
          <w:pPr>
            <w:pStyle w:val="Contents4"/>
            <w:tabs>
              <w:tab w:val="clear" w:pos="8176"/>
              <w:tab w:val="right" w:pos="9026" w:leader="dot"/>
            </w:tabs>
            <w:rPr/>
          </w:pPr>
          <w:hyperlink w:anchor="__RefHeading___Toc795363_222507752">
            <w:r>
              <w:rPr>
                <w:webHidden/>
                <w:rStyle w:val="IndexLink"/>
                <w:rtl w:val="true"/>
              </w:rPr>
              <w:t>الحادي عشر</w:t>
            </w:r>
            <w:r>
              <w:rPr>
                <w:rStyle w:val="IndexLink"/>
                <w:rtl w:val="true"/>
              </w:rPr>
              <w:t>:</w:t>
            </w:r>
            <w:r>
              <w:rPr>
                <w:rStyle w:val="IndexLink"/>
                <w:rtl w:val="true"/>
              </w:rPr>
              <w:t>مذهب أبي حنيفة،و أحمد انّ المسنون في المسح أن يضع يده على</w:t>
            </w:r>
            <w:r>
              <w:rPr>
                <w:rStyle w:val="IndexLink"/>
                <w:rtl w:val="true"/>
              </w:rPr>
              <w:tab/>
            </w:r>
            <w:r>
              <w:rPr>
                <w:rStyle w:val="IndexLink"/>
              </w:rPr>
              <w:t>112</w:t>
            </w:r>
          </w:hyperlink>
        </w:p>
        <w:p>
          <w:pPr>
            <w:pStyle w:val="Contents4"/>
            <w:tabs>
              <w:tab w:val="clear" w:pos="8176"/>
              <w:tab w:val="right" w:pos="9026" w:leader="dot"/>
            </w:tabs>
            <w:rPr/>
          </w:pPr>
          <w:hyperlink w:anchor="__RefHeading___Toc795365_222507752">
            <w:r>
              <w:rPr>
                <w:webHidden/>
                <w:rStyle w:val="IndexLink"/>
                <w:rtl w:val="true"/>
              </w:rPr>
              <w:t>الثّاني عشر</w:t>
            </w:r>
            <w:r>
              <w:rPr>
                <w:rStyle w:val="IndexLink"/>
                <w:rtl w:val="true"/>
              </w:rPr>
              <w:t>:</w:t>
            </w:r>
            <w:r>
              <w:rPr>
                <w:rStyle w:val="IndexLink"/>
                <w:rtl w:val="true"/>
              </w:rPr>
              <w:t>قال الشّافعيّ</w:t>
            </w:r>
            <w:r>
              <w:rPr>
                <w:rStyle w:val="IndexLink"/>
                <w:rtl w:val="true"/>
              </w:rPr>
              <w:t>:</w:t>
            </w:r>
            <w:r>
              <w:rPr>
                <w:rStyle w:val="IndexLink"/>
                <w:rtl w:val="true"/>
              </w:rPr>
              <w:t xml:space="preserve">و المجزي ما وقع عليه اسم المسح </w:t>
            </w:r>
            <w:r>
              <w:rPr>
                <w:rStyle w:val="IndexLink"/>
                <w:rtl w:val="true"/>
              </w:rPr>
              <w:t>.</w:t>
              <w:tab/>
            </w:r>
            <w:r>
              <w:rPr>
                <w:rStyle w:val="IndexLink"/>
              </w:rPr>
              <w:t>114</w:t>
            </w:r>
          </w:hyperlink>
        </w:p>
        <w:p>
          <w:pPr>
            <w:pStyle w:val="Contents4"/>
            <w:tabs>
              <w:tab w:val="clear" w:pos="8176"/>
              <w:tab w:val="right" w:pos="9026" w:leader="dot"/>
            </w:tabs>
            <w:rPr/>
          </w:pPr>
          <w:hyperlink w:anchor="__RefHeading___Toc795367_222507752">
            <w:r>
              <w:rPr>
                <w:webHidden/>
                <w:rStyle w:val="IndexLink"/>
                <w:rtl w:val="true"/>
              </w:rPr>
              <w:t>الثّالث عشر</w:t>
            </w:r>
            <w:r>
              <w:rPr>
                <w:rStyle w:val="IndexLink"/>
                <w:rtl w:val="true"/>
              </w:rPr>
              <w:t>:</w:t>
            </w:r>
            <w:r>
              <w:rPr>
                <w:rStyle w:val="IndexLink"/>
                <w:rtl w:val="true"/>
              </w:rPr>
              <w:t>لو مسح أسفل الخفّ دون أعلاه،لم يجزئه</w:t>
            </w:r>
            <w:r>
              <w:rPr>
                <w:rStyle w:val="IndexLink"/>
                <w:rtl w:val="true"/>
              </w:rPr>
              <w:tab/>
            </w:r>
            <w:r>
              <w:rPr>
                <w:rStyle w:val="IndexLink"/>
              </w:rPr>
              <w:t>115</w:t>
            </w:r>
          </w:hyperlink>
        </w:p>
        <w:p>
          <w:pPr>
            <w:pStyle w:val="Contents4"/>
            <w:tabs>
              <w:tab w:val="clear" w:pos="8176"/>
              <w:tab w:val="right" w:pos="9026" w:leader="dot"/>
            </w:tabs>
            <w:rPr/>
          </w:pPr>
          <w:hyperlink w:anchor="__RefHeading___Toc795369_222507752">
            <w:r>
              <w:rPr>
                <w:webHidden/>
                <w:rStyle w:val="IndexLink"/>
                <w:rtl w:val="true"/>
              </w:rPr>
              <w:t>الرّابع عشر</w:t>
            </w:r>
            <w:r>
              <w:rPr>
                <w:rStyle w:val="IndexLink"/>
                <w:rtl w:val="true"/>
              </w:rPr>
              <w:t>:</w:t>
            </w:r>
            <w:r>
              <w:rPr>
                <w:rStyle w:val="IndexLink"/>
                <w:rtl w:val="true"/>
              </w:rPr>
              <w:t>لا فرق في التّرخّص مع الضّرورة بين المرأة و الرّجل،</w:t>
            </w:r>
            <w:r>
              <w:rPr>
                <w:rStyle w:val="IndexLink"/>
                <w:rtl w:val="true"/>
              </w:rPr>
              <w:tab/>
            </w:r>
            <w:r>
              <w:rPr>
                <w:rStyle w:val="IndexLink"/>
              </w:rPr>
              <w:t>116</w:t>
            </w:r>
          </w:hyperlink>
        </w:p>
        <w:p>
          <w:pPr>
            <w:pStyle w:val="Contents5"/>
            <w:tabs>
              <w:tab w:val="clear" w:pos="7892"/>
              <w:tab w:val="right" w:pos="9026" w:leader="dot"/>
            </w:tabs>
            <w:rPr/>
          </w:pPr>
          <w:hyperlink w:anchor="__RefHeading___Toc795371_222507752">
            <w:r>
              <w:rPr>
                <w:webHidden/>
                <w:rStyle w:val="IndexLink"/>
                <w:rtl w:val="true"/>
              </w:rPr>
              <w:t>اشارة</w:t>
            </w:r>
            <w:r>
              <w:rPr>
                <w:rStyle w:val="IndexLink"/>
                <w:rtl w:val="true"/>
              </w:rPr>
              <w:tab/>
            </w:r>
            <w:r>
              <w:rPr>
                <w:rStyle w:val="IndexLink"/>
              </w:rPr>
              <w:t>116</w:t>
            </w:r>
          </w:hyperlink>
        </w:p>
        <w:p>
          <w:pPr>
            <w:pStyle w:val="Contents5"/>
            <w:tabs>
              <w:tab w:val="clear" w:pos="7892"/>
              <w:tab w:val="right" w:pos="9026" w:leader="dot"/>
            </w:tabs>
            <w:rPr/>
          </w:pPr>
          <w:hyperlink w:anchor="__RefHeading___Toc795373_222507752">
            <w:r>
              <w:rPr>
                <w:webHidden/>
                <w:rStyle w:val="IndexLink"/>
                <w:rtl w:val="true"/>
              </w:rPr>
              <w:t>تذنيبان</w:t>
            </w:r>
            <w:r>
              <w:rPr>
                <w:rStyle w:val="IndexLink"/>
                <w:rtl w:val="true"/>
              </w:rPr>
              <w:t>:</w:t>
              <w:tab/>
            </w:r>
            <w:r>
              <w:rPr>
                <w:rStyle w:val="IndexLink"/>
              </w:rPr>
              <w:t>116</w:t>
            </w:r>
          </w:hyperlink>
        </w:p>
        <w:p>
          <w:pPr>
            <w:pStyle w:val="Contents6"/>
            <w:tabs>
              <w:tab w:val="clear" w:pos="7609"/>
              <w:tab w:val="right" w:pos="9026" w:leader="dot"/>
            </w:tabs>
            <w:rPr/>
          </w:pPr>
          <w:hyperlink w:anchor="__RefHeading___Toc795375_222507752">
            <w:r>
              <w:rPr>
                <w:webHidden/>
                <w:rStyle w:val="IndexLink"/>
                <w:rtl w:val="true"/>
              </w:rPr>
              <w:t>الأوّل</w:t>
            </w:r>
            <w:r>
              <w:rPr>
                <w:rStyle w:val="IndexLink"/>
                <w:rtl w:val="true"/>
              </w:rPr>
              <w:t>:</w:t>
            </w:r>
            <w:r>
              <w:rPr>
                <w:rStyle w:val="IndexLink"/>
                <w:rtl w:val="true"/>
              </w:rPr>
              <w:t>لو كان الخفّ مغصوبا لم يجز المسح عليه</w:t>
            </w:r>
            <w:r>
              <w:rPr>
                <w:rStyle w:val="IndexLink"/>
                <w:rtl w:val="true"/>
              </w:rPr>
              <w:tab/>
            </w:r>
            <w:r>
              <w:rPr>
                <w:rStyle w:val="IndexLink"/>
              </w:rPr>
              <w:t>116</w:t>
            </w:r>
          </w:hyperlink>
        </w:p>
        <w:p>
          <w:pPr>
            <w:pStyle w:val="Contents6"/>
            <w:tabs>
              <w:tab w:val="clear" w:pos="7609"/>
              <w:tab w:val="right" w:pos="9026" w:leader="dot"/>
            </w:tabs>
            <w:rPr/>
          </w:pPr>
          <w:hyperlink w:anchor="__RefHeading___Toc795377_222507752">
            <w:r>
              <w:rPr>
                <w:webHidden/>
                <w:rStyle w:val="IndexLink"/>
                <w:rtl w:val="true"/>
              </w:rPr>
              <w:t>الثّاني</w:t>
            </w:r>
            <w:r>
              <w:rPr>
                <w:rStyle w:val="IndexLink"/>
                <w:rtl w:val="true"/>
              </w:rPr>
              <w:t>:</w:t>
            </w:r>
            <w:r>
              <w:rPr>
                <w:rStyle w:val="IndexLink"/>
                <w:rtl w:val="true"/>
              </w:rPr>
              <w:t>لو زال عذرهما لا الضّرورة المبيحة،جاز لهما المسح</w:t>
            </w:r>
            <w:r>
              <w:rPr>
                <w:rStyle w:val="IndexLink"/>
                <w:rtl w:val="true"/>
              </w:rPr>
              <w:tab/>
            </w:r>
            <w:r>
              <w:rPr>
                <w:rStyle w:val="IndexLink"/>
              </w:rPr>
              <w:t>116</w:t>
            </w:r>
          </w:hyperlink>
        </w:p>
        <w:p>
          <w:pPr>
            <w:pStyle w:val="Contents5"/>
            <w:tabs>
              <w:tab w:val="clear" w:pos="7892"/>
              <w:tab w:val="right" w:pos="9026" w:leader="dot"/>
            </w:tabs>
            <w:rPr/>
          </w:pPr>
          <w:hyperlink w:anchor="__RefHeading___Toc795379_222507752">
            <w:r>
              <w:rPr>
                <w:webHidden/>
                <w:rStyle w:val="IndexLink"/>
                <w:rtl w:val="true"/>
              </w:rPr>
              <w:t>أصل</w:t>
            </w:r>
            <w:r>
              <w:rPr>
                <w:rStyle w:val="IndexLink"/>
                <w:rtl w:val="true"/>
              </w:rPr>
              <w:t>:</w:t>
            </w:r>
            <w:r>
              <w:rPr>
                <w:rStyle w:val="IndexLink"/>
                <w:rtl w:val="true"/>
              </w:rPr>
              <w:t>الواو تفيد مع الجمع التّرتيب،لوجوه</w:t>
            </w:r>
            <w:r>
              <w:rPr>
                <w:rStyle w:val="IndexLink"/>
                <w:rtl w:val="true"/>
              </w:rPr>
              <w:t>:</w:t>
              <w:tab/>
            </w:r>
            <w:r>
              <w:rPr>
                <w:rStyle w:val="IndexLink"/>
              </w:rPr>
              <w:t>117</w:t>
            </w:r>
          </w:hyperlink>
        </w:p>
        <w:p>
          <w:pPr>
            <w:pStyle w:val="Contents6"/>
            <w:tabs>
              <w:tab w:val="clear" w:pos="7609"/>
              <w:tab w:val="right" w:pos="9026" w:leader="dot"/>
            </w:tabs>
            <w:rPr/>
          </w:pPr>
          <w:hyperlink w:anchor="__RefHeading___Toc795381_222507752">
            <w:r>
              <w:rPr>
                <w:webHidden/>
                <w:rStyle w:val="IndexLink"/>
                <w:rtl w:val="true"/>
              </w:rPr>
              <w:t>أحدهما</w:t>
            </w:r>
            <w:r>
              <w:rPr>
                <w:rStyle w:val="IndexLink"/>
                <w:rtl w:val="true"/>
              </w:rPr>
              <w:t>:</w:t>
            </w:r>
            <w:r>
              <w:rPr>
                <w:rStyle w:val="IndexLink"/>
                <w:rtl w:val="true"/>
              </w:rPr>
              <w:t>ما روي</w:t>
            </w:r>
            <w:r>
              <w:rPr>
                <w:rStyle w:val="IndexLink"/>
                <w:rtl w:val="true"/>
              </w:rPr>
              <w:tab/>
            </w:r>
            <w:r>
              <w:rPr>
                <w:rStyle w:val="IndexLink"/>
              </w:rPr>
              <w:t>117</w:t>
            </w:r>
          </w:hyperlink>
        </w:p>
        <w:p>
          <w:pPr>
            <w:pStyle w:val="Contents6"/>
            <w:tabs>
              <w:tab w:val="clear" w:pos="7609"/>
              <w:tab w:val="right" w:pos="9026" w:leader="dot"/>
            </w:tabs>
            <w:rPr/>
          </w:pPr>
          <w:hyperlink w:anchor="__RefHeading___Toc795383_222507752">
            <w:r>
              <w:rPr>
                <w:webHidden/>
                <w:rStyle w:val="IndexLink"/>
                <w:rtl w:val="true"/>
              </w:rPr>
              <w:t>الثّاني</w:t>
            </w:r>
            <w:r>
              <w:rPr>
                <w:rStyle w:val="IndexLink"/>
                <w:rtl w:val="true"/>
              </w:rPr>
              <w:t>:</w:t>
            </w:r>
            <w:r>
              <w:rPr>
                <w:rStyle w:val="IndexLink"/>
                <w:rtl w:val="true"/>
              </w:rPr>
              <w:t>انّ عمر سمع شاعرا يقول</w:t>
            </w:r>
            <w:r>
              <w:rPr>
                <w:rStyle w:val="IndexLink"/>
                <w:rtl w:val="true"/>
              </w:rPr>
              <w:t>:</w:t>
              <w:tab/>
            </w:r>
            <w:r>
              <w:rPr>
                <w:rStyle w:val="IndexLink"/>
              </w:rPr>
              <w:t>117</w:t>
            </w:r>
          </w:hyperlink>
        </w:p>
        <w:p>
          <w:pPr>
            <w:pStyle w:val="Contents6"/>
            <w:tabs>
              <w:tab w:val="clear" w:pos="7609"/>
              <w:tab w:val="right" w:pos="9026" w:leader="dot"/>
            </w:tabs>
            <w:rPr/>
          </w:pPr>
          <w:hyperlink w:anchor="__RefHeading___Toc795385_222507752">
            <w:r>
              <w:rPr>
                <w:webHidden/>
                <w:rStyle w:val="IndexLink"/>
                <w:rtl w:val="true"/>
              </w:rPr>
              <w:t>الثّالث</w:t>
            </w:r>
            <w:r>
              <w:rPr>
                <w:rStyle w:val="IndexLink"/>
                <w:rtl w:val="true"/>
              </w:rPr>
              <w:t>:</w:t>
            </w:r>
            <w:r>
              <w:rPr>
                <w:rStyle w:val="IndexLink"/>
                <w:rtl w:val="true"/>
              </w:rPr>
              <w:t>ما روي انّ الصّحابة قالوا لابن عبّاس</w:t>
            </w:r>
            <w:r>
              <w:rPr>
                <w:rStyle w:val="IndexLink"/>
                <w:rtl w:val="true"/>
              </w:rPr>
              <w:t>:</w:t>
            </w:r>
            <w:r>
              <w:rPr>
                <w:rStyle w:val="IndexLink"/>
                <w:rtl w:val="true"/>
              </w:rPr>
              <w:t>لم تأمرنا بالحجّ قبل العمرة</w:t>
            </w:r>
            <w:r>
              <w:rPr>
                <w:rStyle w:val="IndexLink"/>
                <w:rtl w:val="true"/>
              </w:rPr>
              <w:tab/>
            </w:r>
            <w:r>
              <w:rPr>
                <w:rStyle w:val="IndexLink"/>
              </w:rPr>
              <w:t>117</w:t>
            </w:r>
          </w:hyperlink>
        </w:p>
        <w:p>
          <w:pPr>
            <w:pStyle w:val="Contents6"/>
            <w:tabs>
              <w:tab w:val="clear" w:pos="7609"/>
              <w:tab w:val="right" w:pos="9026" w:leader="dot"/>
            </w:tabs>
            <w:rPr/>
          </w:pPr>
          <w:hyperlink w:anchor="__RefHeading___Toc795387_222507752">
            <w:r>
              <w:rPr>
                <w:webHidden/>
                <w:rStyle w:val="IndexLink"/>
                <w:rtl w:val="true"/>
              </w:rPr>
              <w:t>الرّابع</w:t>
            </w:r>
            <w:r>
              <w:rPr>
                <w:rStyle w:val="IndexLink"/>
                <w:rtl w:val="true"/>
              </w:rPr>
              <w:t>:</w:t>
            </w:r>
            <w:r>
              <w:rPr>
                <w:rStyle w:val="IndexLink"/>
                <w:rtl w:val="true"/>
              </w:rPr>
              <w:t>انّ الفرّاء</w:t>
            </w:r>
            <w:r>
              <w:rPr>
                <w:rStyle w:val="IndexLink"/>
              </w:rPr>
              <w:t>1</w:t>
            </w:r>
            <w:r>
              <w:rPr>
                <w:rStyle w:val="IndexLink"/>
                <w:rtl w:val="true"/>
              </w:rPr>
              <w:t>و أبا عبيدة بن سلام نصّا على أنّها تفيد التّرتيب،</w:t>
            </w:r>
            <w:r>
              <w:rPr>
                <w:rStyle w:val="IndexLink"/>
                <w:rtl w:val="true"/>
              </w:rPr>
              <w:tab/>
            </w:r>
            <w:r>
              <w:rPr>
                <w:rStyle w:val="IndexLink"/>
              </w:rPr>
              <w:t>118</w:t>
            </w:r>
          </w:hyperlink>
        </w:p>
        <w:p>
          <w:pPr>
            <w:pStyle w:val="Contents6"/>
            <w:tabs>
              <w:tab w:val="clear" w:pos="7609"/>
              <w:tab w:val="right" w:pos="9026" w:leader="dot"/>
            </w:tabs>
            <w:rPr/>
          </w:pPr>
          <w:hyperlink w:anchor="__RefHeading___Toc795389_222507752">
            <w:r>
              <w:rPr>
                <w:webHidden/>
                <w:rStyle w:val="IndexLink"/>
                <w:rtl w:val="true"/>
              </w:rPr>
              <w:t>الخامس</w:t>
            </w:r>
            <w:r>
              <w:rPr>
                <w:rStyle w:val="IndexLink"/>
                <w:rtl w:val="true"/>
              </w:rPr>
              <w:t>:</w:t>
            </w:r>
            <w:r>
              <w:rPr>
                <w:rStyle w:val="IndexLink"/>
                <w:rtl w:val="true"/>
              </w:rPr>
              <w:t>لو قال لغير المدخول بها</w:t>
            </w:r>
            <w:r>
              <w:rPr>
                <w:rStyle w:val="IndexLink"/>
                <w:rtl w:val="true"/>
              </w:rPr>
              <w:t>:</w:t>
            </w:r>
            <w:r>
              <w:rPr>
                <w:rStyle w:val="IndexLink"/>
                <w:rtl w:val="true"/>
              </w:rPr>
              <w:t>أنت طالق و طالق،طلقت واحدة،</w:t>
            </w:r>
            <w:r>
              <w:rPr>
                <w:rStyle w:val="IndexLink"/>
                <w:rtl w:val="true"/>
              </w:rPr>
              <w:tab/>
            </w:r>
            <w:r>
              <w:rPr>
                <w:rStyle w:val="IndexLink"/>
              </w:rPr>
              <w:t>118</w:t>
            </w:r>
          </w:hyperlink>
        </w:p>
        <w:p>
          <w:pPr>
            <w:pStyle w:val="Contents6"/>
            <w:tabs>
              <w:tab w:val="clear" w:pos="7609"/>
              <w:tab w:val="right" w:pos="9026" w:leader="dot"/>
            </w:tabs>
            <w:rPr/>
          </w:pPr>
          <w:hyperlink w:anchor="__RefHeading___Toc795391_222507752">
            <w:r>
              <w:rPr>
                <w:webHidden/>
                <w:rStyle w:val="IndexLink"/>
                <w:rtl w:val="true"/>
              </w:rPr>
              <w:t>السّادس</w:t>
            </w:r>
            <w:r>
              <w:rPr>
                <w:rStyle w:val="IndexLink"/>
                <w:rtl w:val="true"/>
              </w:rPr>
              <w:t>:</w:t>
            </w:r>
            <w:r>
              <w:rPr>
                <w:rStyle w:val="IndexLink"/>
                <w:rtl w:val="true"/>
              </w:rPr>
              <w:t>انّ التّرتيب في اللّفظ يستدعي سببا،و التّرتيب في الوجود صالح له،</w:t>
            </w:r>
            <w:r>
              <w:rPr>
                <w:rStyle w:val="IndexLink"/>
                <w:rtl w:val="true"/>
              </w:rPr>
              <w:tab/>
            </w:r>
            <w:r>
              <w:rPr>
                <w:rStyle w:val="IndexLink"/>
              </w:rPr>
              <w:t>118</w:t>
            </w:r>
          </w:hyperlink>
        </w:p>
        <w:p>
          <w:pPr>
            <w:pStyle w:val="Contents6"/>
            <w:tabs>
              <w:tab w:val="clear" w:pos="7609"/>
              <w:tab w:val="right" w:pos="9026" w:leader="dot"/>
            </w:tabs>
            <w:rPr/>
          </w:pPr>
          <w:hyperlink w:anchor="__RefHeading___Toc795393_222507752">
            <w:r>
              <w:rPr>
                <w:webHidden/>
                <w:rStyle w:val="IndexLink"/>
                <w:rtl w:val="true"/>
              </w:rPr>
              <w:t>السّابع</w:t>
            </w:r>
            <w:r>
              <w:rPr>
                <w:rStyle w:val="IndexLink"/>
                <w:rtl w:val="true"/>
              </w:rPr>
              <w:t>:</w:t>
            </w:r>
            <w:r>
              <w:rPr>
                <w:rStyle w:val="IndexLink"/>
                <w:rtl w:val="true"/>
              </w:rPr>
              <w:t>أنّ التّرتيب مع التّعقيب وضع له لفظ،و مع التّراخي آخر،</w:t>
            </w:r>
            <w:r>
              <w:rPr>
                <w:rStyle w:val="IndexLink"/>
                <w:rtl w:val="true"/>
              </w:rPr>
              <w:tab/>
            </w:r>
            <w:r>
              <w:rPr>
                <w:rStyle w:val="IndexLink"/>
              </w:rPr>
              <w:t>118</w:t>
            </w:r>
          </w:hyperlink>
        </w:p>
        <w:p>
          <w:pPr>
            <w:pStyle w:val="Contents3"/>
            <w:tabs>
              <w:tab w:val="clear" w:pos="8459"/>
              <w:tab w:val="right" w:pos="9026" w:leader="dot"/>
            </w:tabs>
            <w:rPr/>
          </w:pPr>
          <w:hyperlink w:anchor="__RefHeading___Toc795395_222507752">
            <w:r>
              <w:rPr>
                <w:webHidden/>
                <w:rStyle w:val="IndexLink"/>
                <w:rtl w:val="true"/>
              </w:rPr>
              <w:t>مسألة</w:t>
            </w:r>
            <w:r>
              <w:rPr>
                <w:rStyle w:val="IndexLink"/>
                <w:rtl w:val="true"/>
              </w:rPr>
              <w:t>:</w:t>
            </w:r>
            <w:r>
              <w:rPr>
                <w:rStyle w:val="IndexLink"/>
                <w:rtl w:val="true"/>
              </w:rPr>
              <w:t>قال علماؤنا</w:t>
            </w:r>
            <w:r>
              <w:rPr>
                <w:rStyle w:val="IndexLink"/>
                <w:rtl w:val="true"/>
              </w:rPr>
              <w:t>:</w:t>
            </w:r>
            <w:r>
              <w:rPr>
                <w:rStyle w:val="IndexLink"/>
                <w:rtl w:val="true"/>
              </w:rPr>
              <w:t>التّرتيب واجب في الوضوء</w:t>
            </w:r>
            <w:r>
              <w:rPr>
                <w:rStyle w:val="IndexLink"/>
                <w:rtl w:val="true"/>
              </w:rPr>
              <w:t>.</w:t>
              <w:tab/>
            </w:r>
            <w:r>
              <w:rPr>
                <w:rStyle w:val="IndexLink"/>
              </w:rPr>
              <w:t>119</w:t>
            </w:r>
          </w:hyperlink>
        </w:p>
        <w:p>
          <w:pPr>
            <w:pStyle w:val="Contents4"/>
            <w:tabs>
              <w:tab w:val="clear" w:pos="8176"/>
              <w:tab w:val="right" w:pos="9026" w:leader="dot"/>
            </w:tabs>
            <w:rPr/>
          </w:pPr>
          <w:hyperlink w:anchor="__RefHeading___Toc795397_222507752">
            <w:r>
              <w:rPr>
                <w:webHidden/>
                <w:rStyle w:val="IndexLink"/>
                <w:rtl w:val="true"/>
              </w:rPr>
              <w:t>اشارة</w:t>
            </w:r>
            <w:r>
              <w:rPr>
                <w:rStyle w:val="IndexLink"/>
                <w:rtl w:val="true"/>
              </w:rPr>
              <w:tab/>
            </w:r>
            <w:r>
              <w:rPr>
                <w:rStyle w:val="IndexLink"/>
              </w:rPr>
              <w:t>119</w:t>
            </w:r>
          </w:hyperlink>
        </w:p>
        <w:p>
          <w:pPr>
            <w:pStyle w:val="Contents4"/>
            <w:tabs>
              <w:tab w:val="clear" w:pos="8176"/>
              <w:tab w:val="right" w:pos="9026" w:leader="dot"/>
            </w:tabs>
            <w:rPr/>
          </w:pPr>
          <w:hyperlink w:anchor="__RefHeading___Toc795399_222507752">
            <w:r>
              <w:rPr>
                <w:webHidden/>
                <w:rStyle w:val="IndexLink"/>
                <w:rtl w:val="true"/>
              </w:rPr>
              <w:t>فروع</w:t>
            </w:r>
            <w:r>
              <w:rPr>
                <w:rStyle w:val="IndexLink"/>
                <w:rtl w:val="true"/>
              </w:rPr>
              <w:t>:</w:t>
              <w:tab/>
            </w:r>
            <w:r>
              <w:rPr>
                <w:rStyle w:val="IndexLink"/>
              </w:rPr>
              <w:t>124</w:t>
            </w:r>
          </w:hyperlink>
        </w:p>
        <w:p>
          <w:pPr>
            <w:pStyle w:val="Contents5"/>
            <w:tabs>
              <w:tab w:val="clear" w:pos="7892"/>
              <w:tab w:val="right" w:pos="9026" w:leader="dot"/>
            </w:tabs>
            <w:rPr/>
          </w:pPr>
          <w:hyperlink w:anchor="__RefHeading___Toc795401_222507752">
            <w:r>
              <w:rPr>
                <w:webHidden/>
                <w:rStyle w:val="IndexLink"/>
                <w:rtl w:val="true"/>
              </w:rPr>
              <w:t>الأوّل</w:t>
            </w:r>
            <w:r>
              <w:rPr>
                <w:rStyle w:val="IndexLink"/>
                <w:rtl w:val="true"/>
              </w:rPr>
              <w:t>:</w:t>
            </w:r>
            <w:r>
              <w:rPr>
                <w:rStyle w:val="IndexLink"/>
                <w:rtl w:val="true"/>
              </w:rPr>
              <w:t>يجب أن يبدأ بوجهه،ثمَّ بيده اليمنى،ثمَّ اليسرى،ثمَّ يمسح الرّأس</w:t>
            </w:r>
            <w:r>
              <w:rPr>
                <w:rStyle w:val="IndexLink"/>
                <w:rtl w:val="true"/>
              </w:rPr>
              <w:tab/>
            </w:r>
            <w:r>
              <w:rPr>
                <w:rStyle w:val="IndexLink"/>
              </w:rPr>
              <w:t>124</w:t>
            </w:r>
          </w:hyperlink>
        </w:p>
        <w:p>
          <w:pPr>
            <w:pStyle w:val="Contents5"/>
            <w:tabs>
              <w:tab w:val="clear" w:pos="7892"/>
              <w:tab w:val="right" w:pos="9026" w:leader="dot"/>
            </w:tabs>
            <w:rPr/>
          </w:pPr>
          <w:hyperlink w:anchor="__RefHeading___Toc795403_222507752">
            <w:r>
              <w:rPr>
                <w:webHidden/>
                <w:rStyle w:val="IndexLink"/>
                <w:rtl w:val="true"/>
              </w:rPr>
              <w:t>الثّاني</w:t>
            </w:r>
            <w:r>
              <w:rPr>
                <w:rStyle w:val="IndexLink"/>
                <w:rtl w:val="true"/>
              </w:rPr>
              <w:t>:</w:t>
            </w:r>
            <w:r>
              <w:rPr>
                <w:rStyle w:val="IndexLink"/>
                <w:rtl w:val="true"/>
              </w:rPr>
              <w:t>لو نكس وضوءه صحّ غسل الوجه</w:t>
            </w:r>
            <w:r>
              <w:rPr>
                <w:rStyle w:val="IndexLink"/>
                <w:rtl w:val="true"/>
              </w:rPr>
              <w:tab/>
            </w:r>
            <w:r>
              <w:rPr>
                <w:rStyle w:val="IndexLink"/>
              </w:rPr>
              <w:t>125</w:t>
            </w:r>
          </w:hyperlink>
        </w:p>
        <w:p>
          <w:pPr>
            <w:pStyle w:val="Contents5"/>
            <w:tabs>
              <w:tab w:val="clear" w:pos="7892"/>
              <w:tab w:val="right" w:pos="9026" w:leader="dot"/>
            </w:tabs>
            <w:rPr/>
          </w:pPr>
          <w:hyperlink w:anchor="__RefHeading___Toc795405_222507752">
            <w:r>
              <w:rPr>
                <w:webHidden/>
                <w:rStyle w:val="IndexLink"/>
                <w:rtl w:val="true"/>
              </w:rPr>
              <w:t>الثّالث</w:t>
            </w:r>
            <w:r>
              <w:rPr>
                <w:rStyle w:val="IndexLink"/>
                <w:rtl w:val="true"/>
              </w:rPr>
              <w:t>:</w:t>
            </w:r>
            <w:r>
              <w:rPr>
                <w:rStyle w:val="IndexLink"/>
                <w:rtl w:val="true"/>
              </w:rPr>
              <w:t>يستحبّ البدأة بالاستنجاء قبل الوضوء</w:t>
            </w:r>
            <w:r>
              <w:rPr>
                <w:rStyle w:val="IndexLink"/>
                <w:rtl w:val="true"/>
              </w:rPr>
              <w:tab/>
            </w:r>
            <w:r>
              <w:rPr>
                <w:rStyle w:val="IndexLink"/>
              </w:rPr>
              <w:t>125</w:t>
            </w:r>
          </w:hyperlink>
        </w:p>
        <w:p>
          <w:pPr>
            <w:pStyle w:val="Contents5"/>
            <w:tabs>
              <w:tab w:val="clear" w:pos="7892"/>
              <w:tab w:val="right" w:pos="9026" w:leader="dot"/>
            </w:tabs>
            <w:rPr/>
          </w:pPr>
          <w:hyperlink w:anchor="__RefHeading___Toc795407_222507752">
            <w:r>
              <w:rPr>
                <w:webHidden/>
                <w:rStyle w:val="IndexLink"/>
                <w:rtl w:val="true"/>
              </w:rPr>
              <w:t>الرّابع</w:t>
            </w:r>
            <w:r>
              <w:rPr>
                <w:rStyle w:val="IndexLink"/>
                <w:rtl w:val="true"/>
              </w:rPr>
              <w:t>:</w:t>
            </w:r>
            <w:r>
              <w:rPr>
                <w:rStyle w:val="IndexLink"/>
                <w:rtl w:val="true"/>
              </w:rPr>
              <w:t>لو وضّأه أربعة لعذر دفعة لم يجزئه</w:t>
            </w:r>
            <w:r>
              <w:rPr>
                <w:rStyle w:val="IndexLink"/>
                <w:rtl w:val="true"/>
              </w:rPr>
              <w:tab/>
            </w:r>
            <w:r>
              <w:rPr>
                <w:rStyle w:val="IndexLink"/>
              </w:rPr>
              <w:t>125</w:t>
            </w:r>
          </w:hyperlink>
        </w:p>
        <w:p>
          <w:pPr>
            <w:pStyle w:val="Contents5"/>
            <w:tabs>
              <w:tab w:val="clear" w:pos="7892"/>
              <w:tab w:val="right" w:pos="9026" w:leader="dot"/>
            </w:tabs>
            <w:rPr/>
          </w:pPr>
          <w:hyperlink w:anchor="__RefHeading___Toc795409_222507752">
            <w:r>
              <w:rPr>
                <w:webHidden/>
                <w:rStyle w:val="IndexLink"/>
                <w:rtl w:val="true"/>
              </w:rPr>
              <w:t>الخامس</w:t>
            </w:r>
            <w:r>
              <w:rPr>
                <w:rStyle w:val="IndexLink"/>
                <w:rtl w:val="true"/>
              </w:rPr>
              <w:t>:</w:t>
            </w:r>
            <w:r>
              <w:rPr>
                <w:rStyle w:val="IndexLink"/>
                <w:rtl w:val="true"/>
              </w:rPr>
              <w:t>لو انغمس المحدث و لم يرتّب و نوى الطّهارة لم يجزئه</w:t>
            </w:r>
            <w:r>
              <w:rPr>
                <w:rStyle w:val="IndexLink"/>
                <w:rtl w:val="true"/>
              </w:rPr>
              <w:tab/>
            </w:r>
            <w:r>
              <w:rPr>
                <w:rStyle w:val="IndexLink"/>
              </w:rPr>
              <w:t>125</w:t>
            </w:r>
          </w:hyperlink>
        </w:p>
        <w:p>
          <w:pPr>
            <w:pStyle w:val="Contents4"/>
            <w:tabs>
              <w:tab w:val="clear" w:pos="8176"/>
              <w:tab w:val="right" w:pos="9026" w:leader="dot"/>
            </w:tabs>
            <w:rPr/>
          </w:pPr>
          <w:hyperlink w:anchor="__RefHeading___Toc795411_222507752">
            <w:r>
              <w:rPr>
                <w:webHidden/>
                <w:rStyle w:val="IndexLink"/>
                <w:rtl w:val="true"/>
              </w:rPr>
              <w:t>أصل</w:t>
            </w:r>
            <w:r>
              <w:rPr>
                <w:rStyle w:val="IndexLink"/>
                <w:rtl w:val="true"/>
              </w:rPr>
              <w:t>:</w:t>
            </w:r>
            <w:r>
              <w:rPr>
                <w:rStyle w:val="IndexLink"/>
                <w:rtl w:val="true"/>
              </w:rPr>
              <w:t>اعلم انّ النّاس اختلفوا في انّ الزّيادة على النّصّ هل هي نسخ أم لا</w:t>
            </w:r>
            <w:r>
              <w:rPr>
                <w:rStyle w:val="IndexLink"/>
                <w:rtl w:val="true"/>
              </w:rPr>
              <w:tab/>
            </w:r>
            <w:r>
              <w:rPr>
                <w:rStyle w:val="IndexLink"/>
              </w:rPr>
              <w:t>126</w:t>
            </w:r>
          </w:hyperlink>
        </w:p>
        <w:p>
          <w:pPr>
            <w:pStyle w:val="Contents3"/>
            <w:tabs>
              <w:tab w:val="clear" w:pos="8459"/>
              <w:tab w:val="right" w:pos="9026" w:leader="dot"/>
            </w:tabs>
            <w:rPr/>
          </w:pPr>
          <w:hyperlink w:anchor="__RefHeading___Toc795413_222507752">
            <w:r>
              <w:rPr>
                <w:webHidden/>
                <w:rStyle w:val="IndexLink"/>
                <w:rtl w:val="true"/>
              </w:rPr>
              <w:t>مسألة</w:t>
            </w:r>
            <w:r>
              <w:rPr>
                <w:rStyle w:val="IndexLink"/>
                <w:rtl w:val="true"/>
              </w:rPr>
              <w:t>:</w:t>
            </w:r>
            <w:r>
              <w:rPr>
                <w:rStyle w:val="IndexLink"/>
                <w:rtl w:val="true"/>
              </w:rPr>
              <w:t>قال علماؤنا</w:t>
            </w:r>
            <w:r>
              <w:rPr>
                <w:rStyle w:val="IndexLink"/>
                <w:rtl w:val="true"/>
              </w:rPr>
              <w:t>:</w:t>
            </w:r>
            <w:r>
              <w:rPr>
                <w:rStyle w:val="IndexLink"/>
                <w:rtl w:val="true"/>
              </w:rPr>
              <w:t>الموالاة شرط</w:t>
            </w:r>
            <w:r>
              <w:rPr>
                <w:rStyle w:val="IndexLink"/>
                <w:rtl w:val="true"/>
              </w:rPr>
              <w:t>.</w:t>
              <w:tab/>
            </w:r>
            <w:r>
              <w:rPr>
                <w:rStyle w:val="IndexLink"/>
              </w:rPr>
              <w:t>127</w:t>
            </w:r>
          </w:hyperlink>
        </w:p>
        <w:p>
          <w:pPr>
            <w:pStyle w:val="Contents4"/>
            <w:tabs>
              <w:tab w:val="clear" w:pos="8176"/>
              <w:tab w:val="right" w:pos="9026" w:leader="dot"/>
            </w:tabs>
            <w:rPr/>
          </w:pPr>
          <w:hyperlink w:anchor="__RefHeading___Toc795415_222507752">
            <w:r>
              <w:rPr>
                <w:webHidden/>
                <w:rStyle w:val="IndexLink"/>
                <w:rtl w:val="true"/>
              </w:rPr>
              <w:t>اشارة</w:t>
            </w:r>
            <w:r>
              <w:rPr>
                <w:rStyle w:val="IndexLink"/>
                <w:rtl w:val="true"/>
              </w:rPr>
              <w:tab/>
            </w:r>
            <w:r>
              <w:rPr>
                <w:rStyle w:val="IndexLink"/>
              </w:rPr>
              <w:t>127</w:t>
            </w:r>
          </w:hyperlink>
        </w:p>
        <w:p>
          <w:pPr>
            <w:pStyle w:val="Contents4"/>
            <w:tabs>
              <w:tab w:val="clear" w:pos="8176"/>
              <w:tab w:val="right" w:pos="9026" w:leader="dot"/>
            </w:tabs>
            <w:rPr/>
          </w:pPr>
          <w:hyperlink w:anchor="__RefHeading___Toc795417_222507752">
            <w:r>
              <w:rPr>
                <w:webHidden/>
                <w:rStyle w:val="IndexLink"/>
                <w:rtl w:val="true"/>
              </w:rPr>
              <w:t>فروع</w:t>
            </w:r>
            <w:r>
              <w:rPr>
                <w:rStyle w:val="IndexLink"/>
                <w:rtl w:val="true"/>
              </w:rPr>
              <w:t>:</w:t>
              <w:tab/>
            </w:r>
            <w:r>
              <w:rPr>
                <w:rStyle w:val="IndexLink"/>
              </w:rPr>
              <w:t>131</w:t>
            </w:r>
          </w:hyperlink>
        </w:p>
        <w:p>
          <w:pPr>
            <w:pStyle w:val="Contents5"/>
            <w:tabs>
              <w:tab w:val="clear" w:pos="7892"/>
              <w:tab w:val="right" w:pos="9026" w:leader="dot"/>
            </w:tabs>
            <w:rPr/>
          </w:pPr>
          <w:hyperlink w:anchor="__RefHeading___Toc795419_222507752">
            <w:r>
              <w:rPr>
                <w:webHidden/>
                <w:rStyle w:val="IndexLink"/>
                <w:rtl w:val="true"/>
              </w:rPr>
              <w:t>الأوّل</w:t>
            </w:r>
            <w:r>
              <w:rPr>
                <w:rStyle w:val="IndexLink"/>
                <w:rtl w:val="true"/>
              </w:rPr>
              <w:t>:</w:t>
            </w:r>
            <w:r>
              <w:rPr>
                <w:rStyle w:val="IndexLink"/>
                <w:rtl w:val="true"/>
              </w:rPr>
              <w:t>الموالاة هي المتابعة،</w:t>
            </w:r>
            <w:r>
              <w:rPr>
                <w:rStyle w:val="IndexLink"/>
                <w:rtl w:val="true"/>
              </w:rPr>
              <w:tab/>
            </w:r>
            <w:r>
              <w:rPr>
                <w:rStyle w:val="IndexLink"/>
              </w:rPr>
              <w:t>131</w:t>
            </w:r>
          </w:hyperlink>
        </w:p>
        <w:p>
          <w:pPr>
            <w:pStyle w:val="Contents5"/>
            <w:tabs>
              <w:tab w:val="clear" w:pos="7892"/>
              <w:tab w:val="right" w:pos="9026" w:leader="dot"/>
            </w:tabs>
            <w:rPr/>
          </w:pPr>
          <w:hyperlink w:anchor="__RefHeading___Toc795421_222507752">
            <w:r>
              <w:rPr>
                <w:webHidden/>
                <w:rStyle w:val="IndexLink"/>
                <w:rtl w:val="true"/>
              </w:rPr>
              <w:t>الثّاني</w:t>
            </w:r>
            <w:r>
              <w:rPr>
                <w:rStyle w:val="IndexLink"/>
                <w:rtl w:val="true"/>
              </w:rPr>
              <w:t>:</w:t>
            </w:r>
            <w:r>
              <w:rPr>
                <w:rStyle w:val="IndexLink"/>
                <w:rtl w:val="true"/>
              </w:rPr>
              <w:t>لو أخلّ بالمتابعة اختيارا فعل محرّما،</w:t>
            </w:r>
            <w:r>
              <w:rPr>
                <w:rStyle w:val="IndexLink"/>
                <w:rtl w:val="true"/>
              </w:rPr>
              <w:tab/>
            </w:r>
            <w:r>
              <w:rPr>
                <w:rStyle w:val="IndexLink"/>
              </w:rPr>
              <w:t>131</w:t>
            </w:r>
          </w:hyperlink>
        </w:p>
        <w:p>
          <w:pPr>
            <w:pStyle w:val="Contents5"/>
            <w:tabs>
              <w:tab w:val="clear" w:pos="7892"/>
              <w:tab w:val="right" w:pos="9026" w:leader="dot"/>
            </w:tabs>
            <w:rPr/>
          </w:pPr>
          <w:hyperlink w:anchor="__RefHeading___Toc795423_222507752">
            <w:r>
              <w:rPr>
                <w:webHidden/>
                <w:rStyle w:val="IndexLink"/>
                <w:rtl w:val="true"/>
              </w:rPr>
              <w:t>الثّالث</w:t>
            </w:r>
            <w:r>
              <w:rPr>
                <w:rStyle w:val="IndexLink"/>
                <w:rtl w:val="true"/>
              </w:rPr>
              <w:t>:</w:t>
            </w:r>
            <w:r>
              <w:rPr>
                <w:rStyle w:val="IndexLink"/>
                <w:rtl w:val="true"/>
              </w:rPr>
              <w:t>لو فرّق لعذر لم تجب الإعادة إلاّ أن يجفّ جميع الأعضاء المتقدّمة</w:t>
            </w:r>
            <w:r>
              <w:rPr>
                <w:rStyle w:val="IndexLink"/>
                <w:rtl w:val="true"/>
              </w:rPr>
              <w:tab/>
            </w:r>
            <w:r>
              <w:rPr>
                <w:rStyle w:val="IndexLink"/>
              </w:rPr>
              <w:t>131</w:t>
            </w:r>
          </w:hyperlink>
        </w:p>
        <w:p>
          <w:pPr>
            <w:pStyle w:val="Contents5"/>
            <w:tabs>
              <w:tab w:val="clear" w:pos="7892"/>
              <w:tab w:val="right" w:pos="9026" w:leader="dot"/>
            </w:tabs>
            <w:rPr/>
          </w:pPr>
          <w:hyperlink w:anchor="__RefHeading___Toc795425_222507752">
            <w:r>
              <w:rPr>
                <w:webHidden/>
                <w:rStyle w:val="IndexLink"/>
                <w:rtl w:val="true"/>
              </w:rPr>
              <w:t>الرّابع</w:t>
            </w:r>
            <w:r>
              <w:rPr>
                <w:rStyle w:val="IndexLink"/>
                <w:rtl w:val="true"/>
              </w:rPr>
              <w:t>:</w:t>
            </w:r>
            <w:r>
              <w:rPr>
                <w:rStyle w:val="IndexLink"/>
                <w:rtl w:val="true"/>
              </w:rPr>
              <w:t>لو جفّ ماء الوضوء لحرارة الهواء المفرطة جاز البناء دون استئناف ماء</w:t>
            </w:r>
            <w:r>
              <w:rPr>
                <w:rStyle w:val="IndexLink"/>
                <w:rtl w:val="true"/>
              </w:rPr>
              <w:tab/>
            </w:r>
            <w:r>
              <w:rPr>
                <w:rStyle w:val="IndexLink"/>
              </w:rPr>
              <w:t>132</w:t>
            </w:r>
          </w:hyperlink>
        </w:p>
        <w:p>
          <w:pPr>
            <w:pStyle w:val="Contents5"/>
            <w:tabs>
              <w:tab w:val="clear" w:pos="7892"/>
              <w:tab w:val="right" w:pos="9026" w:leader="dot"/>
            </w:tabs>
            <w:rPr/>
          </w:pPr>
          <w:hyperlink w:anchor="__RefHeading___Toc795427_222507752">
            <w:r>
              <w:rPr>
                <w:webHidden/>
                <w:rStyle w:val="IndexLink"/>
                <w:rtl w:val="true"/>
              </w:rPr>
              <w:t>الخامس</w:t>
            </w:r>
            <w:r>
              <w:rPr>
                <w:rStyle w:val="IndexLink"/>
                <w:rtl w:val="true"/>
              </w:rPr>
              <w:t>:</w:t>
            </w:r>
            <w:r>
              <w:rPr>
                <w:rStyle w:val="IndexLink"/>
                <w:rtl w:val="true"/>
              </w:rPr>
              <w:t>لو جفّت الأعضاء بواجب في الطّهارة أو مسنون،فإن كان فعل ذلك</w:t>
            </w:r>
            <w:r>
              <w:rPr>
                <w:rStyle w:val="IndexLink"/>
                <w:rtl w:val="true"/>
              </w:rPr>
              <w:tab/>
            </w:r>
            <w:r>
              <w:rPr>
                <w:rStyle w:val="IndexLink"/>
              </w:rPr>
              <w:t>132</w:t>
            </w:r>
          </w:hyperlink>
        </w:p>
        <w:p>
          <w:pPr>
            <w:pStyle w:val="Contents3"/>
            <w:tabs>
              <w:tab w:val="clear" w:pos="8459"/>
              <w:tab w:val="right" w:pos="9026" w:leader="dot"/>
            </w:tabs>
            <w:rPr/>
          </w:pPr>
          <w:hyperlink w:anchor="__RefHeading___Toc795429_222507752">
            <w:r>
              <w:rPr>
                <w:webHidden/>
                <w:rStyle w:val="IndexLink"/>
                <w:rtl w:val="true"/>
              </w:rPr>
              <w:t>مسألة</w:t>
            </w:r>
            <w:r>
              <w:rPr>
                <w:rStyle w:val="IndexLink"/>
                <w:rtl w:val="true"/>
              </w:rPr>
              <w:t>:</w:t>
            </w:r>
            <w:r>
              <w:rPr>
                <w:rStyle w:val="IndexLink"/>
                <w:rtl w:val="true"/>
              </w:rPr>
              <w:t>و الفرض في غسل أعضاء الوضوء مرّة مرّة</w:t>
            </w:r>
            <w:r>
              <w:rPr>
                <w:rStyle w:val="IndexLink"/>
                <w:rtl w:val="true"/>
              </w:rPr>
              <w:t>.</w:t>
              <w:tab/>
            </w:r>
            <w:r>
              <w:rPr>
                <w:rStyle w:val="IndexLink"/>
              </w:rPr>
              <w:t>132</w:t>
            </w:r>
          </w:hyperlink>
        </w:p>
        <w:p>
          <w:pPr>
            <w:pStyle w:val="Contents4"/>
            <w:tabs>
              <w:tab w:val="clear" w:pos="8176"/>
              <w:tab w:val="right" w:pos="9026" w:leader="dot"/>
            </w:tabs>
            <w:rPr/>
          </w:pPr>
          <w:hyperlink w:anchor="__RefHeading___Toc795431_222507752">
            <w:r>
              <w:rPr>
                <w:webHidden/>
                <w:rStyle w:val="IndexLink"/>
                <w:rtl w:val="true"/>
              </w:rPr>
              <w:t>اشارة</w:t>
            </w:r>
            <w:r>
              <w:rPr>
                <w:rStyle w:val="IndexLink"/>
                <w:rtl w:val="true"/>
              </w:rPr>
              <w:tab/>
            </w:r>
            <w:r>
              <w:rPr>
                <w:rStyle w:val="IndexLink"/>
              </w:rPr>
              <w:t>132</w:t>
            </w:r>
          </w:hyperlink>
        </w:p>
        <w:p>
          <w:pPr>
            <w:pStyle w:val="Contents4"/>
            <w:tabs>
              <w:tab w:val="clear" w:pos="8176"/>
              <w:tab w:val="right" w:pos="9026" w:leader="dot"/>
            </w:tabs>
            <w:rPr/>
          </w:pPr>
          <w:hyperlink w:anchor="__RefHeading___Toc795433_222507752">
            <w:r>
              <w:rPr>
                <w:webHidden/>
                <w:rStyle w:val="IndexLink"/>
                <w:rtl w:val="true"/>
              </w:rPr>
              <w:t>فروع</w:t>
            </w:r>
            <w:r>
              <w:rPr>
                <w:rStyle w:val="IndexLink"/>
                <w:rtl w:val="true"/>
              </w:rPr>
              <w:t>:</w:t>
              <w:tab/>
            </w:r>
            <w:r>
              <w:rPr>
                <w:rStyle w:val="IndexLink"/>
              </w:rPr>
              <w:t>137</w:t>
            </w:r>
          </w:hyperlink>
        </w:p>
        <w:p>
          <w:pPr>
            <w:pStyle w:val="Contents5"/>
            <w:tabs>
              <w:tab w:val="clear" w:pos="7892"/>
              <w:tab w:val="right" w:pos="9026" w:leader="dot"/>
            </w:tabs>
            <w:rPr/>
          </w:pPr>
          <w:hyperlink w:anchor="__RefHeading___Toc795435_222507752">
            <w:r>
              <w:rPr>
                <w:webHidden/>
                <w:rStyle w:val="IndexLink"/>
                <w:rtl w:val="true"/>
              </w:rPr>
              <w:t>الأوّل</w:t>
            </w:r>
            <w:r>
              <w:rPr>
                <w:rStyle w:val="IndexLink"/>
                <w:rtl w:val="true"/>
              </w:rPr>
              <w:t>:</w:t>
            </w:r>
            <w:r>
              <w:rPr>
                <w:rStyle w:val="IndexLink"/>
                <w:rtl w:val="true"/>
              </w:rPr>
              <w:t>لو غسل بعض أعضائه مرّة و بعضها مرّتين جاز</w:t>
            </w:r>
            <w:r>
              <w:rPr>
                <w:rStyle w:val="IndexLink"/>
                <w:rtl w:val="true"/>
              </w:rPr>
              <w:tab/>
            </w:r>
            <w:r>
              <w:rPr>
                <w:rStyle w:val="IndexLink"/>
              </w:rPr>
              <w:t>137</w:t>
            </w:r>
          </w:hyperlink>
        </w:p>
        <w:p>
          <w:pPr>
            <w:pStyle w:val="Contents5"/>
            <w:tabs>
              <w:tab w:val="clear" w:pos="7892"/>
              <w:tab w:val="right" w:pos="9026" w:leader="dot"/>
            </w:tabs>
            <w:rPr/>
          </w:pPr>
          <w:hyperlink w:anchor="__RefHeading___Toc795437_222507752">
            <w:r>
              <w:rPr>
                <w:webHidden/>
                <w:rStyle w:val="IndexLink"/>
                <w:rtl w:val="true"/>
              </w:rPr>
              <w:t>الثّاني</w:t>
            </w:r>
            <w:r>
              <w:rPr>
                <w:rStyle w:val="IndexLink"/>
                <w:rtl w:val="true"/>
              </w:rPr>
              <w:t>:</w:t>
            </w:r>
            <w:r>
              <w:rPr>
                <w:rStyle w:val="IndexLink"/>
                <w:rtl w:val="true"/>
              </w:rPr>
              <w:t>اتّفق أهل الإسلام على عدم استحباب ما زاد على الثّلاث،</w:t>
            </w:r>
            <w:r>
              <w:rPr>
                <w:rStyle w:val="IndexLink"/>
                <w:rtl w:val="true"/>
              </w:rPr>
              <w:tab/>
            </w:r>
            <w:r>
              <w:rPr>
                <w:rStyle w:val="IndexLink"/>
              </w:rPr>
              <w:t>137</w:t>
            </w:r>
          </w:hyperlink>
        </w:p>
        <w:p>
          <w:pPr>
            <w:pStyle w:val="Contents5"/>
            <w:tabs>
              <w:tab w:val="clear" w:pos="7892"/>
              <w:tab w:val="right" w:pos="9026" w:leader="dot"/>
            </w:tabs>
            <w:rPr/>
          </w:pPr>
          <w:hyperlink w:anchor="__RefHeading___Toc795439_222507752">
            <w:r>
              <w:rPr>
                <w:webHidden/>
                <w:rStyle w:val="IndexLink"/>
                <w:rtl w:val="true"/>
              </w:rPr>
              <w:t>الثّالث</w:t>
            </w:r>
            <w:r>
              <w:rPr>
                <w:rStyle w:val="IndexLink"/>
                <w:rtl w:val="true"/>
              </w:rPr>
              <w:t>:</w:t>
            </w:r>
            <w:r>
              <w:rPr>
                <w:rStyle w:val="IndexLink"/>
                <w:rtl w:val="true"/>
              </w:rPr>
              <w:t>لو زاد على الواحدة معتقدا وجوبها لم يثب،</w:t>
            </w:r>
            <w:r>
              <w:rPr>
                <w:rStyle w:val="IndexLink"/>
                <w:rtl w:val="true"/>
              </w:rPr>
              <w:tab/>
            </w:r>
            <w:r>
              <w:rPr>
                <w:rStyle w:val="IndexLink"/>
              </w:rPr>
              <w:t>137</w:t>
            </w:r>
          </w:hyperlink>
        </w:p>
        <w:p>
          <w:pPr>
            <w:pStyle w:val="Contents5"/>
            <w:tabs>
              <w:tab w:val="clear" w:pos="7892"/>
              <w:tab w:val="right" w:pos="9026" w:leader="dot"/>
            </w:tabs>
            <w:rPr/>
          </w:pPr>
          <w:hyperlink w:anchor="__RefHeading___Toc795441_222507752">
            <w:r>
              <w:rPr>
                <w:webHidden/>
                <w:rStyle w:val="IndexLink"/>
                <w:rtl w:val="true"/>
              </w:rPr>
              <w:t>الرّابع</w:t>
            </w:r>
            <w:r>
              <w:rPr>
                <w:rStyle w:val="IndexLink"/>
                <w:rtl w:val="true"/>
              </w:rPr>
              <w:t>:</w:t>
            </w:r>
            <w:r>
              <w:rPr>
                <w:rStyle w:val="IndexLink"/>
                <w:rtl w:val="true"/>
              </w:rPr>
              <w:t>لو غسل يده ثلاثا،قيل</w:t>
            </w:r>
            <w:r>
              <w:rPr>
                <w:rStyle w:val="IndexLink"/>
                <w:rtl w:val="true"/>
              </w:rPr>
              <w:t>:</w:t>
            </w:r>
            <w:r>
              <w:rPr>
                <w:rStyle w:val="IndexLink"/>
                <w:rtl w:val="true"/>
              </w:rPr>
              <w:t>تبطل الطّهارة،</w:t>
            </w:r>
            <w:r>
              <w:rPr>
                <w:rStyle w:val="IndexLink"/>
                <w:rtl w:val="true"/>
              </w:rPr>
              <w:tab/>
            </w:r>
            <w:r>
              <w:rPr>
                <w:rStyle w:val="IndexLink"/>
              </w:rPr>
              <w:t>138</w:t>
            </w:r>
          </w:hyperlink>
        </w:p>
        <w:p>
          <w:pPr>
            <w:pStyle w:val="Contents3"/>
            <w:tabs>
              <w:tab w:val="clear" w:pos="8459"/>
              <w:tab w:val="right" w:pos="9026" w:leader="dot"/>
            </w:tabs>
            <w:rPr/>
          </w:pPr>
          <w:hyperlink w:anchor="__RefHeading___Toc795443_222507752">
            <w:r>
              <w:rPr>
                <w:webHidden/>
                <w:rStyle w:val="IndexLink"/>
                <w:rtl w:val="true"/>
              </w:rPr>
              <w:t>مسألة</w:t>
            </w:r>
            <w:r>
              <w:rPr>
                <w:rStyle w:val="IndexLink"/>
                <w:rtl w:val="true"/>
              </w:rPr>
              <w:t>:</w:t>
            </w:r>
            <w:r>
              <w:rPr>
                <w:rStyle w:val="IndexLink"/>
                <w:rtl w:val="true"/>
              </w:rPr>
              <w:t>لا تكرار في المسح</w:t>
            </w:r>
            <w:r>
              <w:rPr>
                <w:rStyle w:val="IndexLink"/>
                <w:rtl w:val="true"/>
              </w:rPr>
              <w:t>.</w:t>
              <w:tab/>
            </w:r>
            <w:r>
              <w:rPr>
                <w:rStyle w:val="IndexLink"/>
              </w:rPr>
              <w:t>138</w:t>
            </w:r>
          </w:hyperlink>
        </w:p>
        <w:p>
          <w:pPr>
            <w:pStyle w:val="Contents3"/>
            <w:tabs>
              <w:tab w:val="clear" w:pos="8459"/>
              <w:tab w:val="right" w:pos="9026" w:leader="dot"/>
            </w:tabs>
            <w:rPr/>
          </w:pPr>
          <w:hyperlink w:anchor="__RefHeading___Toc795445_222507752">
            <w:r>
              <w:rPr>
                <w:webHidden/>
                <w:rStyle w:val="IndexLink"/>
                <w:rtl w:val="true"/>
              </w:rPr>
              <w:t>مسألة</w:t>
            </w:r>
            <w:r>
              <w:rPr>
                <w:rStyle w:val="IndexLink"/>
                <w:rtl w:val="true"/>
              </w:rPr>
              <w:t>:</w:t>
            </w:r>
            <w:r>
              <w:rPr>
                <w:rStyle w:val="IndexLink"/>
                <w:rtl w:val="true"/>
              </w:rPr>
              <w:t>كلّ ما يمنع من وصول الماء إلى البشرة وجب تحريكه</w:t>
            </w:r>
            <w:r>
              <w:rPr>
                <w:rStyle w:val="IndexLink"/>
                <w:rtl w:val="true"/>
              </w:rPr>
              <w:tab/>
            </w:r>
            <w:r>
              <w:rPr>
                <w:rStyle w:val="IndexLink"/>
              </w:rPr>
              <w:t>142</w:t>
            </w:r>
          </w:hyperlink>
        </w:p>
        <w:p>
          <w:pPr>
            <w:pStyle w:val="Contents3"/>
            <w:tabs>
              <w:tab w:val="clear" w:pos="8459"/>
              <w:tab w:val="right" w:pos="9026" w:leader="dot"/>
            </w:tabs>
            <w:rPr/>
          </w:pPr>
          <w:hyperlink w:anchor="__RefHeading___Toc795447_222507752">
            <w:r>
              <w:rPr>
                <w:webHidden/>
                <w:rStyle w:val="IndexLink"/>
                <w:rtl w:val="true"/>
              </w:rPr>
              <w:t>مسألة</w:t>
            </w:r>
            <w:r>
              <w:rPr>
                <w:rStyle w:val="IndexLink"/>
                <w:rtl w:val="true"/>
              </w:rPr>
              <w:t>:</w:t>
            </w:r>
            <w:r>
              <w:rPr>
                <w:rStyle w:val="IndexLink"/>
                <w:rtl w:val="true"/>
              </w:rPr>
              <w:t>و الجبائر تنزع مع المكنة،</w:t>
            </w:r>
            <w:r>
              <w:rPr>
                <w:rStyle w:val="IndexLink"/>
                <w:rtl w:val="true"/>
              </w:rPr>
              <w:tab/>
            </w:r>
            <w:r>
              <w:rPr>
                <w:rStyle w:val="IndexLink"/>
              </w:rPr>
              <w:t>143</w:t>
            </w:r>
          </w:hyperlink>
        </w:p>
        <w:p>
          <w:pPr>
            <w:pStyle w:val="Contents4"/>
            <w:tabs>
              <w:tab w:val="clear" w:pos="8176"/>
              <w:tab w:val="right" w:pos="9026" w:leader="dot"/>
            </w:tabs>
            <w:rPr/>
          </w:pPr>
          <w:hyperlink w:anchor="__RefHeading___Toc795449_222507752">
            <w:r>
              <w:rPr>
                <w:webHidden/>
                <w:rStyle w:val="IndexLink"/>
                <w:rtl w:val="true"/>
              </w:rPr>
              <w:t>اشارة</w:t>
            </w:r>
            <w:r>
              <w:rPr>
                <w:rStyle w:val="IndexLink"/>
                <w:rtl w:val="true"/>
              </w:rPr>
              <w:tab/>
            </w:r>
            <w:r>
              <w:rPr>
                <w:rStyle w:val="IndexLink"/>
              </w:rPr>
              <w:t>143</w:t>
            </w:r>
          </w:hyperlink>
        </w:p>
        <w:p>
          <w:pPr>
            <w:pStyle w:val="Contents4"/>
            <w:tabs>
              <w:tab w:val="clear" w:pos="8176"/>
              <w:tab w:val="right" w:pos="9026" w:leader="dot"/>
            </w:tabs>
            <w:rPr/>
          </w:pPr>
          <w:hyperlink w:anchor="__RefHeading___Toc795451_222507752">
            <w:r>
              <w:rPr>
                <w:webHidden/>
                <w:rStyle w:val="IndexLink"/>
                <w:rtl w:val="true"/>
              </w:rPr>
              <w:t>فروع</w:t>
            </w:r>
            <w:r>
              <w:rPr>
                <w:rStyle w:val="IndexLink"/>
                <w:rtl w:val="true"/>
              </w:rPr>
              <w:t>:</w:t>
              <w:tab/>
            </w:r>
            <w:r>
              <w:rPr>
                <w:rStyle w:val="IndexLink"/>
              </w:rPr>
              <w:t>145</w:t>
            </w:r>
          </w:hyperlink>
        </w:p>
        <w:p>
          <w:pPr>
            <w:pStyle w:val="Contents5"/>
            <w:tabs>
              <w:tab w:val="clear" w:pos="7892"/>
              <w:tab w:val="right" w:pos="9026" w:leader="dot"/>
            </w:tabs>
            <w:rPr/>
          </w:pPr>
          <w:hyperlink w:anchor="__RefHeading___Toc795453_222507752">
            <w:r>
              <w:rPr>
                <w:webHidden/>
                <w:rStyle w:val="IndexLink"/>
                <w:rtl w:val="true"/>
              </w:rPr>
              <w:t>الأوّل</w:t>
            </w:r>
            <w:r>
              <w:rPr>
                <w:rStyle w:val="IndexLink"/>
                <w:rtl w:val="true"/>
              </w:rPr>
              <w:t>:</w:t>
            </w:r>
            <w:r>
              <w:rPr>
                <w:rStyle w:val="IndexLink"/>
                <w:rtl w:val="true"/>
              </w:rPr>
              <w:t>لو كانت الجبيرة مستوعبة لمحلّ الفرض،مسح عليها</w:t>
            </w:r>
            <w:r>
              <w:rPr>
                <w:rStyle w:val="IndexLink"/>
                <w:rtl w:val="true"/>
              </w:rPr>
              <w:tab/>
            </w:r>
            <w:r>
              <w:rPr>
                <w:rStyle w:val="IndexLink"/>
              </w:rPr>
              <w:t>145</w:t>
            </w:r>
          </w:hyperlink>
        </w:p>
        <w:p>
          <w:pPr>
            <w:pStyle w:val="Contents5"/>
            <w:tabs>
              <w:tab w:val="clear" w:pos="7892"/>
              <w:tab w:val="right" w:pos="9026" w:leader="dot"/>
            </w:tabs>
            <w:rPr/>
          </w:pPr>
          <w:hyperlink w:anchor="__RefHeading___Toc795455_222507752">
            <w:r>
              <w:rPr>
                <w:webHidden/>
                <w:rStyle w:val="IndexLink"/>
                <w:rtl w:val="true"/>
              </w:rPr>
              <w:t>الثّاني</w:t>
            </w:r>
            <w:r>
              <w:rPr>
                <w:rStyle w:val="IndexLink"/>
                <w:rtl w:val="true"/>
              </w:rPr>
              <w:t>:</w:t>
            </w:r>
            <w:r>
              <w:rPr>
                <w:rStyle w:val="IndexLink"/>
                <w:rtl w:val="true"/>
              </w:rPr>
              <w:t>الجبيرة إنّما توضع على طرفي الصّحيح</w:t>
            </w:r>
            <w:r>
              <w:rPr>
                <w:rStyle w:val="IndexLink"/>
                <w:rtl w:val="true"/>
              </w:rPr>
              <w:tab/>
            </w:r>
            <w:r>
              <w:rPr>
                <w:rStyle w:val="IndexLink"/>
              </w:rPr>
              <w:t>145</w:t>
            </w:r>
          </w:hyperlink>
        </w:p>
        <w:p>
          <w:pPr>
            <w:pStyle w:val="Contents5"/>
            <w:tabs>
              <w:tab w:val="clear" w:pos="7892"/>
              <w:tab w:val="right" w:pos="9026" w:leader="dot"/>
            </w:tabs>
            <w:rPr/>
          </w:pPr>
          <w:hyperlink w:anchor="__RefHeading___Toc795457_222507752">
            <w:r>
              <w:rPr>
                <w:webHidden/>
                <w:rStyle w:val="IndexLink"/>
                <w:rtl w:val="true"/>
              </w:rPr>
              <w:t>الثّالث</w:t>
            </w:r>
            <w:r>
              <w:rPr>
                <w:rStyle w:val="IndexLink"/>
                <w:rtl w:val="true"/>
              </w:rPr>
              <w:t>:</w:t>
            </w:r>
            <w:r>
              <w:rPr>
                <w:rStyle w:val="IndexLink"/>
                <w:rtl w:val="true"/>
              </w:rPr>
              <w:t>لا توقيت في المسح على الجبيرة</w:t>
            </w:r>
            <w:r>
              <w:rPr>
                <w:rStyle w:val="IndexLink"/>
                <w:rtl w:val="true"/>
              </w:rPr>
              <w:t>.</w:t>
              <w:tab/>
            </w:r>
            <w:r>
              <w:rPr>
                <w:rStyle w:val="IndexLink"/>
              </w:rPr>
              <w:t>145</w:t>
            </w:r>
          </w:hyperlink>
        </w:p>
        <w:p>
          <w:pPr>
            <w:pStyle w:val="Contents5"/>
            <w:tabs>
              <w:tab w:val="clear" w:pos="7892"/>
              <w:tab w:val="right" w:pos="9026" w:leader="dot"/>
            </w:tabs>
            <w:rPr/>
          </w:pPr>
          <w:hyperlink w:anchor="__RefHeading___Toc795459_222507752">
            <w:r>
              <w:rPr>
                <w:webHidden/>
                <w:rStyle w:val="IndexLink"/>
                <w:rtl w:val="true"/>
              </w:rPr>
              <w:t>الرّابع</w:t>
            </w:r>
            <w:r>
              <w:rPr>
                <w:rStyle w:val="IndexLink"/>
                <w:rtl w:val="true"/>
              </w:rPr>
              <w:t>:</w:t>
            </w:r>
            <w:r>
              <w:rPr>
                <w:rStyle w:val="IndexLink"/>
                <w:rtl w:val="true"/>
              </w:rPr>
              <w:t>لا فرق في المسح عليها بين الطّهارة الكبرى و الصّغرى</w:t>
            </w:r>
            <w:r>
              <w:rPr>
                <w:rStyle w:val="IndexLink"/>
                <w:rtl w:val="true"/>
              </w:rPr>
              <w:t>.</w:t>
              <w:tab/>
            </w:r>
            <w:r>
              <w:rPr>
                <w:rStyle w:val="IndexLink"/>
              </w:rPr>
              <w:t>145</w:t>
            </w:r>
          </w:hyperlink>
        </w:p>
        <w:p>
          <w:pPr>
            <w:pStyle w:val="Contents5"/>
            <w:tabs>
              <w:tab w:val="clear" w:pos="7892"/>
              <w:tab w:val="right" w:pos="9026" w:leader="dot"/>
            </w:tabs>
            <w:rPr/>
          </w:pPr>
          <w:hyperlink w:anchor="__RefHeading___Toc795461_222507752">
            <w:r>
              <w:rPr>
                <w:webHidden/>
                <w:rStyle w:val="IndexLink"/>
                <w:rtl w:val="true"/>
              </w:rPr>
              <w:t>الخامس</w:t>
            </w:r>
            <w:r>
              <w:rPr>
                <w:rStyle w:val="IndexLink"/>
                <w:rtl w:val="true"/>
              </w:rPr>
              <w:t>:</w:t>
            </w:r>
            <w:r>
              <w:rPr>
                <w:rStyle w:val="IndexLink"/>
                <w:rtl w:val="true"/>
              </w:rPr>
              <w:t>لا فرق بين أن يشدّها على طهارة أو على غير طهارة،</w:t>
            </w:r>
            <w:r>
              <w:rPr>
                <w:rStyle w:val="IndexLink"/>
                <w:rtl w:val="true"/>
              </w:rPr>
              <w:tab/>
            </w:r>
            <w:r>
              <w:rPr>
                <w:rStyle w:val="IndexLink"/>
              </w:rPr>
              <w:t>145</w:t>
            </w:r>
          </w:hyperlink>
        </w:p>
        <w:p>
          <w:pPr>
            <w:pStyle w:val="Contents5"/>
            <w:tabs>
              <w:tab w:val="clear" w:pos="7892"/>
              <w:tab w:val="right" w:pos="9026" w:leader="dot"/>
            </w:tabs>
            <w:rPr/>
          </w:pPr>
          <w:hyperlink w:anchor="__RefHeading___Toc795463_222507752">
            <w:r>
              <w:rPr>
                <w:webHidden/>
                <w:rStyle w:val="IndexLink"/>
                <w:rtl w:val="true"/>
              </w:rPr>
              <w:t>السّادس</w:t>
            </w:r>
            <w:r>
              <w:rPr>
                <w:rStyle w:val="IndexLink"/>
                <w:rtl w:val="true"/>
              </w:rPr>
              <w:t>:</w:t>
            </w:r>
            <w:r>
              <w:rPr>
                <w:rStyle w:val="IndexLink"/>
                <w:rtl w:val="true"/>
              </w:rPr>
              <w:t>لو أمكنه وضع موضع الجبائر في الماء حتّى يصل البشرة من غير ضرر</w:t>
            </w:r>
            <w:r>
              <w:rPr>
                <w:rStyle w:val="IndexLink"/>
                <w:rtl w:val="true"/>
              </w:rPr>
              <w:tab/>
            </w:r>
            <w:r>
              <w:rPr>
                <w:rStyle w:val="IndexLink"/>
              </w:rPr>
              <w:t>146</w:t>
            </w:r>
          </w:hyperlink>
        </w:p>
        <w:p>
          <w:pPr>
            <w:pStyle w:val="Contents5"/>
            <w:tabs>
              <w:tab w:val="clear" w:pos="7892"/>
              <w:tab w:val="right" w:pos="9026" w:leader="dot"/>
            </w:tabs>
            <w:rPr/>
          </w:pPr>
          <w:hyperlink w:anchor="__RefHeading___Toc795465_222507752">
            <w:r>
              <w:rPr>
                <w:webHidden/>
                <w:rStyle w:val="IndexLink"/>
                <w:rtl w:val="true"/>
              </w:rPr>
              <w:t>السّابع</w:t>
            </w:r>
            <w:r>
              <w:rPr>
                <w:rStyle w:val="IndexLink"/>
                <w:rtl w:val="true"/>
              </w:rPr>
              <w:t>:</w:t>
            </w:r>
            <w:r>
              <w:rPr>
                <w:rStyle w:val="IndexLink"/>
                <w:rtl w:val="true"/>
              </w:rPr>
              <w:t>إذا اختصّت الجبائر بعضو،مسح عليه خاصّة و غسل الباقي</w:t>
            </w:r>
            <w:r>
              <w:rPr>
                <w:rStyle w:val="IndexLink"/>
                <w:rtl w:val="true"/>
              </w:rPr>
              <w:tab/>
            </w:r>
            <w:r>
              <w:rPr>
                <w:rStyle w:val="IndexLink"/>
              </w:rPr>
              <w:t>146</w:t>
            </w:r>
          </w:hyperlink>
        </w:p>
        <w:p>
          <w:pPr>
            <w:pStyle w:val="Contents5"/>
            <w:tabs>
              <w:tab w:val="clear" w:pos="7892"/>
              <w:tab w:val="right" w:pos="9026" w:leader="dot"/>
            </w:tabs>
            <w:rPr/>
          </w:pPr>
          <w:hyperlink w:anchor="__RefHeading___Toc795467_222507752">
            <w:r>
              <w:rPr>
                <w:webHidden/>
                <w:rStyle w:val="IndexLink"/>
                <w:rtl w:val="true"/>
              </w:rPr>
              <w:t>الثّامن</w:t>
            </w:r>
            <w:r>
              <w:rPr>
                <w:rStyle w:val="IndexLink"/>
                <w:rtl w:val="true"/>
              </w:rPr>
              <w:t>:</w:t>
            </w:r>
            <w:r>
              <w:rPr>
                <w:rStyle w:val="IndexLink"/>
                <w:rtl w:val="true"/>
              </w:rPr>
              <w:t>قال بعض الأصحاب بإعادة الوضوء مع زوال الحائل</w:t>
            </w:r>
            <w:r>
              <w:rPr>
                <w:rStyle w:val="IndexLink"/>
                <w:rtl w:val="true"/>
              </w:rPr>
              <w:tab/>
            </w:r>
            <w:r>
              <w:rPr>
                <w:rStyle w:val="IndexLink"/>
              </w:rPr>
              <w:t>146</w:t>
            </w:r>
          </w:hyperlink>
        </w:p>
        <w:p>
          <w:pPr>
            <w:pStyle w:val="Contents5"/>
            <w:tabs>
              <w:tab w:val="clear" w:pos="7892"/>
              <w:tab w:val="right" w:pos="9026" w:leader="dot"/>
            </w:tabs>
            <w:rPr/>
          </w:pPr>
          <w:hyperlink w:anchor="__RefHeading___Toc795469_222507752">
            <w:r>
              <w:rPr>
                <w:webHidden/>
                <w:rStyle w:val="IndexLink"/>
                <w:rtl w:val="true"/>
              </w:rPr>
              <w:t>التّاسع</w:t>
            </w:r>
            <w:r>
              <w:rPr>
                <w:rStyle w:val="IndexLink"/>
                <w:rtl w:val="true"/>
              </w:rPr>
              <w:t>:</w:t>
            </w:r>
            <w:r>
              <w:rPr>
                <w:rStyle w:val="IndexLink"/>
                <w:rtl w:val="true"/>
              </w:rPr>
              <w:t>إذا غسل السّليم و مسح على موضع الجبيرة،كانت طهارته كاملة</w:t>
            </w:r>
            <w:r>
              <w:rPr>
                <w:rStyle w:val="IndexLink"/>
                <w:rtl w:val="true"/>
              </w:rPr>
              <w:tab/>
            </w:r>
            <w:r>
              <w:rPr>
                <w:rStyle w:val="IndexLink"/>
              </w:rPr>
              <w:t>147</w:t>
            </w:r>
          </w:hyperlink>
        </w:p>
        <w:p>
          <w:pPr>
            <w:pStyle w:val="Contents5"/>
            <w:tabs>
              <w:tab w:val="clear" w:pos="7892"/>
              <w:tab w:val="right" w:pos="9026" w:leader="dot"/>
            </w:tabs>
            <w:rPr/>
          </w:pPr>
          <w:hyperlink w:anchor="__RefHeading___Toc795471_222507752">
            <w:r>
              <w:rPr>
                <w:webHidden/>
                <w:rStyle w:val="IndexLink"/>
                <w:rtl w:val="true"/>
              </w:rPr>
              <w:t>العاشر</w:t>
            </w:r>
            <w:r>
              <w:rPr>
                <w:rStyle w:val="IndexLink"/>
                <w:rtl w:val="true"/>
              </w:rPr>
              <w:t>:</w:t>
            </w:r>
            <w:r>
              <w:rPr>
                <w:rStyle w:val="IndexLink"/>
                <w:rtl w:val="true"/>
              </w:rPr>
              <w:t>إذا تجاوز بالشّدّ عليها موضع الحاجة،و خاف من نزعها جاز له المسح،</w:t>
            </w:r>
            <w:r>
              <w:rPr>
                <w:rStyle w:val="IndexLink"/>
                <w:rtl w:val="true"/>
              </w:rPr>
              <w:tab/>
            </w:r>
            <w:r>
              <w:rPr>
                <w:rStyle w:val="IndexLink"/>
              </w:rPr>
              <w:t>147</w:t>
            </w:r>
          </w:hyperlink>
        </w:p>
        <w:p>
          <w:pPr>
            <w:pStyle w:val="Contents3"/>
            <w:tabs>
              <w:tab w:val="clear" w:pos="8459"/>
              <w:tab w:val="right" w:pos="9026" w:leader="dot"/>
            </w:tabs>
            <w:rPr/>
          </w:pPr>
          <w:hyperlink w:anchor="__RefHeading___Toc795473_222507752">
            <w:r>
              <w:rPr>
                <w:webHidden/>
                <w:rStyle w:val="IndexLink"/>
                <w:rtl w:val="true"/>
              </w:rPr>
              <w:t>مسألة</w:t>
            </w:r>
            <w:r>
              <w:rPr>
                <w:rStyle w:val="IndexLink"/>
                <w:rtl w:val="true"/>
              </w:rPr>
              <w:t>:</w:t>
            </w:r>
            <w:r>
              <w:rPr>
                <w:rStyle w:val="IndexLink"/>
                <w:rtl w:val="true"/>
              </w:rPr>
              <w:t>لا يجوز أن يوضّئه غيره</w:t>
            </w:r>
            <w:r>
              <w:rPr>
                <w:rStyle w:val="IndexLink"/>
                <w:rtl w:val="true"/>
              </w:rPr>
              <w:t>.</w:t>
              <w:tab/>
            </w:r>
            <w:r>
              <w:rPr>
                <w:rStyle w:val="IndexLink"/>
              </w:rPr>
              <w:t>147</w:t>
            </w:r>
          </w:hyperlink>
        </w:p>
        <w:p>
          <w:pPr>
            <w:pStyle w:val="Contents3"/>
            <w:tabs>
              <w:tab w:val="clear" w:pos="8459"/>
              <w:tab w:val="right" w:pos="9026" w:leader="dot"/>
            </w:tabs>
            <w:rPr/>
          </w:pPr>
          <w:hyperlink w:anchor="__RefHeading___Toc795475_222507752">
            <w:r>
              <w:rPr>
                <w:webHidden/>
                <w:rStyle w:val="IndexLink"/>
                <w:rtl w:val="true"/>
              </w:rPr>
              <w:t>مسألة</w:t>
            </w:r>
            <w:r>
              <w:rPr>
                <w:rStyle w:val="IndexLink"/>
                <w:rtl w:val="true"/>
              </w:rPr>
              <w:t>:</w:t>
            </w:r>
            <w:r>
              <w:rPr>
                <w:rStyle w:val="IndexLink"/>
                <w:rtl w:val="true"/>
              </w:rPr>
              <w:t>إذا توضّأ للنّافلة جاز أن يصلّي بها فريضة،</w:t>
            </w:r>
            <w:r>
              <w:rPr>
                <w:rStyle w:val="IndexLink"/>
                <w:rtl w:val="true"/>
              </w:rPr>
              <w:tab/>
            </w:r>
            <w:r>
              <w:rPr>
                <w:rStyle w:val="IndexLink"/>
              </w:rPr>
              <w:t>148</w:t>
            </w:r>
          </w:hyperlink>
        </w:p>
        <w:p>
          <w:pPr>
            <w:pStyle w:val="Contents4"/>
            <w:tabs>
              <w:tab w:val="clear" w:pos="8176"/>
              <w:tab w:val="right" w:pos="9026" w:leader="dot"/>
            </w:tabs>
            <w:rPr/>
          </w:pPr>
          <w:hyperlink w:anchor="__RefHeading___Toc795477_222507752">
            <w:r>
              <w:rPr>
                <w:webHidden/>
                <w:rStyle w:val="IndexLink"/>
                <w:rtl w:val="true"/>
              </w:rPr>
              <w:t>اشارة</w:t>
            </w:r>
            <w:r>
              <w:rPr>
                <w:rStyle w:val="IndexLink"/>
                <w:rtl w:val="true"/>
              </w:rPr>
              <w:tab/>
            </w:r>
            <w:r>
              <w:rPr>
                <w:rStyle w:val="IndexLink"/>
              </w:rPr>
              <w:t>148</w:t>
            </w:r>
          </w:hyperlink>
        </w:p>
        <w:p>
          <w:pPr>
            <w:pStyle w:val="Contents4"/>
            <w:tabs>
              <w:tab w:val="clear" w:pos="8176"/>
              <w:tab w:val="right" w:pos="9026" w:leader="dot"/>
            </w:tabs>
            <w:rPr/>
          </w:pPr>
          <w:hyperlink w:anchor="__RefHeading___Toc795479_222507752">
            <w:r>
              <w:rPr>
                <w:webHidden/>
                <w:rStyle w:val="IndexLink"/>
                <w:rtl w:val="true"/>
              </w:rPr>
              <w:t>مسألة</w:t>
            </w:r>
            <w:r>
              <w:rPr>
                <w:rStyle w:val="IndexLink"/>
                <w:rtl w:val="true"/>
              </w:rPr>
              <w:t>:</w:t>
            </w:r>
            <w:r>
              <w:rPr>
                <w:rStyle w:val="IndexLink"/>
                <w:rtl w:val="true"/>
              </w:rPr>
              <w:t>من دام به السّلس يتطهّر لكلّ صلاة</w:t>
            </w:r>
            <w:r>
              <w:rPr>
                <w:rStyle w:val="IndexLink"/>
                <w:rtl w:val="true"/>
              </w:rPr>
              <w:tab/>
            </w:r>
            <w:r>
              <w:rPr>
                <w:rStyle w:val="IndexLink"/>
              </w:rPr>
              <w:t>152</w:t>
            </w:r>
          </w:hyperlink>
        </w:p>
        <w:p>
          <w:pPr>
            <w:pStyle w:val="Contents3"/>
            <w:tabs>
              <w:tab w:val="clear" w:pos="8459"/>
              <w:tab w:val="right" w:pos="9026" w:leader="dot"/>
            </w:tabs>
            <w:rPr/>
          </w:pPr>
          <w:hyperlink w:anchor="__RefHeading___Toc795481_222507752">
            <w:r>
              <w:rPr>
                <w:webHidden/>
                <w:rStyle w:val="IndexLink"/>
                <w:rtl w:val="true"/>
              </w:rPr>
              <w:t>البحث الخامس</w:t>
            </w:r>
            <w:r>
              <w:rPr>
                <w:rStyle w:val="IndexLink"/>
                <w:rtl w:val="true"/>
              </w:rPr>
              <w:t>:</w:t>
            </w:r>
            <w:r>
              <w:rPr>
                <w:rStyle w:val="IndexLink"/>
                <w:rtl w:val="true"/>
              </w:rPr>
              <w:t>في أحكامه و توابعه</w:t>
            </w:r>
            <w:r>
              <w:rPr>
                <w:rStyle w:val="IndexLink"/>
                <w:rtl w:val="true"/>
              </w:rPr>
              <w:tab/>
            </w:r>
            <w:r>
              <w:rPr>
                <w:rStyle w:val="IndexLink"/>
              </w:rPr>
              <w:t>154</w:t>
            </w:r>
          </w:hyperlink>
        </w:p>
        <w:p>
          <w:pPr>
            <w:pStyle w:val="Contents4"/>
            <w:tabs>
              <w:tab w:val="clear" w:pos="8176"/>
              <w:tab w:val="right" w:pos="9026" w:leader="dot"/>
            </w:tabs>
            <w:rPr/>
          </w:pPr>
          <w:hyperlink w:anchor="__RefHeading___Toc795483_222507752">
            <w:r>
              <w:rPr>
                <w:webHidden/>
                <w:rStyle w:val="IndexLink"/>
                <w:rtl w:val="true"/>
              </w:rPr>
              <w:t>مسألة</w:t>
            </w:r>
            <w:r>
              <w:rPr>
                <w:rStyle w:val="IndexLink"/>
                <w:rtl w:val="true"/>
              </w:rPr>
              <w:t>:</w:t>
            </w:r>
            <w:r>
              <w:rPr>
                <w:rStyle w:val="IndexLink"/>
                <w:rtl w:val="true"/>
              </w:rPr>
              <w:t>من تيقّن الطّهارة و شكّ في الحدث بنى على اليقين و ألقى الشّكّ</w:t>
            </w:r>
            <w:r>
              <w:rPr>
                <w:rStyle w:val="IndexLink"/>
                <w:rtl w:val="true"/>
              </w:rPr>
              <w:t>.</w:t>
              <w:tab/>
            </w:r>
            <w:r>
              <w:rPr>
                <w:rStyle w:val="IndexLink"/>
              </w:rPr>
              <w:t>154</w:t>
            </w:r>
          </w:hyperlink>
        </w:p>
        <w:p>
          <w:pPr>
            <w:pStyle w:val="Contents5"/>
            <w:tabs>
              <w:tab w:val="clear" w:pos="7892"/>
              <w:tab w:val="right" w:pos="9026" w:leader="dot"/>
            </w:tabs>
            <w:rPr/>
          </w:pPr>
          <w:hyperlink w:anchor="__RefHeading___Toc795485_222507752">
            <w:r>
              <w:rPr>
                <w:webHidden/>
                <w:rStyle w:val="IndexLink"/>
                <w:rtl w:val="true"/>
              </w:rPr>
              <w:t>اشارة</w:t>
            </w:r>
            <w:r>
              <w:rPr>
                <w:rStyle w:val="IndexLink"/>
                <w:rtl w:val="true"/>
              </w:rPr>
              <w:tab/>
            </w:r>
            <w:r>
              <w:rPr>
                <w:rStyle w:val="IndexLink"/>
              </w:rPr>
              <w:t>154</w:t>
            </w:r>
          </w:hyperlink>
        </w:p>
        <w:p>
          <w:pPr>
            <w:pStyle w:val="Contents5"/>
            <w:tabs>
              <w:tab w:val="clear" w:pos="7892"/>
              <w:tab w:val="right" w:pos="9026" w:leader="dot"/>
            </w:tabs>
            <w:rPr/>
          </w:pPr>
          <w:hyperlink w:anchor="__RefHeading___Toc795487_222507752">
            <w:r>
              <w:rPr>
                <w:webHidden/>
                <w:rStyle w:val="IndexLink"/>
                <w:rtl w:val="true"/>
              </w:rPr>
              <w:t>فرع</w:t>
            </w:r>
            <w:r>
              <w:rPr>
                <w:rStyle w:val="IndexLink"/>
                <w:rtl w:val="true"/>
              </w:rPr>
              <w:t>:</w:t>
              <w:tab/>
            </w:r>
            <w:r>
              <w:rPr>
                <w:rStyle w:val="IndexLink"/>
              </w:rPr>
              <w:t>156</w:t>
            </w:r>
          </w:hyperlink>
        </w:p>
        <w:p>
          <w:pPr>
            <w:pStyle w:val="Contents4"/>
            <w:tabs>
              <w:tab w:val="clear" w:pos="8176"/>
              <w:tab w:val="right" w:pos="9026" w:leader="dot"/>
            </w:tabs>
            <w:rPr/>
          </w:pPr>
          <w:hyperlink w:anchor="__RefHeading___Toc795489_222507752">
            <w:r>
              <w:rPr>
                <w:webHidden/>
                <w:rStyle w:val="IndexLink"/>
                <w:rtl w:val="true"/>
              </w:rPr>
              <w:t>مسألة</w:t>
            </w:r>
            <w:r>
              <w:rPr>
                <w:rStyle w:val="IndexLink"/>
                <w:rtl w:val="true"/>
              </w:rPr>
              <w:t>:</w:t>
            </w:r>
            <w:r>
              <w:rPr>
                <w:rStyle w:val="IndexLink"/>
                <w:rtl w:val="true"/>
              </w:rPr>
              <w:t>و لو تيقّن الطّهارة و الحدث معا و شكّ في المتقدّم،فالمشهور عند أصحابنا</w:t>
            </w:r>
            <w:r>
              <w:rPr>
                <w:rStyle w:val="IndexLink"/>
                <w:rtl w:val="true"/>
              </w:rPr>
              <w:tab/>
            </w:r>
            <w:r>
              <w:rPr>
                <w:rStyle w:val="IndexLink"/>
              </w:rPr>
              <w:t>156</w:t>
            </w:r>
          </w:hyperlink>
        </w:p>
        <w:p>
          <w:pPr>
            <w:pStyle w:val="Contents5"/>
            <w:tabs>
              <w:tab w:val="clear" w:pos="7892"/>
              <w:tab w:val="right" w:pos="9026" w:leader="dot"/>
            </w:tabs>
            <w:rPr/>
          </w:pPr>
          <w:hyperlink w:anchor="__RefHeading___Toc795491_222507752">
            <w:r>
              <w:rPr>
                <w:webHidden/>
                <w:rStyle w:val="IndexLink"/>
                <w:rtl w:val="true"/>
              </w:rPr>
              <w:t>اشارة</w:t>
            </w:r>
            <w:r>
              <w:rPr>
                <w:rStyle w:val="IndexLink"/>
                <w:rtl w:val="true"/>
              </w:rPr>
              <w:tab/>
            </w:r>
            <w:r>
              <w:rPr>
                <w:rStyle w:val="IndexLink"/>
              </w:rPr>
              <w:t>156</w:t>
            </w:r>
          </w:hyperlink>
        </w:p>
        <w:p>
          <w:pPr>
            <w:pStyle w:val="Contents5"/>
            <w:tabs>
              <w:tab w:val="clear" w:pos="7892"/>
              <w:tab w:val="right" w:pos="9026" w:leader="dot"/>
            </w:tabs>
            <w:rPr/>
          </w:pPr>
          <w:hyperlink w:anchor="__RefHeading___Toc795493_222507752">
            <w:r>
              <w:rPr>
                <w:webHidden/>
                <w:rStyle w:val="IndexLink"/>
                <w:rtl w:val="true"/>
              </w:rPr>
              <w:t>فرع</w:t>
            </w:r>
            <w:r>
              <w:rPr>
                <w:rStyle w:val="IndexLink"/>
                <w:rtl w:val="true"/>
              </w:rPr>
              <w:t>:</w:t>
              <w:tab/>
            </w:r>
            <w:r>
              <w:rPr>
                <w:rStyle w:val="IndexLink"/>
              </w:rPr>
              <w:t>157</w:t>
            </w:r>
          </w:hyperlink>
        </w:p>
        <w:p>
          <w:pPr>
            <w:pStyle w:val="Contents4"/>
            <w:tabs>
              <w:tab w:val="clear" w:pos="8176"/>
              <w:tab w:val="right" w:pos="9026" w:leader="dot"/>
            </w:tabs>
            <w:rPr/>
          </w:pPr>
          <w:hyperlink w:anchor="__RefHeading___Toc795495_222507752">
            <w:r>
              <w:rPr>
                <w:webHidden/>
                <w:rStyle w:val="IndexLink"/>
                <w:rtl w:val="true"/>
              </w:rPr>
              <w:t>مسألة</w:t>
            </w:r>
            <w:r>
              <w:rPr>
                <w:rStyle w:val="IndexLink"/>
                <w:rtl w:val="true"/>
              </w:rPr>
              <w:t>:</w:t>
            </w:r>
            <w:r>
              <w:rPr>
                <w:rStyle w:val="IndexLink"/>
                <w:rtl w:val="true"/>
              </w:rPr>
              <w:t>و لو تيقّن الحدث و شكّ في الطّهارة وجب عليه الطّهارة</w:t>
            </w:r>
            <w:r>
              <w:rPr>
                <w:rStyle w:val="IndexLink"/>
                <w:rtl w:val="true"/>
              </w:rPr>
              <w:t>.</w:t>
              <w:tab/>
            </w:r>
            <w:r>
              <w:rPr>
                <w:rStyle w:val="IndexLink"/>
              </w:rPr>
              <w:t>157</w:t>
            </w:r>
          </w:hyperlink>
        </w:p>
        <w:p>
          <w:pPr>
            <w:pStyle w:val="Contents5"/>
            <w:tabs>
              <w:tab w:val="clear" w:pos="7892"/>
              <w:tab w:val="right" w:pos="9026" w:leader="dot"/>
            </w:tabs>
            <w:rPr/>
          </w:pPr>
          <w:hyperlink w:anchor="__RefHeading___Toc795497_222507752">
            <w:r>
              <w:rPr>
                <w:webHidden/>
                <w:rStyle w:val="IndexLink"/>
                <w:rtl w:val="true"/>
              </w:rPr>
              <w:t>اشارة</w:t>
            </w:r>
            <w:r>
              <w:rPr>
                <w:rStyle w:val="IndexLink"/>
                <w:rtl w:val="true"/>
              </w:rPr>
              <w:tab/>
            </w:r>
            <w:r>
              <w:rPr>
                <w:rStyle w:val="IndexLink"/>
              </w:rPr>
              <w:t>157</w:t>
            </w:r>
          </w:hyperlink>
        </w:p>
        <w:p>
          <w:pPr>
            <w:pStyle w:val="Contents5"/>
            <w:tabs>
              <w:tab w:val="clear" w:pos="7892"/>
              <w:tab w:val="right" w:pos="9026" w:leader="dot"/>
            </w:tabs>
            <w:rPr/>
          </w:pPr>
          <w:hyperlink w:anchor="__RefHeading___Toc795499_222507752">
            <w:r>
              <w:rPr>
                <w:webHidden/>
                <w:rStyle w:val="IndexLink"/>
                <w:rtl w:val="true"/>
              </w:rPr>
              <w:t>فروع</w:t>
            </w:r>
            <w:r>
              <w:rPr>
                <w:rStyle w:val="IndexLink"/>
                <w:rtl w:val="true"/>
              </w:rPr>
              <w:t>:</w:t>
              <w:tab/>
            </w:r>
            <w:r>
              <w:rPr>
                <w:rStyle w:val="IndexLink"/>
              </w:rPr>
              <w:t>160</w:t>
            </w:r>
          </w:hyperlink>
        </w:p>
        <w:p>
          <w:pPr>
            <w:pStyle w:val="Contents6"/>
            <w:tabs>
              <w:tab w:val="clear" w:pos="7609"/>
              <w:tab w:val="right" w:pos="9026" w:leader="dot"/>
            </w:tabs>
            <w:rPr/>
          </w:pPr>
          <w:hyperlink w:anchor="__RefHeading___Toc795501_222507752">
            <w:r>
              <w:rPr>
                <w:webHidden/>
                <w:rStyle w:val="IndexLink"/>
                <w:rtl w:val="true"/>
              </w:rPr>
              <w:t>الأوّل</w:t>
            </w:r>
            <w:r>
              <w:rPr>
                <w:rStyle w:val="IndexLink"/>
                <w:rtl w:val="true"/>
              </w:rPr>
              <w:t>:</w:t>
            </w:r>
            <w:r>
              <w:rPr>
                <w:rStyle w:val="IndexLink"/>
                <w:rtl w:val="true"/>
              </w:rPr>
              <w:t>لو صلّى بطهارة،ثمَّ جدّد مستحبّا،ثمَّ صلّى اخرى،ثمَّ ذكر أنّه قد أخلّ</w:t>
            </w:r>
            <w:r>
              <w:rPr>
                <w:rStyle w:val="IndexLink"/>
                <w:rtl w:val="true"/>
              </w:rPr>
              <w:tab/>
            </w:r>
            <w:r>
              <w:rPr>
                <w:rStyle w:val="IndexLink"/>
              </w:rPr>
              <w:t>160</w:t>
            </w:r>
          </w:hyperlink>
        </w:p>
        <w:p>
          <w:pPr>
            <w:pStyle w:val="Contents6"/>
            <w:tabs>
              <w:tab w:val="clear" w:pos="7609"/>
              <w:tab w:val="right" w:pos="9026" w:leader="dot"/>
            </w:tabs>
            <w:rPr/>
          </w:pPr>
          <w:hyperlink w:anchor="__RefHeading___Toc795503_222507752">
            <w:r>
              <w:rPr>
                <w:webHidden/>
                <w:rStyle w:val="IndexLink"/>
                <w:rtl w:val="true"/>
              </w:rPr>
              <w:t>الثّاني</w:t>
            </w:r>
            <w:r>
              <w:rPr>
                <w:rStyle w:val="IndexLink"/>
                <w:rtl w:val="true"/>
              </w:rPr>
              <w:t>:</w:t>
            </w:r>
            <w:r>
              <w:rPr>
                <w:rStyle w:val="IndexLink"/>
                <w:rtl w:val="true"/>
              </w:rPr>
              <w:t>لو تيقّن الحدث عقيب إحدى الطّهارتين الكاملتين مع تعدّد الصّلاة بهما</w:t>
            </w:r>
            <w:r>
              <w:rPr>
                <w:rStyle w:val="IndexLink"/>
                <w:rtl w:val="true"/>
              </w:rPr>
              <w:tab/>
            </w:r>
            <w:r>
              <w:rPr>
                <w:rStyle w:val="IndexLink"/>
              </w:rPr>
              <w:t>161</w:t>
            </w:r>
          </w:hyperlink>
        </w:p>
        <w:p>
          <w:pPr>
            <w:pStyle w:val="Contents6"/>
            <w:tabs>
              <w:tab w:val="clear" w:pos="7609"/>
              <w:tab w:val="right" w:pos="9026" w:leader="dot"/>
            </w:tabs>
            <w:rPr/>
          </w:pPr>
          <w:hyperlink w:anchor="__RefHeading___Toc795505_222507752">
            <w:r>
              <w:rPr>
                <w:webHidden/>
                <w:rStyle w:val="IndexLink"/>
                <w:rtl w:val="true"/>
              </w:rPr>
              <w:t>فرع</w:t>
            </w:r>
            <w:r>
              <w:rPr>
                <w:rStyle w:val="IndexLink"/>
                <w:rtl w:val="true"/>
              </w:rPr>
              <w:t>:</w:t>
            </w:r>
            <w:r>
              <w:rPr>
                <w:rStyle w:val="IndexLink"/>
                <w:rtl w:val="true"/>
              </w:rPr>
              <w:t>لا يجوز لمثل هذا الشّاك أن يصلّي صلاة ثالثة إلاّ بطهارة مستأنفة،</w:t>
            </w:r>
            <w:r>
              <w:rPr>
                <w:rStyle w:val="IndexLink"/>
                <w:rtl w:val="true"/>
              </w:rPr>
              <w:tab/>
            </w:r>
            <w:r>
              <w:rPr>
                <w:rStyle w:val="IndexLink"/>
              </w:rPr>
              <w:t>161</w:t>
            </w:r>
          </w:hyperlink>
        </w:p>
        <w:p>
          <w:pPr>
            <w:pStyle w:val="Contents6"/>
            <w:tabs>
              <w:tab w:val="clear" w:pos="7609"/>
              <w:tab w:val="right" w:pos="9026" w:leader="dot"/>
            </w:tabs>
            <w:rPr/>
          </w:pPr>
          <w:hyperlink w:anchor="__RefHeading___Toc795507_222507752">
            <w:r>
              <w:rPr>
                <w:webHidden/>
                <w:rStyle w:val="IndexLink"/>
                <w:rtl w:val="true"/>
              </w:rPr>
              <w:t>الرّابع</w:t>
            </w:r>
            <w:r>
              <w:rPr>
                <w:rStyle w:val="IndexLink"/>
                <w:rtl w:val="true"/>
              </w:rPr>
              <w:t>:</w:t>
            </w:r>
            <w:r>
              <w:rPr>
                <w:rStyle w:val="IndexLink"/>
                <w:rtl w:val="true"/>
              </w:rPr>
              <w:t>لو جدّد مستحبّا،ثمَّ صلّى عقيبها و تيقّن ترك عضو من إحداهما،أعاد</w:t>
            </w:r>
            <w:r>
              <w:rPr>
                <w:rStyle w:val="IndexLink"/>
                <w:rtl w:val="true"/>
              </w:rPr>
              <w:tab/>
            </w:r>
            <w:r>
              <w:rPr>
                <w:rStyle w:val="IndexLink"/>
              </w:rPr>
              <w:t>162</w:t>
            </w:r>
          </w:hyperlink>
        </w:p>
        <w:p>
          <w:pPr>
            <w:pStyle w:val="Contents6"/>
            <w:tabs>
              <w:tab w:val="clear" w:pos="7609"/>
              <w:tab w:val="right" w:pos="9026" w:leader="dot"/>
            </w:tabs>
            <w:rPr/>
          </w:pPr>
          <w:hyperlink w:anchor="__RefHeading___Toc795509_222507752">
            <w:r>
              <w:rPr>
                <w:webHidden/>
                <w:rStyle w:val="IndexLink"/>
                <w:rtl w:val="true"/>
              </w:rPr>
              <w:t>الخامس</w:t>
            </w:r>
            <w:r>
              <w:rPr>
                <w:rStyle w:val="IndexLink"/>
                <w:rtl w:val="true"/>
              </w:rPr>
              <w:t>:</w:t>
            </w:r>
            <w:r>
              <w:rPr>
                <w:rStyle w:val="IndexLink"/>
                <w:rtl w:val="true"/>
              </w:rPr>
              <w:t>لو صلّى الخمس بوضوء متعدّد بعددها و تيقّن الحدث عقيب إحدى</w:t>
            </w:r>
            <w:r>
              <w:rPr>
                <w:rStyle w:val="IndexLink"/>
                <w:rtl w:val="true"/>
              </w:rPr>
              <w:tab/>
            </w:r>
            <w:r>
              <w:rPr>
                <w:rStyle w:val="IndexLink"/>
              </w:rPr>
              <w:t>162</w:t>
            </w:r>
          </w:hyperlink>
        </w:p>
        <w:p>
          <w:pPr>
            <w:pStyle w:val="Contents6"/>
            <w:tabs>
              <w:tab w:val="clear" w:pos="7609"/>
              <w:tab w:val="right" w:pos="9026" w:leader="dot"/>
            </w:tabs>
            <w:rPr/>
          </w:pPr>
          <w:hyperlink w:anchor="__RefHeading___Toc795511_222507752">
            <w:r>
              <w:rPr>
                <w:webHidden/>
                <w:rStyle w:val="IndexLink"/>
                <w:rtl w:val="true"/>
              </w:rPr>
              <w:t>السّادس</w:t>
            </w:r>
            <w:r>
              <w:rPr>
                <w:rStyle w:val="IndexLink"/>
                <w:rtl w:val="true"/>
              </w:rPr>
              <w:t>:</w:t>
            </w:r>
            <w:r>
              <w:rPr>
                <w:rStyle w:val="IndexLink"/>
                <w:rtl w:val="true"/>
              </w:rPr>
              <w:t>لو شكّ في الطّهارة فصلّى حينئذ،ثمَّ ذكر في الأثناء أو بعد الفراغ انّه</w:t>
            </w:r>
            <w:r>
              <w:rPr>
                <w:rStyle w:val="IndexLink"/>
                <w:rtl w:val="true"/>
              </w:rPr>
              <w:tab/>
            </w:r>
            <w:r>
              <w:rPr>
                <w:rStyle w:val="IndexLink"/>
              </w:rPr>
              <w:t>162</w:t>
            </w:r>
          </w:hyperlink>
        </w:p>
        <w:p>
          <w:pPr>
            <w:pStyle w:val="Contents6"/>
            <w:tabs>
              <w:tab w:val="clear" w:pos="7609"/>
              <w:tab w:val="right" w:pos="9026" w:leader="dot"/>
            </w:tabs>
            <w:rPr/>
          </w:pPr>
          <w:hyperlink w:anchor="__RefHeading___Toc795513_222507752">
            <w:r>
              <w:rPr>
                <w:webHidden/>
                <w:rStyle w:val="IndexLink"/>
                <w:rtl w:val="true"/>
              </w:rPr>
              <w:t>السّابع</w:t>
            </w:r>
            <w:r>
              <w:rPr>
                <w:rStyle w:val="IndexLink"/>
                <w:rtl w:val="true"/>
              </w:rPr>
              <w:t>:</w:t>
            </w:r>
            <w:r>
              <w:rPr>
                <w:rStyle w:val="IndexLink"/>
                <w:rtl w:val="true"/>
              </w:rPr>
              <w:t>لو تيقّن ترك العضو من طهارتين و كان قد صلّى الخمس بخمس طهارات</w:t>
            </w:r>
            <w:r>
              <w:rPr>
                <w:rStyle w:val="IndexLink"/>
                <w:rtl w:val="true"/>
              </w:rPr>
              <w:tab/>
            </w:r>
            <w:r>
              <w:rPr>
                <w:rStyle w:val="IndexLink"/>
              </w:rPr>
              <w:t>162</w:t>
            </w:r>
          </w:hyperlink>
        </w:p>
        <w:p>
          <w:pPr>
            <w:pStyle w:val="Contents5"/>
            <w:tabs>
              <w:tab w:val="clear" w:pos="7892"/>
              <w:tab w:val="right" w:pos="9026" w:leader="dot"/>
            </w:tabs>
            <w:rPr/>
          </w:pPr>
          <w:hyperlink w:anchor="__RefHeading___Toc795515_222507752">
            <w:r>
              <w:rPr>
                <w:webHidden/>
                <w:rStyle w:val="IndexLink"/>
                <w:rtl w:val="true"/>
              </w:rPr>
              <w:t>مسألة</w:t>
            </w:r>
            <w:r>
              <w:rPr>
                <w:rStyle w:val="IndexLink"/>
                <w:rtl w:val="true"/>
              </w:rPr>
              <w:t>:</w:t>
            </w:r>
            <w:r>
              <w:rPr>
                <w:rStyle w:val="IndexLink"/>
                <w:rtl w:val="true"/>
              </w:rPr>
              <w:t>لو ترك غسل أحد المخرجين و صلّى،أعاد الصّلاة</w:t>
            </w:r>
            <w:r>
              <w:rPr>
                <w:rStyle w:val="IndexLink"/>
                <w:rtl w:val="true"/>
              </w:rPr>
              <w:tab/>
            </w:r>
            <w:r>
              <w:rPr>
                <w:rStyle w:val="IndexLink"/>
              </w:rPr>
              <w:t>163</w:t>
            </w:r>
          </w:hyperlink>
        </w:p>
        <w:p>
          <w:pPr>
            <w:pStyle w:val="Contents5"/>
            <w:tabs>
              <w:tab w:val="clear" w:pos="7892"/>
              <w:tab w:val="right" w:pos="9026" w:leader="dot"/>
            </w:tabs>
            <w:rPr/>
          </w:pPr>
          <w:hyperlink w:anchor="__RefHeading___Toc795517_222507752">
            <w:r>
              <w:rPr>
                <w:webHidden/>
                <w:rStyle w:val="IndexLink"/>
                <w:rtl w:val="true"/>
              </w:rPr>
              <w:t>مسألة</w:t>
            </w:r>
            <w:r>
              <w:rPr>
                <w:rStyle w:val="IndexLink"/>
                <w:rtl w:val="true"/>
              </w:rPr>
              <w:t>:</w:t>
            </w:r>
            <w:r>
              <w:rPr>
                <w:rStyle w:val="IndexLink"/>
                <w:rtl w:val="true"/>
              </w:rPr>
              <w:t>يجوز الطّهارة في المسجد لكن يكره من الغائط و البول</w:t>
            </w:r>
            <w:r>
              <w:rPr>
                <w:rStyle w:val="IndexLink"/>
                <w:rtl w:val="true"/>
              </w:rPr>
              <w:t>.</w:t>
              <w:tab/>
            </w:r>
            <w:r>
              <w:rPr>
                <w:rStyle w:val="IndexLink"/>
              </w:rPr>
              <w:t>164</w:t>
            </w:r>
          </w:hyperlink>
        </w:p>
        <w:p>
          <w:pPr>
            <w:pStyle w:val="Contents5"/>
            <w:tabs>
              <w:tab w:val="clear" w:pos="7892"/>
              <w:tab w:val="right" w:pos="9026" w:leader="dot"/>
            </w:tabs>
            <w:rPr/>
          </w:pPr>
          <w:hyperlink w:anchor="__RefHeading___Toc795519_222507752">
            <w:r>
              <w:rPr>
                <w:webHidden/>
                <w:rStyle w:val="IndexLink"/>
                <w:rtl w:val="true"/>
              </w:rPr>
              <w:t>مسألة</w:t>
            </w:r>
            <w:r>
              <w:rPr>
                <w:rStyle w:val="IndexLink"/>
                <w:rtl w:val="true"/>
              </w:rPr>
              <w:t>:</w:t>
            </w:r>
            <w:r>
              <w:rPr>
                <w:rStyle w:val="IndexLink"/>
                <w:rtl w:val="true"/>
              </w:rPr>
              <w:t>اختلف الأصحاب في جواز مسّ كتابة المصحف للمحدث،</w:t>
            </w:r>
            <w:r>
              <w:rPr>
                <w:rStyle w:val="IndexLink"/>
                <w:rtl w:val="true"/>
              </w:rPr>
              <w:tab/>
            </w:r>
            <w:r>
              <w:rPr>
                <w:rStyle w:val="IndexLink"/>
              </w:rPr>
              <w:t>165</w:t>
            </w:r>
          </w:hyperlink>
        </w:p>
        <w:p>
          <w:pPr>
            <w:pStyle w:val="Contents6"/>
            <w:tabs>
              <w:tab w:val="clear" w:pos="7609"/>
              <w:tab w:val="right" w:pos="9026" w:leader="dot"/>
            </w:tabs>
            <w:rPr/>
          </w:pPr>
          <w:hyperlink w:anchor="__RefHeading___Toc795521_222507752">
            <w:r>
              <w:rPr>
                <w:webHidden/>
                <w:rStyle w:val="IndexLink"/>
                <w:rtl w:val="true"/>
              </w:rPr>
              <w:t>اشارة</w:t>
            </w:r>
            <w:r>
              <w:rPr>
                <w:rStyle w:val="IndexLink"/>
                <w:rtl w:val="true"/>
              </w:rPr>
              <w:tab/>
            </w:r>
            <w:r>
              <w:rPr>
                <w:rStyle w:val="IndexLink"/>
              </w:rPr>
              <w:t>165</w:t>
            </w:r>
          </w:hyperlink>
        </w:p>
        <w:p>
          <w:pPr>
            <w:pStyle w:val="Contents6"/>
            <w:tabs>
              <w:tab w:val="clear" w:pos="7609"/>
              <w:tab w:val="right" w:pos="9026" w:leader="dot"/>
            </w:tabs>
            <w:rPr/>
          </w:pPr>
          <w:hyperlink w:anchor="__RefHeading___Toc795523_222507752">
            <w:r>
              <w:rPr>
                <w:webHidden/>
                <w:rStyle w:val="IndexLink"/>
                <w:rtl w:val="true"/>
              </w:rPr>
              <w:t>فروع</w:t>
            </w:r>
            <w:r>
              <w:rPr>
                <w:rStyle w:val="IndexLink"/>
                <w:rtl w:val="true"/>
              </w:rPr>
              <w:t>:</w:t>
              <w:tab/>
            </w:r>
            <w:r>
              <w:rPr>
                <w:rStyle w:val="IndexLink"/>
              </w:rPr>
              <w:t>168</w:t>
            </w:r>
          </w:hyperlink>
        </w:p>
        <w:p>
          <w:pPr>
            <w:pStyle w:val="Contents6"/>
            <w:tabs>
              <w:tab w:val="clear" w:pos="7609"/>
              <w:tab w:val="right" w:pos="9026" w:leader="dot"/>
            </w:tabs>
            <w:rPr/>
          </w:pPr>
          <w:hyperlink w:anchor="__RefHeading___Toc795525_222507752">
            <w:r>
              <w:rPr>
                <w:webHidden/>
                <w:rStyle w:val="IndexLink"/>
                <w:rtl w:val="true"/>
              </w:rPr>
              <w:t>الأوّل</w:t>
            </w:r>
            <w:r>
              <w:rPr>
                <w:rStyle w:val="IndexLink"/>
                <w:rtl w:val="true"/>
              </w:rPr>
              <w:t>:</w:t>
            </w:r>
            <w:r>
              <w:rPr>
                <w:rStyle w:val="IndexLink"/>
                <w:rtl w:val="true"/>
              </w:rPr>
              <w:t>يجوز للمحدث مسّ ما عدا الكتابة،</w:t>
            </w:r>
            <w:r>
              <w:rPr>
                <w:rStyle w:val="IndexLink"/>
                <w:rtl w:val="true"/>
              </w:rPr>
              <w:tab/>
            </w:r>
            <w:r>
              <w:rPr>
                <w:rStyle w:val="IndexLink"/>
              </w:rPr>
              <w:t>168</w:t>
            </w:r>
          </w:hyperlink>
        </w:p>
        <w:p>
          <w:pPr>
            <w:pStyle w:val="Contents6"/>
            <w:tabs>
              <w:tab w:val="clear" w:pos="7609"/>
              <w:tab w:val="right" w:pos="9026" w:leader="dot"/>
            </w:tabs>
            <w:rPr/>
          </w:pPr>
          <w:hyperlink w:anchor="__RefHeading___Toc795527_222507752">
            <w:r>
              <w:rPr>
                <w:webHidden/>
                <w:rStyle w:val="IndexLink"/>
                <w:rtl w:val="true"/>
              </w:rPr>
              <w:t>الثّاني</w:t>
            </w:r>
            <w:r>
              <w:rPr>
                <w:rStyle w:val="IndexLink"/>
                <w:rtl w:val="true"/>
              </w:rPr>
              <w:t>:</w:t>
            </w:r>
            <w:r>
              <w:rPr>
                <w:rStyle w:val="IndexLink"/>
                <w:rtl w:val="true"/>
              </w:rPr>
              <w:t>المسّ قيل</w:t>
            </w:r>
            <w:r>
              <w:rPr>
                <w:rStyle w:val="IndexLink"/>
                <w:rtl w:val="true"/>
              </w:rPr>
              <w:t>:</w:t>
            </w:r>
            <w:r>
              <w:rPr>
                <w:rStyle w:val="IndexLink"/>
                <w:rtl w:val="true"/>
              </w:rPr>
              <w:t xml:space="preserve">يختص بالملاقاة بباطن الكفّ </w:t>
            </w:r>
            <w:r>
              <w:rPr>
                <w:rStyle w:val="IndexLink"/>
                <w:rtl w:val="true"/>
              </w:rPr>
              <w:t>.</w:t>
              <w:tab/>
            </w:r>
            <w:r>
              <w:rPr>
                <w:rStyle w:val="IndexLink"/>
              </w:rPr>
              <w:t>169</w:t>
            </w:r>
          </w:hyperlink>
        </w:p>
        <w:p>
          <w:pPr>
            <w:pStyle w:val="Contents6"/>
            <w:tabs>
              <w:tab w:val="clear" w:pos="7609"/>
              <w:tab w:val="right" w:pos="9026" w:leader="dot"/>
            </w:tabs>
            <w:rPr/>
          </w:pPr>
          <w:hyperlink w:anchor="__RefHeading___Toc795529_222507752">
            <w:r>
              <w:rPr>
                <w:webHidden/>
                <w:rStyle w:val="IndexLink"/>
                <w:rtl w:val="true"/>
              </w:rPr>
              <w:t>الثّالث</w:t>
            </w:r>
            <w:r>
              <w:rPr>
                <w:rStyle w:val="IndexLink"/>
                <w:rtl w:val="true"/>
              </w:rPr>
              <w:t>:</w:t>
            </w:r>
            <w:r>
              <w:rPr>
                <w:rStyle w:val="IndexLink"/>
                <w:rtl w:val="true"/>
              </w:rPr>
              <w:t>يمنع الصّبيّ من مسّ كتابه القرآن</w:t>
            </w:r>
            <w:r>
              <w:rPr>
                <w:rStyle w:val="IndexLink"/>
                <w:rtl w:val="true"/>
              </w:rPr>
              <w:tab/>
            </w:r>
            <w:r>
              <w:rPr>
                <w:rStyle w:val="IndexLink"/>
              </w:rPr>
              <w:t>169</w:t>
            </w:r>
          </w:hyperlink>
        </w:p>
        <w:p>
          <w:pPr>
            <w:pStyle w:val="Contents6"/>
            <w:tabs>
              <w:tab w:val="clear" w:pos="7609"/>
              <w:tab w:val="right" w:pos="9026" w:leader="dot"/>
            </w:tabs>
            <w:rPr/>
          </w:pPr>
          <w:hyperlink w:anchor="__RefHeading___Toc795531_222507752">
            <w:r>
              <w:rPr>
                <w:webHidden/>
                <w:rStyle w:val="IndexLink"/>
                <w:rtl w:val="true"/>
              </w:rPr>
              <w:t>الرّابع</w:t>
            </w:r>
            <w:r>
              <w:rPr>
                <w:rStyle w:val="IndexLink"/>
                <w:rtl w:val="true"/>
              </w:rPr>
              <w:t>:</w:t>
            </w:r>
            <w:r>
              <w:rPr>
                <w:rStyle w:val="IndexLink"/>
                <w:rtl w:val="true"/>
              </w:rPr>
              <w:t>لو حمله بحائل لا يتبعه في البيع جاز</w:t>
            </w:r>
            <w:r>
              <w:rPr>
                <w:rStyle w:val="IndexLink"/>
                <w:rtl w:val="true"/>
              </w:rPr>
              <w:tab/>
            </w:r>
            <w:r>
              <w:rPr>
                <w:rStyle w:val="IndexLink"/>
              </w:rPr>
              <w:t>169</w:t>
            </w:r>
          </w:hyperlink>
        </w:p>
        <w:p>
          <w:pPr>
            <w:pStyle w:val="Contents6"/>
            <w:tabs>
              <w:tab w:val="clear" w:pos="7609"/>
              <w:tab w:val="right" w:pos="9026" w:leader="dot"/>
            </w:tabs>
            <w:rPr/>
          </w:pPr>
          <w:hyperlink w:anchor="__RefHeading___Toc795533_222507752">
            <w:r>
              <w:rPr>
                <w:webHidden/>
                <w:rStyle w:val="IndexLink"/>
                <w:rtl w:val="true"/>
              </w:rPr>
              <w:t>الخامس</w:t>
            </w:r>
            <w:r>
              <w:rPr>
                <w:rStyle w:val="IndexLink"/>
                <w:rtl w:val="true"/>
              </w:rPr>
              <w:t>:</w:t>
            </w:r>
            <w:r>
              <w:rPr>
                <w:rStyle w:val="IndexLink"/>
                <w:rtl w:val="true"/>
              </w:rPr>
              <w:t>قيل</w:t>
            </w:r>
            <w:r>
              <w:rPr>
                <w:rStyle w:val="IndexLink"/>
                <w:rtl w:val="true"/>
              </w:rPr>
              <w:t>:</w:t>
            </w:r>
            <w:r>
              <w:rPr>
                <w:rStyle w:val="IndexLink"/>
                <w:rtl w:val="true"/>
              </w:rPr>
              <w:t>يكره المسافرة بالمصحف إلى أرض العدوّ،</w:t>
            </w:r>
            <w:r>
              <w:rPr>
                <w:rStyle w:val="IndexLink"/>
                <w:rtl w:val="true"/>
              </w:rPr>
              <w:tab/>
            </w:r>
            <w:r>
              <w:rPr>
                <w:rStyle w:val="IndexLink"/>
              </w:rPr>
              <w:t>169</w:t>
            </w:r>
          </w:hyperlink>
        </w:p>
        <w:p>
          <w:pPr>
            <w:pStyle w:val="Contents6"/>
            <w:tabs>
              <w:tab w:val="clear" w:pos="7609"/>
              <w:tab w:val="right" w:pos="9026" w:leader="dot"/>
            </w:tabs>
            <w:rPr/>
          </w:pPr>
          <w:hyperlink w:anchor="__RefHeading___Toc795535_222507752">
            <w:r>
              <w:rPr>
                <w:webHidden/>
                <w:rStyle w:val="IndexLink"/>
                <w:rtl w:val="true"/>
              </w:rPr>
              <w:t>السّادس</w:t>
            </w:r>
            <w:r>
              <w:rPr>
                <w:rStyle w:val="IndexLink"/>
                <w:rtl w:val="true"/>
              </w:rPr>
              <w:t>:</w:t>
            </w:r>
            <w:r>
              <w:rPr>
                <w:rStyle w:val="IndexLink"/>
                <w:rtl w:val="true"/>
              </w:rPr>
              <w:t>يجوز تقليبه بعود و مسّه به،و كتب المصحف بيده</w:t>
            </w:r>
            <w:r>
              <w:rPr>
                <w:rStyle w:val="IndexLink"/>
                <w:rtl w:val="true"/>
              </w:rPr>
              <w:tab/>
            </w:r>
            <w:r>
              <w:rPr>
                <w:rStyle w:val="IndexLink"/>
              </w:rPr>
              <w:t>170</w:t>
            </w:r>
          </w:hyperlink>
        </w:p>
        <w:p>
          <w:pPr>
            <w:pStyle w:val="Contents6"/>
            <w:tabs>
              <w:tab w:val="clear" w:pos="7609"/>
              <w:tab w:val="right" w:pos="9026" w:leader="dot"/>
            </w:tabs>
            <w:rPr/>
          </w:pPr>
          <w:hyperlink w:anchor="__RefHeading___Toc795537_222507752">
            <w:r>
              <w:rPr>
                <w:webHidden/>
                <w:rStyle w:val="IndexLink"/>
                <w:rtl w:val="true"/>
              </w:rPr>
              <w:t>السّابع</w:t>
            </w:r>
            <w:r>
              <w:rPr>
                <w:rStyle w:val="IndexLink"/>
                <w:rtl w:val="true"/>
              </w:rPr>
              <w:t>:</w:t>
            </w:r>
            <w:r>
              <w:rPr>
                <w:rStyle w:val="IndexLink"/>
                <w:rtl w:val="true"/>
              </w:rPr>
              <w:t>لو تصفّحه بكمّه لم يكن به بأس،</w:t>
            </w:r>
            <w:r>
              <w:rPr>
                <w:rStyle w:val="IndexLink"/>
                <w:rtl w:val="true"/>
              </w:rPr>
              <w:tab/>
            </w:r>
            <w:r>
              <w:rPr>
                <w:rStyle w:val="IndexLink"/>
              </w:rPr>
              <w:t>170</w:t>
            </w:r>
          </w:hyperlink>
        </w:p>
        <w:p>
          <w:pPr>
            <w:pStyle w:val="Contents6"/>
            <w:tabs>
              <w:tab w:val="clear" w:pos="7609"/>
              <w:tab w:val="right" w:pos="9026" w:leader="dot"/>
            </w:tabs>
            <w:rPr/>
          </w:pPr>
          <w:hyperlink w:anchor="__RefHeading___Toc795539_222507752">
            <w:r>
              <w:rPr>
                <w:webHidden/>
                <w:rStyle w:val="IndexLink"/>
                <w:rtl w:val="true"/>
              </w:rPr>
              <w:t>الثّامن</w:t>
            </w:r>
            <w:r>
              <w:rPr>
                <w:rStyle w:val="IndexLink"/>
                <w:rtl w:val="true"/>
              </w:rPr>
              <w:t>:</w:t>
            </w:r>
            <w:r>
              <w:rPr>
                <w:rStyle w:val="IndexLink"/>
                <w:rtl w:val="true"/>
              </w:rPr>
              <w:t>يجوز مسّ كتب التّفسير و أحاديث النّبيّ صلّى اللّه عليه و آله و كتب الفقه</w:t>
            </w:r>
            <w:r>
              <w:rPr>
                <w:rStyle w:val="IndexLink"/>
                <w:rtl w:val="true"/>
              </w:rPr>
              <w:tab/>
            </w:r>
            <w:r>
              <w:rPr>
                <w:rStyle w:val="IndexLink"/>
              </w:rPr>
              <w:t>170</w:t>
            </w:r>
          </w:hyperlink>
        </w:p>
        <w:p>
          <w:pPr>
            <w:pStyle w:val="Contents6"/>
            <w:tabs>
              <w:tab w:val="clear" w:pos="7609"/>
              <w:tab w:val="right" w:pos="9026" w:leader="dot"/>
            </w:tabs>
            <w:rPr/>
          </w:pPr>
          <w:hyperlink w:anchor="__RefHeading___Toc795541_222507752">
            <w:r>
              <w:rPr>
                <w:webHidden/>
                <w:rStyle w:val="IndexLink"/>
                <w:rtl w:val="true"/>
              </w:rPr>
              <w:t>التّاسع</w:t>
            </w:r>
            <w:r>
              <w:rPr>
                <w:rStyle w:val="IndexLink"/>
                <w:rtl w:val="true"/>
              </w:rPr>
              <w:t>:</w:t>
            </w:r>
            <w:r>
              <w:rPr>
                <w:rStyle w:val="IndexLink"/>
                <w:rtl w:val="true"/>
              </w:rPr>
              <w:t>الدّراهم المكتوب عليها القرآن يتناولها المنع من المسّ،</w:t>
            </w:r>
            <w:r>
              <w:rPr>
                <w:rStyle w:val="IndexLink"/>
                <w:rtl w:val="true"/>
              </w:rPr>
              <w:tab/>
            </w:r>
            <w:r>
              <w:rPr>
                <w:rStyle w:val="IndexLink"/>
              </w:rPr>
              <w:t>170</w:t>
            </w:r>
          </w:hyperlink>
        </w:p>
        <w:p>
          <w:pPr>
            <w:pStyle w:val="Contents6"/>
            <w:tabs>
              <w:tab w:val="clear" w:pos="7609"/>
              <w:tab w:val="right" w:pos="9026" w:leader="dot"/>
            </w:tabs>
            <w:rPr/>
          </w:pPr>
          <w:hyperlink w:anchor="__RefHeading___Toc795543_222507752">
            <w:r>
              <w:rPr>
                <w:webHidden/>
                <w:rStyle w:val="IndexLink"/>
                <w:rtl w:val="true"/>
              </w:rPr>
              <w:t>العاشر</w:t>
            </w:r>
            <w:r>
              <w:rPr>
                <w:rStyle w:val="IndexLink"/>
                <w:rtl w:val="true"/>
              </w:rPr>
              <w:t>:</w:t>
            </w:r>
            <w:r>
              <w:rPr>
                <w:rStyle w:val="IndexLink"/>
                <w:rtl w:val="true"/>
              </w:rPr>
              <w:t>لو غسل المحدث بعض أعضائه لم يخرج عن المنع،</w:t>
            </w:r>
            <w:r>
              <w:rPr>
                <w:rStyle w:val="IndexLink"/>
                <w:rtl w:val="true"/>
              </w:rPr>
              <w:tab/>
            </w:r>
            <w:r>
              <w:rPr>
                <w:rStyle w:val="IndexLink"/>
              </w:rPr>
              <w:t>171</w:t>
            </w:r>
          </w:hyperlink>
        </w:p>
        <w:p>
          <w:pPr>
            <w:pStyle w:val="Contents6"/>
            <w:tabs>
              <w:tab w:val="clear" w:pos="7609"/>
              <w:tab w:val="right" w:pos="9026" w:leader="dot"/>
            </w:tabs>
            <w:rPr/>
          </w:pPr>
          <w:hyperlink w:anchor="__RefHeading___Toc795545_222507752">
            <w:r>
              <w:rPr>
                <w:webHidden/>
                <w:rStyle w:val="IndexLink"/>
                <w:rtl w:val="true"/>
              </w:rPr>
              <w:t>الحادي عشر</w:t>
            </w:r>
            <w:r>
              <w:rPr>
                <w:rStyle w:val="IndexLink"/>
                <w:rtl w:val="true"/>
              </w:rPr>
              <w:t>:</w:t>
            </w:r>
            <w:r>
              <w:rPr>
                <w:rStyle w:val="IndexLink"/>
                <w:rtl w:val="true"/>
              </w:rPr>
              <w:t>لا يحرم مسّ كتابة التّوراة و الإنجيل على الجنب و المحدث</w:t>
            </w:r>
            <w:r>
              <w:rPr>
                <w:rStyle w:val="IndexLink"/>
                <w:rtl w:val="true"/>
              </w:rPr>
              <w:t>.</w:t>
              <w:tab/>
            </w:r>
            <w:r>
              <w:rPr>
                <w:rStyle w:val="IndexLink"/>
              </w:rPr>
              <w:t>171</w:t>
            </w:r>
          </w:hyperlink>
        </w:p>
        <w:p>
          <w:pPr>
            <w:pStyle w:val="Contents6"/>
            <w:tabs>
              <w:tab w:val="clear" w:pos="7609"/>
              <w:tab w:val="right" w:pos="9026" w:leader="dot"/>
            </w:tabs>
            <w:rPr/>
          </w:pPr>
          <w:hyperlink w:anchor="__RefHeading___Toc795547_222507752">
            <w:r>
              <w:rPr>
                <w:webHidden/>
                <w:rStyle w:val="IndexLink"/>
                <w:rtl w:val="true"/>
              </w:rPr>
              <w:t>الثّاني عشر</w:t>
            </w:r>
            <w:r>
              <w:rPr>
                <w:rStyle w:val="IndexLink"/>
                <w:rtl w:val="true"/>
              </w:rPr>
              <w:t>:</w:t>
            </w:r>
            <w:r>
              <w:rPr>
                <w:rStyle w:val="IndexLink"/>
                <w:rtl w:val="true"/>
              </w:rPr>
              <w:t>المنسوخ حكمه خاصّة يحرم مسّه،</w:t>
            </w:r>
            <w:r>
              <w:rPr>
                <w:rStyle w:val="IndexLink"/>
                <w:rtl w:val="true"/>
              </w:rPr>
              <w:tab/>
            </w:r>
            <w:r>
              <w:rPr>
                <w:rStyle w:val="IndexLink"/>
              </w:rPr>
              <w:t>171</w:t>
            </w:r>
          </w:hyperlink>
        </w:p>
        <w:p>
          <w:pPr>
            <w:pStyle w:val="Contents5"/>
            <w:tabs>
              <w:tab w:val="clear" w:pos="7892"/>
              <w:tab w:val="right" w:pos="9026" w:leader="dot"/>
            </w:tabs>
            <w:rPr/>
          </w:pPr>
          <w:hyperlink w:anchor="__RefHeading___Toc795549_222507752">
            <w:r>
              <w:rPr>
                <w:webHidden/>
                <w:rStyle w:val="IndexLink"/>
                <w:rtl w:val="true"/>
              </w:rPr>
              <w:t>مسألة</w:t>
            </w:r>
            <w:r>
              <w:rPr>
                <w:rStyle w:val="IndexLink"/>
                <w:rtl w:val="true"/>
              </w:rPr>
              <w:t>:</w:t>
            </w:r>
            <w:r>
              <w:rPr>
                <w:rStyle w:val="IndexLink"/>
                <w:rtl w:val="true"/>
              </w:rPr>
              <w:t>يستحبّ الوضوء في أماكن</w:t>
            </w:r>
            <w:r>
              <w:rPr>
                <w:rStyle w:val="IndexLink"/>
                <w:rtl w:val="true"/>
              </w:rPr>
              <w:t>:</w:t>
              <w:tab/>
            </w:r>
            <w:r>
              <w:rPr>
                <w:rStyle w:val="IndexLink"/>
              </w:rPr>
              <w:t>171</w:t>
            </w:r>
          </w:hyperlink>
        </w:p>
        <w:p>
          <w:pPr>
            <w:pStyle w:val="Contents3"/>
            <w:tabs>
              <w:tab w:val="clear" w:pos="8459"/>
              <w:tab w:val="right" w:pos="9026" w:leader="dot"/>
            </w:tabs>
            <w:rPr/>
          </w:pPr>
          <w:hyperlink w:anchor="__RefHeading___Toc795551_222507752">
            <w:r>
              <w:rPr>
                <w:webHidden/>
                <w:rStyle w:val="IndexLink"/>
                <w:rtl w:val="true"/>
              </w:rPr>
              <w:t>المقصد الثالث</w:t>
            </w:r>
            <w:r>
              <w:rPr>
                <w:rStyle w:val="IndexLink"/>
                <w:rtl w:val="true"/>
              </w:rPr>
              <w:t xml:space="preserve">: </w:t>
            </w:r>
            <w:r>
              <w:rPr>
                <w:rStyle w:val="IndexLink"/>
                <w:rtl w:val="true"/>
              </w:rPr>
              <w:t>في الغسل و النّظر في أنواعه و احكام أنواعه</w:t>
            </w:r>
            <w:r>
              <w:rPr>
                <w:rStyle w:val="IndexLink"/>
                <w:rtl w:val="true"/>
              </w:rPr>
              <w:tab/>
            </w:r>
            <w:r>
              <w:rPr>
                <w:rStyle w:val="IndexLink"/>
              </w:rPr>
              <w:t>178</w:t>
            </w:r>
          </w:hyperlink>
        </w:p>
        <w:p>
          <w:pPr>
            <w:pStyle w:val="Contents4"/>
            <w:tabs>
              <w:tab w:val="clear" w:pos="8176"/>
              <w:tab w:val="right" w:pos="9026" w:leader="dot"/>
            </w:tabs>
            <w:rPr/>
          </w:pPr>
          <w:hyperlink w:anchor="__RefHeading___Toc795553_222507752">
            <w:r>
              <w:rPr>
                <w:webHidden/>
                <w:rStyle w:val="IndexLink"/>
                <w:rtl w:val="true"/>
              </w:rPr>
              <w:t>اشارة</w:t>
            </w:r>
            <w:r>
              <w:rPr>
                <w:rStyle w:val="IndexLink"/>
                <w:rtl w:val="true"/>
              </w:rPr>
              <w:tab/>
            </w:r>
            <w:r>
              <w:rPr>
                <w:rStyle w:val="IndexLink"/>
              </w:rPr>
              <w:t>178</w:t>
            </w:r>
          </w:hyperlink>
        </w:p>
        <w:p>
          <w:pPr>
            <w:pStyle w:val="Contents4"/>
            <w:tabs>
              <w:tab w:val="clear" w:pos="8176"/>
              <w:tab w:val="right" w:pos="9026" w:leader="dot"/>
            </w:tabs>
            <w:rPr/>
          </w:pPr>
          <w:hyperlink w:anchor="__RefHeading___Toc795555_222507752">
            <w:r>
              <w:rPr>
                <w:webHidden/>
                <w:rStyle w:val="IndexLink"/>
                <w:rtl w:val="true"/>
              </w:rPr>
              <w:t>الأوّل</w:t>
            </w:r>
            <w:r>
              <w:rPr>
                <w:rStyle w:val="IndexLink"/>
                <w:rtl w:val="true"/>
              </w:rPr>
              <w:t>:</w:t>
            </w:r>
            <w:r>
              <w:rPr>
                <w:rStyle w:val="IndexLink"/>
                <w:rtl w:val="true"/>
              </w:rPr>
              <w:t>في الجنابة،</w:t>
            </w:r>
            <w:r>
              <w:rPr>
                <w:rStyle w:val="IndexLink"/>
                <w:rtl w:val="true"/>
              </w:rPr>
              <w:tab/>
            </w:r>
            <w:r>
              <w:rPr>
                <w:rStyle w:val="IndexLink"/>
              </w:rPr>
              <w:t>180</w:t>
            </w:r>
          </w:hyperlink>
        </w:p>
        <w:p>
          <w:pPr>
            <w:pStyle w:val="Contents5"/>
            <w:tabs>
              <w:tab w:val="clear" w:pos="7892"/>
              <w:tab w:val="right" w:pos="9026" w:leader="dot"/>
            </w:tabs>
            <w:rPr/>
          </w:pPr>
          <w:hyperlink w:anchor="__RefHeading___Toc795557_222507752">
            <w:r>
              <w:rPr>
                <w:webHidden/>
                <w:rStyle w:val="IndexLink"/>
                <w:rtl w:val="true"/>
              </w:rPr>
              <w:t>اشارة</w:t>
            </w:r>
            <w:r>
              <w:rPr>
                <w:rStyle w:val="IndexLink"/>
                <w:rtl w:val="true"/>
              </w:rPr>
              <w:tab/>
            </w:r>
            <w:r>
              <w:rPr>
                <w:rStyle w:val="IndexLink"/>
              </w:rPr>
              <w:t>180</w:t>
            </w:r>
          </w:hyperlink>
        </w:p>
        <w:p>
          <w:pPr>
            <w:pStyle w:val="Contents5"/>
            <w:tabs>
              <w:tab w:val="clear" w:pos="7892"/>
              <w:tab w:val="right" w:pos="9026" w:leader="dot"/>
            </w:tabs>
            <w:rPr/>
          </w:pPr>
          <w:hyperlink w:anchor="__RefHeading___Toc795559_222507752">
            <w:r>
              <w:rPr>
                <w:webHidden/>
                <w:rStyle w:val="IndexLink"/>
                <w:rtl w:val="true"/>
              </w:rPr>
              <w:t>البحث الأوّل</w:t>
            </w:r>
            <w:r>
              <w:rPr>
                <w:rStyle w:val="IndexLink"/>
                <w:rtl w:val="true"/>
              </w:rPr>
              <w:t>:</w:t>
            </w:r>
            <w:r>
              <w:rPr>
                <w:rStyle w:val="IndexLink"/>
                <w:rtl w:val="true"/>
              </w:rPr>
              <w:t>في الموجب</w:t>
            </w:r>
            <w:r>
              <w:rPr>
                <w:rStyle w:val="IndexLink"/>
                <w:rtl w:val="true"/>
              </w:rPr>
              <w:t>:</w:t>
              <w:tab/>
            </w:r>
            <w:r>
              <w:rPr>
                <w:rStyle w:val="IndexLink"/>
              </w:rPr>
              <w:t>180</w:t>
            </w:r>
          </w:hyperlink>
        </w:p>
        <w:p>
          <w:pPr>
            <w:pStyle w:val="Contents6"/>
            <w:tabs>
              <w:tab w:val="clear" w:pos="7609"/>
              <w:tab w:val="right" w:pos="9026" w:leader="dot"/>
            </w:tabs>
            <w:rPr/>
          </w:pPr>
          <w:hyperlink w:anchor="__RefHeading___Toc795561_222507752">
            <w:r>
              <w:rPr>
                <w:webHidden/>
                <w:rStyle w:val="IndexLink"/>
                <w:rtl w:val="true"/>
              </w:rPr>
              <w:t>اشارة</w:t>
            </w:r>
            <w:r>
              <w:rPr>
                <w:rStyle w:val="IndexLink"/>
                <w:rtl w:val="true"/>
              </w:rPr>
              <w:tab/>
            </w:r>
            <w:r>
              <w:rPr>
                <w:rStyle w:val="IndexLink"/>
              </w:rPr>
              <w:t>180</w:t>
            </w:r>
          </w:hyperlink>
        </w:p>
        <w:p>
          <w:pPr>
            <w:pStyle w:val="Contents6"/>
            <w:tabs>
              <w:tab w:val="clear" w:pos="7609"/>
              <w:tab w:val="right" w:pos="9026" w:leader="dot"/>
            </w:tabs>
            <w:rPr/>
          </w:pPr>
          <w:hyperlink w:anchor="__RefHeading___Toc795563_222507752">
            <w:r>
              <w:rPr>
                <w:webHidden/>
                <w:rStyle w:val="IndexLink"/>
                <w:rtl w:val="true"/>
              </w:rPr>
              <w:t>فروع</w:t>
            </w:r>
            <w:r>
              <w:rPr>
                <w:rStyle w:val="IndexLink"/>
                <w:rtl w:val="true"/>
              </w:rPr>
              <w:t>:</w:t>
              <w:tab/>
            </w:r>
            <w:r>
              <w:rPr>
                <w:rStyle w:val="IndexLink"/>
              </w:rPr>
              <w:t>185</w:t>
            </w:r>
          </w:hyperlink>
        </w:p>
        <w:p>
          <w:pPr>
            <w:pStyle w:val="Contents6"/>
            <w:tabs>
              <w:tab w:val="clear" w:pos="7609"/>
              <w:tab w:val="right" w:pos="9026" w:leader="dot"/>
            </w:tabs>
            <w:rPr/>
          </w:pPr>
          <w:hyperlink w:anchor="__RefHeading___Toc795565_222507752">
            <w:r>
              <w:rPr>
                <w:webHidden/>
                <w:rStyle w:val="IndexLink"/>
                <w:rtl w:val="true"/>
              </w:rPr>
              <w:t>الأوّل</w:t>
            </w:r>
            <w:r>
              <w:rPr>
                <w:rStyle w:val="IndexLink"/>
                <w:rtl w:val="true"/>
              </w:rPr>
              <w:t>:</w:t>
            </w:r>
            <w:r>
              <w:rPr>
                <w:rStyle w:val="IndexLink"/>
                <w:rtl w:val="true"/>
              </w:rPr>
              <w:t>قال علماؤنا</w:t>
            </w:r>
            <w:r>
              <w:rPr>
                <w:rStyle w:val="IndexLink"/>
                <w:rtl w:val="true"/>
              </w:rPr>
              <w:t>:</w:t>
            </w:r>
            <w:r>
              <w:rPr>
                <w:rStyle w:val="IndexLink"/>
                <w:rtl w:val="true"/>
              </w:rPr>
              <w:t>خروج المنيّ مطلقا موجب للغسل</w:t>
            </w:r>
            <w:r>
              <w:rPr>
                <w:rStyle w:val="IndexLink"/>
                <w:rtl w:val="true"/>
              </w:rPr>
              <w:tab/>
            </w:r>
            <w:r>
              <w:rPr>
                <w:rStyle w:val="IndexLink"/>
              </w:rPr>
              <w:t>185</w:t>
            </w:r>
          </w:hyperlink>
        </w:p>
        <w:p>
          <w:pPr>
            <w:pStyle w:val="Contents6"/>
            <w:tabs>
              <w:tab w:val="clear" w:pos="7609"/>
              <w:tab w:val="right" w:pos="9026" w:leader="dot"/>
            </w:tabs>
            <w:rPr/>
          </w:pPr>
          <w:hyperlink w:anchor="__RefHeading___Toc795567_222507752">
            <w:r>
              <w:rPr>
                <w:webHidden/>
                <w:rStyle w:val="IndexLink"/>
                <w:rtl w:val="true"/>
              </w:rPr>
              <w:t>الفرع الثّاني</w:t>
            </w:r>
            <w:r>
              <w:rPr>
                <w:rStyle w:val="IndexLink"/>
                <w:rtl w:val="true"/>
              </w:rPr>
              <w:t>:</w:t>
            </w:r>
            <w:r>
              <w:rPr>
                <w:rStyle w:val="IndexLink"/>
                <w:rtl w:val="true"/>
              </w:rPr>
              <w:t>إذا تيقّن انّ الخارج منيّ وجب الغسل،</w:t>
            </w:r>
            <w:r>
              <w:rPr>
                <w:rStyle w:val="IndexLink"/>
                <w:rtl w:val="true"/>
              </w:rPr>
              <w:tab/>
            </w:r>
            <w:r>
              <w:rPr>
                <w:rStyle w:val="IndexLink"/>
              </w:rPr>
              <w:t>188</w:t>
            </w:r>
          </w:hyperlink>
        </w:p>
        <w:p>
          <w:pPr>
            <w:pStyle w:val="Contents6"/>
            <w:tabs>
              <w:tab w:val="clear" w:pos="7609"/>
              <w:tab w:val="right" w:pos="9026" w:leader="dot"/>
            </w:tabs>
            <w:rPr/>
          </w:pPr>
          <w:hyperlink w:anchor="__RefHeading___Toc795569_222507752">
            <w:r>
              <w:rPr>
                <w:webHidden/>
                <w:rStyle w:val="IndexLink"/>
                <w:rtl w:val="true"/>
              </w:rPr>
              <w:t>الثّالث</w:t>
            </w:r>
            <w:r>
              <w:rPr>
                <w:rStyle w:val="IndexLink"/>
                <w:rtl w:val="true"/>
              </w:rPr>
              <w:t>:</w:t>
            </w:r>
            <w:r>
              <w:rPr>
                <w:rStyle w:val="IndexLink"/>
                <w:rtl w:val="true"/>
              </w:rPr>
              <w:t>لو أحسّ بانتقال المنيّ عند الشّهوة،فأمسك ذكره فلم يخرج فلا غسل</w:t>
            </w:r>
            <w:r>
              <w:rPr>
                <w:rStyle w:val="IndexLink"/>
                <w:rtl w:val="true"/>
              </w:rPr>
              <w:t>.</w:t>
              <w:tab/>
            </w:r>
            <w:r>
              <w:rPr>
                <w:rStyle w:val="IndexLink"/>
              </w:rPr>
              <w:t>189</w:t>
            </w:r>
          </w:hyperlink>
        </w:p>
        <w:p>
          <w:pPr>
            <w:pStyle w:val="Contents6"/>
            <w:tabs>
              <w:tab w:val="clear" w:pos="7609"/>
              <w:tab w:val="right" w:pos="9026" w:leader="dot"/>
            </w:tabs>
            <w:rPr/>
          </w:pPr>
          <w:hyperlink w:anchor="__RefHeading___Toc795571_222507752">
            <w:r>
              <w:rPr>
                <w:webHidden/>
                <w:rStyle w:val="IndexLink"/>
                <w:rtl w:val="true"/>
              </w:rPr>
              <w:t>الرّابع</w:t>
            </w:r>
            <w:r>
              <w:rPr>
                <w:rStyle w:val="IndexLink"/>
                <w:rtl w:val="true"/>
              </w:rPr>
              <w:t>:</w:t>
            </w:r>
            <w:r>
              <w:rPr>
                <w:rStyle w:val="IndexLink"/>
                <w:rtl w:val="true"/>
              </w:rPr>
              <w:t>لو خرج المنيّ بعد الانتقال و الإمساك لزمه الغسل</w:t>
            </w:r>
            <w:r>
              <w:rPr>
                <w:rStyle w:val="IndexLink"/>
                <w:rtl w:val="true"/>
              </w:rPr>
              <w:tab/>
            </w:r>
            <w:r>
              <w:rPr>
                <w:rStyle w:val="IndexLink"/>
              </w:rPr>
              <w:t>190</w:t>
            </w:r>
          </w:hyperlink>
        </w:p>
        <w:p>
          <w:pPr>
            <w:pStyle w:val="Contents6"/>
            <w:tabs>
              <w:tab w:val="clear" w:pos="7609"/>
              <w:tab w:val="right" w:pos="9026" w:leader="dot"/>
            </w:tabs>
            <w:rPr/>
          </w:pPr>
          <w:hyperlink w:anchor="__RefHeading___Toc795573_222507752">
            <w:r>
              <w:rPr>
                <w:webHidden/>
                <w:rStyle w:val="IndexLink"/>
                <w:rtl w:val="true"/>
              </w:rPr>
              <w:t>الخامس</w:t>
            </w:r>
            <w:r>
              <w:rPr>
                <w:rStyle w:val="IndexLink"/>
                <w:rtl w:val="true"/>
              </w:rPr>
              <w:t>:</w:t>
            </w:r>
            <w:r>
              <w:rPr>
                <w:rStyle w:val="IndexLink"/>
                <w:rtl w:val="true"/>
              </w:rPr>
              <w:t>لو رأى انّه قد احتلم فاستيقظ فلم يجد منيّا لم يجب عليه الغسل</w:t>
            </w:r>
            <w:r>
              <w:rPr>
                <w:rStyle w:val="IndexLink"/>
                <w:rtl w:val="true"/>
              </w:rPr>
              <w:t>.</w:t>
              <w:tab/>
            </w:r>
            <w:r>
              <w:rPr>
                <w:rStyle w:val="IndexLink"/>
              </w:rPr>
              <w:t>191</w:t>
            </w:r>
          </w:hyperlink>
        </w:p>
        <w:p>
          <w:pPr>
            <w:pStyle w:val="Contents6"/>
            <w:tabs>
              <w:tab w:val="clear" w:pos="7609"/>
              <w:tab w:val="right" w:pos="9026" w:leader="dot"/>
            </w:tabs>
            <w:rPr/>
          </w:pPr>
          <w:hyperlink w:anchor="__RefHeading___Toc795575_222507752">
            <w:r>
              <w:rPr>
                <w:webHidden/>
                <w:rStyle w:val="IndexLink"/>
                <w:rtl w:val="true"/>
              </w:rPr>
              <w:t>السّادس</w:t>
            </w:r>
            <w:r>
              <w:rPr>
                <w:rStyle w:val="IndexLink"/>
                <w:rtl w:val="true"/>
              </w:rPr>
              <w:t>:</w:t>
            </w:r>
            <w:r>
              <w:rPr>
                <w:rStyle w:val="IndexLink"/>
                <w:rtl w:val="true"/>
              </w:rPr>
              <w:t>لو استيقظ الرّائي فوجد المنيّ وجب الغسل</w:t>
            </w:r>
            <w:r>
              <w:rPr>
                <w:rStyle w:val="IndexLink"/>
                <w:rtl w:val="true"/>
              </w:rPr>
              <w:tab/>
            </w:r>
            <w:r>
              <w:rPr>
                <w:rStyle w:val="IndexLink"/>
              </w:rPr>
              <w:t>192</w:t>
            </w:r>
          </w:hyperlink>
        </w:p>
        <w:p>
          <w:pPr>
            <w:pStyle w:val="Contents6"/>
            <w:tabs>
              <w:tab w:val="clear" w:pos="7609"/>
              <w:tab w:val="right" w:pos="9026" w:leader="dot"/>
            </w:tabs>
            <w:rPr/>
          </w:pPr>
          <w:hyperlink w:anchor="__RefHeading___Toc795577_222507752">
            <w:r>
              <w:rPr>
                <w:webHidden/>
                <w:rStyle w:val="IndexLink"/>
                <w:rtl w:val="true"/>
              </w:rPr>
              <w:t>السّابع</w:t>
            </w:r>
            <w:r>
              <w:rPr>
                <w:rStyle w:val="IndexLink"/>
                <w:rtl w:val="true"/>
              </w:rPr>
              <w:t>:</w:t>
            </w:r>
            <w:r>
              <w:rPr>
                <w:rStyle w:val="IndexLink"/>
                <w:rtl w:val="true"/>
              </w:rPr>
              <w:t>لو استيقظ فرأى مذيا لم يجب عليه الغسل</w:t>
            </w:r>
            <w:r>
              <w:rPr>
                <w:rStyle w:val="IndexLink"/>
                <w:rtl w:val="true"/>
              </w:rPr>
              <w:tab/>
            </w:r>
            <w:r>
              <w:rPr>
                <w:rStyle w:val="IndexLink"/>
              </w:rPr>
              <w:t>192</w:t>
            </w:r>
          </w:hyperlink>
        </w:p>
        <w:p>
          <w:pPr>
            <w:pStyle w:val="Contents6"/>
            <w:tabs>
              <w:tab w:val="clear" w:pos="7609"/>
              <w:tab w:val="right" w:pos="9026" w:leader="dot"/>
            </w:tabs>
            <w:rPr/>
          </w:pPr>
          <w:hyperlink w:anchor="__RefHeading___Toc795579_222507752">
            <w:r>
              <w:rPr>
                <w:webHidden/>
                <w:rStyle w:val="IndexLink"/>
                <w:rtl w:val="true"/>
              </w:rPr>
              <w:t>الثّامن</w:t>
            </w:r>
            <w:r>
              <w:rPr>
                <w:rStyle w:val="IndexLink"/>
                <w:rtl w:val="true"/>
              </w:rPr>
              <w:t>:</w:t>
            </w:r>
            <w:r>
              <w:rPr>
                <w:rStyle w:val="IndexLink"/>
                <w:rtl w:val="true"/>
              </w:rPr>
              <w:t>لو وجد بللا لا يتحقّق انّه منيّ لم يجب عليه شيء،</w:t>
            </w:r>
            <w:r>
              <w:rPr>
                <w:rStyle w:val="IndexLink"/>
                <w:rtl w:val="true"/>
              </w:rPr>
              <w:tab/>
            </w:r>
            <w:r>
              <w:rPr>
                <w:rStyle w:val="IndexLink"/>
              </w:rPr>
              <w:t>192</w:t>
            </w:r>
          </w:hyperlink>
        </w:p>
        <w:p>
          <w:pPr>
            <w:pStyle w:val="Contents6"/>
            <w:tabs>
              <w:tab w:val="clear" w:pos="7609"/>
              <w:tab w:val="right" w:pos="9026" w:leader="dot"/>
            </w:tabs>
            <w:rPr/>
          </w:pPr>
          <w:hyperlink w:anchor="__RefHeading___Toc795581_222507752">
            <w:r>
              <w:rPr>
                <w:webHidden/>
                <w:rStyle w:val="IndexLink"/>
                <w:rtl w:val="true"/>
              </w:rPr>
              <w:t>التّاسع</w:t>
            </w:r>
            <w:r>
              <w:rPr>
                <w:rStyle w:val="IndexLink"/>
                <w:rtl w:val="true"/>
              </w:rPr>
              <w:t>:</w:t>
            </w:r>
            <w:r>
              <w:rPr>
                <w:rStyle w:val="IndexLink"/>
                <w:rtl w:val="true"/>
              </w:rPr>
              <w:t>الحكم إنّما يتعلّق بالبالغ أو ممّن قاربه،</w:t>
            </w:r>
            <w:r>
              <w:rPr>
                <w:rStyle w:val="IndexLink"/>
                <w:rtl w:val="true"/>
              </w:rPr>
              <w:tab/>
            </w:r>
            <w:r>
              <w:rPr>
                <w:rStyle w:val="IndexLink"/>
              </w:rPr>
              <w:t>193</w:t>
            </w:r>
          </w:hyperlink>
        </w:p>
        <w:p>
          <w:pPr>
            <w:pStyle w:val="Contents6"/>
            <w:tabs>
              <w:tab w:val="clear" w:pos="7609"/>
              <w:tab w:val="right" w:pos="9026" w:leader="dot"/>
            </w:tabs>
            <w:rPr/>
          </w:pPr>
          <w:hyperlink w:anchor="__RefHeading___Toc795583_222507752">
            <w:r>
              <w:rPr>
                <w:webHidden/>
                <w:rStyle w:val="IndexLink"/>
                <w:rtl w:val="true"/>
              </w:rPr>
              <w:t>العاشر</w:t>
            </w:r>
            <w:r>
              <w:rPr>
                <w:rStyle w:val="IndexLink"/>
                <w:rtl w:val="true"/>
              </w:rPr>
              <w:t>:</w:t>
            </w:r>
            <w:r>
              <w:rPr>
                <w:rStyle w:val="IndexLink"/>
                <w:rtl w:val="true"/>
              </w:rPr>
              <w:t>لو احتلم فاستيقظ فلم ير شيئا لكن خرج بعد استيقاظه،</w:t>
            </w:r>
            <w:r>
              <w:rPr>
                <w:rStyle w:val="IndexLink"/>
                <w:rtl w:val="true"/>
              </w:rPr>
              <w:tab/>
            </w:r>
            <w:r>
              <w:rPr>
                <w:rStyle w:val="IndexLink"/>
              </w:rPr>
              <w:t>193</w:t>
            </w:r>
          </w:hyperlink>
        </w:p>
        <w:p>
          <w:pPr>
            <w:pStyle w:val="Contents6"/>
            <w:tabs>
              <w:tab w:val="clear" w:pos="7609"/>
              <w:tab w:val="right" w:pos="9026" w:leader="dot"/>
            </w:tabs>
            <w:rPr/>
          </w:pPr>
          <w:hyperlink w:anchor="__RefHeading___Toc795585_222507752">
            <w:r>
              <w:rPr>
                <w:webHidden/>
                <w:rStyle w:val="IndexLink"/>
                <w:rtl w:val="true"/>
              </w:rPr>
              <w:t>الحادي عشر</w:t>
            </w:r>
            <w:r>
              <w:rPr>
                <w:rStyle w:val="IndexLink"/>
                <w:rtl w:val="true"/>
              </w:rPr>
              <w:t>:</w:t>
            </w:r>
            <w:r>
              <w:rPr>
                <w:rStyle w:val="IndexLink"/>
                <w:rtl w:val="true"/>
              </w:rPr>
              <w:t>لو رأى منيّا في ثوبه فإن اختصّ به وجب عليه الغسل</w:t>
            </w:r>
            <w:r>
              <w:rPr>
                <w:rStyle w:val="IndexLink"/>
                <w:rtl w:val="true"/>
              </w:rPr>
              <w:tab/>
            </w:r>
            <w:r>
              <w:rPr>
                <w:rStyle w:val="IndexLink"/>
              </w:rPr>
              <w:t>193</w:t>
            </w:r>
          </w:hyperlink>
        </w:p>
        <w:p>
          <w:pPr>
            <w:pStyle w:val="Contents6"/>
            <w:tabs>
              <w:tab w:val="clear" w:pos="7609"/>
              <w:tab w:val="right" w:pos="9026" w:leader="dot"/>
            </w:tabs>
            <w:rPr/>
          </w:pPr>
          <w:hyperlink w:anchor="__RefHeading___Toc795587_222507752">
            <w:r>
              <w:rPr>
                <w:webHidden/>
                <w:rStyle w:val="IndexLink"/>
                <w:rtl w:val="true"/>
              </w:rPr>
              <w:t>الثّاني عشر</w:t>
            </w:r>
            <w:r>
              <w:rPr>
                <w:rStyle w:val="IndexLink"/>
                <w:rtl w:val="true"/>
              </w:rPr>
              <w:t>:</w:t>
            </w:r>
            <w:r>
              <w:rPr>
                <w:rStyle w:val="IndexLink"/>
                <w:rtl w:val="true"/>
              </w:rPr>
              <w:t>قال الشّيخ في المبسوط</w:t>
            </w:r>
            <w:r>
              <w:rPr>
                <w:rStyle w:val="IndexLink"/>
                <w:rtl w:val="true"/>
              </w:rPr>
              <w:t>:</w:t>
            </w:r>
            <w:r>
              <w:rPr>
                <w:rStyle w:val="IndexLink"/>
                <w:rtl w:val="true"/>
              </w:rPr>
              <w:t>يعيد المنفرد بالثّوب كلّ صلاة من عند آخر</w:t>
            </w:r>
            <w:r>
              <w:rPr>
                <w:rStyle w:val="IndexLink"/>
                <w:rtl w:val="true"/>
              </w:rPr>
              <w:tab/>
            </w:r>
            <w:r>
              <w:rPr>
                <w:rStyle w:val="IndexLink"/>
              </w:rPr>
              <w:t>194</w:t>
            </w:r>
          </w:hyperlink>
        </w:p>
        <w:p>
          <w:pPr>
            <w:pStyle w:val="Contents6"/>
            <w:tabs>
              <w:tab w:val="clear" w:pos="7609"/>
              <w:tab w:val="right" w:pos="9026" w:leader="dot"/>
            </w:tabs>
            <w:rPr/>
          </w:pPr>
          <w:hyperlink w:anchor="__RefHeading___Toc795589_222507752">
            <w:r>
              <w:rPr>
                <w:webHidden/>
                <w:rStyle w:val="IndexLink"/>
                <w:rtl w:val="true"/>
              </w:rPr>
              <w:t>الثّالث عشر</w:t>
            </w:r>
            <w:r>
              <w:rPr>
                <w:rStyle w:val="IndexLink"/>
                <w:rtl w:val="true"/>
              </w:rPr>
              <w:t>:</w:t>
            </w:r>
            <w:r>
              <w:rPr>
                <w:rStyle w:val="IndexLink"/>
                <w:rtl w:val="true"/>
              </w:rPr>
              <w:t>هل يجوز لواجد المنيّ في الثّوب المشترك الائتمام بصاحبه</w:t>
            </w:r>
            <w:r>
              <w:rPr>
                <w:rStyle w:val="IndexLink"/>
                <w:rtl w:val="true"/>
              </w:rPr>
              <w:tab/>
            </w:r>
            <w:r>
              <w:rPr>
                <w:rStyle w:val="IndexLink"/>
              </w:rPr>
              <w:t>194</w:t>
            </w:r>
          </w:hyperlink>
        </w:p>
        <w:p>
          <w:pPr>
            <w:pStyle w:val="Contents6"/>
            <w:tabs>
              <w:tab w:val="clear" w:pos="7609"/>
              <w:tab w:val="right" w:pos="9026" w:leader="dot"/>
            </w:tabs>
            <w:rPr/>
          </w:pPr>
          <w:hyperlink w:anchor="__RefHeading___Toc795591_222507752">
            <w:r>
              <w:rPr>
                <w:webHidden/>
                <w:rStyle w:val="IndexLink"/>
                <w:rtl w:val="true"/>
              </w:rPr>
              <w:t>الرّابع عشر</w:t>
            </w:r>
            <w:r>
              <w:rPr>
                <w:rStyle w:val="IndexLink"/>
                <w:rtl w:val="true"/>
              </w:rPr>
              <w:t>:</w:t>
            </w:r>
            <w:r>
              <w:rPr>
                <w:rStyle w:val="IndexLink"/>
                <w:rtl w:val="true"/>
              </w:rPr>
              <w:t>لو خرج منيّ الرّجل من فرج المرأة بعد الاغتسال لم يجب عليها</w:t>
            </w:r>
            <w:r>
              <w:rPr>
                <w:rStyle w:val="IndexLink"/>
                <w:rtl w:val="true"/>
              </w:rPr>
              <w:tab/>
            </w:r>
            <w:r>
              <w:rPr>
                <w:rStyle w:val="IndexLink"/>
              </w:rPr>
              <w:t>194</w:t>
            </w:r>
          </w:hyperlink>
        </w:p>
        <w:p>
          <w:pPr>
            <w:pStyle w:val="Contents6"/>
            <w:tabs>
              <w:tab w:val="clear" w:pos="7609"/>
              <w:tab w:val="right" w:pos="9026" w:leader="dot"/>
            </w:tabs>
            <w:rPr/>
          </w:pPr>
          <w:hyperlink w:anchor="__RefHeading___Toc795593_222507752">
            <w:r>
              <w:rPr>
                <w:webHidden/>
                <w:rStyle w:val="IndexLink"/>
                <w:rtl w:val="true"/>
              </w:rPr>
              <w:t>الخامس عشر</w:t>
            </w:r>
            <w:r>
              <w:rPr>
                <w:rStyle w:val="IndexLink"/>
                <w:rtl w:val="true"/>
              </w:rPr>
              <w:t>:</w:t>
            </w:r>
            <w:r>
              <w:rPr>
                <w:rStyle w:val="IndexLink"/>
                <w:rtl w:val="true"/>
              </w:rPr>
              <w:t>لو أمذى لم يجب عليه شيء،</w:t>
            </w:r>
            <w:r>
              <w:rPr>
                <w:rStyle w:val="IndexLink"/>
                <w:rtl w:val="true"/>
              </w:rPr>
              <w:tab/>
            </w:r>
            <w:r>
              <w:rPr>
                <w:rStyle w:val="IndexLink"/>
              </w:rPr>
              <w:t>195</w:t>
            </w:r>
          </w:hyperlink>
        </w:p>
        <w:p>
          <w:pPr>
            <w:pStyle w:val="Contents6"/>
            <w:tabs>
              <w:tab w:val="clear" w:pos="7609"/>
              <w:tab w:val="right" w:pos="9026" w:leader="dot"/>
            </w:tabs>
            <w:rPr/>
          </w:pPr>
          <w:hyperlink w:anchor="__RefHeading___Toc795595_222507752">
            <w:r>
              <w:rPr>
                <w:webHidden/>
                <w:rStyle w:val="IndexLink"/>
                <w:rtl w:val="true"/>
              </w:rPr>
              <w:t>السّادس عشر</w:t>
            </w:r>
            <w:r>
              <w:rPr>
                <w:rStyle w:val="IndexLink"/>
                <w:rtl w:val="true"/>
              </w:rPr>
              <w:t>:</w:t>
            </w:r>
            <w:r>
              <w:rPr>
                <w:rStyle w:val="IndexLink"/>
                <w:rtl w:val="true"/>
              </w:rPr>
              <w:t>لو خرج المنيّ من ثقبة في الإحليل غير المعتاد،</w:t>
            </w:r>
            <w:r>
              <w:rPr>
                <w:rStyle w:val="IndexLink"/>
                <w:rtl w:val="true"/>
              </w:rPr>
              <w:tab/>
            </w:r>
            <w:r>
              <w:rPr>
                <w:rStyle w:val="IndexLink"/>
              </w:rPr>
              <w:t>195</w:t>
            </w:r>
          </w:hyperlink>
        </w:p>
        <w:p>
          <w:pPr>
            <w:pStyle w:val="Contents6"/>
            <w:tabs>
              <w:tab w:val="clear" w:pos="7609"/>
              <w:tab w:val="right" w:pos="9026" w:leader="dot"/>
            </w:tabs>
            <w:rPr/>
          </w:pPr>
          <w:hyperlink w:anchor="__RefHeading___Toc795597_222507752">
            <w:r>
              <w:rPr>
                <w:webHidden/>
                <w:rStyle w:val="IndexLink"/>
                <w:rtl w:val="true"/>
              </w:rPr>
              <w:t>مسألة</w:t>
            </w:r>
            <w:r>
              <w:rPr>
                <w:rStyle w:val="IndexLink"/>
                <w:rtl w:val="true"/>
              </w:rPr>
              <w:t>:</w:t>
            </w:r>
            <w:r>
              <w:rPr>
                <w:rStyle w:val="IndexLink"/>
                <w:rtl w:val="true"/>
              </w:rPr>
              <w:t>و الجماع في الفرج سبب موجب للجنابة على الرّجل و المرأة،</w:t>
            </w:r>
            <w:r>
              <w:rPr>
                <w:rStyle w:val="IndexLink"/>
                <w:rtl w:val="true"/>
              </w:rPr>
              <w:tab/>
            </w:r>
            <w:r>
              <w:rPr>
                <w:rStyle w:val="IndexLink"/>
              </w:rPr>
              <w:t>196</w:t>
            </w:r>
          </w:hyperlink>
        </w:p>
        <w:p>
          <w:pPr>
            <w:pStyle w:val="Contents6"/>
            <w:tabs>
              <w:tab w:val="clear" w:pos="7609"/>
              <w:tab w:val="right" w:pos="9026" w:leader="dot"/>
            </w:tabs>
            <w:rPr/>
          </w:pPr>
          <w:hyperlink w:anchor="__RefHeading___Toc795599_222507752">
            <w:r>
              <w:rPr>
                <w:webHidden/>
                <w:rStyle w:val="IndexLink"/>
                <w:rtl w:val="true"/>
              </w:rPr>
              <w:t>فروع</w:t>
            </w:r>
            <w:r>
              <w:rPr>
                <w:rStyle w:val="IndexLink"/>
                <w:rtl w:val="true"/>
              </w:rPr>
              <w:t>:</w:t>
              <w:tab/>
            </w:r>
            <w:r>
              <w:rPr>
                <w:rStyle w:val="IndexLink"/>
              </w:rPr>
              <w:t>198</w:t>
            </w:r>
          </w:hyperlink>
        </w:p>
        <w:p>
          <w:pPr>
            <w:pStyle w:val="Contents6"/>
            <w:tabs>
              <w:tab w:val="clear" w:pos="7609"/>
              <w:tab w:val="right" w:pos="9026" w:leader="dot"/>
            </w:tabs>
            <w:rPr/>
          </w:pPr>
          <w:hyperlink w:anchor="__RefHeading___Toc795601_222507752">
            <w:r>
              <w:rPr>
                <w:webHidden/>
                <w:rStyle w:val="IndexLink"/>
                <w:rtl w:val="true"/>
              </w:rPr>
              <w:t>الأوّل</w:t>
            </w:r>
            <w:r>
              <w:rPr>
                <w:rStyle w:val="IndexLink"/>
                <w:rtl w:val="true"/>
              </w:rPr>
              <w:t>:</w:t>
            </w:r>
            <w:r>
              <w:rPr>
                <w:rStyle w:val="IndexLink"/>
                <w:rtl w:val="true"/>
              </w:rPr>
              <w:t>لو جامع في دبر المرأة و لم ينزل،قال السّيّد المرتضى</w:t>
            </w:r>
            <w:r>
              <w:rPr>
                <w:rStyle w:val="IndexLink"/>
                <w:rtl w:val="true"/>
              </w:rPr>
              <w:t>:</w:t>
            </w:r>
            <w:r>
              <w:rPr>
                <w:rStyle w:val="IndexLink"/>
                <w:rtl w:val="true"/>
              </w:rPr>
              <w:t>يجب الغسل ،</w:t>
            </w:r>
            <w:r>
              <w:rPr>
                <w:rStyle w:val="IndexLink"/>
                <w:rtl w:val="true"/>
              </w:rPr>
              <w:tab/>
            </w:r>
            <w:r>
              <w:rPr>
                <w:rStyle w:val="IndexLink"/>
              </w:rPr>
              <w:t>198</w:t>
            </w:r>
          </w:hyperlink>
        </w:p>
        <w:p>
          <w:pPr>
            <w:pStyle w:val="Contents6"/>
            <w:tabs>
              <w:tab w:val="clear" w:pos="7609"/>
              <w:tab w:val="right" w:pos="9026" w:leader="dot"/>
            </w:tabs>
            <w:rPr/>
          </w:pPr>
          <w:hyperlink w:anchor="__RefHeading___Toc795603_222507752">
            <w:r>
              <w:rPr>
                <w:webHidden/>
                <w:rStyle w:val="IndexLink"/>
                <w:rtl w:val="true"/>
              </w:rPr>
              <w:t>الثّاني</w:t>
            </w:r>
            <w:r>
              <w:rPr>
                <w:rStyle w:val="IndexLink"/>
                <w:rtl w:val="true"/>
              </w:rPr>
              <w:t>:</w:t>
            </w:r>
            <w:r>
              <w:rPr>
                <w:rStyle w:val="IndexLink"/>
                <w:rtl w:val="true"/>
              </w:rPr>
              <w:t>لو وطئ الغلام في دبره،قال السّيّد المرتضى</w:t>
            </w:r>
            <w:r>
              <w:rPr>
                <w:rStyle w:val="IndexLink"/>
                <w:rtl w:val="true"/>
              </w:rPr>
              <w:t>:</w:t>
            </w:r>
            <w:r>
              <w:rPr>
                <w:rStyle w:val="IndexLink"/>
                <w:rtl w:val="true"/>
              </w:rPr>
              <w:t xml:space="preserve">يجب الغسل </w:t>
            </w:r>
            <w:r>
              <w:rPr>
                <w:rStyle w:val="IndexLink"/>
                <w:rtl w:val="true"/>
              </w:rPr>
              <w:t>.</w:t>
              <w:tab/>
            </w:r>
            <w:r>
              <w:rPr>
                <w:rStyle w:val="IndexLink"/>
              </w:rPr>
              <w:t>200</w:t>
            </w:r>
          </w:hyperlink>
        </w:p>
        <w:p>
          <w:pPr>
            <w:pStyle w:val="Contents6"/>
            <w:tabs>
              <w:tab w:val="clear" w:pos="7609"/>
              <w:tab w:val="right" w:pos="9026" w:leader="dot"/>
            </w:tabs>
            <w:rPr/>
          </w:pPr>
          <w:hyperlink w:anchor="__RefHeading___Toc795605_222507752">
            <w:r>
              <w:rPr>
                <w:webHidden/>
                <w:rStyle w:val="IndexLink"/>
                <w:rtl w:val="true"/>
              </w:rPr>
              <w:t>الثّالث</w:t>
            </w:r>
            <w:r>
              <w:rPr>
                <w:rStyle w:val="IndexLink"/>
                <w:rtl w:val="true"/>
              </w:rPr>
              <w:t>:</w:t>
            </w:r>
            <w:r>
              <w:rPr>
                <w:rStyle w:val="IndexLink"/>
                <w:rtl w:val="true"/>
              </w:rPr>
              <w:t>هل يجب على المرأة الموطوءة في الدّبر الغسل مع عدم الإنزال؟فيه تردّد،</w:t>
            </w:r>
            <w:r>
              <w:rPr>
                <w:rStyle w:val="IndexLink"/>
                <w:rtl w:val="true"/>
              </w:rPr>
              <w:tab/>
            </w:r>
            <w:r>
              <w:rPr>
                <w:rStyle w:val="IndexLink"/>
              </w:rPr>
              <w:t>200</w:t>
            </w:r>
          </w:hyperlink>
        </w:p>
        <w:p>
          <w:pPr>
            <w:pStyle w:val="Contents6"/>
            <w:tabs>
              <w:tab w:val="clear" w:pos="7609"/>
              <w:tab w:val="right" w:pos="9026" w:leader="dot"/>
            </w:tabs>
            <w:rPr/>
          </w:pPr>
          <w:hyperlink w:anchor="__RefHeading___Toc795607_222507752">
            <w:r>
              <w:rPr>
                <w:webHidden/>
                <w:rStyle w:val="IndexLink"/>
                <w:rtl w:val="true"/>
              </w:rPr>
              <w:t>الرّابع</w:t>
            </w:r>
            <w:r>
              <w:rPr>
                <w:rStyle w:val="IndexLink"/>
                <w:rtl w:val="true"/>
              </w:rPr>
              <w:t>:</w:t>
            </w:r>
            <w:r>
              <w:rPr>
                <w:rStyle w:val="IndexLink"/>
                <w:rtl w:val="true"/>
              </w:rPr>
              <w:t>لو وطئ بهيمة،قال الشّيخ في المبسوط و الخلاف</w:t>
            </w:r>
            <w:r>
              <w:rPr>
                <w:rStyle w:val="IndexLink"/>
                <w:rtl w:val="true"/>
              </w:rPr>
              <w:t>:</w:t>
            </w:r>
            <w:r>
              <w:rPr>
                <w:rStyle w:val="IndexLink"/>
                <w:rtl w:val="true"/>
              </w:rPr>
              <w:t>لا نصّ فيه</w:t>
            </w:r>
            <w:r>
              <w:rPr>
                <w:rStyle w:val="IndexLink"/>
                <w:rtl w:val="true"/>
              </w:rPr>
              <w:tab/>
            </w:r>
            <w:r>
              <w:rPr>
                <w:rStyle w:val="IndexLink"/>
              </w:rPr>
              <w:t>201</w:t>
            </w:r>
          </w:hyperlink>
        </w:p>
        <w:p>
          <w:pPr>
            <w:pStyle w:val="Contents6"/>
            <w:tabs>
              <w:tab w:val="clear" w:pos="7609"/>
              <w:tab w:val="right" w:pos="9026" w:leader="dot"/>
            </w:tabs>
            <w:rPr/>
          </w:pPr>
          <w:hyperlink w:anchor="__RefHeading___Toc795609_222507752">
            <w:r>
              <w:rPr>
                <w:webHidden/>
                <w:rStyle w:val="IndexLink"/>
                <w:rtl w:val="true"/>
              </w:rPr>
              <w:t>الخامس</w:t>
            </w:r>
            <w:r>
              <w:rPr>
                <w:rStyle w:val="IndexLink"/>
                <w:rtl w:val="true"/>
              </w:rPr>
              <w:t>:</w:t>
            </w:r>
            <w:r>
              <w:rPr>
                <w:rStyle w:val="IndexLink"/>
                <w:rtl w:val="true"/>
              </w:rPr>
              <w:t>لا فرق في الموطوء الآدميّ بين أن يكون طائعا،أو مكرها،و نائما،أو</w:t>
            </w:r>
            <w:r>
              <w:rPr>
                <w:rStyle w:val="IndexLink"/>
                <w:rtl w:val="true"/>
              </w:rPr>
              <w:tab/>
            </w:r>
            <w:r>
              <w:rPr>
                <w:rStyle w:val="IndexLink"/>
              </w:rPr>
              <w:t>201</w:t>
            </w:r>
          </w:hyperlink>
        </w:p>
        <w:p>
          <w:pPr>
            <w:pStyle w:val="Contents6"/>
            <w:tabs>
              <w:tab w:val="clear" w:pos="7609"/>
              <w:tab w:val="right" w:pos="9026" w:leader="dot"/>
            </w:tabs>
            <w:rPr/>
          </w:pPr>
          <w:hyperlink w:anchor="__RefHeading___Toc795611_222507752">
            <w:r>
              <w:rPr>
                <w:webHidden/>
                <w:rStyle w:val="IndexLink"/>
                <w:rtl w:val="true"/>
              </w:rPr>
              <w:t>السّادس</w:t>
            </w:r>
            <w:r>
              <w:rPr>
                <w:rStyle w:val="IndexLink"/>
                <w:rtl w:val="true"/>
              </w:rPr>
              <w:t>:</w:t>
            </w:r>
            <w:r>
              <w:rPr>
                <w:rStyle w:val="IndexLink"/>
                <w:rtl w:val="true"/>
              </w:rPr>
              <w:t>لو غيّب بعض الحشفة و لم ينزل لم يتعلّق به حكم،</w:t>
            </w:r>
            <w:r>
              <w:rPr>
                <w:rStyle w:val="IndexLink"/>
                <w:rtl w:val="true"/>
              </w:rPr>
              <w:tab/>
            </w:r>
            <w:r>
              <w:rPr>
                <w:rStyle w:val="IndexLink"/>
              </w:rPr>
              <w:t>202</w:t>
            </w:r>
          </w:hyperlink>
        </w:p>
        <w:p>
          <w:pPr>
            <w:pStyle w:val="Contents6"/>
            <w:tabs>
              <w:tab w:val="clear" w:pos="7609"/>
              <w:tab w:val="right" w:pos="9026" w:leader="dot"/>
            </w:tabs>
            <w:rPr/>
          </w:pPr>
          <w:hyperlink w:anchor="__RefHeading___Toc795613_222507752">
            <w:r>
              <w:rPr>
                <w:webHidden/>
                <w:rStyle w:val="IndexLink"/>
                <w:rtl w:val="true"/>
              </w:rPr>
              <w:t>السّابع</w:t>
            </w:r>
            <w:r>
              <w:rPr>
                <w:rStyle w:val="IndexLink"/>
                <w:rtl w:val="true"/>
              </w:rPr>
              <w:t>:</w:t>
            </w:r>
            <w:r>
              <w:rPr>
                <w:rStyle w:val="IndexLink"/>
                <w:rtl w:val="true"/>
              </w:rPr>
              <w:t>لو انقطعت الحشفة،أو لم يكن له خلقة،فأولج الباقي من ذكره بقدر</w:t>
            </w:r>
            <w:r>
              <w:rPr>
                <w:rStyle w:val="IndexLink"/>
                <w:rtl w:val="true"/>
              </w:rPr>
              <w:tab/>
            </w:r>
            <w:r>
              <w:rPr>
                <w:rStyle w:val="IndexLink"/>
              </w:rPr>
              <w:t>202</w:t>
            </w:r>
          </w:hyperlink>
        </w:p>
        <w:p>
          <w:pPr>
            <w:pStyle w:val="Contents6"/>
            <w:tabs>
              <w:tab w:val="clear" w:pos="7609"/>
              <w:tab w:val="right" w:pos="9026" w:leader="dot"/>
            </w:tabs>
            <w:rPr/>
          </w:pPr>
          <w:hyperlink w:anchor="__RefHeading___Toc795615_222507752">
            <w:r>
              <w:rPr>
                <w:webHidden/>
                <w:rStyle w:val="IndexLink"/>
                <w:rtl w:val="true"/>
              </w:rPr>
              <w:t>الثّامن</w:t>
            </w:r>
            <w:r>
              <w:rPr>
                <w:rStyle w:val="IndexLink"/>
                <w:rtl w:val="true"/>
              </w:rPr>
              <w:t>:</w:t>
            </w:r>
            <w:r>
              <w:rPr>
                <w:rStyle w:val="IndexLink"/>
                <w:rtl w:val="true"/>
              </w:rPr>
              <w:t>لو أولج ذكره في قبل خنثى مشكل،أو أولج الخنثى المشكل ذكره،أو</w:t>
            </w:r>
            <w:r>
              <w:rPr>
                <w:rStyle w:val="IndexLink"/>
                <w:rtl w:val="true"/>
              </w:rPr>
              <w:tab/>
            </w:r>
            <w:r>
              <w:rPr>
                <w:rStyle w:val="IndexLink"/>
              </w:rPr>
              <w:t>202</w:t>
            </w:r>
          </w:hyperlink>
        </w:p>
        <w:p>
          <w:pPr>
            <w:pStyle w:val="Contents6"/>
            <w:tabs>
              <w:tab w:val="clear" w:pos="7609"/>
              <w:tab w:val="right" w:pos="9026" w:leader="dot"/>
            </w:tabs>
            <w:rPr/>
          </w:pPr>
          <w:hyperlink w:anchor="__RefHeading___Toc795617_222507752">
            <w:r>
              <w:rPr>
                <w:webHidden/>
                <w:rStyle w:val="IndexLink"/>
                <w:rtl w:val="true"/>
              </w:rPr>
              <w:t>التّاسع</w:t>
            </w:r>
            <w:r>
              <w:rPr>
                <w:rStyle w:val="IndexLink"/>
                <w:rtl w:val="true"/>
              </w:rPr>
              <w:t>:</w:t>
            </w:r>
            <w:r>
              <w:rPr>
                <w:rStyle w:val="IndexLink"/>
                <w:rtl w:val="true"/>
              </w:rPr>
              <w:t>لو وطئ الصّبيّ أووطئت الصّبيّة ففي تعلّق الحكم بهما نظر</w:t>
            </w:r>
            <w:r>
              <w:rPr>
                <w:rStyle w:val="IndexLink"/>
                <w:rtl w:val="true"/>
              </w:rPr>
              <w:t>.</w:t>
              <w:tab/>
            </w:r>
            <w:r>
              <w:rPr>
                <w:rStyle w:val="IndexLink"/>
              </w:rPr>
              <w:t>202</w:t>
            </w:r>
          </w:hyperlink>
        </w:p>
        <w:p>
          <w:pPr>
            <w:pStyle w:val="Contents6"/>
            <w:tabs>
              <w:tab w:val="clear" w:pos="7609"/>
              <w:tab w:val="right" w:pos="9026" w:leader="dot"/>
            </w:tabs>
            <w:rPr/>
          </w:pPr>
          <w:hyperlink w:anchor="__RefHeading___Toc795619_222507752">
            <w:r>
              <w:rPr>
                <w:webHidden/>
                <w:rStyle w:val="IndexLink"/>
                <w:rtl w:val="true"/>
              </w:rPr>
              <w:t>الأصل</w:t>
            </w:r>
            <w:r>
              <w:rPr>
                <w:rStyle w:val="IndexLink"/>
                <w:rtl w:val="true"/>
              </w:rPr>
              <w:t>:</w:t>
            </w:r>
            <w:r>
              <w:rPr>
                <w:rStyle w:val="IndexLink"/>
                <w:rtl w:val="true"/>
              </w:rPr>
              <w:t>الكفّار مخاطبون بفروع العبادات في الأمر و النّهي معا،</w:t>
            </w:r>
            <w:r>
              <w:rPr>
                <w:rStyle w:val="IndexLink"/>
                <w:rtl w:val="true"/>
              </w:rPr>
              <w:tab/>
            </w:r>
            <w:r>
              <w:rPr>
                <w:rStyle w:val="IndexLink"/>
              </w:rPr>
              <w:t>203</w:t>
            </w:r>
          </w:hyperlink>
        </w:p>
        <w:p>
          <w:pPr>
            <w:pStyle w:val="Contents6"/>
            <w:tabs>
              <w:tab w:val="clear" w:pos="7609"/>
              <w:tab w:val="right" w:pos="9026" w:leader="dot"/>
            </w:tabs>
            <w:rPr/>
          </w:pPr>
          <w:hyperlink w:anchor="__RefHeading___Toc795621_222507752">
            <w:r>
              <w:rPr>
                <w:webHidden/>
                <w:rStyle w:val="IndexLink"/>
                <w:rtl w:val="true"/>
              </w:rPr>
              <w:t>العاشر</w:t>
            </w:r>
            <w:r>
              <w:rPr>
                <w:rStyle w:val="IndexLink"/>
                <w:rtl w:val="true"/>
              </w:rPr>
              <w:t>:</w:t>
            </w:r>
            <w:r>
              <w:rPr>
                <w:rStyle w:val="IndexLink"/>
                <w:rtl w:val="true"/>
              </w:rPr>
              <w:t>إذا حصل السّبب للكافر لحقه الحكم بمعنى تناوله العقاب في الآخرة،</w:t>
            </w:r>
            <w:r>
              <w:rPr>
                <w:rStyle w:val="IndexLink"/>
                <w:rtl w:val="true"/>
              </w:rPr>
              <w:tab/>
            </w:r>
            <w:r>
              <w:rPr>
                <w:rStyle w:val="IndexLink"/>
              </w:rPr>
              <w:t>204</w:t>
            </w:r>
          </w:hyperlink>
        </w:p>
        <w:p>
          <w:pPr>
            <w:pStyle w:val="Contents6"/>
            <w:tabs>
              <w:tab w:val="clear" w:pos="7609"/>
              <w:tab w:val="right" w:pos="9026" w:leader="dot"/>
            </w:tabs>
            <w:rPr/>
          </w:pPr>
          <w:hyperlink w:anchor="__RefHeading___Toc795623_222507752">
            <w:r>
              <w:rPr>
                <w:webHidden/>
                <w:rStyle w:val="IndexLink"/>
                <w:rtl w:val="true"/>
              </w:rPr>
              <w:t>الحادي عشر</w:t>
            </w:r>
            <w:r>
              <w:rPr>
                <w:rStyle w:val="IndexLink"/>
                <w:rtl w:val="true"/>
              </w:rPr>
              <w:t>:</w:t>
            </w:r>
            <w:r>
              <w:rPr>
                <w:rStyle w:val="IndexLink"/>
                <w:rtl w:val="true"/>
              </w:rPr>
              <w:t>حكم المرتد حكم الكافر في وجوب الغسل عليه</w:t>
            </w:r>
            <w:r>
              <w:rPr>
                <w:rStyle w:val="IndexLink"/>
                <w:rtl w:val="true"/>
              </w:rPr>
              <w:t>.</w:t>
              <w:tab/>
            </w:r>
            <w:r>
              <w:rPr>
                <w:rStyle w:val="IndexLink"/>
              </w:rPr>
              <w:t>206</w:t>
            </w:r>
          </w:hyperlink>
        </w:p>
        <w:p>
          <w:pPr>
            <w:pStyle w:val="Contents6"/>
            <w:tabs>
              <w:tab w:val="clear" w:pos="7609"/>
              <w:tab w:val="right" w:pos="9026" w:leader="dot"/>
            </w:tabs>
            <w:rPr/>
          </w:pPr>
          <w:hyperlink w:anchor="__RefHeading___Toc795625_222507752">
            <w:r>
              <w:rPr>
                <w:webHidden/>
                <w:rStyle w:val="IndexLink"/>
                <w:rtl w:val="true"/>
              </w:rPr>
              <w:t>الثّاني عشر</w:t>
            </w:r>
            <w:r>
              <w:rPr>
                <w:rStyle w:val="IndexLink"/>
                <w:rtl w:val="true"/>
              </w:rPr>
              <w:t>:</w:t>
            </w:r>
            <w:r>
              <w:rPr>
                <w:rStyle w:val="IndexLink"/>
                <w:rtl w:val="true"/>
              </w:rPr>
              <w:t>لا يبطل الغسل بالارتداد</w:t>
            </w:r>
            <w:r>
              <w:rPr>
                <w:rStyle w:val="IndexLink"/>
                <w:rtl w:val="true"/>
              </w:rPr>
              <w:tab/>
            </w:r>
            <w:r>
              <w:rPr>
                <w:rStyle w:val="IndexLink"/>
              </w:rPr>
              <w:t>206</w:t>
            </w:r>
          </w:hyperlink>
        </w:p>
        <w:p>
          <w:pPr>
            <w:pStyle w:val="Contents6"/>
            <w:tabs>
              <w:tab w:val="clear" w:pos="7609"/>
              <w:tab w:val="right" w:pos="9026" w:leader="dot"/>
            </w:tabs>
            <w:rPr/>
          </w:pPr>
          <w:hyperlink w:anchor="__RefHeading___Toc795627_222507752">
            <w:r>
              <w:rPr>
                <w:webHidden/>
                <w:rStyle w:val="IndexLink"/>
                <w:rtl w:val="true"/>
              </w:rPr>
              <w:t>الثّالث عشر</w:t>
            </w:r>
            <w:r>
              <w:rPr>
                <w:rStyle w:val="IndexLink"/>
                <w:rtl w:val="true"/>
              </w:rPr>
              <w:t>:</w:t>
            </w:r>
            <w:r>
              <w:rPr>
                <w:rStyle w:val="IndexLink"/>
                <w:rtl w:val="true"/>
              </w:rPr>
              <w:t>لا اعتبار بغسل الكافر في حال كفره</w:t>
            </w:r>
            <w:r>
              <w:rPr>
                <w:rStyle w:val="IndexLink"/>
                <w:rtl w:val="true"/>
              </w:rPr>
              <w:tab/>
            </w:r>
            <w:r>
              <w:rPr>
                <w:rStyle w:val="IndexLink"/>
              </w:rPr>
              <w:t>207</w:t>
            </w:r>
          </w:hyperlink>
        </w:p>
        <w:p>
          <w:pPr>
            <w:pStyle w:val="Contents6"/>
            <w:tabs>
              <w:tab w:val="clear" w:pos="7609"/>
              <w:tab w:val="right" w:pos="9026" w:leader="dot"/>
            </w:tabs>
            <w:rPr/>
          </w:pPr>
          <w:hyperlink w:anchor="__RefHeading___Toc795629_222507752">
            <w:r>
              <w:rPr>
                <w:webHidden/>
                <w:rStyle w:val="IndexLink"/>
                <w:rtl w:val="true"/>
              </w:rPr>
              <w:t>الرّابع عشر</w:t>
            </w:r>
            <w:r>
              <w:rPr>
                <w:rStyle w:val="IndexLink"/>
                <w:rtl w:val="true"/>
              </w:rPr>
              <w:t>:</w:t>
            </w:r>
            <w:r>
              <w:rPr>
                <w:rStyle w:val="IndexLink"/>
                <w:rtl w:val="true"/>
              </w:rPr>
              <w:t>لو استدخلت ذكر الرّجل وجب الغسل</w:t>
            </w:r>
            <w:r>
              <w:rPr>
                <w:rStyle w:val="IndexLink"/>
                <w:rtl w:val="true"/>
              </w:rPr>
              <w:tab/>
            </w:r>
            <w:r>
              <w:rPr>
                <w:rStyle w:val="IndexLink"/>
              </w:rPr>
              <w:t>207</w:t>
            </w:r>
          </w:hyperlink>
        </w:p>
        <w:p>
          <w:pPr>
            <w:pStyle w:val="Contents6"/>
            <w:tabs>
              <w:tab w:val="clear" w:pos="7609"/>
              <w:tab w:val="right" w:pos="9026" w:leader="dot"/>
            </w:tabs>
            <w:rPr/>
          </w:pPr>
          <w:hyperlink w:anchor="__RefHeading___Toc795631_222507752">
            <w:r>
              <w:rPr>
                <w:webHidden/>
                <w:rStyle w:val="IndexLink"/>
                <w:rtl w:val="true"/>
              </w:rPr>
              <w:t>الخامس عشر</w:t>
            </w:r>
            <w:r>
              <w:rPr>
                <w:rStyle w:val="IndexLink"/>
                <w:rtl w:val="true"/>
              </w:rPr>
              <w:t>:</w:t>
            </w:r>
            <w:r>
              <w:rPr>
                <w:rStyle w:val="IndexLink"/>
                <w:rtl w:val="true"/>
              </w:rPr>
              <w:t>لو لفّ على ذكره خرقة و أولج،فالأقرب وجوب الغسل</w:t>
            </w:r>
            <w:r>
              <w:rPr>
                <w:rStyle w:val="IndexLink"/>
                <w:rtl w:val="true"/>
              </w:rPr>
              <w:t>.</w:t>
              <w:tab/>
            </w:r>
            <w:r>
              <w:rPr>
                <w:rStyle w:val="IndexLink"/>
              </w:rPr>
              <w:t>207</w:t>
            </w:r>
          </w:hyperlink>
        </w:p>
        <w:p>
          <w:pPr>
            <w:pStyle w:val="Contents5"/>
            <w:tabs>
              <w:tab w:val="clear" w:pos="7892"/>
              <w:tab w:val="right" w:pos="9026" w:leader="dot"/>
            </w:tabs>
            <w:rPr/>
          </w:pPr>
          <w:hyperlink w:anchor="__RefHeading___Toc795633_222507752">
            <w:r>
              <w:rPr>
                <w:webHidden/>
                <w:rStyle w:val="IndexLink"/>
                <w:rtl w:val="true"/>
              </w:rPr>
              <w:t>البحث الثّاني</w:t>
            </w:r>
            <w:r>
              <w:rPr>
                <w:rStyle w:val="IndexLink"/>
                <w:rtl w:val="true"/>
              </w:rPr>
              <w:t>:</w:t>
            </w:r>
            <w:r>
              <w:rPr>
                <w:rStyle w:val="IndexLink"/>
                <w:rtl w:val="true"/>
              </w:rPr>
              <w:t>في كيفيّة الغسل</w:t>
            </w:r>
            <w:r>
              <w:rPr>
                <w:rStyle w:val="IndexLink"/>
                <w:rtl w:val="true"/>
              </w:rPr>
              <w:tab/>
            </w:r>
            <w:r>
              <w:rPr>
                <w:rStyle w:val="IndexLink"/>
              </w:rPr>
              <w:t>208</w:t>
            </w:r>
          </w:hyperlink>
        </w:p>
        <w:p>
          <w:pPr>
            <w:pStyle w:val="Contents6"/>
            <w:tabs>
              <w:tab w:val="clear" w:pos="7609"/>
              <w:tab w:val="right" w:pos="9026" w:leader="dot"/>
            </w:tabs>
            <w:rPr/>
          </w:pPr>
          <w:hyperlink w:anchor="__RefHeading___Toc795635_222507752">
            <w:r>
              <w:rPr>
                <w:webHidden/>
                <w:rStyle w:val="IndexLink"/>
                <w:rtl w:val="true"/>
              </w:rPr>
              <w:t>مسألة</w:t>
            </w:r>
            <w:r>
              <w:rPr>
                <w:rStyle w:val="IndexLink"/>
                <w:rtl w:val="true"/>
              </w:rPr>
              <w:t>:</w:t>
            </w:r>
            <w:r>
              <w:rPr>
                <w:rStyle w:val="IndexLink"/>
                <w:rtl w:val="true"/>
              </w:rPr>
              <w:t>النّيّة شرط في الغسل من الجنابة</w:t>
            </w:r>
            <w:r>
              <w:rPr>
                <w:rStyle w:val="IndexLink"/>
                <w:rtl w:val="true"/>
              </w:rPr>
              <w:tab/>
            </w:r>
            <w:r>
              <w:rPr>
                <w:rStyle w:val="IndexLink"/>
              </w:rPr>
              <w:t>208</w:t>
            </w:r>
          </w:hyperlink>
        </w:p>
        <w:p>
          <w:pPr>
            <w:pStyle w:val="Contents6"/>
            <w:tabs>
              <w:tab w:val="clear" w:pos="7609"/>
              <w:tab w:val="right" w:pos="9026" w:leader="dot"/>
            </w:tabs>
            <w:rPr/>
          </w:pPr>
          <w:hyperlink w:anchor="__RefHeading___Toc795637_222507752">
            <w:r>
              <w:rPr>
                <w:webHidden/>
                <w:rStyle w:val="IndexLink"/>
                <w:rtl w:val="true"/>
              </w:rPr>
              <w:t>مسألة</w:t>
            </w:r>
            <w:r>
              <w:rPr>
                <w:rStyle w:val="IndexLink"/>
                <w:rtl w:val="true"/>
              </w:rPr>
              <w:t>:</w:t>
            </w:r>
            <w:r>
              <w:rPr>
                <w:rStyle w:val="IndexLink"/>
                <w:rtl w:val="true"/>
              </w:rPr>
              <w:t>و الواجب في الغسل ما يسمّى غسلا</w:t>
            </w:r>
            <w:r>
              <w:rPr>
                <w:rStyle w:val="IndexLink"/>
                <w:rtl w:val="true"/>
              </w:rPr>
              <w:tab/>
            </w:r>
            <w:r>
              <w:rPr>
                <w:rStyle w:val="IndexLink"/>
              </w:rPr>
              <w:t>208</w:t>
            </w:r>
          </w:hyperlink>
        </w:p>
        <w:p>
          <w:pPr>
            <w:pStyle w:val="Contents6"/>
            <w:tabs>
              <w:tab w:val="clear" w:pos="7609"/>
              <w:tab w:val="right" w:pos="9026" w:leader="dot"/>
            </w:tabs>
            <w:rPr/>
          </w:pPr>
          <w:hyperlink w:anchor="__RefHeading___Toc795639_222507752">
            <w:r>
              <w:rPr>
                <w:webHidden/>
                <w:rStyle w:val="IndexLink"/>
                <w:rtl w:val="true"/>
              </w:rPr>
              <w:t>فرع</w:t>
            </w:r>
            <w:r>
              <w:rPr>
                <w:rStyle w:val="IndexLink"/>
                <w:rtl w:val="true"/>
              </w:rPr>
              <w:t>:</w:t>
              <w:tab/>
            </w:r>
            <w:r>
              <w:rPr>
                <w:rStyle w:val="IndexLink"/>
              </w:rPr>
              <w:t>210</w:t>
            </w:r>
          </w:hyperlink>
        </w:p>
        <w:p>
          <w:pPr>
            <w:pStyle w:val="Contents6"/>
            <w:tabs>
              <w:tab w:val="clear" w:pos="7609"/>
              <w:tab w:val="right" w:pos="9026" w:leader="dot"/>
            </w:tabs>
            <w:rPr/>
          </w:pPr>
          <w:hyperlink w:anchor="__RefHeading___Toc795641_222507752">
            <w:r>
              <w:rPr>
                <w:webHidden/>
                <w:rStyle w:val="IndexLink"/>
                <w:rtl w:val="true"/>
              </w:rPr>
              <w:t>مسألة</w:t>
            </w:r>
            <w:r>
              <w:rPr>
                <w:rStyle w:val="IndexLink"/>
                <w:rtl w:val="true"/>
              </w:rPr>
              <w:t>:</w:t>
            </w:r>
            <w:r>
              <w:rPr>
                <w:rStyle w:val="IndexLink"/>
                <w:rtl w:val="true"/>
              </w:rPr>
              <w:t>و يجب الترتيب في غسل الجنابة</w:t>
            </w:r>
            <w:r>
              <w:rPr>
                <w:rStyle w:val="IndexLink"/>
                <w:rtl w:val="true"/>
              </w:rPr>
              <w:tab/>
            </w:r>
            <w:r>
              <w:rPr>
                <w:rStyle w:val="IndexLink"/>
              </w:rPr>
              <w:t>210</w:t>
            </w:r>
          </w:hyperlink>
        </w:p>
        <w:p>
          <w:pPr>
            <w:pStyle w:val="Contents6"/>
            <w:tabs>
              <w:tab w:val="clear" w:pos="7609"/>
              <w:tab w:val="right" w:pos="9026" w:leader="dot"/>
            </w:tabs>
            <w:rPr/>
          </w:pPr>
          <w:hyperlink w:anchor="__RefHeading___Toc795643_222507752">
            <w:r>
              <w:rPr>
                <w:webHidden/>
                <w:rStyle w:val="IndexLink"/>
                <w:rtl w:val="true"/>
              </w:rPr>
              <w:t>فروع</w:t>
            </w:r>
            <w:r>
              <w:rPr>
                <w:rStyle w:val="IndexLink"/>
                <w:rtl w:val="true"/>
              </w:rPr>
              <w:t>:</w:t>
              <w:tab/>
            </w:r>
            <w:r>
              <w:rPr>
                <w:rStyle w:val="IndexLink"/>
              </w:rPr>
              <w:t>213</w:t>
            </w:r>
          </w:hyperlink>
        </w:p>
        <w:p>
          <w:pPr>
            <w:pStyle w:val="Contents6"/>
            <w:tabs>
              <w:tab w:val="clear" w:pos="7609"/>
              <w:tab w:val="right" w:pos="9026" w:leader="dot"/>
            </w:tabs>
            <w:rPr/>
          </w:pPr>
          <w:hyperlink w:anchor="__RefHeading___Toc795645_222507752">
            <w:r>
              <w:rPr>
                <w:webHidden/>
                <w:rStyle w:val="IndexLink"/>
                <w:rtl w:val="true"/>
              </w:rPr>
              <w:t>الأوّل</w:t>
            </w:r>
            <w:r>
              <w:rPr>
                <w:rStyle w:val="IndexLink"/>
                <w:rtl w:val="true"/>
              </w:rPr>
              <w:t>:</w:t>
            </w:r>
            <w:r>
              <w:rPr>
                <w:rStyle w:val="IndexLink"/>
                <w:rtl w:val="true"/>
              </w:rPr>
              <w:t>لا ترتيب على المرتمس في الماء،</w:t>
            </w:r>
            <w:r>
              <w:rPr>
                <w:rStyle w:val="IndexLink"/>
                <w:rtl w:val="true"/>
              </w:rPr>
              <w:tab/>
            </w:r>
            <w:r>
              <w:rPr>
                <w:rStyle w:val="IndexLink"/>
              </w:rPr>
              <w:t>213</w:t>
            </w:r>
          </w:hyperlink>
        </w:p>
        <w:p>
          <w:pPr>
            <w:pStyle w:val="Contents6"/>
            <w:tabs>
              <w:tab w:val="clear" w:pos="7609"/>
              <w:tab w:val="right" w:pos="9026" w:leader="dot"/>
            </w:tabs>
            <w:rPr/>
          </w:pPr>
          <w:hyperlink w:anchor="__RefHeading___Toc795647_222507752">
            <w:r>
              <w:rPr>
                <w:webHidden/>
                <w:rStyle w:val="IndexLink"/>
                <w:rtl w:val="true"/>
              </w:rPr>
              <w:t>الثّاني</w:t>
            </w:r>
            <w:r>
              <w:rPr>
                <w:rStyle w:val="IndexLink"/>
                <w:rtl w:val="true"/>
              </w:rPr>
              <w:t>:</w:t>
            </w:r>
            <w:r>
              <w:rPr>
                <w:rStyle w:val="IndexLink"/>
                <w:rtl w:val="true"/>
              </w:rPr>
              <w:t>الجنب طاهر إذا خلا بدنه من النّجاسة،</w:t>
            </w:r>
            <w:r>
              <w:rPr>
                <w:rStyle w:val="IndexLink"/>
                <w:rtl w:val="true"/>
              </w:rPr>
              <w:tab/>
            </w:r>
            <w:r>
              <w:rPr>
                <w:rStyle w:val="IndexLink"/>
              </w:rPr>
              <w:t>214</w:t>
            </w:r>
          </w:hyperlink>
        </w:p>
        <w:p>
          <w:pPr>
            <w:pStyle w:val="Contents6"/>
            <w:tabs>
              <w:tab w:val="clear" w:pos="7609"/>
              <w:tab w:val="right" w:pos="9026" w:leader="dot"/>
            </w:tabs>
            <w:rPr/>
          </w:pPr>
          <w:hyperlink w:anchor="__RefHeading___Toc795649_222507752">
            <w:r>
              <w:rPr>
                <w:webHidden/>
                <w:rStyle w:val="IndexLink"/>
                <w:rtl w:val="true"/>
              </w:rPr>
              <w:t>الثّالث</w:t>
            </w:r>
            <w:r>
              <w:rPr>
                <w:rStyle w:val="IndexLink"/>
                <w:rtl w:val="true"/>
              </w:rPr>
              <w:t>:</w:t>
            </w:r>
            <w:r>
              <w:rPr>
                <w:rStyle w:val="IndexLink"/>
                <w:rtl w:val="true"/>
              </w:rPr>
              <w:t>لو أخلّ بالتّرتيب وجب عليه إعادة ما أخلّ به</w:t>
            </w:r>
            <w:r>
              <w:rPr>
                <w:rStyle w:val="IndexLink"/>
                <w:rtl w:val="true"/>
              </w:rPr>
              <w:tab/>
            </w:r>
            <w:r>
              <w:rPr>
                <w:rStyle w:val="IndexLink"/>
              </w:rPr>
              <w:t>215</w:t>
            </w:r>
          </w:hyperlink>
        </w:p>
        <w:p>
          <w:pPr>
            <w:pStyle w:val="Contents6"/>
            <w:tabs>
              <w:tab w:val="clear" w:pos="7609"/>
              <w:tab w:val="right" w:pos="9026" w:leader="dot"/>
            </w:tabs>
            <w:rPr/>
          </w:pPr>
          <w:hyperlink w:anchor="__RefHeading___Toc795651_222507752">
            <w:r>
              <w:rPr>
                <w:webHidden/>
                <w:rStyle w:val="IndexLink"/>
                <w:rtl w:val="true"/>
              </w:rPr>
              <w:t>الرّابع</w:t>
            </w:r>
            <w:r>
              <w:rPr>
                <w:rStyle w:val="IndexLink"/>
                <w:rtl w:val="true"/>
              </w:rPr>
              <w:t>:</w:t>
            </w:r>
            <w:r>
              <w:rPr>
                <w:rStyle w:val="IndexLink"/>
                <w:rtl w:val="true"/>
              </w:rPr>
              <w:t>لو اغتسل المرتّب و بقيت لمعة من جسده لم يصبها الماء،أجزأه مسح تلك</w:t>
            </w:r>
            <w:r>
              <w:rPr>
                <w:rStyle w:val="IndexLink"/>
                <w:rtl w:val="true"/>
              </w:rPr>
              <w:tab/>
            </w:r>
            <w:r>
              <w:rPr>
                <w:rStyle w:val="IndexLink"/>
              </w:rPr>
              <w:t>215</w:t>
            </w:r>
          </w:hyperlink>
        </w:p>
        <w:p>
          <w:pPr>
            <w:pStyle w:val="Contents6"/>
            <w:tabs>
              <w:tab w:val="clear" w:pos="7609"/>
              <w:tab w:val="right" w:pos="9026" w:leader="dot"/>
            </w:tabs>
            <w:rPr/>
          </w:pPr>
          <w:hyperlink w:anchor="__RefHeading___Toc795653_222507752">
            <w:r>
              <w:rPr>
                <w:webHidden/>
                <w:rStyle w:val="IndexLink"/>
                <w:rtl w:val="true"/>
              </w:rPr>
              <w:t>الخامس</w:t>
            </w:r>
            <w:r>
              <w:rPr>
                <w:rStyle w:val="IndexLink"/>
                <w:rtl w:val="true"/>
              </w:rPr>
              <w:t>:</w:t>
            </w:r>
            <w:r>
              <w:rPr>
                <w:rStyle w:val="IndexLink"/>
                <w:rtl w:val="true"/>
              </w:rPr>
              <w:t>لو اغتسل غير المرتّب كالمرتمس،ثمَّ وجد اللّمعة ففي وجوب الإعادة</w:t>
            </w:r>
            <w:r>
              <w:rPr>
                <w:rStyle w:val="IndexLink"/>
                <w:rtl w:val="true"/>
              </w:rPr>
              <w:tab/>
            </w:r>
            <w:r>
              <w:rPr>
                <w:rStyle w:val="IndexLink"/>
              </w:rPr>
              <w:t>216</w:t>
            </w:r>
          </w:hyperlink>
        </w:p>
        <w:p>
          <w:pPr>
            <w:pStyle w:val="Contents6"/>
            <w:tabs>
              <w:tab w:val="clear" w:pos="7609"/>
              <w:tab w:val="right" w:pos="9026" w:leader="dot"/>
            </w:tabs>
            <w:rPr/>
          </w:pPr>
          <w:hyperlink w:anchor="__RefHeading___Toc795655_222507752">
            <w:r>
              <w:rPr>
                <w:webHidden/>
                <w:rStyle w:val="IndexLink"/>
                <w:rtl w:val="true"/>
              </w:rPr>
              <w:t>السّادس</w:t>
            </w:r>
            <w:r>
              <w:rPr>
                <w:rStyle w:val="IndexLink"/>
                <w:rtl w:val="true"/>
              </w:rPr>
              <w:t>:</w:t>
            </w:r>
            <w:r>
              <w:rPr>
                <w:rStyle w:val="IndexLink"/>
                <w:rtl w:val="true"/>
              </w:rPr>
              <w:t>المرأة كالرّجل في الاغتسال</w:t>
            </w:r>
            <w:r>
              <w:rPr>
                <w:rStyle w:val="IndexLink"/>
                <w:rtl w:val="true"/>
              </w:rPr>
              <w:tab/>
            </w:r>
            <w:r>
              <w:rPr>
                <w:rStyle w:val="IndexLink"/>
              </w:rPr>
              <w:t>217</w:t>
            </w:r>
          </w:hyperlink>
        </w:p>
        <w:p>
          <w:pPr>
            <w:pStyle w:val="Contents6"/>
            <w:tabs>
              <w:tab w:val="clear" w:pos="7609"/>
              <w:tab w:val="right" w:pos="9026" w:leader="dot"/>
            </w:tabs>
            <w:rPr/>
          </w:pPr>
          <w:hyperlink w:anchor="__RefHeading___Toc795657_222507752">
            <w:r>
              <w:rPr>
                <w:webHidden/>
                <w:rStyle w:val="IndexLink"/>
                <w:rtl w:val="true"/>
              </w:rPr>
              <w:t>مسألة</w:t>
            </w:r>
            <w:r>
              <w:rPr>
                <w:rStyle w:val="IndexLink"/>
                <w:rtl w:val="true"/>
              </w:rPr>
              <w:t>:</w:t>
            </w:r>
            <w:r>
              <w:rPr>
                <w:rStyle w:val="IndexLink"/>
                <w:rtl w:val="true"/>
              </w:rPr>
              <w:t>و إذا وصل الماء إلى أصول الشّعر أجزأ،</w:t>
            </w:r>
            <w:r>
              <w:rPr>
                <w:rStyle w:val="IndexLink"/>
                <w:rtl w:val="true"/>
              </w:rPr>
              <w:tab/>
            </w:r>
            <w:r>
              <w:rPr>
                <w:rStyle w:val="IndexLink"/>
              </w:rPr>
              <w:t>217</w:t>
            </w:r>
          </w:hyperlink>
        </w:p>
        <w:p>
          <w:pPr>
            <w:pStyle w:val="Contents6"/>
            <w:tabs>
              <w:tab w:val="clear" w:pos="7609"/>
              <w:tab w:val="right" w:pos="9026" w:leader="dot"/>
            </w:tabs>
            <w:rPr/>
          </w:pPr>
          <w:hyperlink w:anchor="__RefHeading___Toc795659_222507752">
            <w:r>
              <w:rPr>
                <w:webHidden/>
                <w:rStyle w:val="IndexLink"/>
                <w:rtl w:val="true"/>
              </w:rPr>
              <w:t>فروع</w:t>
            </w:r>
            <w:r>
              <w:rPr>
                <w:rStyle w:val="IndexLink"/>
                <w:rtl w:val="true"/>
              </w:rPr>
              <w:t>:</w:t>
              <w:tab/>
            </w:r>
            <w:r>
              <w:rPr>
                <w:rStyle w:val="IndexLink"/>
              </w:rPr>
              <w:t>218</w:t>
            </w:r>
          </w:hyperlink>
        </w:p>
        <w:p>
          <w:pPr>
            <w:pStyle w:val="Contents6"/>
            <w:tabs>
              <w:tab w:val="clear" w:pos="7609"/>
              <w:tab w:val="right" w:pos="9026" w:leader="dot"/>
            </w:tabs>
            <w:rPr/>
          </w:pPr>
          <w:hyperlink w:anchor="__RefHeading___Toc795661_222507752">
            <w:r>
              <w:rPr>
                <w:webHidden/>
                <w:rStyle w:val="IndexLink"/>
                <w:rtl w:val="true"/>
              </w:rPr>
              <w:t>الأوّل</w:t>
            </w:r>
            <w:r>
              <w:rPr>
                <w:rStyle w:val="IndexLink"/>
                <w:rtl w:val="true"/>
              </w:rPr>
              <w:t>:</w:t>
            </w:r>
            <w:r>
              <w:rPr>
                <w:rStyle w:val="IndexLink"/>
                <w:rtl w:val="true"/>
              </w:rPr>
              <w:t>غسل المسترسل من الشّعر و اللّحية غير واجب،</w:t>
            </w:r>
            <w:r>
              <w:rPr>
                <w:rStyle w:val="IndexLink"/>
                <w:rtl w:val="true"/>
              </w:rPr>
              <w:tab/>
            </w:r>
            <w:r>
              <w:rPr>
                <w:rStyle w:val="IndexLink"/>
              </w:rPr>
              <w:t>218</w:t>
            </w:r>
          </w:hyperlink>
        </w:p>
        <w:p>
          <w:pPr>
            <w:pStyle w:val="Contents6"/>
            <w:tabs>
              <w:tab w:val="clear" w:pos="7609"/>
              <w:tab w:val="right" w:pos="9026" w:leader="dot"/>
            </w:tabs>
            <w:rPr/>
          </w:pPr>
          <w:hyperlink w:anchor="__RefHeading___Toc795663_222507752">
            <w:r>
              <w:rPr>
                <w:webHidden/>
                <w:rStyle w:val="IndexLink"/>
                <w:rtl w:val="true"/>
              </w:rPr>
              <w:t>الثّاني</w:t>
            </w:r>
            <w:r>
              <w:rPr>
                <w:rStyle w:val="IndexLink"/>
                <w:rtl w:val="true"/>
              </w:rPr>
              <w:t>:</w:t>
            </w:r>
            <w:r>
              <w:rPr>
                <w:rStyle w:val="IndexLink"/>
                <w:rtl w:val="true"/>
              </w:rPr>
              <w:t>يجب غسل الحاجبين و الأهداب،</w:t>
            </w:r>
            <w:r>
              <w:rPr>
                <w:rStyle w:val="IndexLink"/>
                <w:rtl w:val="true"/>
              </w:rPr>
              <w:tab/>
            </w:r>
            <w:r>
              <w:rPr>
                <w:rStyle w:val="IndexLink"/>
              </w:rPr>
              <w:t>220</w:t>
            </w:r>
          </w:hyperlink>
        </w:p>
        <w:p>
          <w:pPr>
            <w:pStyle w:val="Contents6"/>
            <w:tabs>
              <w:tab w:val="clear" w:pos="7609"/>
              <w:tab w:val="right" w:pos="9026" w:leader="dot"/>
            </w:tabs>
            <w:rPr/>
          </w:pPr>
          <w:hyperlink w:anchor="__RefHeading___Toc795665_222507752">
            <w:r>
              <w:rPr>
                <w:webHidden/>
                <w:rStyle w:val="IndexLink"/>
                <w:rtl w:val="true"/>
              </w:rPr>
              <w:t>الثّالث</w:t>
            </w:r>
            <w:r>
              <w:rPr>
                <w:rStyle w:val="IndexLink"/>
                <w:rtl w:val="true"/>
              </w:rPr>
              <w:t>:</w:t>
            </w:r>
            <w:r>
              <w:rPr>
                <w:rStyle w:val="IndexLink"/>
                <w:rtl w:val="true"/>
              </w:rPr>
              <w:t>لو ترك غسل المسترسل من الشّعر و اللّحية،ثمَّ قطعه أجزأ غسله إجماعا،</w:t>
            </w:r>
            <w:r>
              <w:rPr>
                <w:rStyle w:val="IndexLink"/>
                <w:rtl w:val="true"/>
              </w:rPr>
              <w:tab/>
            </w:r>
            <w:r>
              <w:rPr>
                <w:rStyle w:val="IndexLink"/>
              </w:rPr>
              <w:t>220</w:t>
            </w:r>
          </w:hyperlink>
        </w:p>
        <w:p>
          <w:pPr>
            <w:pStyle w:val="Contents6"/>
            <w:tabs>
              <w:tab w:val="clear" w:pos="7609"/>
              <w:tab w:val="right" w:pos="9026" w:leader="dot"/>
            </w:tabs>
            <w:rPr/>
          </w:pPr>
          <w:hyperlink w:anchor="__RefHeading___Toc795667_222507752">
            <w:r>
              <w:rPr>
                <w:webHidden/>
                <w:rStyle w:val="IndexLink"/>
                <w:rtl w:val="true"/>
              </w:rPr>
              <w:t>الرّابع</w:t>
            </w:r>
            <w:r>
              <w:rPr>
                <w:rStyle w:val="IndexLink"/>
                <w:rtl w:val="true"/>
              </w:rPr>
              <w:t>:</w:t>
            </w:r>
            <w:r>
              <w:rPr>
                <w:rStyle w:val="IndexLink"/>
                <w:rtl w:val="true"/>
              </w:rPr>
              <w:t>يستحبّ تخليل الأذنين مع وصول الماء إلى ظاهرهما و باطنهما احتياطا،</w:t>
            </w:r>
            <w:r>
              <w:rPr>
                <w:rStyle w:val="IndexLink"/>
                <w:rtl w:val="true"/>
              </w:rPr>
              <w:tab/>
            </w:r>
            <w:r>
              <w:rPr>
                <w:rStyle w:val="IndexLink"/>
              </w:rPr>
              <w:t>220</w:t>
            </w:r>
          </w:hyperlink>
        </w:p>
        <w:p>
          <w:pPr>
            <w:pStyle w:val="Contents6"/>
            <w:tabs>
              <w:tab w:val="clear" w:pos="7609"/>
              <w:tab w:val="right" w:pos="9026" w:leader="dot"/>
            </w:tabs>
            <w:rPr/>
          </w:pPr>
          <w:hyperlink w:anchor="__RefHeading___Toc795669_222507752">
            <w:r>
              <w:rPr>
                <w:webHidden/>
                <w:rStyle w:val="IndexLink"/>
                <w:rtl w:val="true"/>
              </w:rPr>
              <w:t>مسألة</w:t>
            </w:r>
            <w:r>
              <w:rPr>
                <w:rStyle w:val="IndexLink"/>
                <w:rtl w:val="true"/>
              </w:rPr>
              <w:t>:</w:t>
            </w:r>
            <w:r>
              <w:rPr>
                <w:rStyle w:val="IndexLink"/>
                <w:rtl w:val="true"/>
              </w:rPr>
              <w:t>و يجب عليه إيصال الماء إلى جميع الظّاهر من بدنه دون البواطن منه</w:t>
            </w:r>
            <w:r>
              <w:rPr>
                <w:rStyle w:val="IndexLink"/>
                <w:rtl w:val="true"/>
              </w:rPr>
              <w:tab/>
            </w:r>
            <w:r>
              <w:rPr>
                <w:rStyle w:val="IndexLink"/>
              </w:rPr>
              <w:t>220</w:t>
            </w:r>
          </w:hyperlink>
        </w:p>
        <w:p>
          <w:pPr>
            <w:pStyle w:val="Contents6"/>
            <w:tabs>
              <w:tab w:val="clear" w:pos="7609"/>
              <w:tab w:val="right" w:pos="9026" w:leader="dot"/>
            </w:tabs>
            <w:rPr/>
          </w:pPr>
          <w:hyperlink w:anchor="__RefHeading___Toc795671_222507752">
            <w:r>
              <w:rPr>
                <w:webHidden/>
                <w:rStyle w:val="IndexLink"/>
                <w:rtl w:val="true"/>
              </w:rPr>
              <w:t>مسألة</w:t>
            </w:r>
            <w:r>
              <w:rPr>
                <w:rStyle w:val="IndexLink"/>
                <w:rtl w:val="true"/>
              </w:rPr>
              <w:t>:</w:t>
            </w:r>
            <w:r>
              <w:rPr>
                <w:rStyle w:val="IndexLink"/>
                <w:rtl w:val="true"/>
              </w:rPr>
              <w:t>قال علماؤنا</w:t>
            </w:r>
            <w:r>
              <w:rPr>
                <w:rStyle w:val="IndexLink"/>
                <w:rtl w:val="true"/>
              </w:rPr>
              <w:t>:</w:t>
            </w:r>
            <w:r>
              <w:rPr>
                <w:rStyle w:val="IndexLink"/>
                <w:rtl w:val="true"/>
              </w:rPr>
              <w:t>لا تجب الموالاة في الغسل من الجنابة</w:t>
            </w:r>
            <w:r>
              <w:rPr>
                <w:rStyle w:val="IndexLink"/>
                <w:rtl w:val="true"/>
              </w:rPr>
              <w:t>.</w:t>
              <w:tab/>
            </w:r>
            <w:r>
              <w:rPr>
                <w:rStyle w:val="IndexLink"/>
              </w:rPr>
              <w:t>221</w:t>
            </w:r>
          </w:hyperlink>
        </w:p>
        <w:p>
          <w:pPr>
            <w:pStyle w:val="Contents6"/>
            <w:tabs>
              <w:tab w:val="clear" w:pos="7609"/>
              <w:tab w:val="right" w:pos="9026" w:leader="dot"/>
            </w:tabs>
            <w:rPr/>
          </w:pPr>
          <w:hyperlink w:anchor="__RefHeading___Toc795673_222507752">
            <w:r>
              <w:rPr>
                <w:webHidden/>
                <w:rStyle w:val="IndexLink"/>
                <w:rtl w:val="true"/>
              </w:rPr>
              <w:t>مسألة</w:t>
            </w:r>
            <w:r>
              <w:rPr>
                <w:rStyle w:val="IndexLink"/>
                <w:rtl w:val="true"/>
              </w:rPr>
              <w:t>:</w:t>
            </w:r>
            <w:r>
              <w:rPr>
                <w:rStyle w:val="IndexLink"/>
                <w:rtl w:val="true"/>
              </w:rPr>
              <w:t>و يستحبّ للمغتسل أمور</w:t>
            </w:r>
            <w:r>
              <w:rPr>
                <w:rStyle w:val="IndexLink"/>
                <w:rtl w:val="true"/>
              </w:rPr>
              <w:t>:</w:t>
              <w:tab/>
            </w:r>
            <w:r>
              <w:rPr>
                <w:rStyle w:val="IndexLink"/>
              </w:rPr>
              <w:t>221</w:t>
            </w:r>
          </w:hyperlink>
        </w:p>
        <w:p>
          <w:pPr>
            <w:pStyle w:val="Contents6"/>
            <w:tabs>
              <w:tab w:val="clear" w:pos="7609"/>
              <w:tab w:val="right" w:pos="9026" w:leader="dot"/>
            </w:tabs>
            <w:rPr/>
          </w:pPr>
          <w:hyperlink w:anchor="__RefHeading___Toc795675_222507752">
            <w:r>
              <w:rPr>
                <w:webHidden/>
                <w:rStyle w:val="IndexLink"/>
                <w:rtl w:val="true"/>
              </w:rPr>
              <w:t>أحدها</w:t>
            </w:r>
            <w:r>
              <w:rPr>
                <w:rStyle w:val="IndexLink"/>
                <w:rtl w:val="true"/>
              </w:rPr>
              <w:t>:</w:t>
            </w:r>
            <w:r>
              <w:rPr>
                <w:rStyle w:val="IndexLink"/>
                <w:rtl w:val="true"/>
              </w:rPr>
              <w:t>الاستبراء</w:t>
            </w:r>
            <w:r>
              <w:rPr>
                <w:rStyle w:val="IndexLink"/>
                <w:rtl w:val="true"/>
              </w:rPr>
              <w:tab/>
            </w:r>
            <w:r>
              <w:rPr>
                <w:rStyle w:val="IndexLink"/>
              </w:rPr>
              <w:t>221</w:t>
            </w:r>
          </w:hyperlink>
        </w:p>
        <w:p>
          <w:pPr>
            <w:pStyle w:val="Contents6"/>
            <w:tabs>
              <w:tab w:val="clear" w:pos="7609"/>
              <w:tab w:val="right" w:pos="9026" w:leader="dot"/>
            </w:tabs>
            <w:rPr/>
          </w:pPr>
          <w:hyperlink w:anchor="__RefHeading___Toc795677_222507752">
            <w:r>
              <w:rPr>
                <w:webHidden/>
                <w:rStyle w:val="IndexLink"/>
                <w:rtl w:val="true"/>
              </w:rPr>
              <w:t>الثّاني</w:t>
            </w:r>
            <w:r>
              <w:rPr>
                <w:rStyle w:val="IndexLink"/>
                <w:rtl w:val="true"/>
              </w:rPr>
              <w:t>:</w:t>
            </w:r>
            <w:r>
              <w:rPr>
                <w:rStyle w:val="IndexLink"/>
                <w:rtl w:val="true"/>
              </w:rPr>
              <w:t>غسل اليدين ثلاثا</w:t>
            </w:r>
            <w:r>
              <w:rPr>
                <w:rStyle w:val="IndexLink"/>
                <w:rtl w:val="true"/>
              </w:rPr>
              <w:tab/>
            </w:r>
            <w:r>
              <w:rPr>
                <w:rStyle w:val="IndexLink"/>
              </w:rPr>
              <w:t>222</w:t>
            </w:r>
          </w:hyperlink>
        </w:p>
        <w:p>
          <w:pPr>
            <w:pStyle w:val="Contents6"/>
            <w:tabs>
              <w:tab w:val="clear" w:pos="7609"/>
              <w:tab w:val="right" w:pos="9026" w:leader="dot"/>
            </w:tabs>
            <w:rPr/>
          </w:pPr>
          <w:hyperlink w:anchor="__RefHeading___Toc795679_222507752">
            <w:r>
              <w:rPr>
                <w:webHidden/>
                <w:rStyle w:val="IndexLink"/>
                <w:rtl w:val="true"/>
              </w:rPr>
              <w:t>الثّالث</w:t>
            </w:r>
            <w:r>
              <w:rPr>
                <w:rStyle w:val="IndexLink"/>
                <w:rtl w:val="true"/>
              </w:rPr>
              <w:t>:</w:t>
            </w:r>
            <w:r>
              <w:rPr>
                <w:rStyle w:val="IndexLink"/>
                <w:rtl w:val="true"/>
              </w:rPr>
              <w:t>المضمضة و الاستنشاق</w:t>
            </w:r>
            <w:r>
              <w:rPr>
                <w:rStyle w:val="IndexLink"/>
                <w:rtl w:val="true"/>
              </w:rPr>
              <w:t>.</w:t>
              <w:tab/>
            </w:r>
            <w:r>
              <w:rPr>
                <w:rStyle w:val="IndexLink"/>
              </w:rPr>
              <w:t>222</w:t>
            </w:r>
          </w:hyperlink>
        </w:p>
        <w:p>
          <w:pPr>
            <w:pStyle w:val="Contents6"/>
            <w:tabs>
              <w:tab w:val="clear" w:pos="7609"/>
              <w:tab w:val="right" w:pos="9026" w:leader="dot"/>
            </w:tabs>
            <w:rPr/>
          </w:pPr>
          <w:hyperlink w:anchor="__RefHeading___Toc795681_222507752">
            <w:r>
              <w:rPr>
                <w:webHidden/>
                <w:rStyle w:val="IndexLink"/>
                <w:rtl w:val="true"/>
              </w:rPr>
              <w:t>الرّابع</w:t>
            </w:r>
            <w:r>
              <w:rPr>
                <w:rStyle w:val="IndexLink"/>
                <w:rtl w:val="true"/>
              </w:rPr>
              <w:t>:</w:t>
            </w:r>
            <w:r>
              <w:rPr>
                <w:rStyle w:val="IndexLink"/>
                <w:rtl w:val="true"/>
              </w:rPr>
              <w:t>إمرار اليد ليس بواجب في الطّهارتين</w:t>
            </w:r>
            <w:r>
              <w:rPr>
                <w:rStyle w:val="IndexLink"/>
                <w:rtl w:val="true"/>
              </w:rPr>
              <w:tab/>
            </w:r>
            <w:r>
              <w:rPr>
                <w:rStyle w:val="IndexLink"/>
              </w:rPr>
              <w:t>222</w:t>
            </w:r>
          </w:hyperlink>
        </w:p>
        <w:p>
          <w:pPr>
            <w:pStyle w:val="Contents6"/>
            <w:tabs>
              <w:tab w:val="clear" w:pos="7609"/>
              <w:tab w:val="right" w:pos="9026" w:leader="dot"/>
            </w:tabs>
            <w:rPr/>
          </w:pPr>
          <w:hyperlink w:anchor="__RefHeading___Toc795683_222507752">
            <w:r>
              <w:rPr>
                <w:webHidden/>
                <w:rStyle w:val="IndexLink"/>
                <w:rtl w:val="true"/>
              </w:rPr>
              <w:t>الخامس</w:t>
            </w:r>
            <w:r>
              <w:rPr>
                <w:rStyle w:val="IndexLink"/>
                <w:rtl w:val="true"/>
              </w:rPr>
              <w:t>:</w:t>
            </w:r>
            <w:r>
              <w:rPr>
                <w:rStyle w:val="IndexLink"/>
                <w:rtl w:val="true"/>
              </w:rPr>
              <w:t>الغسل بصاع</w:t>
            </w:r>
            <w:r>
              <w:rPr>
                <w:rStyle w:val="IndexLink"/>
                <w:rtl w:val="true"/>
              </w:rPr>
              <w:tab/>
            </w:r>
            <w:r>
              <w:rPr>
                <w:rStyle w:val="IndexLink"/>
              </w:rPr>
              <w:t>225</w:t>
            </w:r>
          </w:hyperlink>
        </w:p>
        <w:p>
          <w:pPr>
            <w:pStyle w:val="Contents6"/>
            <w:tabs>
              <w:tab w:val="clear" w:pos="7609"/>
              <w:tab w:val="right" w:pos="9026" w:leader="dot"/>
            </w:tabs>
            <w:rPr/>
          </w:pPr>
          <w:hyperlink w:anchor="__RefHeading___Toc795685_222507752">
            <w:r>
              <w:rPr>
                <w:webHidden/>
                <w:rStyle w:val="IndexLink"/>
                <w:rtl w:val="true"/>
              </w:rPr>
              <w:t>فروع</w:t>
            </w:r>
            <w:r>
              <w:rPr>
                <w:rStyle w:val="IndexLink"/>
                <w:rtl w:val="true"/>
              </w:rPr>
              <w:t>:</w:t>
              <w:tab/>
            </w:r>
            <w:r>
              <w:rPr>
                <w:rStyle w:val="IndexLink"/>
              </w:rPr>
              <w:t>227</w:t>
            </w:r>
          </w:hyperlink>
        </w:p>
        <w:p>
          <w:pPr>
            <w:pStyle w:val="Contents6"/>
            <w:tabs>
              <w:tab w:val="clear" w:pos="7609"/>
              <w:tab w:val="right" w:pos="9026" w:leader="dot"/>
            </w:tabs>
            <w:rPr/>
          </w:pPr>
          <w:hyperlink w:anchor="__RefHeading___Toc795687_222507752">
            <w:r>
              <w:rPr>
                <w:webHidden/>
                <w:rStyle w:val="IndexLink"/>
                <w:rtl w:val="true"/>
              </w:rPr>
              <w:t>الأوّل</w:t>
            </w:r>
            <w:r>
              <w:rPr>
                <w:rStyle w:val="IndexLink"/>
                <w:rtl w:val="true"/>
              </w:rPr>
              <w:t>:</w:t>
            </w:r>
            <w:r>
              <w:rPr>
                <w:rStyle w:val="IndexLink"/>
                <w:rtl w:val="true"/>
              </w:rPr>
              <w:t>لا نعرف خلافا بين علماء الإسلام في إجزاء المدّ في الوضوء و الصّاع في</w:t>
            </w:r>
            <w:r>
              <w:rPr>
                <w:rStyle w:val="IndexLink"/>
                <w:rtl w:val="true"/>
              </w:rPr>
              <w:tab/>
            </w:r>
            <w:r>
              <w:rPr>
                <w:rStyle w:val="IndexLink"/>
              </w:rPr>
              <w:t>227</w:t>
            </w:r>
          </w:hyperlink>
        </w:p>
        <w:p>
          <w:pPr>
            <w:pStyle w:val="Contents6"/>
            <w:tabs>
              <w:tab w:val="clear" w:pos="7609"/>
              <w:tab w:val="right" w:pos="9026" w:leader="dot"/>
            </w:tabs>
            <w:rPr/>
          </w:pPr>
          <w:hyperlink w:anchor="__RefHeading___Toc795689_222507752">
            <w:r>
              <w:rPr>
                <w:webHidden/>
                <w:rStyle w:val="IndexLink"/>
                <w:rtl w:val="true"/>
              </w:rPr>
              <w:t>الثّاني</w:t>
            </w:r>
            <w:r>
              <w:rPr>
                <w:rStyle w:val="IndexLink"/>
                <w:rtl w:val="true"/>
              </w:rPr>
              <w:t>:</w:t>
            </w:r>
            <w:r>
              <w:rPr>
                <w:rStyle w:val="IndexLink"/>
                <w:rtl w:val="true"/>
              </w:rPr>
              <w:t>لو زاد على المدّ في الوضوء،و الصّاع في الغسل جاز،</w:t>
            </w:r>
            <w:r>
              <w:rPr>
                <w:rStyle w:val="IndexLink"/>
                <w:rtl w:val="true"/>
              </w:rPr>
              <w:tab/>
            </w:r>
            <w:r>
              <w:rPr>
                <w:rStyle w:val="IndexLink"/>
              </w:rPr>
              <w:t>228</w:t>
            </w:r>
          </w:hyperlink>
        </w:p>
        <w:p>
          <w:pPr>
            <w:pStyle w:val="Contents6"/>
            <w:tabs>
              <w:tab w:val="clear" w:pos="7609"/>
              <w:tab w:val="right" w:pos="9026" w:leader="dot"/>
            </w:tabs>
            <w:rPr/>
          </w:pPr>
          <w:hyperlink w:anchor="__RefHeading___Toc795691_222507752">
            <w:r>
              <w:rPr>
                <w:webHidden/>
                <w:rStyle w:val="IndexLink"/>
                <w:rtl w:val="true"/>
              </w:rPr>
              <w:t>الثّالث</w:t>
            </w:r>
            <w:r>
              <w:rPr>
                <w:rStyle w:val="IndexLink"/>
                <w:rtl w:val="true"/>
              </w:rPr>
              <w:t>:</w:t>
            </w:r>
            <w:r>
              <w:rPr>
                <w:rStyle w:val="IndexLink"/>
                <w:rtl w:val="true"/>
              </w:rPr>
              <w:t>المدّ الّذي للوضوء غير الصّاع،</w:t>
            </w:r>
            <w:r>
              <w:rPr>
                <w:rStyle w:val="IndexLink"/>
                <w:rtl w:val="true"/>
              </w:rPr>
              <w:tab/>
            </w:r>
            <w:r>
              <w:rPr>
                <w:rStyle w:val="IndexLink"/>
              </w:rPr>
              <w:t>228</w:t>
            </w:r>
          </w:hyperlink>
        </w:p>
        <w:p>
          <w:pPr>
            <w:pStyle w:val="Contents6"/>
            <w:tabs>
              <w:tab w:val="clear" w:pos="7609"/>
              <w:tab w:val="right" w:pos="9026" w:leader="dot"/>
            </w:tabs>
            <w:rPr/>
          </w:pPr>
          <w:hyperlink w:anchor="__RefHeading___Toc795693_222507752">
            <w:r>
              <w:rPr>
                <w:webHidden/>
                <w:rStyle w:val="IndexLink"/>
                <w:rtl w:val="true"/>
              </w:rPr>
              <w:t>الرّابع</w:t>
            </w:r>
            <w:r>
              <w:rPr>
                <w:rStyle w:val="IndexLink"/>
                <w:rtl w:val="true"/>
              </w:rPr>
              <w:t>:</w:t>
            </w:r>
            <w:r>
              <w:rPr>
                <w:rStyle w:val="IndexLink"/>
                <w:rtl w:val="true"/>
              </w:rPr>
              <w:t>الصّاع وحده كاف في الاستنجاء منه</w:t>
            </w:r>
            <w:r>
              <w:rPr>
                <w:rStyle w:val="IndexLink"/>
                <w:rtl w:val="true"/>
              </w:rPr>
              <w:tab/>
            </w:r>
            <w:r>
              <w:rPr>
                <w:rStyle w:val="IndexLink"/>
              </w:rPr>
              <w:t>229</w:t>
            </w:r>
          </w:hyperlink>
        </w:p>
        <w:p>
          <w:pPr>
            <w:pStyle w:val="Contents6"/>
            <w:tabs>
              <w:tab w:val="clear" w:pos="7609"/>
              <w:tab w:val="right" w:pos="9026" w:leader="dot"/>
            </w:tabs>
            <w:rPr/>
          </w:pPr>
          <w:hyperlink w:anchor="__RefHeading___Toc795695_222507752">
            <w:r>
              <w:rPr>
                <w:webHidden/>
                <w:rStyle w:val="IndexLink"/>
                <w:rtl w:val="true"/>
              </w:rPr>
              <w:t>الخامس</w:t>
            </w:r>
            <w:r>
              <w:rPr>
                <w:rStyle w:val="IndexLink"/>
                <w:rtl w:val="true"/>
              </w:rPr>
              <w:t>:</w:t>
            </w:r>
            <w:r>
              <w:rPr>
                <w:rStyle w:val="IndexLink"/>
                <w:rtl w:val="true"/>
              </w:rPr>
              <w:t>يستحبّ الدعاء،</w:t>
            </w:r>
            <w:r>
              <w:rPr>
                <w:rStyle w:val="IndexLink"/>
                <w:rtl w:val="true"/>
              </w:rPr>
              <w:tab/>
            </w:r>
            <w:r>
              <w:rPr>
                <w:rStyle w:val="IndexLink"/>
              </w:rPr>
              <w:t>230</w:t>
            </w:r>
          </w:hyperlink>
        </w:p>
        <w:p>
          <w:pPr>
            <w:pStyle w:val="Contents5"/>
            <w:tabs>
              <w:tab w:val="clear" w:pos="7892"/>
              <w:tab w:val="right" w:pos="9026" w:leader="dot"/>
            </w:tabs>
            <w:rPr/>
          </w:pPr>
          <w:hyperlink w:anchor="__RefHeading___Toc795697_222507752">
            <w:r>
              <w:rPr>
                <w:webHidden/>
                <w:rStyle w:val="IndexLink"/>
                <w:rtl w:val="true"/>
              </w:rPr>
              <w:t>البحث الثّالث</w:t>
            </w:r>
            <w:r>
              <w:rPr>
                <w:rStyle w:val="IndexLink"/>
                <w:rtl w:val="true"/>
              </w:rPr>
              <w:t>:</w:t>
            </w:r>
            <w:r>
              <w:rPr>
                <w:rStyle w:val="IndexLink"/>
                <w:rtl w:val="true"/>
              </w:rPr>
              <w:t>في أحكام الجنب</w:t>
            </w:r>
            <w:r>
              <w:rPr>
                <w:rStyle w:val="IndexLink"/>
                <w:rtl w:val="true"/>
              </w:rPr>
              <w:tab/>
            </w:r>
            <w:r>
              <w:rPr>
                <w:rStyle w:val="IndexLink"/>
              </w:rPr>
              <w:t>230</w:t>
            </w:r>
          </w:hyperlink>
        </w:p>
        <w:p>
          <w:pPr>
            <w:pStyle w:val="Contents6"/>
            <w:tabs>
              <w:tab w:val="clear" w:pos="7609"/>
              <w:tab w:val="right" w:pos="9026" w:leader="dot"/>
            </w:tabs>
            <w:rPr/>
          </w:pPr>
          <w:hyperlink w:anchor="__RefHeading___Toc795699_222507752">
            <w:r>
              <w:rPr>
                <w:webHidden/>
                <w:rStyle w:val="IndexLink"/>
                <w:rtl w:val="true"/>
              </w:rPr>
              <w:t>مسألة</w:t>
            </w:r>
            <w:r>
              <w:rPr>
                <w:rStyle w:val="IndexLink"/>
                <w:rtl w:val="true"/>
              </w:rPr>
              <w:t>:</w:t>
            </w:r>
            <w:r>
              <w:rPr>
                <w:rStyle w:val="IndexLink"/>
                <w:rtl w:val="true"/>
              </w:rPr>
              <w:t>يحرم عليه قراءة العزائم الأربع،</w:t>
            </w:r>
            <w:r>
              <w:rPr>
                <w:rStyle w:val="IndexLink"/>
                <w:rtl w:val="true"/>
              </w:rPr>
              <w:tab/>
            </w:r>
            <w:r>
              <w:rPr>
                <w:rStyle w:val="IndexLink"/>
              </w:rPr>
              <w:t>230</w:t>
            </w:r>
          </w:hyperlink>
        </w:p>
        <w:p>
          <w:pPr>
            <w:pStyle w:val="Contents6"/>
            <w:tabs>
              <w:tab w:val="clear" w:pos="7609"/>
              <w:tab w:val="right" w:pos="9026" w:leader="dot"/>
            </w:tabs>
            <w:rPr/>
          </w:pPr>
          <w:hyperlink w:anchor="__RefHeading___Toc795701_222507752">
            <w:r>
              <w:rPr>
                <w:webHidden/>
                <w:rStyle w:val="IndexLink"/>
                <w:rtl w:val="true"/>
              </w:rPr>
              <w:t>فروع</w:t>
            </w:r>
            <w:r>
              <w:rPr>
                <w:rStyle w:val="IndexLink"/>
                <w:rtl w:val="true"/>
              </w:rPr>
              <w:t>:</w:t>
              <w:tab/>
            </w:r>
            <w:r>
              <w:rPr>
                <w:rStyle w:val="IndexLink"/>
              </w:rPr>
              <w:t>231</w:t>
            </w:r>
          </w:hyperlink>
        </w:p>
        <w:p>
          <w:pPr>
            <w:pStyle w:val="Contents6"/>
            <w:tabs>
              <w:tab w:val="clear" w:pos="7609"/>
              <w:tab w:val="right" w:pos="9026" w:leader="dot"/>
            </w:tabs>
            <w:rPr/>
          </w:pPr>
          <w:hyperlink w:anchor="__RefHeading___Toc795703_222507752">
            <w:r>
              <w:rPr>
                <w:webHidden/>
                <w:rStyle w:val="IndexLink"/>
                <w:rtl w:val="true"/>
              </w:rPr>
              <w:t>الأوّل</w:t>
            </w:r>
            <w:r>
              <w:rPr>
                <w:rStyle w:val="IndexLink"/>
                <w:rtl w:val="true"/>
              </w:rPr>
              <w:t>:</w:t>
            </w:r>
            <w:r>
              <w:rPr>
                <w:rStyle w:val="IndexLink"/>
                <w:rtl w:val="true"/>
              </w:rPr>
              <w:t>يتناول التّحريم السّورة و أبعاضها</w:t>
            </w:r>
            <w:r>
              <w:rPr>
                <w:rStyle w:val="IndexLink"/>
                <w:rtl w:val="true"/>
              </w:rPr>
              <w:tab/>
            </w:r>
            <w:r>
              <w:rPr>
                <w:rStyle w:val="IndexLink"/>
              </w:rPr>
              <w:t>231</w:t>
            </w:r>
          </w:hyperlink>
        </w:p>
        <w:p>
          <w:pPr>
            <w:pStyle w:val="Contents6"/>
            <w:tabs>
              <w:tab w:val="clear" w:pos="7609"/>
              <w:tab w:val="right" w:pos="9026" w:leader="dot"/>
            </w:tabs>
            <w:rPr/>
          </w:pPr>
          <w:hyperlink w:anchor="__RefHeading___Toc795705_222507752">
            <w:r>
              <w:rPr>
                <w:webHidden/>
                <w:rStyle w:val="IndexLink"/>
                <w:rtl w:val="true"/>
              </w:rPr>
              <w:t>الثّاني</w:t>
            </w:r>
            <w:r>
              <w:rPr>
                <w:rStyle w:val="IndexLink"/>
                <w:rtl w:val="true"/>
              </w:rPr>
              <w:t>:</w:t>
            </w:r>
            <w:r>
              <w:rPr>
                <w:rStyle w:val="IndexLink"/>
                <w:rtl w:val="true"/>
              </w:rPr>
              <w:t>لا يحرم قراءة غير العزائم</w:t>
            </w:r>
            <w:r>
              <w:rPr>
                <w:rStyle w:val="IndexLink"/>
                <w:rtl w:val="true"/>
              </w:rPr>
              <w:t>.</w:t>
              <w:tab/>
            </w:r>
            <w:r>
              <w:rPr>
                <w:rStyle w:val="IndexLink"/>
              </w:rPr>
              <w:t>231</w:t>
            </w:r>
          </w:hyperlink>
        </w:p>
        <w:p>
          <w:pPr>
            <w:pStyle w:val="Contents6"/>
            <w:tabs>
              <w:tab w:val="clear" w:pos="7609"/>
              <w:tab w:val="right" w:pos="9026" w:leader="dot"/>
            </w:tabs>
            <w:rPr/>
          </w:pPr>
          <w:hyperlink w:anchor="__RefHeading___Toc795707_222507752">
            <w:r>
              <w:rPr>
                <w:webHidden/>
                <w:rStyle w:val="IndexLink"/>
                <w:rtl w:val="true"/>
              </w:rPr>
              <w:t>الثّالث</w:t>
            </w:r>
            <w:r>
              <w:rPr>
                <w:rStyle w:val="IndexLink"/>
                <w:rtl w:val="true"/>
              </w:rPr>
              <w:t>:</w:t>
            </w:r>
            <w:r>
              <w:rPr>
                <w:rStyle w:val="IndexLink"/>
                <w:rtl w:val="true"/>
              </w:rPr>
              <w:t>يكره قراءة ما زاد على سبع آيات</w:t>
            </w:r>
            <w:r>
              <w:rPr>
                <w:rStyle w:val="IndexLink"/>
                <w:rtl w:val="true"/>
              </w:rPr>
              <w:t>.</w:t>
              <w:tab/>
            </w:r>
            <w:r>
              <w:rPr>
                <w:rStyle w:val="IndexLink"/>
              </w:rPr>
              <w:t>234</w:t>
            </w:r>
          </w:hyperlink>
        </w:p>
        <w:p>
          <w:pPr>
            <w:pStyle w:val="Contents6"/>
            <w:tabs>
              <w:tab w:val="clear" w:pos="7609"/>
              <w:tab w:val="right" w:pos="9026" w:leader="dot"/>
            </w:tabs>
            <w:rPr/>
          </w:pPr>
          <w:hyperlink w:anchor="__RefHeading___Toc795709_222507752">
            <w:r>
              <w:rPr>
                <w:webHidden/>
                <w:rStyle w:val="IndexLink"/>
                <w:rtl w:val="true"/>
              </w:rPr>
              <w:t>مسألة</w:t>
            </w:r>
            <w:r>
              <w:rPr>
                <w:rStyle w:val="IndexLink"/>
                <w:rtl w:val="true"/>
              </w:rPr>
              <w:t>:</w:t>
            </w:r>
            <w:r>
              <w:rPr>
                <w:rStyle w:val="IndexLink"/>
                <w:rtl w:val="true"/>
              </w:rPr>
              <w:t>و يحرم على الجنب مسّ كتابة القرآن</w:t>
            </w:r>
            <w:r>
              <w:rPr>
                <w:rStyle w:val="IndexLink"/>
                <w:rtl w:val="true"/>
              </w:rPr>
              <w:t>.</w:t>
              <w:tab/>
            </w:r>
            <w:r>
              <w:rPr>
                <w:rStyle w:val="IndexLink"/>
              </w:rPr>
              <w:t>235</w:t>
            </w:r>
          </w:hyperlink>
        </w:p>
        <w:p>
          <w:pPr>
            <w:pStyle w:val="Contents6"/>
            <w:tabs>
              <w:tab w:val="clear" w:pos="7609"/>
              <w:tab w:val="right" w:pos="9026" w:leader="dot"/>
            </w:tabs>
            <w:rPr/>
          </w:pPr>
          <w:hyperlink w:anchor="__RefHeading___Toc795711_222507752">
            <w:r>
              <w:rPr>
                <w:webHidden/>
                <w:rStyle w:val="IndexLink"/>
                <w:rtl w:val="true"/>
              </w:rPr>
              <w:t>فروع</w:t>
            </w:r>
            <w:r>
              <w:rPr>
                <w:rStyle w:val="IndexLink"/>
                <w:rtl w:val="true"/>
              </w:rPr>
              <w:t>:</w:t>
              <w:tab/>
            </w:r>
            <w:r>
              <w:rPr>
                <w:rStyle w:val="IndexLink"/>
              </w:rPr>
              <w:t>236</w:t>
            </w:r>
          </w:hyperlink>
        </w:p>
        <w:p>
          <w:pPr>
            <w:pStyle w:val="Contents6"/>
            <w:tabs>
              <w:tab w:val="clear" w:pos="7609"/>
              <w:tab w:val="right" w:pos="9026" w:leader="dot"/>
            </w:tabs>
            <w:rPr/>
          </w:pPr>
          <w:hyperlink w:anchor="__RefHeading___Toc795713_222507752">
            <w:r>
              <w:rPr>
                <w:webHidden/>
                <w:rStyle w:val="IndexLink"/>
                <w:rtl w:val="true"/>
              </w:rPr>
              <w:t>الأوّل</w:t>
            </w:r>
            <w:r>
              <w:rPr>
                <w:rStyle w:val="IndexLink"/>
                <w:rtl w:val="true"/>
              </w:rPr>
              <w:t>:</w:t>
            </w:r>
            <w:r>
              <w:rPr>
                <w:rStyle w:val="IndexLink"/>
                <w:rtl w:val="true"/>
              </w:rPr>
              <w:t>يكره للجنب مسّ المصحف و حمله</w:t>
            </w:r>
            <w:r>
              <w:rPr>
                <w:rStyle w:val="IndexLink"/>
                <w:rtl w:val="true"/>
              </w:rPr>
              <w:t>.</w:t>
              <w:tab/>
            </w:r>
            <w:r>
              <w:rPr>
                <w:rStyle w:val="IndexLink"/>
              </w:rPr>
              <w:t>236</w:t>
            </w:r>
          </w:hyperlink>
        </w:p>
        <w:p>
          <w:pPr>
            <w:pStyle w:val="Contents6"/>
            <w:tabs>
              <w:tab w:val="clear" w:pos="7609"/>
              <w:tab w:val="right" w:pos="9026" w:leader="dot"/>
            </w:tabs>
            <w:rPr/>
          </w:pPr>
          <w:hyperlink w:anchor="__RefHeading___Toc795715_222507752">
            <w:r>
              <w:rPr>
                <w:webHidden/>
                <w:rStyle w:val="IndexLink"/>
                <w:rtl w:val="true"/>
              </w:rPr>
              <w:t>الثّاني</w:t>
            </w:r>
            <w:r>
              <w:rPr>
                <w:rStyle w:val="IndexLink"/>
                <w:rtl w:val="true"/>
              </w:rPr>
              <w:t>:</w:t>
            </w:r>
            <w:r>
              <w:rPr>
                <w:rStyle w:val="IndexLink"/>
                <w:rtl w:val="true"/>
              </w:rPr>
              <w:t>يجوز مسّ كتب التّفسير</w:t>
            </w:r>
            <w:r>
              <w:rPr>
                <w:rStyle w:val="IndexLink"/>
                <w:rtl w:val="true"/>
              </w:rPr>
              <w:tab/>
            </w:r>
            <w:r>
              <w:rPr>
                <w:rStyle w:val="IndexLink"/>
              </w:rPr>
              <w:t>237</w:t>
            </w:r>
          </w:hyperlink>
        </w:p>
        <w:p>
          <w:pPr>
            <w:pStyle w:val="Contents6"/>
            <w:tabs>
              <w:tab w:val="clear" w:pos="7609"/>
              <w:tab w:val="right" w:pos="9026" w:leader="dot"/>
            </w:tabs>
            <w:rPr/>
          </w:pPr>
          <w:hyperlink w:anchor="__RefHeading___Toc795717_222507752">
            <w:r>
              <w:rPr>
                <w:webHidden/>
                <w:rStyle w:val="IndexLink"/>
                <w:rtl w:val="true"/>
              </w:rPr>
              <w:t>الثّالث</w:t>
            </w:r>
            <w:r>
              <w:rPr>
                <w:rStyle w:val="IndexLink"/>
                <w:rtl w:val="true"/>
              </w:rPr>
              <w:t>:</w:t>
            </w:r>
            <w:r>
              <w:rPr>
                <w:rStyle w:val="IndexLink"/>
                <w:rtl w:val="true"/>
              </w:rPr>
              <w:t>يجوز حمله بغلافه،</w:t>
            </w:r>
            <w:r>
              <w:rPr>
                <w:rStyle w:val="IndexLink"/>
                <w:rtl w:val="true"/>
              </w:rPr>
              <w:tab/>
            </w:r>
            <w:r>
              <w:rPr>
                <w:rStyle w:val="IndexLink"/>
              </w:rPr>
              <w:t>237</w:t>
            </w:r>
          </w:hyperlink>
        </w:p>
        <w:p>
          <w:pPr>
            <w:pStyle w:val="Contents6"/>
            <w:tabs>
              <w:tab w:val="clear" w:pos="7609"/>
              <w:tab w:val="right" w:pos="9026" w:leader="dot"/>
            </w:tabs>
            <w:rPr/>
          </w:pPr>
          <w:hyperlink w:anchor="__RefHeading___Toc795719_222507752">
            <w:r>
              <w:rPr>
                <w:webHidden/>
                <w:rStyle w:val="IndexLink"/>
                <w:rtl w:val="true"/>
              </w:rPr>
              <w:t>الرّابع</w:t>
            </w:r>
            <w:r>
              <w:rPr>
                <w:rStyle w:val="IndexLink"/>
                <w:rtl w:val="true"/>
              </w:rPr>
              <w:t>:</w:t>
            </w:r>
            <w:r>
              <w:rPr>
                <w:rStyle w:val="IndexLink"/>
                <w:rtl w:val="true"/>
              </w:rPr>
              <w:t>يجوز مسّ كتابة التّوراة و الإنجيل و قراءتهما،</w:t>
            </w:r>
            <w:r>
              <w:rPr>
                <w:rStyle w:val="IndexLink"/>
                <w:rtl w:val="true"/>
              </w:rPr>
              <w:tab/>
            </w:r>
            <w:r>
              <w:rPr>
                <w:rStyle w:val="IndexLink"/>
              </w:rPr>
              <w:t>237</w:t>
            </w:r>
          </w:hyperlink>
        </w:p>
        <w:p>
          <w:pPr>
            <w:pStyle w:val="Contents6"/>
            <w:tabs>
              <w:tab w:val="clear" w:pos="7609"/>
              <w:tab w:val="right" w:pos="9026" w:leader="dot"/>
            </w:tabs>
            <w:rPr/>
          </w:pPr>
          <w:hyperlink w:anchor="__RefHeading___Toc795721_222507752">
            <w:r>
              <w:rPr>
                <w:webHidden/>
                <w:rStyle w:val="IndexLink"/>
                <w:rtl w:val="true"/>
              </w:rPr>
              <w:t>الخامس</w:t>
            </w:r>
            <w:r>
              <w:rPr>
                <w:rStyle w:val="IndexLink"/>
                <w:rtl w:val="true"/>
              </w:rPr>
              <w:t>:</w:t>
            </w:r>
            <w:r>
              <w:rPr>
                <w:rStyle w:val="IndexLink"/>
                <w:rtl w:val="true"/>
              </w:rPr>
              <w:t>القرآن المنسوخ حكمه،الباقية تلاوته،لا يجوز مسّه للجنب و المحدث،</w:t>
            </w:r>
            <w:r>
              <w:rPr>
                <w:rStyle w:val="IndexLink"/>
                <w:rtl w:val="true"/>
              </w:rPr>
              <w:tab/>
            </w:r>
            <w:r>
              <w:rPr>
                <w:rStyle w:val="IndexLink"/>
              </w:rPr>
              <w:t>238</w:t>
            </w:r>
          </w:hyperlink>
        </w:p>
        <w:p>
          <w:pPr>
            <w:pStyle w:val="Contents6"/>
            <w:tabs>
              <w:tab w:val="clear" w:pos="7609"/>
              <w:tab w:val="right" w:pos="9026" w:leader="dot"/>
            </w:tabs>
            <w:rPr/>
          </w:pPr>
          <w:hyperlink w:anchor="__RefHeading___Toc795723_222507752">
            <w:r>
              <w:rPr>
                <w:webHidden/>
                <w:rStyle w:val="IndexLink"/>
                <w:rtl w:val="true"/>
              </w:rPr>
              <w:t>السّادس</w:t>
            </w:r>
            <w:r>
              <w:rPr>
                <w:rStyle w:val="IndexLink"/>
                <w:rtl w:val="true"/>
              </w:rPr>
              <w:t>:</w:t>
            </w:r>
            <w:r>
              <w:rPr>
                <w:rStyle w:val="IndexLink"/>
                <w:rtl w:val="true"/>
              </w:rPr>
              <w:t>يجوز للجنب أن يذكر اللّه،</w:t>
            </w:r>
            <w:r>
              <w:rPr>
                <w:rStyle w:val="IndexLink"/>
                <w:rtl w:val="true"/>
              </w:rPr>
              <w:tab/>
            </w:r>
            <w:r>
              <w:rPr>
                <w:rStyle w:val="IndexLink"/>
              </w:rPr>
              <w:t>238</w:t>
            </w:r>
          </w:hyperlink>
        </w:p>
        <w:p>
          <w:pPr>
            <w:pStyle w:val="Contents6"/>
            <w:tabs>
              <w:tab w:val="clear" w:pos="7609"/>
              <w:tab w:val="right" w:pos="9026" w:leader="dot"/>
            </w:tabs>
            <w:rPr/>
          </w:pPr>
          <w:hyperlink w:anchor="__RefHeading___Toc795725_222507752">
            <w:r>
              <w:rPr>
                <w:webHidden/>
                <w:rStyle w:val="IndexLink"/>
                <w:rtl w:val="true"/>
              </w:rPr>
              <w:t>مسألة</w:t>
            </w:r>
            <w:r>
              <w:rPr>
                <w:rStyle w:val="IndexLink"/>
                <w:rtl w:val="true"/>
              </w:rPr>
              <w:t>:</w:t>
            </w:r>
            <w:r>
              <w:rPr>
                <w:rStyle w:val="IndexLink"/>
                <w:rtl w:val="true"/>
              </w:rPr>
              <w:t>و لا يجوز له اللّبث في المسجد،</w:t>
            </w:r>
            <w:r>
              <w:rPr>
                <w:rStyle w:val="IndexLink"/>
                <w:rtl w:val="true"/>
              </w:rPr>
              <w:tab/>
            </w:r>
            <w:r>
              <w:rPr>
                <w:rStyle w:val="IndexLink"/>
              </w:rPr>
              <w:t>238</w:t>
            </w:r>
          </w:hyperlink>
        </w:p>
        <w:p>
          <w:pPr>
            <w:pStyle w:val="Contents6"/>
            <w:tabs>
              <w:tab w:val="clear" w:pos="7609"/>
              <w:tab w:val="right" w:pos="9026" w:leader="dot"/>
            </w:tabs>
            <w:rPr/>
          </w:pPr>
          <w:hyperlink w:anchor="__RefHeading___Toc795727_222507752">
            <w:r>
              <w:rPr>
                <w:webHidden/>
                <w:rStyle w:val="IndexLink"/>
                <w:rtl w:val="true"/>
              </w:rPr>
              <w:t>أصل</w:t>
            </w:r>
            <w:r>
              <w:rPr>
                <w:rStyle w:val="IndexLink"/>
                <w:rtl w:val="true"/>
              </w:rPr>
              <w:t>:</w:t>
            </w:r>
            <w:r>
              <w:rPr>
                <w:rStyle w:val="IndexLink"/>
                <w:rtl w:val="true"/>
              </w:rPr>
              <w:t>الاستثناء من النّفي إثبات،</w:t>
            </w:r>
            <w:r>
              <w:rPr>
                <w:rStyle w:val="IndexLink"/>
                <w:rtl w:val="true"/>
              </w:rPr>
              <w:tab/>
            </w:r>
            <w:r>
              <w:rPr>
                <w:rStyle w:val="IndexLink"/>
              </w:rPr>
              <w:t>239</w:t>
            </w:r>
          </w:hyperlink>
        </w:p>
        <w:p>
          <w:pPr>
            <w:pStyle w:val="Contents6"/>
            <w:tabs>
              <w:tab w:val="clear" w:pos="7609"/>
              <w:tab w:val="right" w:pos="9026" w:leader="dot"/>
            </w:tabs>
            <w:rPr/>
          </w:pPr>
          <w:hyperlink w:anchor="__RefHeading___Toc795729_222507752">
            <w:r>
              <w:rPr>
                <w:webHidden/>
                <w:rStyle w:val="IndexLink"/>
                <w:rtl w:val="true"/>
              </w:rPr>
              <w:t>فروع</w:t>
            </w:r>
            <w:r>
              <w:rPr>
                <w:rStyle w:val="IndexLink"/>
                <w:rtl w:val="true"/>
              </w:rPr>
              <w:t>:</w:t>
              <w:tab/>
            </w:r>
            <w:r>
              <w:rPr>
                <w:rStyle w:val="IndexLink"/>
              </w:rPr>
              <w:t>239</w:t>
            </w:r>
          </w:hyperlink>
        </w:p>
        <w:p>
          <w:pPr>
            <w:pStyle w:val="Contents6"/>
            <w:tabs>
              <w:tab w:val="clear" w:pos="7609"/>
              <w:tab w:val="right" w:pos="9026" w:leader="dot"/>
            </w:tabs>
            <w:rPr/>
          </w:pPr>
          <w:hyperlink w:anchor="__RefHeading___Toc795731_222507752">
            <w:r>
              <w:rPr>
                <w:webHidden/>
                <w:rStyle w:val="IndexLink"/>
                <w:rtl w:val="true"/>
              </w:rPr>
              <w:t>الأوّل</w:t>
            </w:r>
            <w:r>
              <w:rPr>
                <w:rStyle w:val="IndexLink"/>
                <w:rtl w:val="true"/>
              </w:rPr>
              <w:t>:</w:t>
            </w:r>
            <w:r>
              <w:rPr>
                <w:rStyle w:val="IndexLink"/>
                <w:rtl w:val="true"/>
              </w:rPr>
              <w:t>يجوز الاجتياز في المسجد لا للاستيطان</w:t>
            </w:r>
            <w:r>
              <w:rPr>
                <w:rStyle w:val="IndexLink"/>
                <w:rtl w:val="true"/>
              </w:rPr>
              <w:t>.</w:t>
              <w:tab/>
            </w:r>
            <w:r>
              <w:rPr>
                <w:rStyle w:val="IndexLink"/>
              </w:rPr>
              <w:t>239</w:t>
            </w:r>
          </w:hyperlink>
        </w:p>
        <w:p>
          <w:pPr>
            <w:pStyle w:val="Contents6"/>
            <w:tabs>
              <w:tab w:val="clear" w:pos="7609"/>
              <w:tab w:val="right" w:pos="9026" w:leader="dot"/>
            </w:tabs>
            <w:rPr/>
          </w:pPr>
          <w:hyperlink w:anchor="__RefHeading___Toc795733_222507752">
            <w:r>
              <w:rPr>
                <w:webHidden/>
                <w:rStyle w:val="IndexLink"/>
                <w:rtl w:val="true"/>
              </w:rPr>
              <w:t>الثّاني</w:t>
            </w:r>
            <w:r>
              <w:rPr>
                <w:rStyle w:val="IndexLink"/>
                <w:rtl w:val="true"/>
              </w:rPr>
              <w:t>:</w:t>
            </w:r>
            <w:r>
              <w:rPr>
                <w:rStyle w:val="IndexLink"/>
                <w:rtl w:val="true"/>
              </w:rPr>
              <w:t>لا يجوز له و لا للحائض الدّخول في المسجدين،</w:t>
            </w:r>
            <w:r>
              <w:rPr>
                <w:rStyle w:val="IndexLink"/>
                <w:rtl w:val="true"/>
              </w:rPr>
              <w:tab/>
            </w:r>
            <w:r>
              <w:rPr>
                <w:rStyle w:val="IndexLink"/>
              </w:rPr>
              <w:t>241</w:t>
            </w:r>
          </w:hyperlink>
        </w:p>
        <w:p>
          <w:pPr>
            <w:pStyle w:val="Contents6"/>
            <w:tabs>
              <w:tab w:val="clear" w:pos="7609"/>
              <w:tab w:val="right" w:pos="9026" w:leader="dot"/>
            </w:tabs>
            <w:rPr/>
          </w:pPr>
          <w:hyperlink w:anchor="__RefHeading___Toc795735_222507752">
            <w:r>
              <w:rPr>
                <w:webHidden/>
                <w:rStyle w:val="IndexLink"/>
                <w:rtl w:val="true"/>
              </w:rPr>
              <w:t>الثّالث</w:t>
            </w:r>
            <w:r>
              <w:rPr>
                <w:rStyle w:val="IndexLink"/>
                <w:rtl w:val="true"/>
              </w:rPr>
              <w:t>:</w:t>
            </w:r>
            <w:r>
              <w:rPr>
                <w:rStyle w:val="IndexLink"/>
                <w:rtl w:val="true"/>
              </w:rPr>
              <w:t>لو احتلم في أحد المسجدين،تيمّم للخروج</w:t>
            </w:r>
            <w:r>
              <w:rPr>
                <w:rStyle w:val="IndexLink"/>
                <w:rtl w:val="true"/>
              </w:rPr>
              <w:t>.</w:t>
              <w:tab/>
            </w:r>
            <w:r>
              <w:rPr>
                <w:rStyle w:val="IndexLink"/>
              </w:rPr>
              <w:t>241</w:t>
            </w:r>
          </w:hyperlink>
        </w:p>
        <w:p>
          <w:pPr>
            <w:pStyle w:val="Contents6"/>
            <w:tabs>
              <w:tab w:val="clear" w:pos="7609"/>
              <w:tab w:val="right" w:pos="9026" w:leader="dot"/>
            </w:tabs>
            <w:rPr/>
          </w:pPr>
          <w:hyperlink w:anchor="__RefHeading___Toc795737_222507752">
            <w:r>
              <w:rPr>
                <w:webHidden/>
                <w:rStyle w:val="IndexLink"/>
                <w:rtl w:val="true"/>
              </w:rPr>
              <w:t>تذنيب</w:t>
            </w:r>
            <w:r>
              <w:rPr>
                <w:rStyle w:val="IndexLink"/>
                <w:rtl w:val="true"/>
              </w:rPr>
              <w:t>:</w:t>
            </w:r>
            <w:r>
              <w:rPr>
                <w:rStyle w:val="IndexLink"/>
                <w:rtl w:val="true"/>
              </w:rPr>
              <w:t>الأجود أنّه يجب عليه قصد أقرب الأبواب إليه</w:t>
            </w:r>
            <w:r>
              <w:rPr>
                <w:rStyle w:val="IndexLink"/>
                <w:rtl w:val="true"/>
              </w:rPr>
              <w:tab/>
            </w:r>
            <w:r>
              <w:rPr>
                <w:rStyle w:val="IndexLink"/>
              </w:rPr>
              <w:t>241</w:t>
            </w:r>
          </w:hyperlink>
        </w:p>
        <w:p>
          <w:pPr>
            <w:pStyle w:val="Contents6"/>
            <w:tabs>
              <w:tab w:val="clear" w:pos="7609"/>
              <w:tab w:val="right" w:pos="9026" w:leader="dot"/>
            </w:tabs>
            <w:rPr/>
          </w:pPr>
          <w:hyperlink w:anchor="__RefHeading___Toc795739_222507752">
            <w:r>
              <w:rPr>
                <w:webHidden/>
                <w:rStyle w:val="IndexLink"/>
                <w:rtl w:val="true"/>
              </w:rPr>
              <w:t>الرّابع</w:t>
            </w:r>
            <w:r>
              <w:rPr>
                <w:rStyle w:val="IndexLink"/>
                <w:rtl w:val="true"/>
              </w:rPr>
              <w:t>:</w:t>
            </w:r>
            <w:r>
              <w:rPr>
                <w:rStyle w:val="IndexLink"/>
                <w:rtl w:val="true"/>
              </w:rPr>
              <w:t>لا يجوز له وضع شيء في المساجد مطلقا</w:t>
            </w:r>
            <w:r>
              <w:rPr>
                <w:rStyle w:val="IndexLink"/>
                <w:rtl w:val="true"/>
              </w:rPr>
              <w:tab/>
            </w:r>
            <w:r>
              <w:rPr>
                <w:rStyle w:val="IndexLink"/>
              </w:rPr>
              <w:t>241</w:t>
            </w:r>
          </w:hyperlink>
        </w:p>
        <w:p>
          <w:pPr>
            <w:pStyle w:val="Contents6"/>
            <w:tabs>
              <w:tab w:val="clear" w:pos="7609"/>
              <w:tab w:val="right" w:pos="9026" w:leader="dot"/>
            </w:tabs>
            <w:rPr/>
          </w:pPr>
          <w:hyperlink w:anchor="__RefHeading___Toc795741_222507752">
            <w:r>
              <w:rPr>
                <w:webHidden/>
                <w:rStyle w:val="IndexLink"/>
                <w:rtl w:val="true"/>
              </w:rPr>
              <w:t>الخامس</w:t>
            </w:r>
            <w:r>
              <w:rPr>
                <w:rStyle w:val="IndexLink"/>
                <w:rtl w:val="true"/>
              </w:rPr>
              <w:t>:</w:t>
            </w:r>
            <w:r>
              <w:rPr>
                <w:rStyle w:val="IndexLink"/>
                <w:rtl w:val="true"/>
              </w:rPr>
              <w:t>لو خاف الجنب على نفسه أو ماله،أو لم يمكنه الخروج من المسجد،</w:t>
            </w:r>
            <w:r>
              <w:rPr>
                <w:rStyle w:val="IndexLink"/>
                <w:rtl w:val="true"/>
              </w:rPr>
              <w:tab/>
            </w:r>
            <w:r>
              <w:rPr>
                <w:rStyle w:val="IndexLink"/>
              </w:rPr>
              <w:t>242</w:t>
            </w:r>
          </w:hyperlink>
        </w:p>
        <w:p>
          <w:pPr>
            <w:pStyle w:val="Contents6"/>
            <w:tabs>
              <w:tab w:val="clear" w:pos="7609"/>
              <w:tab w:val="right" w:pos="9026" w:leader="dot"/>
            </w:tabs>
            <w:rPr/>
          </w:pPr>
          <w:hyperlink w:anchor="__RefHeading___Toc795743_222507752">
            <w:r>
              <w:rPr>
                <w:webHidden/>
                <w:rStyle w:val="IndexLink"/>
                <w:rtl w:val="true"/>
              </w:rPr>
              <w:t>أصل</w:t>
            </w:r>
            <w:r>
              <w:rPr>
                <w:rStyle w:val="IndexLink"/>
                <w:rtl w:val="true"/>
              </w:rPr>
              <w:t>:</w:t>
            </w:r>
            <w:r>
              <w:rPr>
                <w:rStyle w:val="IndexLink"/>
                <w:rtl w:val="true"/>
              </w:rPr>
              <w:t>إذا أوجب الفعل أو حرّمه إلى غاية معيّنة،كان امتداد الحكم إلى غير</w:t>
            </w:r>
            <w:r>
              <w:rPr>
                <w:rStyle w:val="IndexLink"/>
                <w:rtl w:val="true"/>
              </w:rPr>
              <w:tab/>
            </w:r>
            <w:r>
              <w:rPr>
                <w:rStyle w:val="IndexLink"/>
              </w:rPr>
              <w:t>243</w:t>
            </w:r>
          </w:hyperlink>
        </w:p>
        <w:p>
          <w:pPr>
            <w:pStyle w:val="Contents6"/>
            <w:tabs>
              <w:tab w:val="clear" w:pos="7609"/>
              <w:tab w:val="right" w:pos="9026" w:leader="dot"/>
            </w:tabs>
            <w:rPr/>
          </w:pPr>
          <w:hyperlink w:anchor="__RefHeading___Toc795745_222507752">
            <w:r>
              <w:rPr>
                <w:webHidden/>
                <w:rStyle w:val="IndexLink"/>
                <w:rtl w:val="true"/>
              </w:rPr>
              <w:t>آخر</w:t>
            </w:r>
            <w:r>
              <w:rPr>
                <w:rStyle w:val="IndexLink"/>
                <w:rtl w:val="true"/>
              </w:rPr>
              <w:t>:</w:t>
            </w:r>
            <w:r>
              <w:rPr>
                <w:rStyle w:val="IndexLink"/>
                <w:rtl w:val="true"/>
              </w:rPr>
              <w:t>لا يجوز نسخ المقطوع به،</w:t>
            </w:r>
            <w:r>
              <w:rPr>
                <w:rStyle w:val="IndexLink"/>
                <w:rtl w:val="true"/>
              </w:rPr>
              <w:tab/>
            </w:r>
            <w:r>
              <w:rPr>
                <w:rStyle w:val="IndexLink"/>
              </w:rPr>
              <w:t>243</w:t>
            </w:r>
          </w:hyperlink>
        </w:p>
        <w:p>
          <w:pPr>
            <w:pStyle w:val="Contents6"/>
            <w:tabs>
              <w:tab w:val="clear" w:pos="7609"/>
              <w:tab w:val="right" w:pos="9026" w:leader="dot"/>
            </w:tabs>
            <w:rPr/>
          </w:pPr>
          <w:hyperlink w:anchor="__RefHeading___Toc795747_222507752">
            <w:r>
              <w:rPr>
                <w:webHidden/>
                <w:rStyle w:val="IndexLink"/>
                <w:rtl w:val="true"/>
              </w:rPr>
              <w:t>السّادس</w:t>
            </w:r>
            <w:r>
              <w:rPr>
                <w:rStyle w:val="IndexLink"/>
                <w:rtl w:val="true"/>
              </w:rPr>
              <w:t>:</w:t>
            </w:r>
            <w:r>
              <w:rPr>
                <w:rStyle w:val="IndexLink"/>
                <w:rtl w:val="true"/>
              </w:rPr>
              <w:t>لو توضّأ الجنب،لم يجز له الاستيطان في المسجد</w:t>
            </w:r>
            <w:r>
              <w:rPr>
                <w:rStyle w:val="IndexLink"/>
                <w:rtl w:val="true"/>
              </w:rPr>
              <w:tab/>
            </w:r>
            <w:r>
              <w:rPr>
                <w:rStyle w:val="IndexLink"/>
              </w:rPr>
              <w:t>244</w:t>
            </w:r>
          </w:hyperlink>
        </w:p>
        <w:p>
          <w:pPr>
            <w:pStyle w:val="Contents6"/>
            <w:tabs>
              <w:tab w:val="clear" w:pos="7609"/>
              <w:tab w:val="right" w:pos="9026" w:leader="dot"/>
            </w:tabs>
            <w:rPr/>
          </w:pPr>
          <w:hyperlink w:anchor="__RefHeading___Toc795749_222507752">
            <w:r>
              <w:rPr>
                <w:webHidden/>
                <w:rStyle w:val="IndexLink"/>
                <w:rtl w:val="true"/>
              </w:rPr>
              <w:t>مسألة</w:t>
            </w:r>
            <w:r>
              <w:rPr>
                <w:rStyle w:val="IndexLink"/>
                <w:rtl w:val="true"/>
              </w:rPr>
              <w:t>:</w:t>
            </w:r>
            <w:r>
              <w:rPr>
                <w:rStyle w:val="IndexLink"/>
                <w:rtl w:val="true"/>
              </w:rPr>
              <w:t>يكره للجنب أشياء</w:t>
            </w:r>
            <w:r>
              <w:rPr>
                <w:rStyle w:val="IndexLink"/>
                <w:rtl w:val="true"/>
              </w:rPr>
              <w:t>:</w:t>
              <w:tab/>
            </w:r>
            <w:r>
              <w:rPr>
                <w:rStyle w:val="IndexLink"/>
              </w:rPr>
              <w:t>245</w:t>
            </w:r>
          </w:hyperlink>
        </w:p>
        <w:p>
          <w:pPr>
            <w:pStyle w:val="Contents6"/>
            <w:tabs>
              <w:tab w:val="clear" w:pos="7609"/>
              <w:tab w:val="right" w:pos="9026" w:leader="dot"/>
            </w:tabs>
            <w:rPr/>
          </w:pPr>
          <w:hyperlink w:anchor="__RefHeading___Toc795751_222507752">
            <w:r>
              <w:rPr>
                <w:webHidden/>
                <w:rStyle w:val="IndexLink"/>
                <w:rtl w:val="true"/>
              </w:rPr>
              <w:t>أحدها</w:t>
            </w:r>
            <w:r>
              <w:rPr>
                <w:rStyle w:val="IndexLink"/>
                <w:rtl w:val="true"/>
              </w:rPr>
              <w:t>:</w:t>
            </w:r>
            <w:r>
              <w:rPr>
                <w:rStyle w:val="IndexLink"/>
                <w:rtl w:val="true"/>
              </w:rPr>
              <w:t>النّوم قبل الوضوء</w:t>
            </w:r>
            <w:r>
              <w:rPr>
                <w:rStyle w:val="IndexLink"/>
                <w:rtl w:val="true"/>
              </w:rPr>
              <w:t>.</w:t>
              <w:tab/>
            </w:r>
            <w:r>
              <w:rPr>
                <w:rStyle w:val="IndexLink"/>
              </w:rPr>
              <w:t>245</w:t>
            </w:r>
          </w:hyperlink>
        </w:p>
        <w:p>
          <w:pPr>
            <w:pStyle w:val="Contents6"/>
            <w:tabs>
              <w:tab w:val="clear" w:pos="7609"/>
              <w:tab w:val="right" w:pos="9026" w:leader="dot"/>
            </w:tabs>
            <w:rPr/>
          </w:pPr>
          <w:hyperlink w:anchor="__RefHeading___Toc795753_222507752">
            <w:r>
              <w:rPr>
                <w:webHidden/>
                <w:rStyle w:val="IndexLink"/>
                <w:rtl w:val="true"/>
              </w:rPr>
              <w:t>الثّاني</w:t>
            </w:r>
            <w:r>
              <w:rPr>
                <w:rStyle w:val="IndexLink"/>
                <w:rtl w:val="true"/>
              </w:rPr>
              <w:t>:</w:t>
            </w:r>
            <w:r>
              <w:rPr>
                <w:rStyle w:val="IndexLink"/>
                <w:rtl w:val="true"/>
              </w:rPr>
              <w:t>يكره له الأكل و الشّرب قبل المضمضة و الاستنشاق أو الوضوء،</w:t>
            </w:r>
            <w:r>
              <w:rPr>
                <w:rStyle w:val="IndexLink"/>
                <w:rtl w:val="true"/>
              </w:rPr>
              <w:tab/>
            </w:r>
            <w:r>
              <w:rPr>
                <w:rStyle w:val="IndexLink"/>
              </w:rPr>
              <w:t>247</w:t>
            </w:r>
          </w:hyperlink>
        </w:p>
        <w:p>
          <w:pPr>
            <w:pStyle w:val="Contents6"/>
            <w:tabs>
              <w:tab w:val="clear" w:pos="7609"/>
              <w:tab w:val="right" w:pos="9026" w:leader="dot"/>
            </w:tabs>
            <w:rPr/>
          </w:pPr>
          <w:hyperlink w:anchor="__RefHeading___Toc795755_222507752">
            <w:r>
              <w:rPr>
                <w:webHidden/>
                <w:rStyle w:val="IndexLink"/>
                <w:rtl w:val="true"/>
              </w:rPr>
              <w:t>الثّالث</w:t>
            </w:r>
            <w:r>
              <w:rPr>
                <w:rStyle w:val="IndexLink"/>
                <w:rtl w:val="true"/>
              </w:rPr>
              <w:t>:</w:t>
            </w:r>
            <w:r>
              <w:rPr>
                <w:rStyle w:val="IndexLink"/>
                <w:rtl w:val="true"/>
              </w:rPr>
              <w:t>ذكر أصحابنا انّه يكره للمحتلم الجماع قبل الغسل ،</w:t>
            </w:r>
            <w:r>
              <w:rPr>
                <w:rStyle w:val="IndexLink"/>
                <w:rtl w:val="true"/>
              </w:rPr>
              <w:tab/>
            </w:r>
            <w:r>
              <w:rPr>
                <w:rStyle w:val="IndexLink"/>
              </w:rPr>
              <w:t>249</w:t>
            </w:r>
          </w:hyperlink>
        </w:p>
        <w:p>
          <w:pPr>
            <w:pStyle w:val="Contents6"/>
            <w:tabs>
              <w:tab w:val="clear" w:pos="7609"/>
              <w:tab w:val="right" w:pos="9026" w:leader="dot"/>
            </w:tabs>
            <w:rPr/>
          </w:pPr>
          <w:hyperlink w:anchor="__RefHeading___Toc795757_222507752">
            <w:r>
              <w:rPr>
                <w:webHidden/>
                <w:rStyle w:val="IndexLink"/>
                <w:rtl w:val="true"/>
              </w:rPr>
              <w:t>الرّابع</w:t>
            </w:r>
            <w:r>
              <w:rPr>
                <w:rStyle w:val="IndexLink"/>
                <w:rtl w:val="true"/>
              </w:rPr>
              <w:t>:</w:t>
            </w:r>
            <w:r>
              <w:rPr>
                <w:rStyle w:val="IndexLink"/>
                <w:rtl w:val="true"/>
              </w:rPr>
              <w:t>الخضاب مكروه</w:t>
            </w:r>
            <w:r>
              <w:rPr>
                <w:rStyle w:val="IndexLink"/>
                <w:rtl w:val="true"/>
              </w:rPr>
              <w:tab/>
            </w:r>
            <w:r>
              <w:rPr>
                <w:rStyle w:val="IndexLink"/>
              </w:rPr>
              <w:t>249</w:t>
            </w:r>
          </w:hyperlink>
        </w:p>
        <w:p>
          <w:pPr>
            <w:pStyle w:val="Contents6"/>
            <w:tabs>
              <w:tab w:val="clear" w:pos="7609"/>
              <w:tab w:val="right" w:pos="9026" w:leader="dot"/>
            </w:tabs>
            <w:rPr/>
          </w:pPr>
          <w:hyperlink w:anchor="__RefHeading___Toc795759_222507752">
            <w:r>
              <w:rPr>
                <w:webHidden/>
                <w:rStyle w:val="IndexLink"/>
                <w:rtl w:val="true"/>
              </w:rPr>
              <w:t>الخامس</w:t>
            </w:r>
            <w:r>
              <w:rPr>
                <w:rStyle w:val="IndexLink"/>
                <w:rtl w:val="true"/>
              </w:rPr>
              <w:t>:</w:t>
            </w:r>
            <w:r>
              <w:rPr>
                <w:rStyle w:val="IndexLink"/>
                <w:rtl w:val="true"/>
              </w:rPr>
              <w:t>الادهان مكروه للجنب،</w:t>
            </w:r>
            <w:r>
              <w:rPr>
                <w:rStyle w:val="IndexLink"/>
                <w:rtl w:val="true"/>
              </w:rPr>
              <w:tab/>
            </w:r>
            <w:r>
              <w:rPr>
                <w:rStyle w:val="IndexLink"/>
              </w:rPr>
              <w:t>252</w:t>
            </w:r>
          </w:hyperlink>
        </w:p>
        <w:p>
          <w:pPr>
            <w:pStyle w:val="Contents6"/>
            <w:tabs>
              <w:tab w:val="clear" w:pos="7609"/>
              <w:tab w:val="right" w:pos="9026" w:leader="dot"/>
            </w:tabs>
            <w:rPr/>
          </w:pPr>
          <w:hyperlink w:anchor="__RefHeading___Toc795761_222507752">
            <w:r>
              <w:rPr>
                <w:webHidden/>
                <w:rStyle w:val="IndexLink"/>
                <w:rtl w:val="true"/>
              </w:rPr>
              <w:t>السّادس</w:t>
            </w:r>
            <w:r>
              <w:rPr>
                <w:rStyle w:val="IndexLink"/>
                <w:rtl w:val="true"/>
              </w:rPr>
              <w:t>:</w:t>
            </w:r>
            <w:r>
              <w:rPr>
                <w:rStyle w:val="IndexLink"/>
                <w:rtl w:val="true"/>
              </w:rPr>
              <w:t>نقل ابن بابويه،عن الصّادق عليه السّلام،</w:t>
            </w:r>
            <w:r>
              <w:rPr>
                <w:rStyle w:val="IndexLink"/>
                <w:rtl w:val="true"/>
              </w:rPr>
              <w:tab/>
            </w:r>
            <w:r>
              <w:rPr>
                <w:rStyle w:val="IndexLink"/>
              </w:rPr>
              <w:t>252</w:t>
            </w:r>
          </w:hyperlink>
        </w:p>
        <w:p>
          <w:pPr>
            <w:pStyle w:val="Contents6"/>
            <w:tabs>
              <w:tab w:val="clear" w:pos="7609"/>
              <w:tab w:val="right" w:pos="9026" w:leader="dot"/>
            </w:tabs>
            <w:rPr/>
          </w:pPr>
          <w:hyperlink w:anchor="__RefHeading___Toc795763_222507752">
            <w:r>
              <w:rPr>
                <w:webHidden/>
                <w:rStyle w:val="IndexLink"/>
                <w:rtl w:val="true"/>
              </w:rPr>
              <w:t>مسألة</w:t>
            </w:r>
            <w:r>
              <w:rPr>
                <w:rStyle w:val="IndexLink"/>
                <w:rtl w:val="true"/>
              </w:rPr>
              <w:t>:</w:t>
            </w:r>
            <w:r>
              <w:rPr>
                <w:rStyle w:val="IndexLink"/>
                <w:rtl w:val="true"/>
              </w:rPr>
              <w:t>و يكفي غسل الجنابة عن الوضوء</w:t>
            </w:r>
            <w:r>
              <w:rPr>
                <w:rStyle w:val="IndexLink"/>
                <w:rtl w:val="true"/>
              </w:rPr>
              <w:tab/>
            </w:r>
            <w:r>
              <w:rPr>
                <w:rStyle w:val="IndexLink"/>
              </w:rPr>
              <w:t>252</w:t>
            </w:r>
          </w:hyperlink>
        </w:p>
        <w:p>
          <w:pPr>
            <w:pStyle w:val="Contents6"/>
            <w:tabs>
              <w:tab w:val="clear" w:pos="7609"/>
              <w:tab w:val="right" w:pos="9026" w:leader="dot"/>
            </w:tabs>
            <w:rPr/>
          </w:pPr>
          <w:hyperlink w:anchor="__RefHeading___Toc795765_222507752">
            <w:r>
              <w:rPr>
                <w:webHidden/>
                <w:rStyle w:val="IndexLink"/>
                <w:rtl w:val="true"/>
              </w:rPr>
              <w:t>فروع</w:t>
            </w:r>
            <w:r>
              <w:rPr>
                <w:rStyle w:val="IndexLink"/>
                <w:rtl w:val="true"/>
              </w:rPr>
              <w:t>:</w:t>
              <w:tab/>
            </w:r>
            <w:r>
              <w:rPr>
                <w:rStyle w:val="IndexLink"/>
              </w:rPr>
              <w:t>255</w:t>
            </w:r>
          </w:hyperlink>
        </w:p>
        <w:p>
          <w:pPr>
            <w:pStyle w:val="Contents6"/>
            <w:tabs>
              <w:tab w:val="clear" w:pos="7609"/>
              <w:tab w:val="right" w:pos="9026" w:leader="dot"/>
            </w:tabs>
            <w:rPr/>
          </w:pPr>
          <w:hyperlink w:anchor="__RefHeading___Toc795767_222507752">
            <w:r>
              <w:rPr>
                <w:webHidden/>
                <w:rStyle w:val="IndexLink"/>
                <w:rtl w:val="true"/>
              </w:rPr>
              <w:t>الأوّل</w:t>
            </w:r>
            <w:r>
              <w:rPr>
                <w:rStyle w:val="IndexLink"/>
                <w:rtl w:val="true"/>
              </w:rPr>
              <w:t>:</w:t>
            </w:r>
            <w:r>
              <w:rPr>
                <w:rStyle w:val="IndexLink"/>
                <w:rtl w:val="true"/>
              </w:rPr>
              <w:t>لا يستحبّ الوضوء قبله عندنا</w:t>
            </w:r>
            <w:r>
              <w:rPr>
                <w:rStyle w:val="IndexLink"/>
                <w:rtl w:val="true"/>
              </w:rPr>
              <w:tab/>
            </w:r>
            <w:r>
              <w:rPr>
                <w:rStyle w:val="IndexLink"/>
              </w:rPr>
              <w:t>255</w:t>
            </w:r>
          </w:hyperlink>
        </w:p>
        <w:p>
          <w:pPr>
            <w:pStyle w:val="Contents6"/>
            <w:tabs>
              <w:tab w:val="clear" w:pos="7609"/>
              <w:tab w:val="right" w:pos="9026" w:leader="dot"/>
            </w:tabs>
            <w:rPr/>
          </w:pPr>
          <w:hyperlink w:anchor="__RefHeading___Toc795769_222507752">
            <w:r>
              <w:rPr>
                <w:webHidden/>
                <w:rStyle w:val="IndexLink"/>
                <w:rtl w:val="true"/>
              </w:rPr>
              <w:t>الثّاني</w:t>
            </w:r>
            <w:r>
              <w:rPr>
                <w:rStyle w:val="IndexLink"/>
                <w:rtl w:val="true"/>
              </w:rPr>
              <w:t>:</w:t>
            </w:r>
            <w:r>
              <w:rPr>
                <w:rStyle w:val="IndexLink"/>
                <w:rtl w:val="true"/>
              </w:rPr>
              <w:t>هل يكفي الغسل مطلقا</w:t>
            </w:r>
            <w:r>
              <w:rPr>
                <w:rStyle w:val="IndexLink"/>
                <w:rtl w:val="true"/>
              </w:rPr>
              <w:tab/>
            </w:r>
            <w:r>
              <w:rPr>
                <w:rStyle w:val="IndexLink"/>
              </w:rPr>
              <w:t>255</w:t>
            </w:r>
          </w:hyperlink>
        </w:p>
        <w:p>
          <w:pPr>
            <w:pStyle w:val="Contents6"/>
            <w:tabs>
              <w:tab w:val="clear" w:pos="7609"/>
              <w:tab w:val="right" w:pos="9026" w:leader="dot"/>
            </w:tabs>
            <w:rPr/>
          </w:pPr>
          <w:hyperlink w:anchor="__RefHeading___Toc795771_222507752">
            <w:r>
              <w:rPr>
                <w:webHidden/>
                <w:rStyle w:val="IndexLink"/>
                <w:rtl w:val="true"/>
              </w:rPr>
              <w:t>الثّالث</w:t>
            </w:r>
            <w:r>
              <w:rPr>
                <w:rStyle w:val="IndexLink"/>
                <w:rtl w:val="true"/>
              </w:rPr>
              <w:t>:</w:t>
            </w:r>
            <w:r>
              <w:rPr>
                <w:rStyle w:val="IndexLink"/>
                <w:rtl w:val="true"/>
              </w:rPr>
              <w:t>لو اجتمعت أغسال واجبة معه أجزأه غسل واحد</w:t>
            </w:r>
            <w:r>
              <w:rPr>
                <w:rStyle w:val="IndexLink"/>
                <w:rtl w:val="true"/>
              </w:rPr>
              <w:tab/>
            </w:r>
            <w:r>
              <w:rPr>
                <w:rStyle w:val="IndexLink"/>
              </w:rPr>
              <w:t>258</w:t>
            </w:r>
          </w:hyperlink>
        </w:p>
        <w:p>
          <w:pPr>
            <w:pStyle w:val="Contents6"/>
            <w:tabs>
              <w:tab w:val="clear" w:pos="7609"/>
              <w:tab w:val="right" w:pos="9026" w:leader="dot"/>
            </w:tabs>
            <w:rPr/>
          </w:pPr>
          <w:hyperlink w:anchor="__RefHeading___Toc795773_222507752">
            <w:r>
              <w:rPr>
                <w:webHidden/>
                <w:rStyle w:val="IndexLink"/>
                <w:rtl w:val="true"/>
              </w:rPr>
              <w:t>مسألة</w:t>
            </w:r>
            <w:r>
              <w:rPr>
                <w:rStyle w:val="IndexLink"/>
                <w:rtl w:val="true"/>
              </w:rPr>
              <w:t>:</w:t>
            </w:r>
            <w:r>
              <w:rPr>
                <w:rStyle w:val="IndexLink"/>
                <w:rtl w:val="true"/>
              </w:rPr>
              <w:t>إذا جرى الماء تحت قدمي الجنب أجزأه و إلاّ وجب غسلهما</w:t>
            </w:r>
            <w:r>
              <w:rPr>
                <w:rStyle w:val="IndexLink"/>
                <w:rtl w:val="true"/>
              </w:rPr>
              <w:t>.</w:t>
              <w:tab/>
            </w:r>
            <w:r>
              <w:rPr>
                <w:rStyle w:val="IndexLink"/>
              </w:rPr>
              <w:t>261</w:t>
            </w:r>
          </w:hyperlink>
        </w:p>
        <w:p>
          <w:pPr>
            <w:pStyle w:val="Contents6"/>
            <w:tabs>
              <w:tab w:val="clear" w:pos="7609"/>
              <w:tab w:val="right" w:pos="9026" w:leader="dot"/>
            </w:tabs>
            <w:rPr/>
          </w:pPr>
          <w:hyperlink w:anchor="__RefHeading___Toc795775_222507752">
            <w:r>
              <w:rPr>
                <w:webHidden/>
                <w:rStyle w:val="IndexLink"/>
                <w:rtl w:val="true"/>
              </w:rPr>
              <w:t>فروع</w:t>
            </w:r>
            <w:r>
              <w:rPr>
                <w:rStyle w:val="IndexLink"/>
                <w:rtl w:val="true"/>
              </w:rPr>
              <w:t>:</w:t>
              <w:tab/>
            </w:r>
            <w:r>
              <w:rPr>
                <w:rStyle w:val="IndexLink"/>
              </w:rPr>
              <w:t>262</w:t>
            </w:r>
          </w:hyperlink>
        </w:p>
        <w:p>
          <w:pPr>
            <w:pStyle w:val="Contents6"/>
            <w:tabs>
              <w:tab w:val="clear" w:pos="7609"/>
              <w:tab w:val="right" w:pos="9026" w:leader="dot"/>
            </w:tabs>
            <w:rPr/>
          </w:pPr>
          <w:hyperlink w:anchor="__RefHeading___Toc795777_222507752">
            <w:r>
              <w:rPr>
                <w:webHidden/>
                <w:rStyle w:val="IndexLink"/>
                <w:rtl w:val="true"/>
              </w:rPr>
              <w:t>الأوّل</w:t>
            </w:r>
            <w:r>
              <w:rPr>
                <w:rStyle w:val="IndexLink"/>
                <w:rtl w:val="true"/>
              </w:rPr>
              <w:t>:</w:t>
            </w:r>
            <w:r>
              <w:rPr>
                <w:rStyle w:val="IndexLink"/>
                <w:rtl w:val="true"/>
              </w:rPr>
              <w:t>غسل الرّجلين تابع للطّرفين،</w:t>
            </w:r>
            <w:r>
              <w:rPr>
                <w:rStyle w:val="IndexLink"/>
                <w:rtl w:val="true"/>
              </w:rPr>
              <w:tab/>
            </w:r>
            <w:r>
              <w:rPr>
                <w:rStyle w:val="IndexLink"/>
              </w:rPr>
              <w:t>262</w:t>
            </w:r>
          </w:hyperlink>
        </w:p>
        <w:p>
          <w:pPr>
            <w:pStyle w:val="Contents6"/>
            <w:tabs>
              <w:tab w:val="clear" w:pos="7609"/>
              <w:tab w:val="right" w:pos="9026" w:leader="dot"/>
            </w:tabs>
            <w:rPr/>
          </w:pPr>
          <w:hyperlink w:anchor="__RefHeading___Toc795779_222507752">
            <w:r>
              <w:rPr>
                <w:webHidden/>
                <w:rStyle w:val="IndexLink"/>
                <w:rtl w:val="true"/>
              </w:rPr>
              <w:t>الثّاني</w:t>
            </w:r>
            <w:r>
              <w:rPr>
                <w:rStyle w:val="IndexLink"/>
                <w:rtl w:val="true"/>
              </w:rPr>
              <w:t>:</w:t>
            </w:r>
            <w:r>
              <w:rPr>
                <w:rStyle w:val="IndexLink"/>
                <w:rtl w:val="true"/>
              </w:rPr>
              <w:t>لا يجب عليه تخليل الأصابع</w:t>
            </w:r>
            <w:r>
              <w:rPr>
                <w:rStyle w:val="IndexLink"/>
                <w:rtl w:val="true"/>
              </w:rPr>
              <w:tab/>
            </w:r>
            <w:r>
              <w:rPr>
                <w:rStyle w:val="IndexLink"/>
              </w:rPr>
              <w:t>262</w:t>
            </w:r>
          </w:hyperlink>
        </w:p>
        <w:p>
          <w:pPr>
            <w:pStyle w:val="Contents6"/>
            <w:tabs>
              <w:tab w:val="clear" w:pos="7609"/>
              <w:tab w:val="right" w:pos="9026" w:leader="dot"/>
            </w:tabs>
            <w:rPr/>
          </w:pPr>
          <w:hyperlink w:anchor="__RefHeading___Toc795781_222507752">
            <w:r>
              <w:rPr>
                <w:webHidden/>
                <w:rStyle w:val="IndexLink"/>
                <w:rtl w:val="true"/>
              </w:rPr>
              <w:t>الثّالث</w:t>
            </w:r>
            <w:r>
              <w:rPr>
                <w:rStyle w:val="IndexLink"/>
                <w:rtl w:val="true"/>
              </w:rPr>
              <w:t>:</w:t>
            </w:r>
            <w:r>
              <w:rPr>
                <w:rStyle w:val="IndexLink"/>
                <w:rtl w:val="true"/>
              </w:rPr>
              <w:t>لو خاض في النّهر و أرضه وحلة للاغتسال،فإن كان مرتمسا أجزأه،</w:t>
            </w:r>
            <w:r>
              <w:rPr>
                <w:rStyle w:val="IndexLink"/>
                <w:rtl w:val="true"/>
              </w:rPr>
              <w:tab/>
            </w:r>
            <w:r>
              <w:rPr>
                <w:rStyle w:val="IndexLink"/>
              </w:rPr>
              <w:t>262</w:t>
            </w:r>
          </w:hyperlink>
        </w:p>
        <w:p>
          <w:pPr>
            <w:pStyle w:val="Contents6"/>
            <w:tabs>
              <w:tab w:val="clear" w:pos="7609"/>
              <w:tab w:val="right" w:pos="9026" w:leader="dot"/>
            </w:tabs>
            <w:rPr/>
          </w:pPr>
          <w:hyperlink w:anchor="__RefHeading___Toc795783_222507752">
            <w:r>
              <w:rPr>
                <w:webHidden/>
                <w:rStyle w:val="IndexLink"/>
                <w:rtl w:val="true"/>
              </w:rPr>
              <w:t>مسألة</w:t>
            </w:r>
            <w:r>
              <w:rPr>
                <w:rStyle w:val="IndexLink"/>
                <w:rtl w:val="true"/>
              </w:rPr>
              <w:t>:</w:t>
            </w:r>
            <w:r>
              <w:rPr>
                <w:rStyle w:val="IndexLink"/>
                <w:rtl w:val="true"/>
              </w:rPr>
              <w:t>إذا اغتسل ثمَّ رأى بللا،فإنّ تيقّنه منيّا أعاد الغسل،</w:t>
            </w:r>
            <w:r>
              <w:rPr>
                <w:rStyle w:val="IndexLink"/>
                <w:rtl w:val="true"/>
              </w:rPr>
              <w:tab/>
            </w:r>
            <w:r>
              <w:rPr>
                <w:rStyle w:val="IndexLink"/>
              </w:rPr>
              <w:t>262</w:t>
            </w:r>
          </w:hyperlink>
        </w:p>
        <w:p>
          <w:pPr>
            <w:pStyle w:val="Contents6"/>
            <w:tabs>
              <w:tab w:val="clear" w:pos="7609"/>
              <w:tab w:val="right" w:pos="9026" w:leader="dot"/>
            </w:tabs>
            <w:rPr/>
          </w:pPr>
          <w:hyperlink w:anchor="__RefHeading___Toc795785_222507752">
            <w:r>
              <w:rPr>
                <w:webHidden/>
                <w:rStyle w:val="IndexLink"/>
                <w:rtl w:val="true"/>
              </w:rPr>
              <w:t>فروع</w:t>
            </w:r>
            <w:r>
              <w:rPr>
                <w:rStyle w:val="IndexLink"/>
                <w:rtl w:val="true"/>
              </w:rPr>
              <w:t>:</w:t>
              <w:tab/>
            </w:r>
            <w:r>
              <w:rPr>
                <w:rStyle w:val="IndexLink"/>
              </w:rPr>
              <w:t>268</w:t>
            </w:r>
          </w:hyperlink>
        </w:p>
        <w:p>
          <w:pPr>
            <w:pStyle w:val="Contents6"/>
            <w:tabs>
              <w:tab w:val="clear" w:pos="7609"/>
              <w:tab w:val="right" w:pos="9026" w:leader="dot"/>
            </w:tabs>
            <w:rPr/>
          </w:pPr>
          <w:hyperlink w:anchor="__RefHeading___Toc795787_222507752">
            <w:r>
              <w:rPr>
                <w:webHidden/>
                <w:rStyle w:val="IndexLink"/>
                <w:rtl w:val="true"/>
              </w:rPr>
              <w:t>الأوّل</w:t>
            </w:r>
            <w:r>
              <w:rPr>
                <w:rStyle w:val="IndexLink"/>
                <w:rtl w:val="true"/>
              </w:rPr>
              <w:t>:</w:t>
            </w:r>
            <w:r>
              <w:rPr>
                <w:rStyle w:val="IndexLink"/>
                <w:rtl w:val="true"/>
              </w:rPr>
              <w:t>لو صلّى،ثمَّ رأى بعد ذلك منيّا قطعا،أعاد الغسل</w:t>
            </w:r>
            <w:r>
              <w:rPr>
                <w:rStyle w:val="IndexLink"/>
                <w:rtl w:val="true"/>
              </w:rPr>
              <w:tab/>
            </w:r>
            <w:r>
              <w:rPr>
                <w:rStyle w:val="IndexLink"/>
              </w:rPr>
              <w:t>268</w:t>
            </w:r>
          </w:hyperlink>
        </w:p>
        <w:p>
          <w:pPr>
            <w:pStyle w:val="Contents6"/>
            <w:tabs>
              <w:tab w:val="clear" w:pos="7609"/>
              <w:tab w:val="right" w:pos="9026" w:leader="dot"/>
            </w:tabs>
            <w:rPr/>
          </w:pPr>
          <w:hyperlink w:anchor="__RefHeading___Toc795789_222507752">
            <w:r>
              <w:rPr>
                <w:webHidden/>
                <w:rStyle w:val="IndexLink"/>
                <w:rtl w:val="true"/>
              </w:rPr>
              <w:t>الثّاني</w:t>
            </w:r>
            <w:r>
              <w:rPr>
                <w:rStyle w:val="IndexLink"/>
                <w:rtl w:val="true"/>
              </w:rPr>
              <w:t>:</w:t>
            </w:r>
            <w:r>
              <w:rPr>
                <w:rStyle w:val="IndexLink"/>
                <w:rtl w:val="true"/>
              </w:rPr>
              <w:t>لو جامع و لم ينزل لم يجب عليه الاستبراء،</w:t>
            </w:r>
            <w:r>
              <w:rPr>
                <w:rStyle w:val="IndexLink"/>
                <w:rtl w:val="true"/>
              </w:rPr>
              <w:tab/>
            </w:r>
            <w:r>
              <w:rPr>
                <w:rStyle w:val="IndexLink"/>
              </w:rPr>
              <w:t>268</w:t>
            </w:r>
          </w:hyperlink>
        </w:p>
        <w:p>
          <w:pPr>
            <w:pStyle w:val="Contents6"/>
            <w:tabs>
              <w:tab w:val="clear" w:pos="7609"/>
              <w:tab w:val="right" w:pos="9026" w:leader="dot"/>
            </w:tabs>
            <w:rPr/>
          </w:pPr>
          <w:hyperlink w:anchor="__RefHeading___Toc795791_222507752">
            <w:r>
              <w:rPr>
                <w:webHidden/>
                <w:rStyle w:val="IndexLink"/>
                <w:rtl w:val="true"/>
              </w:rPr>
              <w:t>الثّالث</w:t>
            </w:r>
            <w:r>
              <w:rPr>
                <w:rStyle w:val="IndexLink"/>
                <w:rtl w:val="true"/>
              </w:rPr>
              <w:t>:</w:t>
            </w:r>
            <w:r>
              <w:rPr>
                <w:rStyle w:val="IndexLink"/>
                <w:rtl w:val="true"/>
              </w:rPr>
              <w:t>هل تستبرئ المرأة أم لا؟فيه توقّف،</w:t>
            </w:r>
            <w:r>
              <w:rPr>
                <w:rStyle w:val="IndexLink"/>
                <w:rtl w:val="true"/>
              </w:rPr>
              <w:tab/>
            </w:r>
            <w:r>
              <w:rPr>
                <w:rStyle w:val="IndexLink"/>
              </w:rPr>
              <w:t>268</w:t>
            </w:r>
          </w:hyperlink>
        </w:p>
        <w:p>
          <w:pPr>
            <w:pStyle w:val="Contents6"/>
            <w:tabs>
              <w:tab w:val="clear" w:pos="7609"/>
              <w:tab w:val="right" w:pos="9026" w:leader="dot"/>
            </w:tabs>
            <w:rPr/>
          </w:pPr>
          <w:hyperlink w:anchor="__RefHeading___Toc795793_222507752">
            <w:r>
              <w:rPr>
                <w:webHidden/>
                <w:rStyle w:val="IndexLink"/>
                <w:rtl w:val="true"/>
              </w:rPr>
              <w:t>الرّابع</w:t>
            </w:r>
            <w:r>
              <w:rPr>
                <w:rStyle w:val="IndexLink"/>
                <w:rtl w:val="true"/>
              </w:rPr>
              <w:t>:</w:t>
            </w:r>
            <w:r>
              <w:rPr>
                <w:rStyle w:val="IndexLink"/>
                <w:rtl w:val="true"/>
              </w:rPr>
              <w:t>لو رأت بللا فلا إعادة،</w:t>
            </w:r>
            <w:r>
              <w:rPr>
                <w:rStyle w:val="IndexLink"/>
                <w:rtl w:val="true"/>
              </w:rPr>
              <w:tab/>
            </w:r>
            <w:r>
              <w:rPr>
                <w:rStyle w:val="IndexLink"/>
              </w:rPr>
              <w:t>268</w:t>
            </w:r>
          </w:hyperlink>
        </w:p>
        <w:p>
          <w:pPr>
            <w:pStyle w:val="Contents6"/>
            <w:tabs>
              <w:tab w:val="clear" w:pos="7609"/>
              <w:tab w:val="right" w:pos="9026" w:leader="dot"/>
            </w:tabs>
            <w:rPr/>
          </w:pPr>
          <w:hyperlink w:anchor="__RefHeading___Toc795795_222507752">
            <w:r>
              <w:rPr>
                <w:webHidden/>
                <w:rStyle w:val="IndexLink"/>
                <w:rtl w:val="true"/>
              </w:rPr>
              <w:t>الخامس</w:t>
            </w:r>
            <w:r>
              <w:rPr>
                <w:rStyle w:val="IndexLink"/>
                <w:rtl w:val="true"/>
              </w:rPr>
              <w:t>:</w:t>
            </w:r>
            <w:r>
              <w:rPr>
                <w:rStyle w:val="IndexLink"/>
                <w:rtl w:val="true"/>
              </w:rPr>
              <w:t>لو لم يتأتّ البول ففي إلحاقه بحدث البول إشكال</w:t>
            </w:r>
            <w:r>
              <w:rPr>
                <w:rStyle w:val="IndexLink"/>
                <w:rtl w:val="true"/>
              </w:rPr>
              <w:tab/>
            </w:r>
            <w:r>
              <w:rPr>
                <w:rStyle w:val="IndexLink"/>
              </w:rPr>
              <w:t>269</w:t>
            </w:r>
          </w:hyperlink>
        </w:p>
        <w:p>
          <w:pPr>
            <w:pStyle w:val="Contents6"/>
            <w:tabs>
              <w:tab w:val="clear" w:pos="7609"/>
              <w:tab w:val="right" w:pos="9026" w:leader="dot"/>
            </w:tabs>
            <w:rPr/>
          </w:pPr>
          <w:hyperlink w:anchor="__RefHeading___Toc795797_222507752">
            <w:r>
              <w:rPr>
                <w:webHidden/>
                <w:rStyle w:val="IndexLink"/>
                <w:rtl w:val="true"/>
              </w:rPr>
              <w:t>مسألة</w:t>
            </w:r>
            <w:r>
              <w:rPr>
                <w:rStyle w:val="IndexLink"/>
                <w:rtl w:val="true"/>
              </w:rPr>
              <w:t>:</w:t>
            </w:r>
            <w:r>
              <w:rPr>
                <w:rStyle w:val="IndexLink"/>
                <w:rtl w:val="true"/>
              </w:rPr>
              <w:t>إذا أحدث حدثا أصغر في أثناء الغسل،قال الشّيخ في النّهاية</w:t>
            </w:r>
            <w:r>
              <w:rPr>
                <w:rStyle w:val="IndexLink"/>
                <w:rtl w:val="true"/>
              </w:rPr>
              <w:tab/>
            </w:r>
            <w:r>
              <w:rPr>
                <w:rStyle w:val="IndexLink"/>
              </w:rPr>
              <w:t>269</w:t>
            </w:r>
          </w:hyperlink>
        </w:p>
        <w:p>
          <w:pPr>
            <w:pStyle w:val="Contents6"/>
            <w:tabs>
              <w:tab w:val="clear" w:pos="7609"/>
              <w:tab w:val="right" w:pos="9026" w:leader="dot"/>
            </w:tabs>
            <w:rPr/>
          </w:pPr>
          <w:hyperlink w:anchor="__RefHeading___Toc795799_222507752">
            <w:r>
              <w:rPr>
                <w:webHidden/>
                <w:rStyle w:val="IndexLink"/>
                <w:rtl w:val="true"/>
              </w:rPr>
              <w:t>خاتمة</w:t>
            </w:r>
            <w:r>
              <w:rPr>
                <w:rStyle w:val="IndexLink"/>
                <w:rtl w:val="true"/>
              </w:rPr>
              <w:t>:</w:t>
            </w:r>
            <w:r>
              <w:rPr>
                <w:rStyle w:val="IndexLink"/>
                <w:rtl w:val="true"/>
              </w:rPr>
              <w:t>تشتمل على فصول</w:t>
            </w:r>
            <w:r>
              <w:rPr>
                <w:rStyle w:val="IndexLink"/>
                <w:rtl w:val="true"/>
              </w:rPr>
              <w:t>:</w:t>
              <w:tab/>
            </w:r>
            <w:r>
              <w:rPr>
                <w:rStyle w:val="IndexLink"/>
              </w:rPr>
              <w:t>271</w:t>
            </w:r>
          </w:hyperlink>
        </w:p>
        <w:p>
          <w:pPr>
            <w:pStyle w:val="Contents6"/>
            <w:tabs>
              <w:tab w:val="clear" w:pos="7609"/>
              <w:tab w:val="right" w:pos="9026" w:leader="dot"/>
            </w:tabs>
            <w:rPr/>
          </w:pPr>
          <w:hyperlink w:anchor="__RefHeading___Toc795801_222507752">
            <w:r>
              <w:rPr>
                <w:webHidden/>
                <w:rStyle w:val="IndexLink"/>
                <w:rtl w:val="true"/>
              </w:rPr>
              <w:t>فصل</w:t>
            </w:r>
            <w:r>
              <w:rPr>
                <w:rStyle w:val="IndexLink"/>
                <w:rtl w:val="true"/>
              </w:rPr>
              <w:t>:</w:t>
            </w:r>
            <w:r>
              <w:rPr>
                <w:rStyle w:val="IndexLink"/>
                <w:rtl w:val="true"/>
              </w:rPr>
              <w:t>أطنب المتأخّرون في المنازعة بينهم في انّ غسل الجنابة هل هو واجب لنفسه أو</w:t>
            </w:r>
            <w:r>
              <w:rPr>
                <w:rStyle w:val="IndexLink"/>
                <w:rtl w:val="true"/>
              </w:rPr>
              <w:tab/>
            </w:r>
            <w:r>
              <w:rPr>
                <w:rStyle w:val="IndexLink"/>
              </w:rPr>
              <w:t>271</w:t>
            </w:r>
          </w:hyperlink>
        </w:p>
        <w:p>
          <w:pPr>
            <w:pStyle w:val="Contents6"/>
            <w:tabs>
              <w:tab w:val="clear" w:pos="7609"/>
              <w:tab w:val="right" w:pos="9026" w:leader="dot"/>
            </w:tabs>
            <w:rPr/>
          </w:pPr>
          <w:hyperlink w:anchor="__RefHeading___Toc795803_222507752">
            <w:r>
              <w:rPr>
                <w:webHidden/>
                <w:rStyle w:val="IndexLink"/>
                <w:rtl w:val="true"/>
              </w:rPr>
              <w:t>فصل</w:t>
            </w:r>
            <w:r>
              <w:rPr>
                <w:rStyle w:val="IndexLink"/>
                <w:rtl w:val="true"/>
              </w:rPr>
              <w:t>:</w:t>
            </w:r>
            <w:r>
              <w:rPr>
                <w:rStyle w:val="IndexLink"/>
                <w:rtl w:val="true"/>
              </w:rPr>
              <w:t>لا بأس بالنّكاح في الحمّام و القراءة فيه،</w:t>
            </w:r>
            <w:r>
              <w:rPr>
                <w:rStyle w:val="IndexLink"/>
                <w:rtl w:val="true"/>
              </w:rPr>
              <w:tab/>
            </w:r>
            <w:r>
              <w:rPr>
                <w:rStyle w:val="IndexLink"/>
              </w:rPr>
              <w:t>274</w:t>
            </w:r>
          </w:hyperlink>
        </w:p>
        <w:p>
          <w:pPr>
            <w:pStyle w:val="Contents6"/>
            <w:tabs>
              <w:tab w:val="clear" w:pos="7609"/>
              <w:tab w:val="right" w:pos="9026" w:leader="dot"/>
            </w:tabs>
            <w:rPr/>
          </w:pPr>
          <w:hyperlink w:anchor="__RefHeading___Toc795805_222507752">
            <w:r>
              <w:rPr>
                <w:webHidden/>
                <w:rStyle w:val="IndexLink"/>
                <w:rtl w:val="true"/>
              </w:rPr>
              <w:t>فصل</w:t>
            </w:r>
            <w:r>
              <w:rPr>
                <w:rStyle w:val="IndexLink"/>
                <w:rtl w:val="true"/>
              </w:rPr>
              <w:t>:</w:t>
              <w:tab/>
            </w:r>
            <w:r>
              <w:rPr>
                <w:rStyle w:val="IndexLink"/>
              </w:rPr>
              <w:t>275</w:t>
            </w:r>
          </w:hyperlink>
        </w:p>
        <w:p>
          <w:pPr>
            <w:pStyle w:val="Contents6"/>
            <w:tabs>
              <w:tab w:val="clear" w:pos="7609"/>
              <w:tab w:val="right" w:pos="9026" w:leader="dot"/>
            </w:tabs>
            <w:rPr/>
          </w:pPr>
          <w:hyperlink w:anchor="__RefHeading___Toc795807_222507752">
            <w:r>
              <w:rPr>
                <w:webHidden/>
                <w:rStyle w:val="IndexLink"/>
                <w:rtl w:val="true"/>
              </w:rPr>
              <w:t>فصل</w:t>
            </w:r>
            <w:r>
              <w:rPr>
                <w:rStyle w:val="IndexLink"/>
                <w:rtl w:val="true"/>
              </w:rPr>
              <w:t>:</w:t>
              <w:tab/>
            </w:r>
            <w:r>
              <w:rPr>
                <w:rStyle w:val="IndexLink"/>
              </w:rPr>
              <w:t>275</w:t>
            </w:r>
          </w:hyperlink>
        </w:p>
        <w:p>
          <w:pPr>
            <w:pStyle w:val="Contents6"/>
            <w:tabs>
              <w:tab w:val="clear" w:pos="7609"/>
              <w:tab w:val="right" w:pos="9026" w:leader="dot"/>
            </w:tabs>
            <w:rPr/>
          </w:pPr>
          <w:hyperlink w:anchor="__RefHeading___Toc795809_222507752">
            <w:r>
              <w:rPr>
                <w:webHidden/>
                <w:rStyle w:val="IndexLink"/>
                <w:rtl w:val="true"/>
              </w:rPr>
              <w:t>فصل</w:t>
            </w:r>
            <w:r>
              <w:rPr>
                <w:rStyle w:val="IndexLink"/>
                <w:rtl w:val="true"/>
              </w:rPr>
              <w:t>:</w:t>
            </w:r>
            <w:r>
              <w:rPr>
                <w:rStyle w:val="IndexLink"/>
                <w:rtl w:val="true"/>
              </w:rPr>
              <w:t>و لا بأس بالجماع في الماء</w:t>
            </w:r>
            <w:r>
              <w:rPr>
                <w:rStyle w:val="IndexLink"/>
                <w:rtl w:val="true"/>
              </w:rPr>
              <w:tab/>
            </w:r>
            <w:r>
              <w:rPr>
                <w:rStyle w:val="IndexLink"/>
              </w:rPr>
              <w:t>276</w:t>
            </w:r>
          </w:hyperlink>
        </w:p>
        <w:p>
          <w:pPr>
            <w:pStyle w:val="Contents6"/>
            <w:tabs>
              <w:tab w:val="clear" w:pos="7609"/>
              <w:tab w:val="right" w:pos="9026" w:leader="dot"/>
            </w:tabs>
            <w:rPr/>
          </w:pPr>
          <w:hyperlink w:anchor="__RefHeading___Toc795811_222507752">
            <w:r>
              <w:rPr>
                <w:webHidden/>
                <w:rStyle w:val="IndexLink"/>
                <w:rtl w:val="true"/>
              </w:rPr>
              <w:t>فصل</w:t>
            </w:r>
            <w:r>
              <w:rPr>
                <w:rStyle w:val="IndexLink"/>
                <w:rtl w:val="true"/>
              </w:rPr>
              <w:t>:</w:t>
              <w:tab/>
            </w:r>
            <w:r>
              <w:rPr>
                <w:rStyle w:val="IndexLink"/>
              </w:rPr>
              <w:t>276</w:t>
            </w:r>
          </w:hyperlink>
        </w:p>
        <w:p>
          <w:pPr>
            <w:pStyle w:val="Contents6"/>
            <w:tabs>
              <w:tab w:val="clear" w:pos="7609"/>
              <w:tab w:val="right" w:pos="9026" w:leader="dot"/>
            </w:tabs>
            <w:rPr/>
          </w:pPr>
          <w:hyperlink w:anchor="__RefHeading___Toc795813_222507752">
            <w:r>
              <w:rPr>
                <w:webHidden/>
                <w:rStyle w:val="IndexLink"/>
                <w:rtl w:val="true"/>
              </w:rPr>
              <w:t>فصل</w:t>
            </w:r>
            <w:r>
              <w:rPr>
                <w:rStyle w:val="IndexLink"/>
                <w:rtl w:val="true"/>
              </w:rPr>
              <w:t>:</w:t>
            </w:r>
            <w:r>
              <w:rPr>
                <w:rStyle w:val="IndexLink"/>
                <w:rtl w:val="true"/>
              </w:rPr>
              <w:t>روى ابن بابويه في الصّحيح،عن الحلبيّ،قال</w:t>
            </w:r>
            <w:r>
              <w:rPr>
                <w:rStyle w:val="IndexLink"/>
                <w:rtl w:val="true"/>
              </w:rPr>
              <w:t>:</w:t>
            </w:r>
            <w:r>
              <w:rPr>
                <w:rStyle w:val="IndexLink"/>
                <w:rtl w:val="true"/>
              </w:rPr>
              <w:t>سألت أبا عبد اللّه عليه</w:t>
            </w:r>
            <w:r>
              <w:rPr>
                <w:rStyle w:val="IndexLink"/>
                <w:rtl w:val="true"/>
              </w:rPr>
              <w:tab/>
            </w:r>
            <w:r>
              <w:rPr>
                <w:rStyle w:val="IndexLink"/>
              </w:rPr>
              <w:t>276</w:t>
            </w:r>
          </w:hyperlink>
        </w:p>
        <w:p>
          <w:pPr>
            <w:pStyle w:val="Contents6"/>
            <w:tabs>
              <w:tab w:val="clear" w:pos="7609"/>
              <w:tab w:val="right" w:pos="9026" w:leader="dot"/>
            </w:tabs>
            <w:rPr/>
          </w:pPr>
          <w:hyperlink w:anchor="__RefHeading___Toc795815_222507752">
            <w:r>
              <w:rPr>
                <w:webHidden/>
                <w:rStyle w:val="IndexLink"/>
                <w:rtl w:val="true"/>
              </w:rPr>
              <w:t>فصل</w:t>
            </w:r>
            <w:r>
              <w:rPr>
                <w:rStyle w:val="IndexLink"/>
                <w:rtl w:val="true"/>
              </w:rPr>
              <w:t>:</w:t>
            </w:r>
            <w:r>
              <w:rPr>
                <w:rStyle w:val="IndexLink"/>
                <w:rtl w:val="true"/>
              </w:rPr>
              <w:t>قال ابن بابويه</w:t>
            </w:r>
            <w:r>
              <w:rPr>
                <w:rStyle w:val="IndexLink"/>
                <w:rtl w:val="true"/>
              </w:rPr>
              <w:t>:</w:t>
            </w:r>
            <w:r>
              <w:rPr>
                <w:rStyle w:val="IndexLink"/>
                <w:rtl w:val="true"/>
              </w:rPr>
              <w:t>و من أجنب في أرض و لم يجد الماء إلاّ ماء جامدا و لا يخلص</w:t>
            </w:r>
            <w:r>
              <w:rPr>
                <w:rStyle w:val="IndexLink"/>
                <w:rtl w:val="true"/>
              </w:rPr>
              <w:tab/>
            </w:r>
            <w:r>
              <w:rPr>
                <w:rStyle w:val="IndexLink"/>
              </w:rPr>
              <w:t>276</w:t>
            </w:r>
          </w:hyperlink>
        </w:p>
        <w:p>
          <w:pPr>
            <w:pStyle w:val="Contents6"/>
            <w:tabs>
              <w:tab w:val="clear" w:pos="7609"/>
              <w:tab w:val="right" w:pos="9026" w:leader="dot"/>
            </w:tabs>
            <w:rPr/>
          </w:pPr>
          <w:hyperlink w:anchor="__RefHeading___Toc795817_222507752">
            <w:r>
              <w:rPr>
                <w:webHidden/>
                <w:rStyle w:val="IndexLink"/>
                <w:rtl w:val="true"/>
              </w:rPr>
              <w:t>فصل</w:t>
            </w:r>
            <w:r>
              <w:rPr>
                <w:rStyle w:val="IndexLink"/>
                <w:rtl w:val="true"/>
              </w:rPr>
              <w:t>:</w:t>
            </w:r>
            <w:r>
              <w:rPr>
                <w:rStyle w:val="IndexLink"/>
                <w:rtl w:val="true"/>
              </w:rPr>
              <w:t>روى ابن بابويه،قال</w:t>
            </w:r>
            <w:r>
              <w:rPr>
                <w:rStyle w:val="IndexLink"/>
                <w:rtl w:val="true"/>
              </w:rPr>
              <w:t>:</w:t>
            </w:r>
            <w:r>
              <w:rPr>
                <w:rStyle w:val="IndexLink"/>
                <w:rtl w:val="true"/>
              </w:rPr>
              <w:t>جاء نفر من اليهود إلى رسول اللّه صلّى اللّه عليه و آله،</w:t>
            </w:r>
            <w:r>
              <w:rPr>
                <w:rStyle w:val="IndexLink"/>
                <w:rtl w:val="true"/>
              </w:rPr>
              <w:tab/>
            </w:r>
            <w:r>
              <w:rPr>
                <w:rStyle w:val="IndexLink"/>
              </w:rPr>
              <w:t>276</w:t>
            </w:r>
          </w:hyperlink>
        </w:p>
        <w:p>
          <w:pPr>
            <w:pStyle w:val="Contents6"/>
            <w:tabs>
              <w:tab w:val="clear" w:pos="7609"/>
              <w:tab w:val="right" w:pos="9026" w:leader="dot"/>
            </w:tabs>
            <w:rPr/>
          </w:pPr>
          <w:hyperlink w:anchor="__RefHeading___Toc795819_222507752">
            <w:r>
              <w:rPr>
                <w:webHidden/>
                <w:rStyle w:val="IndexLink"/>
                <w:rtl w:val="true"/>
              </w:rPr>
              <w:t>فصل</w:t>
            </w:r>
            <w:r>
              <w:rPr>
                <w:rStyle w:val="IndexLink"/>
                <w:rtl w:val="true"/>
              </w:rPr>
              <w:t>:</w:t>
            </w:r>
            <w:r>
              <w:rPr>
                <w:rStyle w:val="IndexLink"/>
                <w:rtl w:val="true"/>
              </w:rPr>
              <w:t>و إدخال الماء في العين ليس بشرط،</w:t>
            </w:r>
            <w:r>
              <w:rPr>
                <w:rStyle w:val="IndexLink"/>
                <w:rtl w:val="true"/>
              </w:rPr>
              <w:tab/>
            </w:r>
            <w:r>
              <w:rPr>
                <w:rStyle w:val="IndexLink"/>
              </w:rPr>
              <w:t>277</w:t>
            </w:r>
          </w:hyperlink>
        </w:p>
        <w:p>
          <w:pPr>
            <w:pStyle w:val="Contents6"/>
            <w:tabs>
              <w:tab w:val="clear" w:pos="7609"/>
              <w:tab w:val="right" w:pos="9026" w:leader="dot"/>
            </w:tabs>
            <w:rPr/>
          </w:pPr>
          <w:hyperlink w:anchor="__RefHeading___Toc795821_222507752">
            <w:r>
              <w:rPr>
                <w:webHidden/>
                <w:rStyle w:val="IndexLink"/>
                <w:rtl w:val="true"/>
              </w:rPr>
              <w:t>فصل</w:t>
            </w:r>
            <w:r>
              <w:rPr>
                <w:rStyle w:val="IndexLink"/>
                <w:rtl w:val="true"/>
              </w:rPr>
              <w:t>:</w:t>
            </w:r>
            <w:r>
              <w:rPr>
                <w:rStyle w:val="IndexLink"/>
                <w:rtl w:val="true"/>
              </w:rPr>
              <w:t>هل يجب على الزّوج ثمن الماء الّذي تغتسل به المرأة؟</w:t>
            </w:r>
            <w:r>
              <w:rPr>
                <w:rStyle w:val="IndexLink"/>
                <w:rtl w:val="true"/>
              </w:rPr>
              <w:tab/>
            </w:r>
            <w:r>
              <w:rPr>
                <w:rStyle w:val="IndexLink"/>
              </w:rPr>
              <w:t>278</w:t>
            </w:r>
          </w:hyperlink>
        </w:p>
        <w:p>
          <w:pPr>
            <w:pStyle w:val="Contents6"/>
            <w:tabs>
              <w:tab w:val="clear" w:pos="7609"/>
              <w:tab w:val="right" w:pos="9026" w:leader="dot"/>
            </w:tabs>
            <w:rPr/>
          </w:pPr>
          <w:hyperlink w:anchor="__RefHeading___Toc795823_222507752">
            <w:r>
              <w:rPr>
                <w:webHidden/>
                <w:rStyle w:val="IndexLink"/>
                <w:rtl w:val="true"/>
              </w:rPr>
              <w:t>فصل</w:t>
            </w:r>
            <w:r>
              <w:rPr>
                <w:rStyle w:val="IndexLink"/>
                <w:rtl w:val="true"/>
              </w:rPr>
              <w:t>:</w:t>
            </w:r>
            <w:r>
              <w:rPr>
                <w:rStyle w:val="IndexLink"/>
                <w:rtl w:val="true"/>
              </w:rPr>
              <w:t>و لا يكره الوضوء و لا الغسل بماء زمزم،</w:t>
            </w:r>
            <w:r>
              <w:rPr>
                <w:rStyle w:val="IndexLink"/>
                <w:rtl w:val="true"/>
              </w:rPr>
              <w:tab/>
            </w:r>
            <w:r>
              <w:rPr>
                <w:rStyle w:val="IndexLink"/>
              </w:rPr>
              <w:t>278</w:t>
            </w:r>
          </w:hyperlink>
        </w:p>
        <w:p>
          <w:pPr>
            <w:pStyle w:val="Contents6"/>
            <w:tabs>
              <w:tab w:val="clear" w:pos="7609"/>
              <w:tab w:val="right" w:pos="9026" w:leader="dot"/>
            </w:tabs>
            <w:rPr/>
          </w:pPr>
          <w:hyperlink w:anchor="__RefHeading___Toc795825_222507752">
            <w:r>
              <w:rPr>
                <w:webHidden/>
                <w:rStyle w:val="IndexLink"/>
                <w:rtl w:val="true"/>
              </w:rPr>
              <w:t>فصل</w:t>
            </w:r>
            <w:r>
              <w:rPr>
                <w:rStyle w:val="IndexLink"/>
                <w:rtl w:val="true"/>
              </w:rPr>
              <w:t>:</w:t>
            </w:r>
            <w:r>
              <w:rPr>
                <w:rStyle w:val="IndexLink"/>
                <w:rtl w:val="true"/>
              </w:rPr>
              <w:t>و يجوز الاغتسال بفضل غسل المرأة،و بالعكس،</w:t>
            </w:r>
            <w:r>
              <w:rPr>
                <w:rStyle w:val="IndexLink"/>
                <w:rtl w:val="true"/>
              </w:rPr>
              <w:tab/>
            </w:r>
            <w:r>
              <w:rPr>
                <w:rStyle w:val="IndexLink"/>
              </w:rPr>
              <w:t>278</w:t>
            </w:r>
          </w:hyperlink>
        </w:p>
        <w:p>
          <w:pPr>
            <w:pStyle w:val="Contents4"/>
            <w:tabs>
              <w:tab w:val="clear" w:pos="8176"/>
              <w:tab w:val="right" w:pos="9026" w:leader="dot"/>
            </w:tabs>
            <w:rPr/>
          </w:pPr>
          <w:hyperlink w:anchor="__RefHeading___Toc795827_222507752">
            <w:r>
              <w:rPr>
                <w:webHidden/>
                <w:rStyle w:val="IndexLink"/>
                <w:rtl w:val="true"/>
              </w:rPr>
              <w:t>الفصل الثّاني</w:t>
            </w:r>
            <w:r>
              <w:rPr>
                <w:rStyle w:val="IndexLink"/>
                <w:rtl w:val="true"/>
              </w:rPr>
              <w:t>:</w:t>
            </w:r>
            <w:r>
              <w:rPr>
                <w:rStyle w:val="IndexLink"/>
                <w:rtl w:val="true"/>
              </w:rPr>
              <w:t>في الحيض</w:t>
            </w:r>
            <w:r>
              <w:rPr>
                <w:rStyle w:val="IndexLink"/>
                <w:rtl w:val="true"/>
              </w:rPr>
              <w:tab/>
            </w:r>
            <w:r>
              <w:rPr>
                <w:rStyle w:val="IndexLink"/>
              </w:rPr>
              <w:t>281</w:t>
            </w:r>
          </w:hyperlink>
        </w:p>
        <w:p>
          <w:pPr>
            <w:pStyle w:val="Contents5"/>
            <w:tabs>
              <w:tab w:val="clear" w:pos="7892"/>
              <w:tab w:val="right" w:pos="9026" w:leader="dot"/>
            </w:tabs>
            <w:rPr/>
          </w:pPr>
          <w:hyperlink w:anchor="__RefHeading___Toc795829_222507752">
            <w:r>
              <w:rPr>
                <w:webHidden/>
                <w:rStyle w:val="IndexLink"/>
                <w:rtl w:val="true"/>
              </w:rPr>
              <w:t>اشارة</w:t>
            </w:r>
            <w:r>
              <w:rPr>
                <w:rStyle w:val="IndexLink"/>
                <w:rtl w:val="true"/>
              </w:rPr>
              <w:tab/>
            </w:r>
            <w:r>
              <w:rPr>
                <w:rStyle w:val="IndexLink"/>
              </w:rPr>
              <w:t>281</w:t>
            </w:r>
          </w:hyperlink>
        </w:p>
        <w:p>
          <w:pPr>
            <w:pStyle w:val="Contents5"/>
            <w:tabs>
              <w:tab w:val="clear" w:pos="7892"/>
              <w:tab w:val="right" w:pos="9026" w:leader="dot"/>
            </w:tabs>
            <w:rPr/>
          </w:pPr>
          <w:hyperlink w:anchor="__RefHeading___Toc795831_222507752">
            <w:r>
              <w:rPr>
                <w:webHidden/>
                <w:rStyle w:val="IndexLink"/>
                <w:rtl w:val="true"/>
              </w:rPr>
              <w:t>البحث الأوّل</w:t>
            </w:r>
            <w:r>
              <w:rPr>
                <w:rStyle w:val="IndexLink"/>
                <w:rtl w:val="true"/>
              </w:rPr>
              <w:tab/>
            </w:r>
            <w:r>
              <w:rPr>
                <w:rStyle w:val="IndexLink"/>
              </w:rPr>
              <w:t>282</w:t>
            </w:r>
          </w:hyperlink>
        </w:p>
        <w:p>
          <w:pPr>
            <w:pStyle w:val="Contents6"/>
            <w:tabs>
              <w:tab w:val="clear" w:pos="7609"/>
              <w:tab w:val="right" w:pos="9026" w:leader="dot"/>
            </w:tabs>
            <w:rPr/>
          </w:pPr>
          <w:hyperlink w:anchor="__RefHeading___Toc795833_222507752">
            <w:r>
              <w:rPr>
                <w:webHidden/>
                <w:rStyle w:val="IndexLink"/>
                <w:rtl w:val="true"/>
              </w:rPr>
              <w:t>اشارة</w:t>
            </w:r>
            <w:r>
              <w:rPr>
                <w:rStyle w:val="IndexLink"/>
                <w:rtl w:val="true"/>
              </w:rPr>
              <w:tab/>
            </w:r>
            <w:r>
              <w:rPr>
                <w:rStyle w:val="IndexLink"/>
              </w:rPr>
              <w:t>282</w:t>
            </w:r>
          </w:hyperlink>
        </w:p>
        <w:p>
          <w:pPr>
            <w:pStyle w:val="Contents6"/>
            <w:tabs>
              <w:tab w:val="clear" w:pos="7609"/>
              <w:tab w:val="right" w:pos="9026" w:leader="dot"/>
            </w:tabs>
            <w:rPr/>
          </w:pPr>
          <w:hyperlink w:anchor="__RefHeading___Toc795835_222507752">
            <w:r>
              <w:rPr>
                <w:webHidden/>
                <w:rStyle w:val="IndexLink"/>
                <w:rtl w:val="true"/>
              </w:rPr>
              <w:t>مسألة</w:t>
            </w:r>
            <w:r>
              <w:rPr>
                <w:rStyle w:val="IndexLink"/>
                <w:rtl w:val="true"/>
              </w:rPr>
              <w:t>:</w:t>
            </w:r>
            <w:r>
              <w:rPr>
                <w:rStyle w:val="IndexLink"/>
                <w:rtl w:val="true"/>
              </w:rPr>
              <w:t>و لو اشتبه بدم العذرة اعتبر فيه بانغماس القطنة،</w:t>
            </w:r>
            <w:r>
              <w:rPr>
                <w:rStyle w:val="IndexLink"/>
                <w:rtl w:val="true"/>
              </w:rPr>
              <w:tab/>
            </w:r>
            <w:r>
              <w:rPr>
                <w:rStyle w:val="IndexLink"/>
              </w:rPr>
              <w:t>283</w:t>
            </w:r>
          </w:hyperlink>
        </w:p>
        <w:p>
          <w:pPr>
            <w:pStyle w:val="Contents6"/>
            <w:tabs>
              <w:tab w:val="clear" w:pos="7609"/>
              <w:tab w:val="right" w:pos="9026" w:leader="dot"/>
            </w:tabs>
            <w:rPr/>
          </w:pPr>
          <w:hyperlink w:anchor="__RefHeading___Toc795837_222507752">
            <w:r>
              <w:rPr>
                <w:webHidden/>
                <w:rStyle w:val="IndexLink"/>
                <w:rtl w:val="true"/>
              </w:rPr>
              <w:t>مسألة</w:t>
            </w:r>
            <w:r>
              <w:rPr>
                <w:rStyle w:val="IndexLink"/>
                <w:rtl w:val="true"/>
              </w:rPr>
              <w:t>:</w:t>
            </w:r>
            <w:r>
              <w:rPr>
                <w:rStyle w:val="IndexLink"/>
                <w:rtl w:val="true"/>
              </w:rPr>
              <w:t>لا حيض مع صغر السنّ و لا مع كبره،</w:t>
            </w:r>
            <w:r>
              <w:rPr>
                <w:rStyle w:val="IndexLink"/>
                <w:rtl w:val="true"/>
              </w:rPr>
              <w:tab/>
            </w:r>
            <w:r>
              <w:rPr>
                <w:rStyle w:val="IndexLink"/>
              </w:rPr>
              <w:t>284</w:t>
            </w:r>
          </w:hyperlink>
        </w:p>
        <w:p>
          <w:pPr>
            <w:pStyle w:val="Contents6"/>
            <w:tabs>
              <w:tab w:val="clear" w:pos="7609"/>
              <w:tab w:val="right" w:pos="9026" w:leader="dot"/>
            </w:tabs>
            <w:rPr/>
          </w:pPr>
          <w:hyperlink w:anchor="__RefHeading___Toc795839_222507752">
            <w:r>
              <w:rPr>
                <w:webHidden/>
                <w:rStyle w:val="IndexLink"/>
                <w:rtl w:val="true"/>
              </w:rPr>
              <w:t>مسألة</w:t>
            </w:r>
            <w:r>
              <w:rPr>
                <w:rStyle w:val="IndexLink"/>
                <w:rtl w:val="true"/>
              </w:rPr>
              <w:t>:</w:t>
            </w:r>
            <w:r>
              <w:rPr>
                <w:rStyle w:val="IndexLink"/>
                <w:rtl w:val="true"/>
              </w:rPr>
              <w:t>اختلف الأصحاب في الحبلى هل ترى دم الحيض أم لا؟</w:t>
            </w:r>
            <w:r>
              <w:rPr>
                <w:rStyle w:val="IndexLink"/>
                <w:rtl w:val="true"/>
              </w:rPr>
              <w:tab/>
            </w:r>
            <w:r>
              <w:rPr>
                <w:rStyle w:val="IndexLink"/>
              </w:rPr>
              <w:t>288</w:t>
            </w:r>
          </w:hyperlink>
        </w:p>
        <w:p>
          <w:pPr>
            <w:pStyle w:val="Contents6"/>
            <w:tabs>
              <w:tab w:val="clear" w:pos="7609"/>
              <w:tab w:val="right" w:pos="9026" w:leader="dot"/>
            </w:tabs>
            <w:rPr/>
          </w:pPr>
          <w:hyperlink w:anchor="__RefHeading___Toc795841_222507752">
            <w:r>
              <w:rPr>
                <w:webHidden/>
                <w:rStyle w:val="IndexLink"/>
                <w:rtl w:val="true"/>
              </w:rPr>
              <w:t xml:space="preserve">فرع </w:t>
            </w:r>
            <w:r>
              <w:rPr>
                <w:rStyle w:val="IndexLink"/>
                <w:rtl w:val="true"/>
              </w:rPr>
              <w:t>:</w:t>
            </w:r>
            <w:r>
              <w:rPr>
                <w:rStyle w:val="IndexLink"/>
                <w:rtl w:val="true"/>
              </w:rPr>
              <w:t>لو انقطع دمها،ثمَّ ولدت،فإن كان بين الانقطاع و الولادة أقلّ الطّهر</w:t>
            </w:r>
            <w:r>
              <w:rPr>
                <w:rStyle w:val="IndexLink"/>
                <w:rtl w:val="true"/>
              </w:rPr>
              <w:tab/>
            </w:r>
            <w:r>
              <w:rPr>
                <w:rStyle w:val="IndexLink"/>
              </w:rPr>
              <w:t>294</w:t>
            </w:r>
          </w:hyperlink>
        </w:p>
        <w:p>
          <w:pPr>
            <w:pStyle w:val="Contents5"/>
            <w:tabs>
              <w:tab w:val="clear" w:pos="7892"/>
              <w:tab w:val="right" w:pos="9026" w:leader="dot"/>
            </w:tabs>
            <w:rPr/>
          </w:pPr>
          <w:hyperlink w:anchor="__RefHeading___Toc795843_222507752">
            <w:r>
              <w:rPr>
                <w:webHidden/>
                <w:rStyle w:val="IndexLink"/>
                <w:rtl w:val="true"/>
              </w:rPr>
              <w:t>البحث الثّاني</w:t>
            </w:r>
            <w:r>
              <w:rPr>
                <w:rStyle w:val="IndexLink"/>
                <w:rtl w:val="true"/>
              </w:rPr>
              <w:t>:</w:t>
            </w:r>
            <w:r>
              <w:rPr>
                <w:rStyle w:val="IndexLink"/>
                <w:rtl w:val="true"/>
              </w:rPr>
              <w:t>في وقته</w:t>
            </w:r>
            <w:r>
              <w:rPr>
                <w:rStyle w:val="IndexLink"/>
                <w:rtl w:val="true"/>
              </w:rPr>
              <w:tab/>
            </w:r>
            <w:r>
              <w:rPr>
                <w:rStyle w:val="IndexLink"/>
              </w:rPr>
              <w:t>294</w:t>
            </w:r>
          </w:hyperlink>
        </w:p>
        <w:p>
          <w:pPr>
            <w:pStyle w:val="Contents6"/>
            <w:tabs>
              <w:tab w:val="clear" w:pos="7609"/>
              <w:tab w:val="right" w:pos="9026" w:leader="dot"/>
            </w:tabs>
            <w:rPr/>
          </w:pPr>
          <w:hyperlink w:anchor="__RefHeading___Toc795845_222507752">
            <w:r>
              <w:rPr>
                <w:webHidden/>
                <w:rStyle w:val="IndexLink"/>
                <w:rtl w:val="true"/>
              </w:rPr>
              <w:t>مسألة</w:t>
            </w:r>
            <w:r>
              <w:rPr>
                <w:rStyle w:val="IndexLink"/>
                <w:rtl w:val="true"/>
              </w:rPr>
              <w:t>:</w:t>
            </w:r>
            <w:r>
              <w:rPr>
                <w:rStyle w:val="IndexLink"/>
                <w:rtl w:val="true"/>
              </w:rPr>
              <w:t>و لأيّام الحيض طرفان قلّة و كثرة</w:t>
            </w:r>
            <w:r>
              <w:rPr>
                <w:rStyle w:val="IndexLink"/>
                <w:rtl w:val="true"/>
              </w:rPr>
              <w:tab/>
            </w:r>
            <w:r>
              <w:rPr>
                <w:rStyle w:val="IndexLink"/>
              </w:rPr>
              <w:t>294</w:t>
            </w:r>
          </w:hyperlink>
        </w:p>
        <w:p>
          <w:pPr>
            <w:pStyle w:val="Contents6"/>
            <w:tabs>
              <w:tab w:val="clear" w:pos="7609"/>
              <w:tab w:val="right" w:pos="9026" w:leader="dot"/>
            </w:tabs>
            <w:rPr/>
          </w:pPr>
          <w:hyperlink w:anchor="__RefHeading___Toc795847_222507752">
            <w:r>
              <w:rPr>
                <w:webHidden/>
                <w:rStyle w:val="IndexLink"/>
                <w:rtl w:val="true"/>
              </w:rPr>
              <w:t>مسألة</w:t>
            </w:r>
            <w:r>
              <w:rPr>
                <w:rStyle w:val="IndexLink"/>
                <w:rtl w:val="true"/>
              </w:rPr>
              <w:t>:</w:t>
            </w:r>
            <w:r>
              <w:rPr>
                <w:rStyle w:val="IndexLink"/>
                <w:rtl w:val="true"/>
              </w:rPr>
              <w:t>هل يشترط في الثّلاثة الأيّام،التّوالي أم لا؟فيه للأصحاب قولان</w:t>
            </w:r>
            <w:r>
              <w:rPr>
                <w:rStyle w:val="IndexLink"/>
                <w:rtl w:val="true"/>
              </w:rPr>
              <w:t>:</w:t>
              <w:tab/>
            </w:r>
            <w:r>
              <w:rPr>
                <w:rStyle w:val="IndexLink"/>
              </w:rPr>
              <w:t>300</w:t>
            </w:r>
          </w:hyperlink>
        </w:p>
        <w:p>
          <w:pPr>
            <w:pStyle w:val="Contents6"/>
            <w:tabs>
              <w:tab w:val="clear" w:pos="7609"/>
              <w:tab w:val="right" w:pos="9026" w:leader="dot"/>
            </w:tabs>
            <w:rPr/>
          </w:pPr>
          <w:hyperlink w:anchor="__RefHeading___Toc795849_222507752">
            <w:r>
              <w:rPr>
                <w:webHidden/>
                <w:rStyle w:val="IndexLink"/>
                <w:rtl w:val="true"/>
              </w:rPr>
              <w:t>مسألة</w:t>
            </w:r>
            <w:r>
              <w:rPr>
                <w:rStyle w:val="IndexLink"/>
                <w:rtl w:val="true"/>
              </w:rPr>
              <w:t>:</w:t>
            </w:r>
            <w:r>
              <w:rPr>
                <w:rStyle w:val="IndexLink"/>
                <w:rtl w:val="true"/>
              </w:rPr>
              <w:t>كلّ دم تراه المرأة ما بين الثّلاثة إلى العشرة،ثمَّ ينقطع عليها فهو حيض</w:t>
            </w:r>
            <w:r>
              <w:rPr>
                <w:rStyle w:val="IndexLink"/>
                <w:rtl w:val="true"/>
              </w:rPr>
              <w:tab/>
            </w:r>
            <w:r>
              <w:rPr>
                <w:rStyle w:val="IndexLink"/>
              </w:rPr>
              <w:t>302</w:t>
            </w:r>
          </w:hyperlink>
        </w:p>
        <w:p>
          <w:pPr>
            <w:pStyle w:val="Contents6"/>
            <w:tabs>
              <w:tab w:val="clear" w:pos="7609"/>
              <w:tab w:val="right" w:pos="9026" w:leader="dot"/>
            </w:tabs>
            <w:rPr/>
          </w:pPr>
          <w:hyperlink w:anchor="__RefHeading___Toc795851_222507752">
            <w:r>
              <w:rPr>
                <w:webHidden/>
                <w:rStyle w:val="IndexLink"/>
                <w:rtl w:val="true"/>
              </w:rPr>
              <w:t>مسألة</w:t>
            </w:r>
            <w:r>
              <w:rPr>
                <w:rStyle w:val="IndexLink"/>
                <w:rtl w:val="true"/>
              </w:rPr>
              <w:t>:</w:t>
            </w:r>
            <w:r>
              <w:rPr>
                <w:rStyle w:val="IndexLink"/>
                <w:rtl w:val="true"/>
              </w:rPr>
              <w:t>أقلّ الطّهر بين الحيضتين عشرة أيّام</w:t>
            </w:r>
            <w:r>
              <w:rPr>
                <w:rStyle w:val="IndexLink"/>
                <w:rtl w:val="true"/>
              </w:rPr>
              <w:t>.</w:t>
              <w:tab/>
            </w:r>
            <w:r>
              <w:rPr>
                <w:rStyle w:val="IndexLink"/>
              </w:rPr>
              <w:t>303</w:t>
            </w:r>
          </w:hyperlink>
        </w:p>
        <w:p>
          <w:pPr>
            <w:pStyle w:val="Contents6"/>
            <w:tabs>
              <w:tab w:val="clear" w:pos="7609"/>
              <w:tab w:val="right" w:pos="9026" w:leader="dot"/>
            </w:tabs>
            <w:rPr/>
          </w:pPr>
          <w:hyperlink w:anchor="__RefHeading___Toc795853_222507752">
            <w:r>
              <w:rPr>
                <w:webHidden/>
                <w:rStyle w:val="IndexLink"/>
                <w:rtl w:val="true"/>
              </w:rPr>
              <w:t>مسألة</w:t>
            </w:r>
            <w:r>
              <w:rPr>
                <w:rStyle w:val="IndexLink"/>
                <w:rtl w:val="true"/>
              </w:rPr>
              <w:t>:</w:t>
            </w:r>
            <w:r>
              <w:rPr>
                <w:rStyle w:val="IndexLink"/>
                <w:rtl w:val="true"/>
              </w:rPr>
              <w:t>ألوان الدّماء ستّة</w:t>
            </w:r>
            <w:r>
              <w:rPr>
                <w:rStyle w:val="IndexLink"/>
                <w:rtl w:val="true"/>
              </w:rPr>
              <w:t>:</w:t>
              <w:tab/>
            </w:r>
            <w:r>
              <w:rPr>
                <w:rStyle w:val="IndexLink"/>
              </w:rPr>
              <w:t>306</w:t>
            </w:r>
          </w:hyperlink>
        </w:p>
        <w:p>
          <w:pPr>
            <w:pStyle w:val="Contents6"/>
            <w:tabs>
              <w:tab w:val="clear" w:pos="7609"/>
              <w:tab w:val="right" w:pos="9026" w:leader="dot"/>
            </w:tabs>
            <w:rPr/>
          </w:pPr>
          <w:hyperlink w:anchor="__RefHeading___Toc795855_222507752">
            <w:r>
              <w:rPr>
                <w:webHidden/>
                <w:rStyle w:val="IndexLink"/>
                <w:rtl w:val="true"/>
              </w:rPr>
              <w:t>مسألة</w:t>
            </w:r>
            <w:r>
              <w:rPr>
                <w:rStyle w:val="IndexLink"/>
                <w:rtl w:val="true"/>
              </w:rPr>
              <w:t>:</w:t>
            </w:r>
            <w:r>
              <w:rPr>
                <w:rStyle w:val="IndexLink"/>
                <w:rtl w:val="true"/>
              </w:rPr>
              <w:t>قد ذكرنا انّ طرف القلّة حدّه الثّلاثة،</w:t>
            </w:r>
            <w:r>
              <w:rPr>
                <w:rStyle w:val="IndexLink"/>
                <w:rtl w:val="true"/>
              </w:rPr>
              <w:tab/>
            </w:r>
            <w:r>
              <w:rPr>
                <w:rStyle w:val="IndexLink"/>
              </w:rPr>
              <w:t>310</w:t>
            </w:r>
          </w:hyperlink>
        </w:p>
        <w:p>
          <w:pPr>
            <w:pStyle w:val="Contents6"/>
            <w:tabs>
              <w:tab w:val="clear" w:pos="7609"/>
              <w:tab w:val="right" w:pos="9026" w:leader="dot"/>
            </w:tabs>
            <w:rPr/>
          </w:pPr>
          <w:hyperlink w:anchor="__RefHeading___Toc795857_222507752">
            <w:r>
              <w:rPr>
                <w:webHidden/>
                <w:rStyle w:val="IndexLink"/>
                <w:rtl w:val="true"/>
              </w:rPr>
              <w:t>الأوّل</w:t>
            </w:r>
            <w:r>
              <w:rPr>
                <w:rStyle w:val="IndexLink"/>
                <w:rtl w:val="true"/>
              </w:rPr>
              <w:t>:</w:t>
            </w:r>
            <w:r>
              <w:rPr>
                <w:rStyle w:val="IndexLink"/>
                <w:rtl w:val="true"/>
              </w:rPr>
              <w:t>إن اتّحد زمانا العادة و التّمييز فلا بحث فيه</w:t>
            </w:r>
            <w:r>
              <w:rPr>
                <w:rStyle w:val="IndexLink"/>
                <w:rtl w:val="true"/>
              </w:rPr>
              <w:tab/>
            </w:r>
            <w:r>
              <w:rPr>
                <w:rStyle w:val="IndexLink"/>
              </w:rPr>
              <w:t>310</w:t>
            </w:r>
          </w:hyperlink>
        </w:p>
        <w:p>
          <w:pPr>
            <w:pStyle w:val="Contents6"/>
            <w:tabs>
              <w:tab w:val="clear" w:pos="7609"/>
              <w:tab w:val="right" w:pos="9026" w:leader="dot"/>
            </w:tabs>
            <w:rPr/>
          </w:pPr>
          <w:hyperlink w:anchor="__RefHeading___Toc795859_222507752">
            <w:r>
              <w:rPr>
                <w:webHidden/>
                <w:rStyle w:val="IndexLink"/>
                <w:rtl w:val="true"/>
              </w:rPr>
              <w:t>القسم الثّاني</w:t>
            </w:r>
            <w:r>
              <w:rPr>
                <w:rStyle w:val="IndexLink"/>
                <w:rtl w:val="true"/>
              </w:rPr>
              <w:t>:</w:t>
            </w:r>
            <w:r>
              <w:rPr>
                <w:rStyle w:val="IndexLink"/>
                <w:rtl w:val="true"/>
              </w:rPr>
              <w:t>مقابله،</w:t>
            </w:r>
            <w:r>
              <w:rPr>
                <w:rStyle w:val="IndexLink"/>
                <w:rtl w:val="true"/>
              </w:rPr>
              <w:tab/>
            </w:r>
            <w:r>
              <w:rPr>
                <w:rStyle w:val="IndexLink"/>
              </w:rPr>
              <w:t>315</w:t>
            </w:r>
          </w:hyperlink>
        </w:p>
        <w:p>
          <w:pPr>
            <w:pStyle w:val="Contents6"/>
            <w:tabs>
              <w:tab w:val="clear" w:pos="7609"/>
              <w:tab w:val="right" w:pos="9026" w:leader="dot"/>
            </w:tabs>
            <w:rPr/>
          </w:pPr>
          <w:hyperlink w:anchor="__RefHeading___Toc795861_222507752">
            <w:r>
              <w:rPr>
                <w:webHidden/>
                <w:rStyle w:val="IndexLink"/>
                <w:rtl w:val="true"/>
              </w:rPr>
              <w:t>فروع</w:t>
            </w:r>
            <w:r>
              <w:rPr>
                <w:rStyle w:val="IndexLink"/>
                <w:rtl w:val="true"/>
              </w:rPr>
              <w:t>:</w:t>
              <w:tab/>
            </w:r>
            <w:r>
              <w:rPr>
                <w:rStyle w:val="IndexLink"/>
              </w:rPr>
              <w:t>318</w:t>
            </w:r>
          </w:hyperlink>
        </w:p>
        <w:p>
          <w:pPr>
            <w:pStyle w:val="Contents6"/>
            <w:tabs>
              <w:tab w:val="clear" w:pos="7609"/>
              <w:tab w:val="right" w:pos="9026" w:leader="dot"/>
            </w:tabs>
            <w:rPr/>
          </w:pPr>
          <w:hyperlink w:anchor="__RefHeading___Toc795863_222507752">
            <w:r>
              <w:rPr>
                <w:webHidden/>
                <w:rStyle w:val="IndexLink"/>
                <w:rtl w:val="true"/>
              </w:rPr>
              <w:t>الأوّل</w:t>
            </w:r>
            <w:r>
              <w:rPr>
                <w:rStyle w:val="IndexLink"/>
                <w:rtl w:val="true"/>
              </w:rPr>
              <w:t>:</w:t>
            </w:r>
            <w:r>
              <w:rPr>
                <w:rStyle w:val="IndexLink"/>
                <w:rtl w:val="true"/>
              </w:rPr>
              <w:t>المبتدئة إذا فقدت النّساء المتّفقات،و المضطربة</w:t>
            </w:r>
            <w:r>
              <w:rPr>
                <w:rStyle w:val="IndexLink"/>
                <w:rtl w:val="true"/>
              </w:rPr>
              <w:tab/>
            </w:r>
            <w:r>
              <w:rPr>
                <w:rStyle w:val="IndexLink"/>
              </w:rPr>
              <w:t>318</w:t>
            </w:r>
          </w:hyperlink>
        </w:p>
        <w:p>
          <w:pPr>
            <w:pStyle w:val="Contents6"/>
            <w:tabs>
              <w:tab w:val="clear" w:pos="7609"/>
              <w:tab w:val="right" w:pos="9026" w:leader="dot"/>
            </w:tabs>
            <w:rPr/>
          </w:pPr>
          <w:hyperlink w:anchor="__RefHeading___Toc795865_222507752">
            <w:r>
              <w:rPr>
                <w:webHidden/>
                <w:rStyle w:val="IndexLink"/>
                <w:rtl w:val="true"/>
              </w:rPr>
              <w:t>الثّاني</w:t>
            </w:r>
            <w:r>
              <w:rPr>
                <w:rStyle w:val="IndexLink"/>
                <w:rtl w:val="true"/>
              </w:rPr>
              <w:t>:</w:t>
            </w:r>
            <w:r>
              <w:rPr>
                <w:rStyle w:val="IndexLink"/>
                <w:rtl w:val="true"/>
              </w:rPr>
              <w:t>قيل</w:t>
            </w:r>
            <w:r>
              <w:rPr>
                <w:rStyle w:val="IndexLink"/>
                <w:rtl w:val="true"/>
              </w:rPr>
              <w:t>:</w:t>
            </w:r>
            <w:r>
              <w:rPr>
                <w:rStyle w:val="IndexLink"/>
                <w:rtl w:val="true"/>
              </w:rPr>
              <w:t>انّ المراد بقوله عليه السّلام</w:t>
            </w:r>
            <w:r>
              <w:rPr>
                <w:rStyle w:val="IndexLink"/>
                <w:rtl w:val="true"/>
              </w:rPr>
              <w:t>:(</w:t>
            </w:r>
            <w:r>
              <w:rPr>
                <w:rStyle w:val="IndexLink"/>
                <w:rtl w:val="true"/>
              </w:rPr>
              <w:t>ستّة أو سبعة</w:t>
            </w:r>
            <w:r>
              <w:rPr>
                <w:rStyle w:val="IndexLink"/>
                <w:rtl w:val="true"/>
              </w:rPr>
              <w:t>)</w:t>
            </w:r>
            <w:r>
              <w:rPr>
                <w:rStyle w:val="IndexLink"/>
                <w:rtl w:val="true"/>
              </w:rPr>
              <w:t>الرّدّ إلى اجتهادها</w:t>
            </w:r>
            <w:r>
              <w:rPr>
                <w:rStyle w:val="IndexLink"/>
                <w:rtl w:val="true"/>
              </w:rPr>
              <w:tab/>
            </w:r>
            <w:r>
              <w:rPr>
                <w:rStyle w:val="IndexLink"/>
              </w:rPr>
              <w:t>321</w:t>
            </w:r>
          </w:hyperlink>
        </w:p>
        <w:p>
          <w:pPr>
            <w:pStyle w:val="Contents6"/>
            <w:tabs>
              <w:tab w:val="clear" w:pos="7609"/>
              <w:tab w:val="right" w:pos="9026" w:leader="dot"/>
            </w:tabs>
            <w:rPr/>
          </w:pPr>
          <w:hyperlink w:anchor="__RefHeading___Toc795867_222507752">
            <w:r>
              <w:rPr>
                <w:webHidden/>
                <w:rStyle w:val="IndexLink"/>
                <w:rtl w:val="true"/>
              </w:rPr>
              <w:t>الثّالث</w:t>
            </w:r>
            <w:r>
              <w:rPr>
                <w:rStyle w:val="IndexLink"/>
                <w:rtl w:val="true"/>
              </w:rPr>
              <w:t>:</w:t>
            </w:r>
            <w:r>
              <w:rPr>
                <w:rStyle w:val="IndexLink"/>
                <w:rtl w:val="true"/>
              </w:rPr>
              <w:t>حكم المتحيّرة حكم المبتدئة و المضطربة،</w:t>
            </w:r>
            <w:r>
              <w:rPr>
                <w:rStyle w:val="IndexLink"/>
                <w:rtl w:val="true"/>
              </w:rPr>
              <w:tab/>
            </w:r>
            <w:r>
              <w:rPr>
                <w:rStyle w:val="IndexLink"/>
              </w:rPr>
              <w:t>322</w:t>
            </w:r>
          </w:hyperlink>
        </w:p>
        <w:p>
          <w:pPr>
            <w:pStyle w:val="Contents6"/>
            <w:tabs>
              <w:tab w:val="clear" w:pos="7609"/>
              <w:tab w:val="right" w:pos="9026" w:leader="dot"/>
            </w:tabs>
            <w:rPr/>
          </w:pPr>
          <w:hyperlink w:anchor="__RefHeading___Toc795869_222507752">
            <w:r>
              <w:rPr>
                <w:webHidden/>
                <w:rStyle w:val="IndexLink"/>
                <w:rtl w:val="true"/>
              </w:rPr>
              <w:t>الرّابع</w:t>
            </w:r>
            <w:r>
              <w:rPr>
                <w:rStyle w:val="IndexLink"/>
                <w:rtl w:val="true"/>
              </w:rPr>
              <w:t>:</w:t>
            </w:r>
            <w:r>
              <w:rPr>
                <w:rStyle w:val="IndexLink"/>
                <w:rtl w:val="true"/>
              </w:rPr>
              <w:t>هذه و المبتدئة و المضطربة تتخيّر في الأيّام أيّها شاءت جعلتها أيّام</w:t>
            </w:r>
            <w:r>
              <w:rPr>
                <w:rStyle w:val="IndexLink"/>
                <w:rtl w:val="true"/>
              </w:rPr>
              <w:tab/>
            </w:r>
            <w:r>
              <w:rPr>
                <w:rStyle w:val="IndexLink"/>
              </w:rPr>
              <w:t>323</w:t>
            </w:r>
          </w:hyperlink>
        </w:p>
        <w:p>
          <w:pPr>
            <w:pStyle w:val="Contents6"/>
            <w:tabs>
              <w:tab w:val="clear" w:pos="7609"/>
              <w:tab w:val="right" w:pos="9026" w:leader="dot"/>
            </w:tabs>
            <w:rPr/>
          </w:pPr>
          <w:hyperlink w:anchor="__RefHeading___Toc795871_222507752">
            <w:r>
              <w:rPr>
                <w:webHidden/>
                <w:rStyle w:val="IndexLink"/>
                <w:rtl w:val="true"/>
              </w:rPr>
              <w:t>الخامس</w:t>
            </w:r>
            <w:r>
              <w:rPr>
                <w:rStyle w:val="IndexLink"/>
                <w:rtl w:val="true"/>
              </w:rPr>
              <w:t>:</w:t>
            </w:r>
            <w:r>
              <w:rPr>
                <w:rStyle w:val="IndexLink"/>
                <w:rtl w:val="true"/>
              </w:rPr>
              <w:t>إذا ردّ بناؤها إلى الثّلاثة دائما أو في أحد الشّهرين،فالثّلاثة حيض</w:t>
            </w:r>
            <w:r>
              <w:rPr>
                <w:rStyle w:val="IndexLink"/>
                <w:rtl w:val="true"/>
              </w:rPr>
              <w:tab/>
            </w:r>
            <w:r>
              <w:rPr>
                <w:rStyle w:val="IndexLink"/>
              </w:rPr>
              <w:t>323</w:t>
            </w:r>
          </w:hyperlink>
        </w:p>
        <w:p>
          <w:pPr>
            <w:pStyle w:val="Contents6"/>
            <w:tabs>
              <w:tab w:val="clear" w:pos="7609"/>
              <w:tab w:val="right" w:pos="9026" w:leader="dot"/>
            </w:tabs>
            <w:rPr/>
          </w:pPr>
          <w:hyperlink w:anchor="__RefHeading___Toc795873_222507752">
            <w:r>
              <w:rPr>
                <w:webHidden/>
                <w:rStyle w:val="IndexLink"/>
                <w:rtl w:val="true"/>
              </w:rPr>
              <w:t>السّادس</w:t>
            </w:r>
            <w:r>
              <w:rPr>
                <w:rStyle w:val="IndexLink"/>
                <w:rtl w:val="true"/>
              </w:rPr>
              <w:t>:</w:t>
            </w:r>
            <w:r>
              <w:rPr>
                <w:rStyle w:val="IndexLink"/>
                <w:rtl w:val="true"/>
              </w:rPr>
              <w:t>لو ردّ بناؤها إلى السّتة أو السّبعة،فثلاثة حيض بيقين</w:t>
            </w:r>
            <w:r>
              <w:rPr>
                <w:rStyle w:val="IndexLink"/>
                <w:rtl w:val="true"/>
              </w:rPr>
              <w:tab/>
            </w:r>
            <w:r>
              <w:rPr>
                <w:rStyle w:val="IndexLink"/>
              </w:rPr>
              <w:t>323</w:t>
            </w:r>
          </w:hyperlink>
        </w:p>
        <w:p>
          <w:pPr>
            <w:pStyle w:val="Contents6"/>
            <w:tabs>
              <w:tab w:val="clear" w:pos="7609"/>
              <w:tab w:val="right" w:pos="9026" w:leader="dot"/>
            </w:tabs>
            <w:rPr/>
          </w:pPr>
          <w:hyperlink w:anchor="__RefHeading___Toc795875_222507752">
            <w:r>
              <w:rPr>
                <w:webHidden/>
                <w:rStyle w:val="IndexLink"/>
                <w:rtl w:val="true"/>
              </w:rPr>
              <w:t>السّابع</w:t>
            </w:r>
            <w:r>
              <w:rPr>
                <w:rStyle w:val="IndexLink"/>
                <w:rtl w:val="true"/>
              </w:rPr>
              <w:t>:</w:t>
            </w:r>
            <w:r>
              <w:rPr>
                <w:rStyle w:val="IndexLink"/>
                <w:rtl w:val="true"/>
              </w:rPr>
              <w:t>لو اتّفق لها ذلك في رمضان قضت صوم عشرة احتياطا،</w:t>
            </w:r>
            <w:r>
              <w:rPr>
                <w:rStyle w:val="IndexLink"/>
                <w:rtl w:val="true"/>
              </w:rPr>
              <w:tab/>
            </w:r>
            <w:r>
              <w:rPr>
                <w:rStyle w:val="IndexLink"/>
              </w:rPr>
              <w:t>324</w:t>
            </w:r>
          </w:hyperlink>
        </w:p>
        <w:p>
          <w:pPr>
            <w:pStyle w:val="Contents6"/>
            <w:tabs>
              <w:tab w:val="clear" w:pos="7609"/>
              <w:tab w:val="right" w:pos="9026" w:leader="dot"/>
            </w:tabs>
            <w:rPr/>
          </w:pPr>
          <w:hyperlink w:anchor="__RefHeading___Toc795877_222507752">
            <w:r>
              <w:rPr>
                <w:webHidden/>
                <w:rStyle w:val="IndexLink"/>
                <w:rtl w:val="true"/>
              </w:rPr>
              <w:t>القسم الثّالث</w:t>
            </w:r>
            <w:r>
              <w:rPr>
                <w:rStyle w:val="IndexLink"/>
                <w:rtl w:val="true"/>
              </w:rPr>
              <w:t>:</w:t>
              <w:tab/>
            </w:r>
            <w:r>
              <w:rPr>
                <w:rStyle w:val="IndexLink"/>
              </w:rPr>
              <w:t>324</w:t>
            </w:r>
          </w:hyperlink>
        </w:p>
        <w:p>
          <w:pPr>
            <w:pStyle w:val="Contents6"/>
            <w:tabs>
              <w:tab w:val="clear" w:pos="7609"/>
              <w:tab w:val="right" w:pos="9026" w:leader="dot"/>
            </w:tabs>
            <w:rPr/>
          </w:pPr>
          <w:hyperlink w:anchor="__RefHeading___Toc795879_222507752">
            <w:r>
              <w:rPr>
                <w:webHidden/>
                <w:rStyle w:val="IndexLink"/>
                <w:rtl w:val="true"/>
              </w:rPr>
              <w:t>مسألة</w:t>
            </w:r>
            <w:r>
              <w:rPr>
                <w:rStyle w:val="IndexLink"/>
                <w:rtl w:val="true"/>
              </w:rPr>
              <w:t>:</w:t>
            </w:r>
            <w:r>
              <w:rPr>
                <w:rStyle w:val="IndexLink"/>
                <w:rtl w:val="true"/>
              </w:rPr>
              <w:t>و تثبت العادة بأن يتوالى على المرأة شهران ترى فيهما الدّم أيّاما سواء</w:t>
            </w:r>
            <w:r>
              <w:rPr>
                <w:rStyle w:val="IndexLink"/>
                <w:rtl w:val="true"/>
              </w:rPr>
              <w:tab/>
            </w:r>
            <w:r>
              <w:rPr>
                <w:rStyle w:val="IndexLink"/>
              </w:rPr>
              <w:t>326</w:t>
            </w:r>
          </w:hyperlink>
        </w:p>
        <w:p>
          <w:pPr>
            <w:pStyle w:val="Contents6"/>
            <w:tabs>
              <w:tab w:val="clear" w:pos="7609"/>
              <w:tab w:val="right" w:pos="9026" w:leader="dot"/>
            </w:tabs>
            <w:rPr/>
          </w:pPr>
          <w:hyperlink w:anchor="__RefHeading___Toc795881_222507752">
            <w:r>
              <w:rPr>
                <w:webHidden/>
                <w:rStyle w:val="IndexLink"/>
                <w:rtl w:val="true"/>
              </w:rPr>
              <w:t>فروع</w:t>
            </w:r>
            <w:r>
              <w:rPr>
                <w:rStyle w:val="IndexLink"/>
                <w:rtl w:val="true"/>
              </w:rPr>
              <w:t>:</w:t>
              <w:tab/>
            </w:r>
            <w:r>
              <w:rPr>
                <w:rStyle w:val="IndexLink"/>
              </w:rPr>
              <w:t>328</w:t>
            </w:r>
          </w:hyperlink>
        </w:p>
        <w:p>
          <w:pPr>
            <w:pStyle w:val="Contents6"/>
            <w:tabs>
              <w:tab w:val="clear" w:pos="7609"/>
              <w:tab w:val="right" w:pos="9026" w:leader="dot"/>
            </w:tabs>
            <w:rPr/>
          </w:pPr>
          <w:hyperlink w:anchor="__RefHeading___Toc795883_222507752">
            <w:r>
              <w:rPr>
                <w:webHidden/>
                <w:rStyle w:val="IndexLink"/>
                <w:rtl w:val="true"/>
              </w:rPr>
              <w:t>الأوّل</w:t>
            </w:r>
            <w:r>
              <w:rPr>
                <w:rStyle w:val="IndexLink"/>
                <w:rtl w:val="true"/>
              </w:rPr>
              <w:t>:</w:t>
            </w:r>
            <w:r>
              <w:rPr>
                <w:rStyle w:val="IndexLink"/>
                <w:rtl w:val="true"/>
              </w:rPr>
              <w:t>إذا عرفت المرأة شهرها صارت ذات عادة</w:t>
            </w:r>
            <w:r>
              <w:rPr>
                <w:rStyle w:val="IndexLink"/>
                <w:rtl w:val="true"/>
              </w:rPr>
              <w:t>.</w:t>
              <w:tab/>
            </w:r>
            <w:r>
              <w:rPr>
                <w:rStyle w:val="IndexLink"/>
              </w:rPr>
              <w:t>328</w:t>
            </w:r>
          </w:hyperlink>
        </w:p>
        <w:p>
          <w:pPr>
            <w:pStyle w:val="Contents6"/>
            <w:tabs>
              <w:tab w:val="clear" w:pos="7609"/>
              <w:tab w:val="right" w:pos="9026" w:leader="dot"/>
            </w:tabs>
            <w:rPr/>
          </w:pPr>
          <w:hyperlink w:anchor="__RefHeading___Toc795885_222507752">
            <w:r>
              <w:rPr>
                <w:webHidden/>
                <w:rStyle w:val="IndexLink"/>
                <w:rtl w:val="true"/>
              </w:rPr>
              <w:t>الثّاني</w:t>
            </w:r>
            <w:r>
              <w:rPr>
                <w:rStyle w:val="IndexLink"/>
                <w:rtl w:val="true"/>
              </w:rPr>
              <w:t>:</w:t>
            </w:r>
            <w:r>
              <w:rPr>
                <w:rStyle w:val="IndexLink"/>
                <w:rtl w:val="true"/>
              </w:rPr>
              <w:t>لا يشترط في استقرار العادة استقرار عادة الطّهر</w:t>
            </w:r>
            <w:r>
              <w:rPr>
                <w:rStyle w:val="IndexLink"/>
                <w:rtl w:val="true"/>
              </w:rPr>
              <w:t>.</w:t>
              <w:tab/>
            </w:r>
            <w:r>
              <w:rPr>
                <w:rStyle w:val="IndexLink"/>
              </w:rPr>
              <w:t>329</w:t>
            </w:r>
          </w:hyperlink>
        </w:p>
        <w:p>
          <w:pPr>
            <w:pStyle w:val="Contents6"/>
            <w:tabs>
              <w:tab w:val="clear" w:pos="7609"/>
              <w:tab w:val="right" w:pos="9026" w:leader="dot"/>
            </w:tabs>
            <w:rPr/>
          </w:pPr>
          <w:hyperlink w:anchor="__RefHeading___Toc795887_222507752">
            <w:r>
              <w:rPr>
                <w:webHidden/>
                <w:rStyle w:val="IndexLink"/>
                <w:rtl w:val="true"/>
              </w:rPr>
              <w:t>الثّالث</w:t>
            </w:r>
            <w:r>
              <w:rPr>
                <w:rStyle w:val="IndexLink"/>
                <w:rtl w:val="true"/>
              </w:rPr>
              <w:t>:</w:t>
            </w:r>
            <w:r>
              <w:rPr>
                <w:rStyle w:val="IndexLink"/>
                <w:rtl w:val="true"/>
              </w:rPr>
              <w:t>لا يشترط التّساوي في الوقت،فإنّ العادة تتقدّم و تتأخّر بالوجدان،</w:t>
            </w:r>
            <w:r>
              <w:rPr>
                <w:rStyle w:val="IndexLink"/>
                <w:rtl w:val="true"/>
              </w:rPr>
              <w:tab/>
            </w:r>
            <w:r>
              <w:rPr>
                <w:rStyle w:val="IndexLink"/>
              </w:rPr>
              <w:t>329</w:t>
            </w:r>
          </w:hyperlink>
        </w:p>
        <w:p>
          <w:pPr>
            <w:pStyle w:val="Contents6"/>
            <w:tabs>
              <w:tab w:val="clear" w:pos="7609"/>
              <w:tab w:val="right" w:pos="9026" w:leader="dot"/>
            </w:tabs>
            <w:rPr/>
          </w:pPr>
          <w:hyperlink w:anchor="__RefHeading___Toc795889_222507752">
            <w:r>
              <w:rPr>
                <w:webHidden/>
                <w:rStyle w:val="IndexLink"/>
                <w:rtl w:val="true"/>
              </w:rPr>
              <w:t>الرّابع</w:t>
            </w:r>
            <w:r>
              <w:rPr>
                <w:rStyle w:val="IndexLink"/>
                <w:rtl w:val="true"/>
              </w:rPr>
              <w:t>:</w:t>
            </w:r>
            <w:r>
              <w:rPr>
                <w:rStyle w:val="IndexLink"/>
                <w:rtl w:val="true"/>
              </w:rPr>
              <w:t>لا يشترط في العادة تكثّر الأشهر فلو رأت خمسة في شهر،ثمَّ فيه خمسة</w:t>
            </w:r>
            <w:r>
              <w:rPr>
                <w:rStyle w:val="IndexLink"/>
                <w:rtl w:val="true"/>
              </w:rPr>
              <w:tab/>
            </w:r>
            <w:r>
              <w:rPr>
                <w:rStyle w:val="IndexLink"/>
              </w:rPr>
              <w:t>329</w:t>
            </w:r>
          </w:hyperlink>
        </w:p>
        <w:p>
          <w:pPr>
            <w:pStyle w:val="Contents6"/>
            <w:tabs>
              <w:tab w:val="clear" w:pos="7609"/>
              <w:tab w:val="right" w:pos="9026" w:leader="dot"/>
            </w:tabs>
            <w:rPr/>
          </w:pPr>
          <w:hyperlink w:anchor="__RefHeading___Toc795891_222507752">
            <w:r>
              <w:rPr>
                <w:webHidden/>
                <w:rStyle w:val="IndexLink"/>
                <w:rtl w:val="true"/>
              </w:rPr>
              <w:t>الخامس</w:t>
            </w:r>
            <w:r>
              <w:rPr>
                <w:rStyle w:val="IndexLink"/>
                <w:rtl w:val="true"/>
              </w:rPr>
              <w:t>:</w:t>
            </w:r>
            <w:r>
              <w:rPr>
                <w:rStyle w:val="IndexLink"/>
                <w:rtl w:val="true"/>
              </w:rPr>
              <w:t>لو اتّفق العدد و الوقت في المرّة الثّانية مع الاولى صار عادة،</w:t>
            </w:r>
            <w:r>
              <w:rPr>
                <w:rStyle w:val="IndexLink"/>
                <w:rtl w:val="true"/>
              </w:rPr>
              <w:tab/>
            </w:r>
            <w:r>
              <w:rPr>
                <w:rStyle w:val="IndexLink"/>
              </w:rPr>
              <w:t>329</w:t>
            </w:r>
          </w:hyperlink>
        </w:p>
        <w:p>
          <w:pPr>
            <w:pStyle w:val="Contents6"/>
            <w:tabs>
              <w:tab w:val="clear" w:pos="7609"/>
              <w:tab w:val="right" w:pos="9026" w:leader="dot"/>
            </w:tabs>
            <w:rPr/>
          </w:pPr>
          <w:hyperlink w:anchor="__RefHeading___Toc795893_222507752">
            <w:r>
              <w:rPr>
                <w:webHidden/>
                <w:rStyle w:val="IndexLink"/>
                <w:rtl w:val="true"/>
              </w:rPr>
              <w:t>السّادس</w:t>
            </w:r>
            <w:r>
              <w:rPr>
                <w:rStyle w:val="IndexLink"/>
                <w:rtl w:val="true"/>
              </w:rPr>
              <w:t>:</w:t>
            </w:r>
            <w:r>
              <w:rPr>
                <w:rStyle w:val="IndexLink"/>
                <w:rtl w:val="true"/>
              </w:rPr>
              <w:t>العادة تثبت بالتّمييز،</w:t>
            </w:r>
            <w:r>
              <w:rPr>
                <w:rStyle w:val="IndexLink"/>
                <w:rtl w:val="true"/>
              </w:rPr>
              <w:tab/>
            </w:r>
            <w:r>
              <w:rPr>
                <w:rStyle w:val="IndexLink"/>
              </w:rPr>
              <w:t>329</w:t>
            </w:r>
          </w:hyperlink>
        </w:p>
        <w:p>
          <w:pPr>
            <w:pStyle w:val="Contents6"/>
            <w:tabs>
              <w:tab w:val="clear" w:pos="7609"/>
              <w:tab w:val="right" w:pos="9026" w:leader="dot"/>
            </w:tabs>
            <w:rPr/>
          </w:pPr>
          <w:hyperlink w:anchor="__RefHeading___Toc795895_222507752">
            <w:r>
              <w:rPr>
                <w:webHidden/>
                <w:rStyle w:val="IndexLink"/>
                <w:rtl w:val="true"/>
              </w:rPr>
              <w:t>السّابع</w:t>
            </w:r>
            <w:r>
              <w:rPr>
                <w:rStyle w:val="IndexLink"/>
                <w:rtl w:val="true"/>
              </w:rPr>
              <w:t>:</w:t>
            </w:r>
            <w:r>
              <w:rPr>
                <w:rStyle w:val="IndexLink"/>
                <w:rtl w:val="true"/>
              </w:rPr>
              <w:t>لو رأت المبتدئة في الشّهر الأوّل عشرة،و في الثّاني خمسة،صارت</w:t>
            </w:r>
            <w:r>
              <w:rPr>
                <w:rStyle w:val="IndexLink"/>
                <w:rtl w:val="true"/>
              </w:rPr>
              <w:tab/>
            </w:r>
            <w:r>
              <w:rPr>
                <w:rStyle w:val="IndexLink"/>
              </w:rPr>
              <w:t>330</w:t>
            </w:r>
          </w:hyperlink>
        </w:p>
        <w:p>
          <w:pPr>
            <w:pStyle w:val="Contents6"/>
            <w:tabs>
              <w:tab w:val="clear" w:pos="7609"/>
              <w:tab w:val="right" w:pos="9026" w:leader="dot"/>
            </w:tabs>
            <w:rPr/>
          </w:pPr>
          <w:hyperlink w:anchor="__RefHeading___Toc795897_222507752">
            <w:r>
              <w:rPr>
                <w:webHidden/>
                <w:rStyle w:val="IndexLink"/>
                <w:rtl w:val="true"/>
              </w:rPr>
              <w:t>مسألة</w:t>
            </w:r>
            <w:r>
              <w:rPr>
                <w:rStyle w:val="IndexLink"/>
                <w:rtl w:val="true"/>
              </w:rPr>
              <w:t>:</w:t>
            </w:r>
            <w:r>
              <w:rPr>
                <w:rStyle w:val="IndexLink"/>
                <w:rtl w:val="true"/>
              </w:rPr>
              <w:t>و العادة إمّا متّفقة و إمّا مختلفة</w:t>
            </w:r>
            <w:r>
              <w:rPr>
                <w:rStyle w:val="IndexLink"/>
                <w:rtl w:val="true"/>
              </w:rPr>
              <w:tab/>
            </w:r>
            <w:r>
              <w:rPr>
                <w:rStyle w:val="IndexLink"/>
              </w:rPr>
              <w:t>330</w:t>
            </w:r>
          </w:hyperlink>
        </w:p>
        <w:p>
          <w:pPr>
            <w:pStyle w:val="Contents6"/>
            <w:tabs>
              <w:tab w:val="clear" w:pos="7609"/>
              <w:tab w:val="right" w:pos="9026" w:leader="dot"/>
            </w:tabs>
            <w:rPr/>
          </w:pPr>
          <w:hyperlink w:anchor="__RefHeading___Toc795899_222507752">
            <w:r>
              <w:rPr>
                <w:webHidden/>
                <w:rStyle w:val="IndexLink"/>
                <w:rtl w:val="true"/>
              </w:rPr>
              <w:t>فرع</w:t>
            </w:r>
            <w:r>
              <w:rPr>
                <w:rStyle w:val="IndexLink"/>
                <w:rtl w:val="true"/>
              </w:rPr>
              <w:t>:</w:t>
            </w:r>
            <w:r>
              <w:rPr>
                <w:rStyle w:val="IndexLink"/>
                <w:rtl w:val="true"/>
              </w:rPr>
              <w:t>لو رأت الدّم في الشّهر الأوّل سبعة،ثمَّ في الثّاني ستّة،ثمَّ في الثّالث خمسة كان</w:t>
            </w:r>
            <w:r>
              <w:rPr>
                <w:rStyle w:val="IndexLink"/>
                <w:rtl w:val="true"/>
              </w:rPr>
              <w:tab/>
            </w:r>
            <w:r>
              <w:rPr>
                <w:rStyle w:val="IndexLink"/>
              </w:rPr>
              <w:t>331</w:t>
            </w:r>
          </w:hyperlink>
        </w:p>
        <w:p>
          <w:pPr>
            <w:pStyle w:val="Contents6"/>
            <w:tabs>
              <w:tab w:val="clear" w:pos="7609"/>
              <w:tab w:val="right" w:pos="9026" w:leader="dot"/>
            </w:tabs>
            <w:rPr/>
          </w:pPr>
          <w:hyperlink w:anchor="__RefHeading___Toc795901_222507752">
            <w:r>
              <w:rPr>
                <w:webHidden/>
                <w:rStyle w:val="IndexLink"/>
                <w:rtl w:val="true"/>
              </w:rPr>
              <w:t>مسألة</w:t>
            </w:r>
            <w:r>
              <w:rPr>
                <w:rStyle w:val="IndexLink"/>
                <w:rtl w:val="true"/>
              </w:rPr>
              <w:t>:</w:t>
            </w:r>
            <w:r>
              <w:rPr>
                <w:rStyle w:val="IndexLink"/>
                <w:rtl w:val="true"/>
              </w:rPr>
              <w:t>ذات العادة إن انقطع دمها على عادتها فلا استظهار حينئذ،</w:t>
            </w:r>
            <w:r>
              <w:rPr>
                <w:rStyle w:val="IndexLink"/>
                <w:rtl w:val="true"/>
              </w:rPr>
              <w:tab/>
            </w:r>
            <w:r>
              <w:rPr>
                <w:rStyle w:val="IndexLink"/>
              </w:rPr>
              <w:t>331</w:t>
            </w:r>
          </w:hyperlink>
        </w:p>
        <w:p>
          <w:pPr>
            <w:pStyle w:val="Contents6"/>
            <w:tabs>
              <w:tab w:val="clear" w:pos="7609"/>
              <w:tab w:val="right" w:pos="9026" w:leader="dot"/>
            </w:tabs>
            <w:rPr/>
          </w:pPr>
          <w:hyperlink w:anchor="__RefHeading___Toc795903_222507752">
            <w:r>
              <w:rPr>
                <w:webHidden/>
                <w:rStyle w:val="IndexLink"/>
                <w:rtl w:val="true"/>
              </w:rPr>
              <w:t>فروع</w:t>
            </w:r>
            <w:r>
              <w:rPr>
                <w:rStyle w:val="IndexLink"/>
                <w:rtl w:val="true"/>
              </w:rPr>
              <w:t>:</w:t>
              <w:tab/>
            </w:r>
            <w:r>
              <w:rPr>
                <w:rStyle w:val="IndexLink"/>
              </w:rPr>
              <w:t>335</w:t>
            </w:r>
          </w:hyperlink>
        </w:p>
        <w:p>
          <w:pPr>
            <w:pStyle w:val="Contents6"/>
            <w:tabs>
              <w:tab w:val="clear" w:pos="7609"/>
              <w:tab w:val="right" w:pos="9026" w:leader="dot"/>
            </w:tabs>
            <w:rPr/>
          </w:pPr>
          <w:hyperlink w:anchor="__RefHeading___Toc795905_222507752">
            <w:r>
              <w:rPr>
                <w:webHidden/>
                <w:rStyle w:val="IndexLink"/>
                <w:rtl w:val="true"/>
              </w:rPr>
              <w:t>الأوّل</w:t>
            </w:r>
            <w:r>
              <w:rPr>
                <w:rStyle w:val="IndexLink"/>
                <w:rtl w:val="true"/>
              </w:rPr>
              <w:t>:</w:t>
            </w:r>
            <w:r>
              <w:rPr>
                <w:rStyle w:val="IndexLink"/>
                <w:rtl w:val="true"/>
              </w:rPr>
              <w:t>الاستظهار المذكور ليس على الوجوب،</w:t>
            </w:r>
            <w:r>
              <w:rPr>
                <w:rStyle w:val="IndexLink"/>
                <w:rtl w:val="true"/>
              </w:rPr>
              <w:tab/>
            </w:r>
            <w:r>
              <w:rPr>
                <w:rStyle w:val="IndexLink"/>
              </w:rPr>
              <w:t>335</w:t>
            </w:r>
          </w:hyperlink>
        </w:p>
        <w:p>
          <w:pPr>
            <w:pStyle w:val="Contents6"/>
            <w:tabs>
              <w:tab w:val="clear" w:pos="7609"/>
              <w:tab w:val="right" w:pos="9026" w:leader="dot"/>
            </w:tabs>
            <w:rPr/>
          </w:pPr>
          <w:hyperlink w:anchor="__RefHeading___Toc795907_222507752">
            <w:r>
              <w:rPr>
                <w:webHidden/>
                <w:rStyle w:val="IndexLink"/>
                <w:rtl w:val="true"/>
              </w:rPr>
              <w:t>الثّاني</w:t>
            </w:r>
            <w:r>
              <w:rPr>
                <w:rStyle w:val="IndexLink"/>
                <w:rtl w:val="true"/>
              </w:rPr>
              <w:t>:</w:t>
            </w:r>
            <w:r>
              <w:rPr>
                <w:rStyle w:val="IndexLink"/>
                <w:rtl w:val="true"/>
              </w:rPr>
              <w:t>لو استظهرت بيوم أو يومين و تجاوز الدّم العشرة،كان ما أتت به من</w:t>
            </w:r>
            <w:r>
              <w:rPr>
                <w:rStyle w:val="IndexLink"/>
                <w:rtl w:val="true"/>
              </w:rPr>
              <w:tab/>
            </w:r>
            <w:r>
              <w:rPr>
                <w:rStyle w:val="IndexLink"/>
              </w:rPr>
              <w:t>336</w:t>
            </w:r>
          </w:hyperlink>
        </w:p>
        <w:p>
          <w:pPr>
            <w:pStyle w:val="Contents6"/>
            <w:tabs>
              <w:tab w:val="clear" w:pos="7609"/>
              <w:tab w:val="right" w:pos="9026" w:leader="dot"/>
            </w:tabs>
            <w:rPr/>
          </w:pPr>
          <w:hyperlink w:anchor="__RefHeading___Toc795909_222507752">
            <w:r>
              <w:rPr>
                <w:webHidden/>
                <w:rStyle w:val="IndexLink"/>
                <w:rtl w:val="true"/>
              </w:rPr>
              <w:t>الثّالث</w:t>
            </w:r>
            <w:r>
              <w:rPr>
                <w:rStyle w:val="IndexLink"/>
                <w:rtl w:val="true"/>
              </w:rPr>
              <w:t>:</w:t>
            </w:r>
            <w:r>
              <w:rPr>
                <w:rStyle w:val="IndexLink"/>
                <w:rtl w:val="true"/>
              </w:rPr>
              <w:t>لو تجاوز مع الاستظهار هل يجب قضاء الصّلاة الّتي فاتت في وقت</w:t>
            </w:r>
            <w:r>
              <w:rPr>
                <w:rStyle w:val="IndexLink"/>
                <w:rtl w:val="true"/>
              </w:rPr>
              <w:tab/>
            </w:r>
            <w:r>
              <w:rPr>
                <w:rStyle w:val="IndexLink"/>
              </w:rPr>
              <w:t>336</w:t>
            </w:r>
          </w:hyperlink>
        </w:p>
        <w:p>
          <w:pPr>
            <w:pStyle w:val="Contents6"/>
            <w:tabs>
              <w:tab w:val="clear" w:pos="7609"/>
              <w:tab w:val="right" w:pos="9026" w:leader="dot"/>
            </w:tabs>
            <w:rPr/>
          </w:pPr>
          <w:hyperlink w:anchor="__RefHeading___Toc795911_222507752">
            <w:r>
              <w:rPr>
                <w:webHidden/>
                <w:rStyle w:val="IndexLink"/>
                <w:rtl w:val="true"/>
              </w:rPr>
              <w:t>الرّابع</w:t>
            </w:r>
            <w:r>
              <w:rPr>
                <w:rStyle w:val="IndexLink"/>
                <w:rtl w:val="true"/>
              </w:rPr>
              <w:t>:</w:t>
            </w:r>
            <w:r>
              <w:rPr>
                <w:rStyle w:val="IndexLink"/>
                <w:rtl w:val="true"/>
              </w:rPr>
              <w:t>قد ورد الاستظهار في الحديث الصّحيح بثلاثة أيّام</w:t>
            </w:r>
            <w:r>
              <w:rPr>
                <w:rStyle w:val="IndexLink"/>
                <w:rtl w:val="true"/>
              </w:rPr>
              <w:tab/>
            </w:r>
            <w:r>
              <w:rPr>
                <w:rStyle w:val="IndexLink"/>
              </w:rPr>
              <w:t>336</w:t>
            </w:r>
          </w:hyperlink>
        </w:p>
        <w:p>
          <w:pPr>
            <w:pStyle w:val="Contents6"/>
            <w:tabs>
              <w:tab w:val="clear" w:pos="7609"/>
              <w:tab w:val="right" w:pos="9026" w:leader="dot"/>
            </w:tabs>
            <w:rPr/>
          </w:pPr>
          <w:hyperlink w:anchor="__RefHeading___Toc795913_222507752">
            <w:r>
              <w:rPr>
                <w:webHidden/>
                <w:rStyle w:val="IndexLink"/>
                <w:rtl w:val="true"/>
              </w:rPr>
              <w:t>الخامس</w:t>
            </w:r>
            <w:r>
              <w:rPr>
                <w:rStyle w:val="IndexLink"/>
                <w:rtl w:val="true"/>
              </w:rPr>
              <w:t>:</w:t>
            </w:r>
            <w:r>
              <w:rPr>
                <w:rStyle w:val="IndexLink"/>
                <w:rtl w:val="true"/>
              </w:rPr>
              <w:t>لو انقطع لدون العشرة فلا استظهار حينئذ،</w:t>
            </w:r>
            <w:r>
              <w:rPr>
                <w:rStyle w:val="IndexLink"/>
                <w:rtl w:val="true"/>
              </w:rPr>
              <w:tab/>
            </w:r>
            <w:r>
              <w:rPr>
                <w:rStyle w:val="IndexLink"/>
              </w:rPr>
              <w:t>336</w:t>
            </w:r>
          </w:hyperlink>
        </w:p>
        <w:p>
          <w:pPr>
            <w:pStyle w:val="Contents6"/>
            <w:tabs>
              <w:tab w:val="clear" w:pos="7609"/>
              <w:tab w:val="right" w:pos="9026" w:leader="dot"/>
            </w:tabs>
            <w:rPr/>
          </w:pPr>
          <w:hyperlink w:anchor="__RefHeading___Toc795915_222507752">
            <w:r>
              <w:rPr>
                <w:webHidden/>
                <w:rStyle w:val="IndexLink"/>
                <w:rtl w:val="true"/>
              </w:rPr>
              <w:t>القسم الرّابع</w:t>
            </w:r>
            <w:r>
              <w:rPr>
                <w:rStyle w:val="IndexLink"/>
                <w:rtl w:val="true"/>
              </w:rPr>
              <w:t>:</w:t>
              <w:tab/>
            </w:r>
            <w:r>
              <w:rPr>
                <w:rStyle w:val="IndexLink"/>
              </w:rPr>
              <w:t>337</w:t>
            </w:r>
          </w:hyperlink>
        </w:p>
        <w:p>
          <w:pPr>
            <w:pStyle w:val="Contents6"/>
            <w:tabs>
              <w:tab w:val="clear" w:pos="7609"/>
              <w:tab w:val="right" w:pos="9026" w:leader="dot"/>
            </w:tabs>
            <w:rPr/>
          </w:pPr>
          <w:hyperlink w:anchor="__RefHeading___Toc795917_222507752">
            <w:r>
              <w:rPr>
                <w:webHidden/>
                <w:rStyle w:val="IndexLink"/>
                <w:rtl w:val="true"/>
              </w:rPr>
              <w:t>فروع</w:t>
            </w:r>
            <w:r>
              <w:rPr>
                <w:rStyle w:val="IndexLink"/>
                <w:rtl w:val="true"/>
              </w:rPr>
              <w:t>:</w:t>
              <w:tab/>
            </w:r>
            <w:r>
              <w:rPr>
                <w:rStyle w:val="IndexLink"/>
              </w:rPr>
              <w:t>339</w:t>
            </w:r>
          </w:hyperlink>
        </w:p>
        <w:p>
          <w:pPr>
            <w:pStyle w:val="Contents6"/>
            <w:tabs>
              <w:tab w:val="clear" w:pos="7609"/>
              <w:tab w:val="right" w:pos="9026" w:leader="dot"/>
            </w:tabs>
            <w:rPr/>
          </w:pPr>
          <w:hyperlink w:anchor="__RefHeading___Toc795919_222507752">
            <w:r>
              <w:rPr>
                <w:webHidden/>
                <w:rStyle w:val="IndexLink"/>
                <w:rtl w:val="true"/>
              </w:rPr>
              <w:t>الأوّل</w:t>
            </w:r>
            <w:r>
              <w:rPr>
                <w:rStyle w:val="IndexLink"/>
                <w:rtl w:val="true"/>
              </w:rPr>
              <w:t>:</w:t>
            </w:r>
            <w:r>
              <w:rPr>
                <w:rStyle w:val="IndexLink"/>
                <w:rtl w:val="true"/>
              </w:rPr>
              <w:t>يشترط في التّمييز أمور ثلاثة</w:t>
            </w:r>
            <w:r>
              <w:rPr>
                <w:rStyle w:val="IndexLink"/>
                <w:rtl w:val="true"/>
              </w:rPr>
              <w:t>:</w:t>
              <w:tab/>
            </w:r>
            <w:r>
              <w:rPr>
                <w:rStyle w:val="IndexLink"/>
              </w:rPr>
              <w:t>339</w:t>
            </w:r>
          </w:hyperlink>
        </w:p>
        <w:p>
          <w:pPr>
            <w:pStyle w:val="Contents6"/>
            <w:tabs>
              <w:tab w:val="clear" w:pos="7609"/>
              <w:tab w:val="right" w:pos="9026" w:leader="dot"/>
            </w:tabs>
            <w:rPr/>
          </w:pPr>
          <w:hyperlink w:anchor="__RefHeading___Toc795921_222507752">
            <w:r>
              <w:rPr>
                <w:webHidden/>
                <w:rStyle w:val="IndexLink"/>
                <w:rtl w:val="true"/>
              </w:rPr>
              <w:t>الثّاني</w:t>
            </w:r>
            <w:r>
              <w:rPr>
                <w:rStyle w:val="IndexLink"/>
                <w:rtl w:val="true"/>
              </w:rPr>
              <w:t>:</w:t>
            </w:r>
            <w:r>
              <w:rPr>
                <w:rStyle w:val="IndexLink"/>
                <w:rtl w:val="true"/>
              </w:rPr>
              <w:t>لا يشترط في التّمييز التّكرار</w:t>
            </w:r>
            <w:r>
              <w:rPr>
                <w:rStyle w:val="IndexLink"/>
                <w:rtl w:val="true"/>
              </w:rPr>
              <w:t>.</w:t>
              <w:tab/>
            </w:r>
            <w:r>
              <w:rPr>
                <w:rStyle w:val="IndexLink"/>
              </w:rPr>
              <w:t>339</w:t>
            </w:r>
          </w:hyperlink>
        </w:p>
        <w:p>
          <w:pPr>
            <w:pStyle w:val="Contents6"/>
            <w:tabs>
              <w:tab w:val="clear" w:pos="7609"/>
              <w:tab w:val="right" w:pos="9026" w:leader="dot"/>
            </w:tabs>
            <w:rPr/>
          </w:pPr>
          <w:hyperlink w:anchor="__RefHeading___Toc795923_222507752">
            <w:r>
              <w:rPr>
                <w:webHidden/>
                <w:rStyle w:val="IndexLink"/>
                <w:rtl w:val="true"/>
              </w:rPr>
              <w:t>الثّالث</w:t>
            </w:r>
            <w:r>
              <w:rPr>
                <w:rStyle w:val="IndexLink"/>
                <w:rtl w:val="true"/>
              </w:rPr>
              <w:t>:</w:t>
            </w:r>
            <w:r>
              <w:rPr>
                <w:rStyle w:val="IndexLink"/>
                <w:rtl w:val="true"/>
              </w:rPr>
              <w:t>لو رأت أسود بين أحمرين،فإن لم يتجاوز الأكثر فالجميع حيض</w:t>
            </w:r>
            <w:r>
              <w:rPr>
                <w:rStyle w:val="IndexLink"/>
                <w:rtl w:val="true"/>
              </w:rPr>
              <w:tab/>
            </w:r>
            <w:r>
              <w:rPr>
                <w:rStyle w:val="IndexLink"/>
              </w:rPr>
              <w:t>340</w:t>
            </w:r>
          </w:hyperlink>
        </w:p>
        <w:p>
          <w:pPr>
            <w:pStyle w:val="Contents6"/>
            <w:tabs>
              <w:tab w:val="clear" w:pos="7609"/>
              <w:tab w:val="right" w:pos="9026" w:leader="dot"/>
            </w:tabs>
            <w:rPr/>
          </w:pPr>
          <w:hyperlink w:anchor="__RefHeading___Toc795925_222507752">
            <w:r>
              <w:rPr>
                <w:webHidden/>
                <w:rStyle w:val="IndexLink"/>
                <w:rtl w:val="true"/>
              </w:rPr>
              <w:t>الرّابع</w:t>
            </w:r>
            <w:r>
              <w:rPr>
                <w:rStyle w:val="IndexLink"/>
                <w:rtl w:val="true"/>
              </w:rPr>
              <w:t>:</w:t>
            </w:r>
            <w:r>
              <w:rPr>
                <w:rStyle w:val="IndexLink"/>
                <w:rtl w:val="true"/>
              </w:rPr>
              <w:t>لو رأت ثلاثة صفراء تركت الصّوم و الصّلاة إلى العاشر</w:t>
            </w:r>
            <w:r>
              <w:rPr>
                <w:rStyle w:val="IndexLink"/>
                <w:rtl w:val="true"/>
              </w:rPr>
              <w:tab/>
            </w:r>
            <w:r>
              <w:rPr>
                <w:rStyle w:val="IndexLink"/>
              </w:rPr>
              <w:t>340</w:t>
            </w:r>
          </w:hyperlink>
        </w:p>
        <w:p>
          <w:pPr>
            <w:pStyle w:val="Contents6"/>
            <w:tabs>
              <w:tab w:val="clear" w:pos="7609"/>
              <w:tab w:val="right" w:pos="9026" w:leader="dot"/>
            </w:tabs>
            <w:rPr/>
          </w:pPr>
          <w:hyperlink w:anchor="__RefHeading___Toc795927_222507752">
            <w:r>
              <w:rPr>
                <w:webHidden/>
                <w:rStyle w:val="IndexLink"/>
                <w:rtl w:val="true"/>
              </w:rPr>
              <w:t>الخامس</w:t>
            </w:r>
            <w:r>
              <w:rPr>
                <w:rStyle w:val="IndexLink"/>
                <w:rtl w:val="true"/>
              </w:rPr>
              <w:t>:</w:t>
            </w:r>
            <w:r>
              <w:rPr>
                <w:rStyle w:val="IndexLink"/>
                <w:rtl w:val="true"/>
              </w:rPr>
              <w:t>لو رأت ثلاثة أيّام أسود و ثلاثة أصفر،ثمَّ عشرة أسود،قال الشّيخ رحمه</w:t>
            </w:r>
            <w:r>
              <w:rPr>
                <w:rStyle w:val="IndexLink"/>
                <w:rtl w:val="true"/>
              </w:rPr>
              <w:tab/>
            </w:r>
            <w:r>
              <w:rPr>
                <w:rStyle w:val="IndexLink"/>
              </w:rPr>
              <w:t>340</w:t>
            </w:r>
          </w:hyperlink>
        </w:p>
        <w:p>
          <w:pPr>
            <w:pStyle w:val="Contents6"/>
            <w:tabs>
              <w:tab w:val="clear" w:pos="7609"/>
              <w:tab w:val="right" w:pos="9026" w:leader="dot"/>
            </w:tabs>
            <w:rPr/>
          </w:pPr>
          <w:hyperlink w:anchor="__RefHeading___Toc795929_222507752">
            <w:r>
              <w:rPr>
                <w:webHidden/>
                <w:rStyle w:val="IndexLink"/>
                <w:rtl w:val="true"/>
              </w:rPr>
              <w:t>السّادس</w:t>
            </w:r>
            <w:r>
              <w:rPr>
                <w:rStyle w:val="IndexLink"/>
                <w:rtl w:val="true"/>
              </w:rPr>
              <w:t>:</w:t>
            </w:r>
            <w:r>
              <w:rPr>
                <w:rStyle w:val="IndexLink"/>
                <w:rtl w:val="true"/>
              </w:rPr>
              <w:t>لو رأت المبتدئة خمسة أيّام دم الاستحاضة،ثمَّ الأسود بقيّة الشّهر،</w:t>
            </w:r>
            <w:r>
              <w:rPr>
                <w:rStyle w:val="IndexLink"/>
                <w:rtl w:val="true"/>
              </w:rPr>
              <w:tab/>
            </w:r>
            <w:r>
              <w:rPr>
                <w:rStyle w:val="IndexLink"/>
              </w:rPr>
              <w:t>341</w:t>
            </w:r>
          </w:hyperlink>
        </w:p>
        <w:p>
          <w:pPr>
            <w:pStyle w:val="Contents6"/>
            <w:tabs>
              <w:tab w:val="clear" w:pos="7609"/>
              <w:tab w:val="right" w:pos="9026" w:leader="dot"/>
            </w:tabs>
            <w:rPr/>
          </w:pPr>
          <w:hyperlink w:anchor="__RefHeading___Toc795931_222507752">
            <w:r>
              <w:rPr>
                <w:webHidden/>
                <w:rStyle w:val="IndexLink"/>
                <w:rtl w:val="true"/>
              </w:rPr>
              <w:t>السّابع</w:t>
            </w:r>
            <w:r>
              <w:rPr>
                <w:rStyle w:val="IndexLink"/>
                <w:rtl w:val="true"/>
              </w:rPr>
              <w:t>:</w:t>
            </w:r>
            <w:r>
              <w:rPr>
                <w:rStyle w:val="IndexLink"/>
                <w:rtl w:val="true"/>
              </w:rPr>
              <w:t>لو رأت في أوّل الشّهر عشرة أيّام أسود،ثمَّ عشرة أحمر،ثمَّ عشرة أسود،</w:t>
            </w:r>
            <w:r>
              <w:rPr>
                <w:rStyle w:val="IndexLink"/>
                <w:rtl w:val="true"/>
              </w:rPr>
              <w:tab/>
            </w:r>
            <w:r>
              <w:rPr>
                <w:rStyle w:val="IndexLink"/>
              </w:rPr>
              <w:t>341</w:t>
            </w:r>
          </w:hyperlink>
        </w:p>
        <w:p>
          <w:pPr>
            <w:pStyle w:val="Contents6"/>
            <w:tabs>
              <w:tab w:val="clear" w:pos="7609"/>
              <w:tab w:val="right" w:pos="9026" w:leader="dot"/>
            </w:tabs>
            <w:rPr/>
          </w:pPr>
          <w:hyperlink w:anchor="__RefHeading___Toc795933_222507752">
            <w:r>
              <w:rPr>
                <w:webHidden/>
                <w:rStyle w:val="IndexLink"/>
                <w:rtl w:val="true"/>
              </w:rPr>
              <w:t>الثّامن</w:t>
            </w:r>
            <w:r>
              <w:rPr>
                <w:rStyle w:val="IndexLink"/>
                <w:rtl w:val="true"/>
              </w:rPr>
              <w:t>:</w:t>
            </w:r>
            <w:r>
              <w:rPr>
                <w:rStyle w:val="IndexLink"/>
                <w:rtl w:val="true"/>
              </w:rPr>
              <w:t>لو رأت في شهر خمسة</w:t>
            </w:r>
            <w:r>
              <w:rPr>
                <w:rStyle w:val="IndexLink"/>
                <w:rtl w:val="true"/>
              </w:rPr>
              <w:tab/>
            </w:r>
            <w:r>
              <w:rPr>
                <w:rStyle w:val="IndexLink"/>
              </w:rPr>
              <w:t>341</w:t>
            </w:r>
          </w:hyperlink>
        </w:p>
        <w:p>
          <w:pPr>
            <w:pStyle w:val="Contents6"/>
            <w:tabs>
              <w:tab w:val="clear" w:pos="7609"/>
              <w:tab w:val="right" w:pos="9026" w:leader="dot"/>
            </w:tabs>
            <w:rPr/>
          </w:pPr>
          <w:hyperlink w:anchor="__RefHeading___Toc795935_222507752">
            <w:r>
              <w:rPr>
                <w:webHidden/>
                <w:rStyle w:val="IndexLink"/>
                <w:rtl w:val="true"/>
              </w:rPr>
              <w:t>التّاسع</w:t>
            </w:r>
            <w:r>
              <w:rPr>
                <w:rStyle w:val="IndexLink"/>
                <w:rtl w:val="true"/>
              </w:rPr>
              <w:t>:</w:t>
            </w:r>
            <w:r>
              <w:rPr>
                <w:rStyle w:val="IndexLink"/>
                <w:rtl w:val="true"/>
              </w:rPr>
              <w:t>لو رأت ثلاثة أيّام،ثمَّ انقطع،ثمَّ رأت يوم العاشر أو قبله و انقطع،</w:t>
            </w:r>
            <w:r>
              <w:rPr>
                <w:rStyle w:val="IndexLink"/>
                <w:rtl w:val="true"/>
              </w:rPr>
              <w:tab/>
            </w:r>
            <w:r>
              <w:rPr>
                <w:rStyle w:val="IndexLink"/>
              </w:rPr>
              <w:t>341</w:t>
            </w:r>
          </w:hyperlink>
        </w:p>
        <w:p>
          <w:pPr>
            <w:pStyle w:val="Contents6"/>
            <w:tabs>
              <w:tab w:val="clear" w:pos="7609"/>
              <w:tab w:val="right" w:pos="9026" w:leader="dot"/>
            </w:tabs>
            <w:rPr/>
          </w:pPr>
          <w:hyperlink w:anchor="__RefHeading___Toc795937_222507752">
            <w:r>
              <w:rPr>
                <w:webHidden/>
                <w:rStyle w:val="IndexLink"/>
                <w:rtl w:val="true"/>
              </w:rPr>
              <w:t>العاشر</w:t>
            </w:r>
            <w:r>
              <w:rPr>
                <w:rStyle w:val="IndexLink"/>
                <w:rtl w:val="true"/>
              </w:rPr>
              <w:t>:</w:t>
            </w:r>
            <w:r>
              <w:rPr>
                <w:rStyle w:val="IndexLink"/>
                <w:rtl w:val="true"/>
              </w:rPr>
              <w:t>روى الشّيخ في الصّحيح،عن يونس بن يعقوب،</w:t>
            </w:r>
            <w:r>
              <w:rPr>
                <w:rStyle w:val="IndexLink"/>
                <w:rtl w:val="true"/>
              </w:rPr>
              <w:tab/>
            </w:r>
            <w:r>
              <w:rPr>
                <w:rStyle w:val="IndexLink"/>
              </w:rPr>
              <w:t>342</w:t>
            </w:r>
          </w:hyperlink>
        </w:p>
        <w:p>
          <w:pPr>
            <w:pStyle w:val="Contents5"/>
            <w:tabs>
              <w:tab w:val="clear" w:pos="7892"/>
              <w:tab w:val="right" w:pos="9026" w:leader="dot"/>
            </w:tabs>
            <w:rPr/>
          </w:pPr>
          <w:hyperlink w:anchor="__RefHeading___Toc795939_222507752">
            <w:r>
              <w:rPr>
                <w:webHidden/>
                <w:rStyle w:val="IndexLink"/>
                <w:rtl w:val="true"/>
              </w:rPr>
              <w:t>البحث الثّالث</w:t>
            </w:r>
            <w:r>
              <w:rPr>
                <w:rStyle w:val="IndexLink"/>
                <w:rtl w:val="true"/>
              </w:rPr>
              <w:t>:</w:t>
            </w:r>
            <w:r>
              <w:rPr>
                <w:rStyle w:val="IndexLink"/>
                <w:rtl w:val="true"/>
              </w:rPr>
              <w:t>في بقيّة الكلام في ذات العادة المختلفة،و التّفريع عليه</w:t>
            </w:r>
            <w:r>
              <w:rPr>
                <w:rStyle w:val="IndexLink"/>
                <w:rtl w:val="true"/>
              </w:rPr>
              <w:tab/>
            </w:r>
            <w:r>
              <w:rPr>
                <w:rStyle w:val="IndexLink"/>
              </w:rPr>
              <w:t>344</w:t>
            </w:r>
          </w:hyperlink>
        </w:p>
        <w:p>
          <w:pPr>
            <w:pStyle w:val="Contents6"/>
            <w:tabs>
              <w:tab w:val="clear" w:pos="7609"/>
              <w:tab w:val="right" w:pos="9026" w:leader="dot"/>
            </w:tabs>
            <w:rPr/>
          </w:pPr>
          <w:hyperlink w:anchor="__RefHeading___Toc795941_222507752">
            <w:r>
              <w:rPr>
                <w:webHidden/>
                <w:rStyle w:val="IndexLink"/>
                <w:rtl w:val="true"/>
              </w:rPr>
              <w:t>مسألة</w:t>
            </w:r>
            <w:r>
              <w:rPr>
                <w:rStyle w:val="IndexLink"/>
                <w:rtl w:val="true"/>
              </w:rPr>
              <w:t>:</w:t>
            </w:r>
            <w:r>
              <w:rPr>
                <w:rStyle w:val="IndexLink"/>
                <w:rtl w:val="true"/>
              </w:rPr>
              <w:t>الانتقال،على ضربين</w:t>
            </w:r>
            <w:r>
              <w:rPr>
                <w:rStyle w:val="IndexLink"/>
                <w:rtl w:val="true"/>
              </w:rPr>
              <w:t>:</w:t>
            </w:r>
            <w:r>
              <w:rPr>
                <w:rStyle w:val="IndexLink"/>
                <w:rtl w:val="true"/>
              </w:rPr>
              <w:t>انتقال عدد،و انتقال مكان</w:t>
            </w:r>
            <w:r>
              <w:rPr>
                <w:rStyle w:val="IndexLink"/>
                <w:rtl w:val="true"/>
              </w:rPr>
              <w:t>.</w:t>
              <w:tab/>
            </w:r>
            <w:r>
              <w:rPr>
                <w:rStyle w:val="IndexLink"/>
              </w:rPr>
              <w:t>344</w:t>
            </w:r>
          </w:hyperlink>
        </w:p>
        <w:p>
          <w:pPr>
            <w:pStyle w:val="Contents6"/>
            <w:tabs>
              <w:tab w:val="clear" w:pos="7609"/>
              <w:tab w:val="right" w:pos="9026" w:leader="dot"/>
            </w:tabs>
            <w:rPr/>
          </w:pPr>
          <w:hyperlink w:anchor="__RefHeading___Toc795943_222507752">
            <w:r>
              <w:rPr>
                <w:webHidden/>
                <w:rStyle w:val="IndexLink"/>
                <w:rtl w:val="true"/>
              </w:rPr>
              <w:t>فرع</w:t>
            </w:r>
            <w:r>
              <w:rPr>
                <w:rStyle w:val="IndexLink"/>
                <w:rtl w:val="true"/>
              </w:rPr>
              <w:t>:</w:t>
            </w:r>
            <w:r>
              <w:rPr>
                <w:rStyle w:val="IndexLink"/>
                <w:rtl w:val="true"/>
              </w:rPr>
              <w:t>لو رأت قبل العادة و فيها أو بعدها فالجميع حيض</w:t>
            </w:r>
            <w:r>
              <w:rPr>
                <w:rStyle w:val="IndexLink"/>
                <w:rtl w:val="true"/>
              </w:rPr>
              <w:tab/>
            </w:r>
            <w:r>
              <w:rPr>
                <w:rStyle w:val="IndexLink"/>
              </w:rPr>
              <w:t>345</w:t>
            </w:r>
          </w:hyperlink>
        </w:p>
        <w:p>
          <w:pPr>
            <w:pStyle w:val="Contents6"/>
            <w:tabs>
              <w:tab w:val="clear" w:pos="7609"/>
              <w:tab w:val="right" w:pos="9026" w:leader="dot"/>
            </w:tabs>
            <w:rPr/>
          </w:pPr>
          <w:hyperlink w:anchor="__RefHeading___Toc795945_222507752">
            <w:r>
              <w:rPr>
                <w:webHidden/>
                <w:rStyle w:val="IndexLink"/>
                <w:rtl w:val="true"/>
              </w:rPr>
              <w:t>مسألة</w:t>
            </w:r>
            <w:r>
              <w:rPr>
                <w:rStyle w:val="IndexLink"/>
                <w:rtl w:val="true"/>
              </w:rPr>
              <w:t>:</w:t>
            </w:r>
            <w:r>
              <w:rPr>
                <w:rStyle w:val="IndexLink"/>
                <w:rtl w:val="true"/>
              </w:rPr>
              <w:t>ذات العادة إذا نسيتها لم تخل من ثلاثة أقسام</w:t>
            </w:r>
            <w:r>
              <w:rPr>
                <w:rStyle w:val="IndexLink"/>
                <w:rtl w:val="true"/>
              </w:rPr>
              <w:t>:</w:t>
              <w:tab/>
            </w:r>
            <w:r>
              <w:rPr>
                <w:rStyle w:val="IndexLink"/>
              </w:rPr>
              <w:t>347</w:t>
            </w:r>
          </w:hyperlink>
        </w:p>
        <w:p>
          <w:pPr>
            <w:pStyle w:val="Contents6"/>
            <w:tabs>
              <w:tab w:val="clear" w:pos="7609"/>
              <w:tab w:val="right" w:pos="9026" w:leader="dot"/>
            </w:tabs>
            <w:rPr/>
          </w:pPr>
          <w:hyperlink w:anchor="__RefHeading___Toc795947_222507752">
            <w:r>
              <w:rPr>
                <w:webHidden/>
                <w:rStyle w:val="IndexLink"/>
                <w:rtl w:val="true"/>
              </w:rPr>
              <w:t>فروع</w:t>
            </w:r>
            <w:r>
              <w:rPr>
                <w:rStyle w:val="IndexLink"/>
                <w:rtl w:val="true"/>
              </w:rPr>
              <w:t>:</w:t>
            </w:r>
            <w:r>
              <w:rPr>
                <w:rStyle w:val="IndexLink"/>
                <w:rtl w:val="true"/>
              </w:rPr>
              <w:t>في الامتزاج</w:t>
            </w:r>
            <w:r>
              <w:rPr>
                <w:rStyle w:val="IndexLink"/>
                <w:rtl w:val="true"/>
              </w:rPr>
              <w:t>.</w:t>
              <w:tab/>
            </w:r>
            <w:r>
              <w:rPr>
                <w:rStyle w:val="IndexLink"/>
              </w:rPr>
              <w:t>351</w:t>
            </w:r>
          </w:hyperlink>
        </w:p>
        <w:p>
          <w:pPr>
            <w:pStyle w:val="Contents6"/>
            <w:tabs>
              <w:tab w:val="clear" w:pos="7609"/>
              <w:tab w:val="right" w:pos="9026" w:leader="dot"/>
            </w:tabs>
            <w:rPr/>
          </w:pPr>
          <w:hyperlink w:anchor="__RefHeading___Toc795949_222507752">
            <w:r>
              <w:rPr>
                <w:webHidden/>
                <w:rStyle w:val="IndexLink"/>
                <w:rtl w:val="true"/>
              </w:rPr>
              <w:t>فروع</w:t>
            </w:r>
            <w:r>
              <w:rPr>
                <w:rStyle w:val="IndexLink"/>
                <w:rtl w:val="true"/>
              </w:rPr>
              <w:t>:</w:t>
            </w:r>
            <w:r>
              <w:rPr>
                <w:rStyle w:val="IndexLink"/>
                <w:rtl w:val="true"/>
              </w:rPr>
              <w:t>في التّلفيق</w:t>
            </w:r>
            <w:r>
              <w:rPr>
                <w:rStyle w:val="IndexLink"/>
                <w:rtl w:val="true"/>
              </w:rPr>
              <w:t>.</w:t>
              <w:tab/>
            </w:r>
            <w:r>
              <w:rPr>
                <w:rStyle w:val="IndexLink"/>
              </w:rPr>
              <w:t>353</w:t>
            </w:r>
          </w:hyperlink>
        </w:p>
        <w:p>
          <w:pPr>
            <w:pStyle w:val="Contents6"/>
            <w:tabs>
              <w:tab w:val="clear" w:pos="7609"/>
              <w:tab w:val="right" w:pos="9026" w:leader="dot"/>
            </w:tabs>
            <w:rPr/>
          </w:pPr>
          <w:hyperlink w:anchor="__RefHeading___Toc795951_222507752">
            <w:r>
              <w:rPr>
                <w:webHidden/>
                <w:rStyle w:val="IndexLink"/>
                <w:rtl w:val="true"/>
              </w:rPr>
              <w:t>فروع</w:t>
            </w:r>
            <w:r>
              <w:rPr>
                <w:rStyle w:val="IndexLink"/>
                <w:rtl w:val="true"/>
              </w:rPr>
              <w:t>:</w:t>
              <w:tab/>
            </w:r>
            <w:r>
              <w:rPr>
                <w:rStyle w:val="IndexLink"/>
              </w:rPr>
              <w:t>358</w:t>
            </w:r>
          </w:hyperlink>
        </w:p>
        <w:p>
          <w:pPr>
            <w:pStyle w:val="Contents6"/>
            <w:tabs>
              <w:tab w:val="clear" w:pos="7609"/>
              <w:tab w:val="right" w:pos="9026" w:leader="dot"/>
            </w:tabs>
            <w:rPr/>
          </w:pPr>
          <w:hyperlink w:anchor="__RefHeading___Toc795953_222507752">
            <w:r>
              <w:rPr>
                <w:webHidden/>
                <w:rStyle w:val="IndexLink"/>
                <w:rtl w:val="true"/>
              </w:rPr>
              <w:t>الأوّل</w:t>
            </w:r>
            <w:r>
              <w:rPr>
                <w:rStyle w:val="IndexLink"/>
                <w:rtl w:val="true"/>
              </w:rPr>
              <w:t>:</w:t>
            </w:r>
            <w:r>
              <w:rPr>
                <w:rStyle w:val="IndexLink"/>
                <w:rtl w:val="true"/>
              </w:rPr>
              <w:t>إذا قلنا بالتّلفيق فكلّ قدر من الدّم لا يجعل حيضا تامّا</w:t>
            </w:r>
            <w:r>
              <w:rPr>
                <w:rStyle w:val="IndexLink"/>
                <w:rtl w:val="true"/>
              </w:rPr>
              <w:tab/>
            </w:r>
            <w:r>
              <w:rPr>
                <w:rStyle w:val="IndexLink"/>
              </w:rPr>
              <w:t>358</w:t>
            </w:r>
          </w:hyperlink>
        </w:p>
        <w:p>
          <w:pPr>
            <w:pStyle w:val="Contents6"/>
            <w:tabs>
              <w:tab w:val="clear" w:pos="7609"/>
              <w:tab w:val="right" w:pos="9026" w:leader="dot"/>
            </w:tabs>
            <w:rPr/>
          </w:pPr>
          <w:hyperlink w:anchor="__RefHeading___Toc795955_222507752">
            <w:r>
              <w:rPr>
                <w:webHidden/>
                <w:rStyle w:val="IndexLink"/>
                <w:rtl w:val="true"/>
              </w:rPr>
              <w:t>الثّاني</w:t>
            </w:r>
            <w:r>
              <w:rPr>
                <w:rStyle w:val="IndexLink"/>
                <w:rtl w:val="true"/>
              </w:rPr>
              <w:t>:</w:t>
            </w:r>
            <w:r>
              <w:rPr>
                <w:rStyle w:val="IndexLink"/>
                <w:rtl w:val="true"/>
              </w:rPr>
              <w:t>إذا رأت الدّم يوما و انقطع لم يجب الغسل إلاّ إذا غمس القطنة</w:t>
            </w:r>
            <w:r>
              <w:rPr>
                <w:rStyle w:val="IndexLink"/>
                <w:rtl w:val="true"/>
              </w:rPr>
              <w:tab/>
            </w:r>
            <w:r>
              <w:rPr>
                <w:rStyle w:val="IndexLink"/>
              </w:rPr>
              <w:t>358</w:t>
            </w:r>
          </w:hyperlink>
        </w:p>
        <w:p>
          <w:pPr>
            <w:pStyle w:val="Contents6"/>
            <w:tabs>
              <w:tab w:val="clear" w:pos="7609"/>
              <w:tab w:val="right" w:pos="9026" w:leader="dot"/>
            </w:tabs>
            <w:rPr/>
          </w:pPr>
          <w:hyperlink w:anchor="__RefHeading___Toc795957_222507752">
            <w:r>
              <w:rPr>
                <w:webHidden/>
                <w:rStyle w:val="IndexLink"/>
                <w:rtl w:val="true"/>
              </w:rPr>
              <w:t>الثّالث</w:t>
            </w:r>
            <w:r>
              <w:rPr>
                <w:rStyle w:val="IndexLink"/>
                <w:rtl w:val="true"/>
              </w:rPr>
              <w:t>:</w:t>
            </w:r>
            <w:r>
              <w:rPr>
                <w:rStyle w:val="IndexLink"/>
                <w:rtl w:val="true"/>
              </w:rPr>
              <w:t>لو رأت يوما دما أسود و يوما أصفر و هكذا،فعندنا تتحيّض على</w:t>
            </w:r>
            <w:r>
              <w:rPr>
                <w:rStyle w:val="IndexLink"/>
                <w:rtl w:val="true"/>
              </w:rPr>
              <w:tab/>
            </w:r>
            <w:r>
              <w:rPr>
                <w:rStyle w:val="IndexLink"/>
              </w:rPr>
              <w:t>358</w:t>
            </w:r>
          </w:hyperlink>
        </w:p>
        <w:p>
          <w:pPr>
            <w:pStyle w:val="Contents5"/>
            <w:tabs>
              <w:tab w:val="clear" w:pos="7892"/>
              <w:tab w:val="right" w:pos="9026" w:leader="dot"/>
            </w:tabs>
            <w:rPr/>
          </w:pPr>
          <w:hyperlink w:anchor="__RefHeading___Toc795959_222507752">
            <w:r>
              <w:rPr>
                <w:webHidden/>
                <w:rStyle w:val="IndexLink"/>
                <w:rtl w:val="true"/>
              </w:rPr>
              <w:t>البحث الرّابع</w:t>
            </w:r>
            <w:r>
              <w:rPr>
                <w:rStyle w:val="IndexLink"/>
                <w:rtl w:val="true"/>
              </w:rPr>
              <w:t>:</w:t>
            </w:r>
            <w:r>
              <w:rPr>
                <w:rStyle w:val="IndexLink"/>
                <w:rtl w:val="true"/>
              </w:rPr>
              <w:t>في الأحكام</w:t>
            </w:r>
            <w:r>
              <w:rPr>
                <w:rStyle w:val="IndexLink"/>
                <w:rtl w:val="true"/>
              </w:rPr>
              <w:tab/>
            </w:r>
            <w:r>
              <w:rPr>
                <w:rStyle w:val="IndexLink"/>
              </w:rPr>
              <w:t>358</w:t>
            </w:r>
          </w:hyperlink>
        </w:p>
        <w:p>
          <w:pPr>
            <w:pStyle w:val="Contents6"/>
            <w:tabs>
              <w:tab w:val="clear" w:pos="7609"/>
              <w:tab w:val="right" w:pos="9026" w:leader="dot"/>
            </w:tabs>
            <w:rPr/>
          </w:pPr>
          <w:hyperlink w:anchor="__RefHeading___Toc795961_222507752">
            <w:r>
              <w:rPr>
                <w:webHidden/>
                <w:rStyle w:val="IndexLink"/>
                <w:rtl w:val="true"/>
              </w:rPr>
              <w:t>مسألة</w:t>
            </w:r>
            <w:r>
              <w:rPr>
                <w:rStyle w:val="IndexLink"/>
                <w:rtl w:val="true"/>
              </w:rPr>
              <w:t>:</w:t>
            </w:r>
            <w:r>
              <w:rPr>
                <w:rStyle w:val="IndexLink"/>
                <w:rtl w:val="true"/>
              </w:rPr>
              <w:t>يحرم على الحائض الصّلاة و الصّوم</w:t>
            </w:r>
            <w:r>
              <w:rPr>
                <w:rStyle w:val="IndexLink"/>
                <w:rtl w:val="true"/>
              </w:rPr>
              <w:t>.</w:t>
              <w:tab/>
            </w:r>
            <w:r>
              <w:rPr>
                <w:rStyle w:val="IndexLink"/>
              </w:rPr>
              <w:t>358</w:t>
            </w:r>
          </w:hyperlink>
        </w:p>
        <w:p>
          <w:pPr>
            <w:pStyle w:val="Contents6"/>
            <w:tabs>
              <w:tab w:val="clear" w:pos="7609"/>
              <w:tab w:val="right" w:pos="9026" w:leader="dot"/>
            </w:tabs>
            <w:rPr/>
          </w:pPr>
          <w:hyperlink w:anchor="__RefHeading___Toc795963_222507752">
            <w:r>
              <w:rPr>
                <w:webHidden/>
                <w:rStyle w:val="IndexLink"/>
                <w:rtl w:val="true"/>
              </w:rPr>
              <w:t>فروع</w:t>
            </w:r>
            <w:r>
              <w:rPr>
                <w:rStyle w:val="IndexLink"/>
                <w:rtl w:val="true"/>
              </w:rPr>
              <w:t>:</w:t>
              <w:tab/>
            </w:r>
            <w:r>
              <w:rPr>
                <w:rStyle w:val="IndexLink"/>
              </w:rPr>
              <w:t>361</w:t>
            </w:r>
          </w:hyperlink>
        </w:p>
        <w:p>
          <w:pPr>
            <w:pStyle w:val="Contents6"/>
            <w:tabs>
              <w:tab w:val="clear" w:pos="7609"/>
              <w:tab w:val="right" w:pos="9026" w:leader="dot"/>
            </w:tabs>
            <w:rPr/>
          </w:pPr>
          <w:hyperlink w:anchor="__RefHeading___Toc795965_222507752">
            <w:r>
              <w:rPr>
                <w:webHidden/>
                <w:rStyle w:val="IndexLink"/>
                <w:rtl w:val="true"/>
              </w:rPr>
              <w:t>الأوّل</w:t>
            </w:r>
            <w:r>
              <w:rPr>
                <w:rStyle w:val="IndexLink"/>
                <w:rtl w:val="true"/>
              </w:rPr>
              <w:t>:</w:t>
            </w:r>
            <w:r>
              <w:rPr>
                <w:rStyle w:val="IndexLink"/>
                <w:rtl w:val="true"/>
              </w:rPr>
              <w:t>لا يحرم عليها سجود الشّكر و لا سجود التّلاوة،</w:t>
            </w:r>
            <w:r>
              <w:rPr>
                <w:rStyle w:val="IndexLink"/>
                <w:rtl w:val="true"/>
              </w:rPr>
              <w:tab/>
            </w:r>
            <w:r>
              <w:rPr>
                <w:rStyle w:val="IndexLink"/>
              </w:rPr>
              <w:t>361</w:t>
            </w:r>
          </w:hyperlink>
        </w:p>
        <w:p>
          <w:pPr>
            <w:pStyle w:val="Contents6"/>
            <w:tabs>
              <w:tab w:val="clear" w:pos="7609"/>
              <w:tab w:val="right" w:pos="9026" w:leader="dot"/>
            </w:tabs>
            <w:rPr/>
          </w:pPr>
          <w:hyperlink w:anchor="__RefHeading___Toc795967_222507752">
            <w:r>
              <w:rPr>
                <w:webHidden/>
                <w:rStyle w:val="IndexLink"/>
                <w:rtl w:val="true"/>
              </w:rPr>
              <w:t>الثّاني</w:t>
            </w:r>
            <w:r>
              <w:rPr>
                <w:rStyle w:val="IndexLink"/>
                <w:rtl w:val="true"/>
              </w:rPr>
              <w:t>:</w:t>
            </w:r>
            <w:r>
              <w:rPr>
                <w:rStyle w:val="IndexLink"/>
                <w:rtl w:val="true"/>
              </w:rPr>
              <w:t>لا فرق بين صلاة الفريضة و النّافلة في التّحريم</w:t>
            </w:r>
            <w:r>
              <w:rPr>
                <w:rStyle w:val="IndexLink"/>
                <w:rtl w:val="true"/>
              </w:rPr>
              <w:tab/>
            </w:r>
            <w:r>
              <w:rPr>
                <w:rStyle w:val="IndexLink"/>
              </w:rPr>
              <w:t>361</w:t>
            </w:r>
          </w:hyperlink>
        </w:p>
        <w:p>
          <w:pPr>
            <w:pStyle w:val="Contents6"/>
            <w:tabs>
              <w:tab w:val="clear" w:pos="7609"/>
              <w:tab w:val="right" w:pos="9026" w:leader="dot"/>
            </w:tabs>
            <w:rPr/>
          </w:pPr>
          <w:hyperlink w:anchor="__RefHeading___Toc795969_222507752">
            <w:r>
              <w:rPr>
                <w:webHidden/>
                <w:rStyle w:val="IndexLink"/>
                <w:rtl w:val="true"/>
              </w:rPr>
              <w:t>الثالث</w:t>
            </w:r>
            <w:r>
              <w:rPr>
                <w:rStyle w:val="IndexLink"/>
                <w:rtl w:val="true"/>
              </w:rPr>
              <w:t>:</w:t>
            </w:r>
            <w:r>
              <w:rPr>
                <w:rStyle w:val="IndexLink"/>
                <w:rtl w:val="true"/>
              </w:rPr>
              <w:t>الحائض غير مخاطبة بالصّوم</w:t>
            </w:r>
            <w:r>
              <w:rPr>
                <w:rStyle w:val="IndexLink"/>
                <w:rtl w:val="true"/>
              </w:rPr>
              <w:t>.</w:t>
              <w:tab/>
            </w:r>
            <w:r>
              <w:rPr>
                <w:rStyle w:val="IndexLink"/>
              </w:rPr>
              <w:t>361</w:t>
            </w:r>
          </w:hyperlink>
        </w:p>
        <w:p>
          <w:pPr>
            <w:pStyle w:val="Contents6"/>
            <w:tabs>
              <w:tab w:val="clear" w:pos="7609"/>
              <w:tab w:val="right" w:pos="9026" w:leader="dot"/>
            </w:tabs>
            <w:rPr/>
          </w:pPr>
          <w:hyperlink w:anchor="__RefHeading___Toc795971_222507752">
            <w:r>
              <w:rPr>
                <w:webHidden/>
                <w:rStyle w:val="IndexLink"/>
                <w:rtl w:val="true"/>
              </w:rPr>
              <w:t>مسألة</w:t>
            </w:r>
            <w:r>
              <w:rPr>
                <w:rStyle w:val="IndexLink"/>
                <w:rtl w:val="true"/>
              </w:rPr>
              <w:t>:</w:t>
            </w:r>
            <w:r>
              <w:rPr>
                <w:rStyle w:val="IndexLink"/>
                <w:rtl w:val="true"/>
              </w:rPr>
              <w:t>و تترك ذات العادة الصّلاة و الصّوم برؤية الدّم في وقت عادتها</w:t>
            </w:r>
            <w:r>
              <w:rPr>
                <w:rStyle w:val="IndexLink"/>
                <w:rtl w:val="true"/>
              </w:rPr>
              <w:t>.</w:t>
              <w:tab/>
            </w:r>
            <w:r>
              <w:rPr>
                <w:rStyle w:val="IndexLink"/>
              </w:rPr>
              <w:t>361</w:t>
            </w:r>
          </w:hyperlink>
        </w:p>
        <w:p>
          <w:pPr>
            <w:pStyle w:val="Contents6"/>
            <w:tabs>
              <w:tab w:val="clear" w:pos="7609"/>
              <w:tab w:val="right" w:pos="9026" w:leader="dot"/>
            </w:tabs>
            <w:rPr/>
          </w:pPr>
          <w:hyperlink w:anchor="__RefHeading___Toc795973_222507752">
            <w:r>
              <w:rPr>
                <w:webHidden/>
                <w:rStyle w:val="IndexLink"/>
                <w:rtl w:val="true"/>
              </w:rPr>
              <w:t>مسألة</w:t>
            </w:r>
            <w:r>
              <w:rPr>
                <w:rStyle w:val="IndexLink"/>
                <w:rtl w:val="true"/>
              </w:rPr>
              <w:t>:</w:t>
            </w:r>
            <w:r>
              <w:rPr>
                <w:rStyle w:val="IndexLink"/>
                <w:rtl w:val="true"/>
              </w:rPr>
              <w:t>و يحرم عليها اللّبث في المساجد</w:t>
            </w:r>
            <w:r>
              <w:rPr>
                <w:rStyle w:val="IndexLink"/>
                <w:rtl w:val="true"/>
              </w:rPr>
              <w:t>.</w:t>
              <w:tab/>
            </w:r>
            <w:r>
              <w:rPr>
                <w:rStyle w:val="IndexLink"/>
              </w:rPr>
              <w:t>364</w:t>
            </w:r>
          </w:hyperlink>
        </w:p>
        <w:p>
          <w:pPr>
            <w:pStyle w:val="Contents6"/>
            <w:tabs>
              <w:tab w:val="clear" w:pos="7609"/>
              <w:tab w:val="right" w:pos="9026" w:leader="dot"/>
            </w:tabs>
            <w:rPr/>
          </w:pPr>
          <w:hyperlink w:anchor="__RefHeading___Toc795975_222507752">
            <w:r>
              <w:rPr>
                <w:webHidden/>
                <w:rStyle w:val="IndexLink"/>
                <w:rtl w:val="true"/>
              </w:rPr>
              <w:t>فروع</w:t>
            </w:r>
            <w:r>
              <w:rPr>
                <w:rStyle w:val="IndexLink"/>
                <w:rtl w:val="true"/>
              </w:rPr>
              <w:t>:</w:t>
              <w:tab/>
            </w:r>
            <w:r>
              <w:rPr>
                <w:rStyle w:val="IndexLink"/>
              </w:rPr>
              <w:t>365</w:t>
            </w:r>
          </w:hyperlink>
        </w:p>
        <w:p>
          <w:pPr>
            <w:pStyle w:val="Contents6"/>
            <w:tabs>
              <w:tab w:val="clear" w:pos="7609"/>
              <w:tab w:val="right" w:pos="9026" w:leader="dot"/>
            </w:tabs>
            <w:rPr/>
          </w:pPr>
          <w:hyperlink w:anchor="__RefHeading___Toc795977_222507752">
            <w:r>
              <w:rPr>
                <w:webHidden/>
                <w:rStyle w:val="IndexLink"/>
                <w:rtl w:val="true"/>
              </w:rPr>
              <w:t>الأوّل</w:t>
            </w:r>
            <w:r>
              <w:rPr>
                <w:rStyle w:val="IndexLink"/>
                <w:rtl w:val="true"/>
              </w:rPr>
              <w:t>:</w:t>
            </w:r>
            <w:r>
              <w:rPr>
                <w:rStyle w:val="IndexLink"/>
                <w:rtl w:val="true"/>
              </w:rPr>
              <w:t>يجوز لها الاجتياز في المساجد،إلاّ المسجدين،</w:t>
            </w:r>
            <w:r>
              <w:rPr>
                <w:rStyle w:val="IndexLink"/>
                <w:rtl w:val="true"/>
              </w:rPr>
              <w:tab/>
            </w:r>
            <w:r>
              <w:rPr>
                <w:rStyle w:val="IndexLink"/>
              </w:rPr>
              <w:t>365</w:t>
            </w:r>
          </w:hyperlink>
        </w:p>
        <w:p>
          <w:pPr>
            <w:pStyle w:val="Contents6"/>
            <w:tabs>
              <w:tab w:val="clear" w:pos="7609"/>
              <w:tab w:val="right" w:pos="9026" w:leader="dot"/>
            </w:tabs>
            <w:rPr/>
          </w:pPr>
          <w:hyperlink w:anchor="__RefHeading___Toc795979_222507752">
            <w:r>
              <w:rPr>
                <w:webHidden/>
                <w:rStyle w:val="IndexLink"/>
                <w:rtl w:val="true"/>
              </w:rPr>
              <w:t>الثّاني</w:t>
            </w:r>
            <w:r>
              <w:rPr>
                <w:rStyle w:val="IndexLink"/>
                <w:rtl w:val="true"/>
              </w:rPr>
              <w:t>:</w:t>
            </w:r>
            <w:r>
              <w:rPr>
                <w:rStyle w:val="IndexLink"/>
                <w:rtl w:val="true"/>
              </w:rPr>
              <w:t>إذا اتّفق لها الحيض في أحد المسجدين لم تقطعه خارجة إلاّ بالتّيمّم،</w:t>
            </w:r>
            <w:r>
              <w:rPr>
                <w:rStyle w:val="IndexLink"/>
                <w:rtl w:val="true"/>
              </w:rPr>
              <w:tab/>
            </w:r>
            <w:r>
              <w:rPr>
                <w:rStyle w:val="IndexLink"/>
              </w:rPr>
              <w:t>367</w:t>
            </w:r>
          </w:hyperlink>
        </w:p>
        <w:p>
          <w:pPr>
            <w:pStyle w:val="Contents6"/>
            <w:tabs>
              <w:tab w:val="clear" w:pos="7609"/>
              <w:tab w:val="right" w:pos="9026" w:leader="dot"/>
            </w:tabs>
            <w:rPr/>
          </w:pPr>
          <w:hyperlink w:anchor="__RefHeading___Toc795981_222507752">
            <w:r>
              <w:rPr>
                <w:webHidden/>
                <w:rStyle w:val="IndexLink"/>
                <w:rtl w:val="true"/>
              </w:rPr>
              <w:t>الثّالث</w:t>
            </w:r>
            <w:r>
              <w:rPr>
                <w:rStyle w:val="IndexLink"/>
                <w:rtl w:val="true"/>
              </w:rPr>
              <w:t>:</w:t>
            </w:r>
            <w:r>
              <w:rPr>
                <w:rStyle w:val="IndexLink"/>
                <w:rtl w:val="true"/>
              </w:rPr>
              <w:t>قال الشّيخ في الخلاف</w:t>
            </w:r>
            <w:r>
              <w:rPr>
                <w:rStyle w:val="IndexLink"/>
                <w:rtl w:val="true"/>
              </w:rPr>
              <w:t>:</w:t>
            </w:r>
            <w:r>
              <w:rPr>
                <w:rStyle w:val="IndexLink"/>
                <w:rtl w:val="true"/>
              </w:rPr>
              <w:t xml:space="preserve">يكره لها الاجتياز في غير المسجدين </w:t>
            </w:r>
            <w:r>
              <w:rPr>
                <w:rStyle w:val="IndexLink"/>
                <w:rtl w:val="true"/>
              </w:rPr>
              <w:t>.</w:t>
              <w:tab/>
            </w:r>
            <w:r>
              <w:rPr>
                <w:rStyle w:val="IndexLink"/>
              </w:rPr>
              <w:t>367</w:t>
            </w:r>
          </w:hyperlink>
        </w:p>
        <w:p>
          <w:pPr>
            <w:pStyle w:val="Contents6"/>
            <w:tabs>
              <w:tab w:val="clear" w:pos="7609"/>
              <w:tab w:val="right" w:pos="9026" w:leader="dot"/>
            </w:tabs>
            <w:rPr/>
          </w:pPr>
          <w:hyperlink w:anchor="__RefHeading___Toc795983_222507752">
            <w:r>
              <w:rPr>
                <w:webHidden/>
                <w:rStyle w:val="IndexLink"/>
                <w:rtl w:val="true"/>
              </w:rPr>
              <w:t>الرّابع</w:t>
            </w:r>
            <w:r>
              <w:rPr>
                <w:rStyle w:val="IndexLink"/>
                <w:rtl w:val="true"/>
              </w:rPr>
              <w:t>:</w:t>
            </w:r>
            <w:r>
              <w:rPr>
                <w:rStyle w:val="IndexLink"/>
                <w:rtl w:val="true"/>
              </w:rPr>
              <w:t>قال أصحابنا</w:t>
            </w:r>
            <w:r>
              <w:rPr>
                <w:rStyle w:val="IndexLink"/>
                <w:rtl w:val="true"/>
              </w:rPr>
              <w:t>:</w:t>
            </w:r>
            <w:r>
              <w:rPr>
                <w:rStyle w:val="IndexLink"/>
                <w:rtl w:val="true"/>
              </w:rPr>
              <w:t>يحرم على الحائض أن تضع شيئا في المسجد و يجوز لها أن</w:t>
            </w:r>
            <w:r>
              <w:rPr>
                <w:rStyle w:val="IndexLink"/>
                <w:rtl w:val="true"/>
              </w:rPr>
              <w:tab/>
            </w:r>
            <w:r>
              <w:rPr>
                <w:rStyle w:val="IndexLink"/>
              </w:rPr>
              <w:t>368</w:t>
            </w:r>
          </w:hyperlink>
        </w:p>
        <w:p>
          <w:pPr>
            <w:pStyle w:val="Contents6"/>
            <w:tabs>
              <w:tab w:val="clear" w:pos="7609"/>
              <w:tab w:val="right" w:pos="9026" w:leader="dot"/>
            </w:tabs>
            <w:rPr/>
          </w:pPr>
          <w:hyperlink w:anchor="__RefHeading___Toc795985_222507752">
            <w:r>
              <w:rPr>
                <w:webHidden/>
                <w:rStyle w:val="IndexLink"/>
                <w:rtl w:val="true"/>
              </w:rPr>
              <w:t>مسألة</w:t>
            </w:r>
            <w:r>
              <w:rPr>
                <w:rStyle w:val="IndexLink"/>
                <w:rtl w:val="true"/>
              </w:rPr>
              <w:t>:</w:t>
            </w:r>
            <w:r>
              <w:rPr>
                <w:rStyle w:val="IndexLink"/>
                <w:rtl w:val="true"/>
              </w:rPr>
              <w:t>و يحرم عليها الطّواف،</w:t>
            </w:r>
            <w:r>
              <w:rPr>
                <w:rStyle w:val="IndexLink"/>
                <w:rtl w:val="true"/>
              </w:rPr>
              <w:tab/>
            </w:r>
            <w:r>
              <w:rPr>
                <w:rStyle w:val="IndexLink"/>
              </w:rPr>
              <w:t>368</w:t>
            </w:r>
          </w:hyperlink>
        </w:p>
        <w:p>
          <w:pPr>
            <w:pStyle w:val="Contents6"/>
            <w:tabs>
              <w:tab w:val="clear" w:pos="7609"/>
              <w:tab w:val="right" w:pos="9026" w:leader="dot"/>
            </w:tabs>
            <w:rPr/>
          </w:pPr>
          <w:hyperlink w:anchor="__RefHeading___Toc795987_222507752">
            <w:r>
              <w:rPr>
                <w:webHidden/>
                <w:rStyle w:val="IndexLink"/>
                <w:rtl w:val="true"/>
              </w:rPr>
              <w:t>مسألة</w:t>
            </w:r>
            <w:r>
              <w:rPr>
                <w:rStyle w:val="IndexLink"/>
                <w:rtl w:val="true"/>
              </w:rPr>
              <w:t>:</w:t>
            </w:r>
            <w:r>
              <w:rPr>
                <w:rStyle w:val="IndexLink"/>
                <w:rtl w:val="true"/>
              </w:rPr>
              <w:t>و يحرم عليها قراءة العزائم</w:t>
            </w:r>
            <w:r>
              <w:rPr>
                <w:rStyle w:val="IndexLink"/>
                <w:rtl w:val="true"/>
              </w:rPr>
              <w:t>.</w:t>
              <w:tab/>
            </w:r>
            <w:r>
              <w:rPr>
                <w:rStyle w:val="IndexLink"/>
              </w:rPr>
              <w:t>368</w:t>
            </w:r>
          </w:hyperlink>
        </w:p>
        <w:p>
          <w:pPr>
            <w:pStyle w:val="Contents6"/>
            <w:tabs>
              <w:tab w:val="clear" w:pos="7609"/>
              <w:tab w:val="right" w:pos="9026" w:leader="dot"/>
            </w:tabs>
            <w:rPr/>
          </w:pPr>
          <w:hyperlink w:anchor="__RefHeading___Toc795989_222507752">
            <w:r>
              <w:rPr>
                <w:webHidden/>
                <w:rStyle w:val="IndexLink"/>
                <w:rtl w:val="true"/>
              </w:rPr>
              <w:t>فروع</w:t>
            </w:r>
            <w:r>
              <w:rPr>
                <w:rStyle w:val="IndexLink"/>
                <w:rtl w:val="true"/>
              </w:rPr>
              <w:t>:</w:t>
              <w:tab/>
            </w:r>
            <w:r>
              <w:rPr>
                <w:rStyle w:val="IndexLink"/>
              </w:rPr>
              <w:t>369</w:t>
            </w:r>
          </w:hyperlink>
        </w:p>
        <w:p>
          <w:pPr>
            <w:pStyle w:val="Contents6"/>
            <w:tabs>
              <w:tab w:val="clear" w:pos="7609"/>
              <w:tab w:val="right" w:pos="9026" w:leader="dot"/>
            </w:tabs>
            <w:rPr/>
          </w:pPr>
          <w:hyperlink w:anchor="__RefHeading___Toc795991_222507752">
            <w:r>
              <w:rPr>
                <w:webHidden/>
                <w:rStyle w:val="IndexLink"/>
                <w:rtl w:val="true"/>
              </w:rPr>
              <w:t>الأوّل</w:t>
            </w:r>
            <w:r>
              <w:rPr>
                <w:rStyle w:val="IndexLink"/>
                <w:rtl w:val="true"/>
              </w:rPr>
              <w:t>:</w:t>
            </w:r>
            <w:r>
              <w:rPr>
                <w:rStyle w:val="IndexLink"/>
                <w:rtl w:val="true"/>
              </w:rPr>
              <w:t>لا يحرم عليها قراءة غير العزائم</w:t>
            </w:r>
            <w:r>
              <w:rPr>
                <w:rStyle w:val="IndexLink"/>
                <w:rtl w:val="true"/>
              </w:rPr>
              <w:tab/>
            </w:r>
            <w:r>
              <w:rPr>
                <w:rStyle w:val="IndexLink"/>
              </w:rPr>
              <w:t>369</w:t>
            </w:r>
          </w:hyperlink>
        </w:p>
        <w:p>
          <w:pPr>
            <w:pStyle w:val="Contents6"/>
            <w:tabs>
              <w:tab w:val="clear" w:pos="7609"/>
              <w:tab w:val="right" w:pos="9026" w:leader="dot"/>
            </w:tabs>
            <w:rPr/>
          </w:pPr>
          <w:hyperlink w:anchor="__RefHeading___Toc795993_222507752">
            <w:r>
              <w:rPr>
                <w:webHidden/>
                <w:rStyle w:val="IndexLink"/>
                <w:rtl w:val="true"/>
              </w:rPr>
              <w:t>الثّالث</w:t>
            </w:r>
            <w:r>
              <w:rPr>
                <w:rStyle w:val="IndexLink"/>
                <w:rtl w:val="true"/>
              </w:rPr>
              <w:t>:</w:t>
            </w:r>
            <w:r>
              <w:rPr>
                <w:rStyle w:val="IndexLink"/>
                <w:rtl w:val="true"/>
              </w:rPr>
              <w:t>يكره لها قراءة ما زاد على سبع آيات</w:t>
            </w:r>
            <w:r>
              <w:rPr>
                <w:rStyle w:val="IndexLink"/>
                <w:rtl w:val="true"/>
              </w:rPr>
              <w:tab/>
            </w:r>
            <w:r>
              <w:rPr>
                <w:rStyle w:val="IndexLink"/>
              </w:rPr>
              <w:t>369</w:t>
            </w:r>
          </w:hyperlink>
        </w:p>
        <w:p>
          <w:pPr>
            <w:pStyle w:val="Contents6"/>
            <w:tabs>
              <w:tab w:val="clear" w:pos="7609"/>
              <w:tab w:val="right" w:pos="9026" w:leader="dot"/>
            </w:tabs>
            <w:rPr/>
          </w:pPr>
          <w:hyperlink w:anchor="__RefHeading___Toc795995_222507752">
            <w:r>
              <w:rPr>
                <w:webHidden/>
                <w:rStyle w:val="IndexLink"/>
                <w:rtl w:val="true"/>
              </w:rPr>
              <w:t>مسألة</w:t>
            </w:r>
            <w:r>
              <w:rPr>
                <w:rStyle w:val="IndexLink"/>
                <w:rtl w:val="true"/>
              </w:rPr>
              <w:t>:</w:t>
            </w:r>
            <w:r>
              <w:rPr>
                <w:rStyle w:val="IndexLink"/>
                <w:rtl w:val="true"/>
              </w:rPr>
              <w:t>و يحرم عليها مسّ كتابة القرآن</w:t>
            </w:r>
            <w:r>
              <w:rPr>
                <w:rStyle w:val="IndexLink"/>
                <w:rtl w:val="true"/>
              </w:rPr>
              <w:t>.</w:t>
              <w:tab/>
            </w:r>
            <w:r>
              <w:rPr>
                <w:rStyle w:val="IndexLink"/>
              </w:rPr>
              <w:t>369</w:t>
            </w:r>
          </w:hyperlink>
        </w:p>
        <w:p>
          <w:pPr>
            <w:pStyle w:val="Contents6"/>
            <w:tabs>
              <w:tab w:val="clear" w:pos="7609"/>
              <w:tab w:val="right" w:pos="9026" w:leader="dot"/>
            </w:tabs>
            <w:rPr/>
          </w:pPr>
          <w:hyperlink w:anchor="__RefHeading___Toc795997_222507752">
            <w:r>
              <w:rPr>
                <w:webHidden/>
                <w:rStyle w:val="IndexLink"/>
                <w:rtl w:val="true"/>
              </w:rPr>
              <w:t>أصل</w:t>
            </w:r>
            <w:r>
              <w:rPr>
                <w:rStyle w:val="IndexLink"/>
                <w:rtl w:val="true"/>
              </w:rPr>
              <w:t>:</w:t>
            </w:r>
            <w:r>
              <w:rPr>
                <w:rStyle w:val="IndexLink"/>
                <w:rtl w:val="true"/>
              </w:rPr>
              <w:t>صيغة</w:t>
            </w:r>
            <w:r>
              <w:rPr>
                <w:rStyle w:val="IndexLink"/>
                <w:rtl w:val="true"/>
              </w:rPr>
              <w:t>«</w:t>
            </w:r>
            <w:r>
              <w:rPr>
                <w:rStyle w:val="IndexLink"/>
                <w:rtl w:val="true"/>
              </w:rPr>
              <w:t>افعل</w:t>
            </w:r>
            <w:r>
              <w:rPr>
                <w:rStyle w:val="IndexLink"/>
                <w:rtl w:val="true"/>
              </w:rPr>
              <w:t>»</w:t>
            </w:r>
            <w:r>
              <w:rPr>
                <w:rStyle w:val="IndexLink"/>
                <w:rtl w:val="true"/>
              </w:rPr>
              <w:t>حقيقة في الوجوب</w:t>
            </w:r>
            <w:r>
              <w:rPr>
                <w:rStyle w:val="IndexLink"/>
                <w:rtl w:val="true"/>
              </w:rPr>
              <w:tab/>
            </w:r>
            <w:r>
              <w:rPr>
                <w:rStyle w:val="IndexLink"/>
              </w:rPr>
              <w:t>370</w:t>
            </w:r>
          </w:hyperlink>
        </w:p>
        <w:p>
          <w:pPr>
            <w:pStyle w:val="Contents6"/>
            <w:tabs>
              <w:tab w:val="clear" w:pos="7609"/>
              <w:tab w:val="right" w:pos="9026" w:leader="dot"/>
            </w:tabs>
            <w:rPr/>
          </w:pPr>
          <w:hyperlink w:anchor="__RefHeading___Toc795999_222507752">
            <w:r>
              <w:rPr>
                <w:webHidden/>
                <w:rStyle w:val="IndexLink"/>
                <w:rtl w:val="true"/>
              </w:rPr>
              <w:t>مسألة</w:t>
            </w:r>
            <w:r>
              <w:rPr>
                <w:rStyle w:val="IndexLink"/>
                <w:rtl w:val="true"/>
              </w:rPr>
              <w:t>:</w:t>
            </w:r>
            <w:r>
              <w:rPr>
                <w:rStyle w:val="IndexLink"/>
                <w:rtl w:val="true"/>
              </w:rPr>
              <w:t>يحرم على الرّجل وطء الحائض قبلا</w:t>
            </w:r>
            <w:r>
              <w:rPr>
                <w:rStyle w:val="IndexLink"/>
                <w:rtl w:val="true"/>
              </w:rPr>
              <w:t>.</w:t>
              <w:tab/>
            </w:r>
            <w:r>
              <w:rPr>
                <w:rStyle w:val="IndexLink"/>
              </w:rPr>
              <w:t>373</w:t>
            </w:r>
          </w:hyperlink>
        </w:p>
        <w:p>
          <w:pPr>
            <w:pStyle w:val="Contents6"/>
            <w:tabs>
              <w:tab w:val="clear" w:pos="7609"/>
              <w:tab w:val="right" w:pos="9026" w:leader="dot"/>
            </w:tabs>
            <w:rPr/>
          </w:pPr>
          <w:hyperlink w:anchor="__RefHeading___Toc796001_222507752">
            <w:r>
              <w:rPr>
                <w:webHidden/>
                <w:rStyle w:val="IndexLink"/>
                <w:rtl w:val="true"/>
              </w:rPr>
              <w:t>مسألة</w:t>
            </w:r>
            <w:r>
              <w:rPr>
                <w:rStyle w:val="IndexLink"/>
                <w:rtl w:val="true"/>
              </w:rPr>
              <w:t>:</w:t>
            </w:r>
            <w:r>
              <w:rPr>
                <w:rStyle w:val="IndexLink"/>
                <w:rtl w:val="true"/>
              </w:rPr>
              <w:t>و يحرم طلاقها</w:t>
            </w:r>
            <w:r>
              <w:rPr>
                <w:rStyle w:val="IndexLink"/>
                <w:rtl w:val="true"/>
              </w:rPr>
              <w:t>.</w:t>
              <w:tab/>
            </w:r>
            <w:r>
              <w:rPr>
                <w:rStyle w:val="IndexLink"/>
              </w:rPr>
              <w:t>379</w:t>
            </w:r>
          </w:hyperlink>
        </w:p>
        <w:p>
          <w:pPr>
            <w:pStyle w:val="Contents6"/>
            <w:tabs>
              <w:tab w:val="clear" w:pos="7609"/>
              <w:tab w:val="right" w:pos="9026" w:leader="dot"/>
            </w:tabs>
            <w:rPr/>
          </w:pPr>
          <w:hyperlink w:anchor="__RefHeading___Toc796003_222507752">
            <w:r>
              <w:rPr>
                <w:webHidden/>
                <w:rStyle w:val="IndexLink"/>
                <w:rtl w:val="true"/>
              </w:rPr>
              <w:t>مسألة</w:t>
            </w:r>
            <w:r>
              <w:rPr>
                <w:rStyle w:val="IndexLink"/>
                <w:rtl w:val="true"/>
              </w:rPr>
              <w:t>:</w:t>
            </w:r>
            <w:r>
              <w:rPr>
                <w:rStyle w:val="IndexLink"/>
                <w:rtl w:val="true"/>
              </w:rPr>
              <w:t>و يحرم عليها الاعتكاف،</w:t>
            </w:r>
            <w:r>
              <w:rPr>
                <w:rStyle w:val="IndexLink"/>
                <w:rtl w:val="true"/>
              </w:rPr>
              <w:tab/>
            </w:r>
            <w:r>
              <w:rPr>
                <w:rStyle w:val="IndexLink"/>
              </w:rPr>
              <w:t>379</w:t>
            </w:r>
          </w:hyperlink>
        </w:p>
        <w:p>
          <w:pPr>
            <w:pStyle w:val="Contents6"/>
            <w:tabs>
              <w:tab w:val="clear" w:pos="7609"/>
              <w:tab w:val="right" w:pos="9026" w:leader="dot"/>
            </w:tabs>
            <w:rPr/>
          </w:pPr>
          <w:hyperlink w:anchor="__RefHeading___Toc796005_222507752">
            <w:r>
              <w:rPr>
                <w:webHidden/>
                <w:rStyle w:val="IndexLink"/>
                <w:rtl w:val="true"/>
              </w:rPr>
              <w:t>مسألة</w:t>
            </w:r>
            <w:r>
              <w:rPr>
                <w:rStyle w:val="IndexLink"/>
                <w:rtl w:val="true"/>
              </w:rPr>
              <w:t>:</w:t>
            </w:r>
            <w:r>
              <w:rPr>
                <w:rStyle w:val="IndexLink"/>
                <w:rtl w:val="true"/>
              </w:rPr>
              <w:t>و يجب عليها الغسل عند انقطاع الدّم،</w:t>
            </w:r>
            <w:r>
              <w:rPr>
                <w:rStyle w:val="IndexLink"/>
                <w:rtl w:val="true"/>
              </w:rPr>
              <w:tab/>
            </w:r>
            <w:r>
              <w:rPr>
                <w:rStyle w:val="IndexLink"/>
              </w:rPr>
              <w:t>380</w:t>
            </w:r>
          </w:hyperlink>
        </w:p>
        <w:p>
          <w:pPr>
            <w:pStyle w:val="Contents6"/>
            <w:tabs>
              <w:tab w:val="clear" w:pos="7609"/>
              <w:tab w:val="right" w:pos="9026" w:leader="dot"/>
            </w:tabs>
            <w:rPr/>
          </w:pPr>
          <w:hyperlink w:anchor="__RefHeading___Toc796007_222507752">
            <w:r>
              <w:rPr>
                <w:webHidden/>
                <w:rStyle w:val="IndexLink"/>
                <w:rtl w:val="true"/>
              </w:rPr>
              <w:t>فروع</w:t>
            </w:r>
            <w:r>
              <w:rPr>
                <w:rStyle w:val="IndexLink"/>
                <w:rtl w:val="true"/>
              </w:rPr>
              <w:t>:</w:t>
              <w:tab/>
            </w:r>
            <w:r>
              <w:rPr>
                <w:rStyle w:val="IndexLink"/>
              </w:rPr>
              <w:t>382</w:t>
            </w:r>
          </w:hyperlink>
        </w:p>
        <w:p>
          <w:pPr>
            <w:pStyle w:val="Contents6"/>
            <w:tabs>
              <w:tab w:val="clear" w:pos="7609"/>
              <w:tab w:val="right" w:pos="9026" w:leader="dot"/>
            </w:tabs>
            <w:rPr/>
          </w:pPr>
          <w:hyperlink w:anchor="__RefHeading___Toc796009_222507752">
            <w:r>
              <w:rPr>
                <w:webHidden/>
                <w:rStyle w:val="IndexLink"/>
                <w:rtl w:val="true"/>
              </w:rPr>
              <w:t>الأوّل</w:t>
            </w:r>
            <w:r>
              <w:rPr>
                <w:rStyle w:val="IndexLink"/>
                <w:rtl w:val="true"/>
              </w:rPr>
              <w:t>:</w:t>
            </w:r>
            <w:r>
              <w:rPr>
                <w:rStyle w:val="IndexLink"/>
                <w:rtl w:val="true"/>
              </w:rPr>
              <w:t>المراد بوجوب الغسل هاهنا وجوبه</w:t>
            </w:r>
            <w:r>
              <w:rPr>
                <w:rStyle w:val="IndexLink"/>
                <w:rtl w:val="true"/>
              </w:rPr>
              <w:tab/>
            </w:r>
            <w:r>
              <w:rPr>
                <w:rStyle w:val="IndexLink"/>
              </w:rPr>
              <w:t>382</w:t>
            </w:r>
          </w:hyperlink>
        </w:p>
        <w:p>
          <w:pPr>
            <w:pStyle w:val="Contents6"/>
            <w:tabs>
              <w:tab w:val="clear" w:pos="7609"/>
              <w:tab w:val="right" w:pos="9026" w:leader="dot"/>
            </w:tabs>
            <w:rPr/>
          </w:pPr>
          <w:hyperlink w:anchor="__RefHeading___Toc796011_222507752">
            <w:r>
              <w:rPr>
                <w:webHidden/>
                <w:rStyle w:val="IndexLink"/>
                <w:rtl w:val="true"/>
              </w:rPr>
              <w:t>الثّاني</w:t>
            </w:r>
            <w:r>
              <w:rPr>
                <w:rStyle w:val="IndexLink"/>
                <w:rtl w:val="true"/>
              </w:rPr>
              <w:t>:</w:t>
            </w:r>
            <w:r>
              <w:rPr>
                <w:rStyle w:val="IndexLink"/>
                <w:rtl w:val="true"/>
              </w:rPr>
              <w:t>الغسل شرط في الصّلاة</w:t>
            </w:r>
            <w:r>
              <w:rPr>
                <w:rStyle w:val="IndexLink"/>
                <w:rtl w:val="true"/>
              </w:rPr>
              <w:t>.</w:t>
              <w:tab/>
            </w:r>
            <w:r>
              <w:rPr>
                <w:rStyle w:val="IndexLink"/>
              </w:rPr>
              <w:t>383</w:t>
            </w:r>
          </w:hyperlink>
        </w:p>
        <w:p>
          <w:pPr>
            <w:pStyle w:val="Contents6"/>
            <w:tabs>
              <w:tab w:val="clear" w:pos="7609"/>
              <w:tab w:val="right" w:pos="9026" w:leader="dot"/>
            </w:tabs>
            <w:rPr/>
          </w:pPr>
          <w:hyperlink w:anchor="__RefHeading___Toc796013_222507752">
            <w:r>
              <w:rPr>
                <w:webHidden/>
                <w:rStyle w:val="IndexLink"/>
                <w:rtl w:val="true"/>
              </w:rPr>
              <w:t>الثّالث</w:t>
            </w:r>
            <w:r>
              <w:rPr>
                <w:rStyle w:val="IndexLink"/>
                <w:rtl w:val="true"/>
              </w:rPr>
              <w:t>:</w:t>
            </w:r>
            <w:r>
              <w:rPr>
                <w:rStyle w:val="IndexLink"/>
                <w:rtl w:val="true"/>
              </w:rPr>
              <w:t>يجب في الغسل الترتيب</w:t>
            </w:r>
            <w:r>
              <w:rPr>
                <w:rStyle w:val="IndexLink"/>
                <w:rtl w:val="true"/>
              </w:rPr>
              <w:t>.</w:t>
              <w:tab/>
            </w:r>
            <w:r>
              <w:rPr>
                <w:rStyle w:val="IndexLink"/>
              </w:rPr>
              <w:t>384</w:t>
            </w:r>
          </w:hyperlink>
        </w:p>
        <w:p>
          <w:pPr>
            <w:pStyle w:val="Contents6"/>
            <w:tabs>
              <w:tab w:val="clear" w:pos="7609"/>
              <w:tab w:val="right" w:pos="9026" w:leader="dot"/>
            </w:tabs>
            <w:rPr/>
          </w:pPr>
          <w:hyperlink w:anchor="__RefHeading___Toc796015_222507752">
            <w:r>
              <w:rPr>
                <w:webHidden/>
                <w:rStyle w:val="IndexLink"/>
                <w:rtl w:val="true"/>
              </w:rPr>
              <w:t>الرّابع</w:t>
            </w:r>
            <w:r>
              <w:rPr>
                <w:rStyle w:val="IndexLink"/>
                <w:rtl w:val="true"/>
              </w:rPr>
              <w:t>:</w:t>
            </w:r>
            <w:r>
              <w:rPr>
                <w:rStyle w:val="IndexLink"/>
                <w:rtl w:val="true"/>
              </w:rPr>
              <w:t>يجب فيه النّيّة،</w:t>
            </w:r>
            <w:r>
              <w:rPr>
                <w:rStyle w:val="IndexLink"/>
                <w:rtl w:val="true"/>
              </w:rPr>
              <w:tab/>
            </w:r>
            <w:r>
              <w:rPr>
                <w:rStyle w:val="IndexLink"/>
              </w:rPr>
              <w:t>384</w:t>
            </w:r>
          </w:hyperlink>
        </w:p>
        <w:p>
          <w:pPr>
            <w:pStyle w:val="Contents6"/>
            <w:tabs>
              <w:tab w:val="clear" w:pos="7609"/>
              <w:tab w:val="right" w:pos="9026" w:leader="dot"/>
            </w:tabs>
            <w:rPr/>
          </w:pPr>
          <w:hyperlink w:anchor="__RefHeading___Toc796017_222507752">
            <w:r>
              <w:rPr>
                <w:webHidden/>
                <w:rStyle w:val="IndexLink"/>
                <w:rtl w:val="true"/>
              </w:rPr>
              <w:t>مسألة</w:t>
            </w:r>
            <w:r>
              <w:rPr>
                <w:rStyle w:val="IndexLink"/>
                <w:rtl w:val="true"/>
              </w:rPr>
              <w:t>:</w:t>
            </w:r>
            <w:r>
              <w:rPr>
                <w:rStyle w:val="IndexLink"/>
                <w:rtl w:val="true"/>
              </w:rPr>
              <w:t>و يجب عليها الاستبراء عند الانقطاع إن انقطع لدون عشرة،</w:t>
            </w:r>
            <w:r>
              <w:rPr>
                <w:rStyle w:val="IndexLink"/>
                <w:rtl w:val="true"/>
              </w:rPr>
              <w:tab/>
            </w:r>
            <w:r>
              <w:rPr>
                <w:rStyle w:val="IndexLink"/>
              </w:rPr>
              <w:t>385</w:t>
            </w:r>
          </w:hyperlink>
        </w:p>
        <w:p>
          <w:pPr>
            <w:pStyle w:val="Contents6"/>
            <w:tabs>
              <w:tab w:val="clear" w:pos="7609"/>
              <w:tab w:val="right" w:pos="9026" w:leader="dot"/>
            </w:tabs>
            <w:rPr/>
          </w:pPr>
          <w:hyperlink w:anchor="__RefHeading___Toc796019_222507752">
            <w:r>
              <w:rPr>
                <w:webHidden/>
                <w:rStyle w:val="IndexLink"/>
                <w:rtl w:val="true"/>
              </w:rPr>
              <w:t>مسألة</w:t>
            </w:r>
            <w:r>
              <w:rPr>
                <w:rStyle w:val="IndexLink"/>
                <w:rtl w:val="true"/>
              </w:rPr>
              <w:t>:</w:t>
            </w:r>
            <w:r>
              <w:rPr>
                <w:rStyle w:val="IndexLink"/>
                <w:rtl w:val="true"/>
              </w:rPr>
              <w:t>و يجب عليها قضاء الصّوم دون الصّلاة</w:t>
            </w:r>
            <w:r>
              <w:rPr>
                <w:rStyle w:val="IndexLink"/>
                <w:rtl w:val="true"/>
              </w:rPr>
              <w:tab/>
            </w:r>
            <w:r>
              <w:rPr>
                <w:rStyle w:val="IndexLink"/>
              </w:rPr>
              <w:t>385</w:t>
            </w:r>
          </w:hyperlink>
        </w:p>
        <w:p>
          <w:pPr>
            <w:pStyle w:val="Contents6"/>
            <w:tabs>
              <w:tab w:val="clear" w:pos="7609"/>
              <w:tab w:val="right" w:pos="9026" w:leader="dot"/>
            </w:tabs>
            <w:rPr/>
          </w:pPr>
          <w:hyperlink w:anchor="__RefHeading___Toc796021_222507752">
            <w:r>
              <w:rPr>
                <w:webHidden/>
                <w:rStyle w:val="IndexLink"/>
                <w:rtl w:val="true"/>
              </w:rPr>
              <w:t>أصل</w:t>
            </w:r>
            <w:r>
              <w:rPr>
                <w:rStyle w:val="IndexLink"/>
                <w:rtl w:val="true"/>
              </w:rPr>
              <w:t>:</w:t>
            </w:r>
            <w:r>
              <w:rPr>
                <w:rStyle w:val="IndexLink"/>
                <w:rtl w:val="true"/>
              </w:rPr>
              <w:t>ما يجوز تركه لا يكون فعله واجبا،</w:t>
            </w:r>
            <w:r>
              <w:rPr>
                <w:rStyle w:val="IndexLink"/>
                <w:rtl w:val="true"/>
              </w:rPr>
              <w:tab/>
            </w:r>
            <w:r>
              <w:rPr>
                <w:rStyle w:val="IndexLink"/>
              </w:rPr>
              <w:t>386</w:t>
            </w:r>
          </w:hyperlink>
        </w:p>
        <w:p>
          <w:pPr>
            <w:pStyle w:val="Contents6"/>
            <w:tabs>
              <w:tab w:val="clear" w:pos="7609"/>
              <w:tab w:val="right" w:pos="9026" w:leader="dot"/>
            </w:tabs>
            <w:rPr/>
          </w:pPr>
          <w:hyperlink w:anchor="__RefHeading___Toc796023_222507752">
            <w:r>
              <w:rPr>
                <w:webHidden/>
                <w:rStyle w:val="IndexLink"/>
                <w:rtl w:val="true"/>
              </w:rPr>
              <w:t>فروع</w:t>
            </w:r>
            <w:r>
              <w:rPr>
                <w:rStyle w:val="IndexLink"/>
                <w:rtl w:val="true"/>
              </w:rPr>
              <w:t>:</w:t>
              <w:tab/>
            </w:r>
            <w:r>
              <w:rPr>
                <w:rStyle w:val="IndexLink"/>
              </w:rPr>
              <w:t>387</w:t>
            </w:r>
          </w:hyperlink>
        </w:p>
        <w:p>
          <w:pPr>
            <w:pStyle w:val="Contents6"/>
            <w:tabs>
              <w:tab w:val="clear" w:pos="7609"/>
              <w:tab w:val="right" w:pos="9026" w:leader="dot"/>
            </w:tabs>
            <w:rPr/>
          </w:pPr>
          <w:hyperlink w:anchor="__RefHeading___Toc796025_222507752">
            <w:r>
              <w:rPr>
                <w:webHidden/>
                <w:rStyle w:val="IndexLink"/>
                <w:rtl w:val="true"/>
              </w:rPr>
              <w:t>الأوّل</w:t>
            </w:r>
            <w:r>
              <w:rPr>
                <w:rStyle w:val="IndexLink"/>
                <w:rtl w:val="true"/>
              </w:rPr>
              <w:t>:</w:t>
            </w:r>
            <w:r>
              <w:rPr>
                <w:rStyle w:val="IndexLink"/>
                <w:rtl w:val="true"/>
              </w:rPr>
              <w:t>صوم الحائض ليس بواجب،</w:t>
            </w:r>
            <w:r>
              <w:rPr>
                <w:rStyle w:val="IndexLink"/>
                <w:rtl w:val="true"/>
              </w:rPr>
              <w:tab/>
            </w:r>
            <w:r>
              <w:rPr>
                <w:rStyle w:val="IndexLink"/>
              </w:rPr>
              <w:t>387</w:t>
            </w:r>
          </w:hyperlink>
        </w:p>
        <w:p>
          <w:pPr>
            <w:pStyle w:val="Contents6"/>
            <w:tabs>
              <w:tab w:val="clear" w:pos="7609"/>
              <w:tab w:val="right" w:pos="9026" w:leader="dot"/>
            </w:tabs>
            <w:rPr/>
          </w:pPr>
          <w:hyperlink w:anchor="__RefHeading___Toc796027_222507752">
            <w:r>
              <w:rPr>
                <w:webHidden/>
                <w:rStyle w:val="IndexLink"/>
                <w:rtl w:val="true"/>
              </w:rPr>
              <w:t>الثّاني</w:t>
            </w:r>
            <w:r>
              <w:rPr>
                <w:rStyle w:val="IndexLink"/>
                <w:rtl w:val="true"/>
              </w:rPr>
              <w:t>:</w:t>
            </w:r>
            <w:r>
              <w:rPr>
                <w:rStyle w:val="IndexLink"/>
                <w:rtl w:val="true"/>
              </w:rPr>
              <w:t>لو دخل الوقت و هي طاهر و لم تصلّ مع الإمكان فحاضت،قضت</w:t>
            </w:r>
            <w:r>
              <w:rPr>
                <w:rStyle w:val="IndexLink"/>
                <w:rtl w:val="true"/>
              </w:rPr>
              <w:t>.</w:t>
              <w:tab/>
            </w:r>
            <w:r>
              <w:rPr>
                <w:rStyle w:val="IndexLink"/>
              </w:rPr>
              <w:t>387</w:t>
            </w:r>
          </w:hyperlink>
        </w:p>
        <w:p>
          <w:pPr>
            <w:pStyle w:val="Contents6"/>
            <w:tabs>
              <w:tab w:val="clear" w:pos="7609"/>
              <w:tab w:val="right" w:pos="9026" w:leader="dot"/>
            </w:tabs>
            <w:rPr/>
          </w:pPr>
          <w:hyperlink w:anchor="__RefHeading___Toc796029_222507752">
            <w:r>
              <w:rPr>
                <w:webHidden/>
                <w:rStyle w:val="IndexLink"/>
                <w:rtl w:val="true"/>
              </w:rPr>
              <w:t>الثّالث</w:t>
            </w:r>
            <w:r>
              <w:rPr>
                <w:rStyle w:val="IndexLink"/>
                <w:rtl w:val="true"/>
              </w:rPr>
              <w:t>:</w:t>
            </w:r>
            <w:r>
              <w:rPr>
                <w:rStyle w:val="IndexLink"/>
                <w:rtl w:val="true"/>
              </w:rPr>
              <w:t>يشترط إدراك الفريضة و الطّهارة</w:t>
            </w:r>
            <w:r>
              <w:rPr>
                <w:rStyle w:val="IndexLink"/>
                <w:rtl w:val="true"/>
              </w:rPr>
              <w:t>.</w:t>
              <w:tab/>
            </w:r>
            <w:r>
              <w:rPr>
                <w:rStyle w:val="IndexLink"/>
              </w:rPr>
              <w:t>387</w:t>
            </w:r>
          </w:hyperlink>
        </w:p>
        <w:p>
          <w:pPr>
            <w:pStyle w:val="Contents6"/>
            <w:tabs>
              <w:tab w:val="clear" w:pos="7609"/>
              <w:tab w:val="right" w:pos="9026" w:leader="dot"/>
            </w:tabs>
            <w:rPr/>
          </w:pPr>
          <w:hyperlink w:anchor="__RefHeading___Toc796031_222507752">
            <w:r>
              <w:rPr>
                <w:webHidden/>
                <w:rStyle w:val="IndexLink"/>
                <w:rtl w:val="true"/>
              </w:rPr>
              <w:t>الرّابع</w:t>
            </w:r>
            <w:r>
              <w:rPr>
                <w:rStyle w:val="IndexLink"/>
                <w:rtl w:val="true"/>
              </w:rPr>
              <w:t>:</w:t>
            </w:r>
            <w:r>
              <w:rPr>
                <w:rStyle w:val="IndexLink"/>
                <w:rtl w:val="true"/>
              </w:rPr>
              <w:t>لو مضى من الوقت أقلّ من أداء الفريضة ثمَّ حاضت،لم يجب</w:t>
            </w:r>
            <w:r>
              <w:rPr>
                <w:rStyle w:val="IndexLink"/>
                <w:rtl w:val="true"/>
              </w:rPr>
              <w:tab/>
            </w:r>
            <w:r>
              <w:rPr>
                <w:rStyle w:val="IndexLink"/>
              </w:rPr>
              <w:t>387</w:t>
            </w:r>
          </w:hyperlink>
        </w:p>
        <w:p>
          <w:pPr>
            <w:pStyle w:val="Contents6"/>
            <w:tabs>
              <w:tab w:val="clear" w:pos="7609"/>
              <w:tab w:val="right" w:pos="9026" w:leader="dot"/>
            </w:tabs>
            <w:rPr/>
          </w:pPr>
          <w:hyperlink w:anchor="__RefHeading___Toc796033_222507752">
            <w:r>
              <w:rPr>
                <w:webHidden/>
                <w:rStyle w:val="IndexLink"/>
                <w:rtl w:val="true"/>
              </w:rPr>
              <w:t>الخامس</w:t>
            </w:r>
            <w:r>
              <w:rPr>
                <w:rStyle w:val="IndexLink"/>
                <w:rtl w:val="true"/>
              </w:rPr>
              <w:t>:</w:t>
            </w:r>
            <w:r>
              <w:rPr>
                <w:rStyle w:val="IndexLink"/>
                <w:rtl w:val="true"/>
              </w:rPr>
              <w:t>لو عقّبت بالنّفاس بأن شربت دواءا فألقت الولد،لم يجب قضاء أيّام</w:t>
            </w:r>
            <w:r>
              <w:rPr>
                <w:rStyle w:val="IndexLink"/>
                <w:rtl w:val="true"/>
              </w:rPr>
              <w:tab/>
            </w:r>
            <w:r>
              <w:rPr>
                <w:rStyle w:val="IndexLink"/>
              </w:rPr>
              <w:t>389</w:t>
            </w:r>
          </w:hyperlink>
        </w:p>
        <w:p>
          <w:pPr>
            <w:pStyle w:val="Contents6"/>
            <w:tabs>
              <w:tab w:val="clear" w:pos="7609"/>
              <w:tab w:val="right" w:pos="9026" w:leader="dot"/>
            </w:tabs>
            <w:rPr/>
          </w:pPr>
          <w:hyperlink w:anchor="__RefHeading___Toc796035_222507752">
            <w:r>
              <w:rPr>
                <w:webHidden/>
                <w:rStyle w:val="IndexLink"/>
                <w:rtl w:val="true"/>
              </w:rPr>
              <w:t>مسألة</w:t>
            </w:r>
            <w:r>
              <w:rPr>
                <w:rStyle w:val="IndexLink"/>
                <w:rtl w:val="true"/>
              </w:rPr>
              <w:t>:</w:t>
            </w:r>
            <w:r>
              <w:rPr>
                <w:rStyle w:val="IndexLink"/>
                <w:rtl w:val="true"/>
              </w:rPr>
              <w:t>لو دخل الوقت و هي حائض فطهرت،وجب عليها الصّلاة</w:t>
            </w:r>
            <w:r>
              <w:rPr>
                <w:rStyle w:val="IndexLink"/>
                <w:rtl w:val="true"/>
              </w:rPr>
              <w:tab/>
            </w:r>
            <w:r>
              <w:rPr>
                <w:rStyle w:val="IndexLink"/>
              </w:rPr>
              <w:t>389</w:t>
            </w:r>
          </w:hyperlink>
        </w:p>
        <w:p>
          <w:pPr>
            <w:pStyle w:val="Contents6"/>
            <w:tabs>
              <w:tab w:val="clear" w:pos="7609"/>
              <w:tab w:val="right" w:pos="9026" w:leader="dot"/>
            </w:tabs>
            <w:rPr/>
          </w:pPr>
          <w:hyperlink w:anchor="__RefHeading___Toc796037_222507752">
            <w:r>
              <w:rPr>
                <w:webHidden/>
                <w:rStyle w:val="IndexLink"/>
                <w:rtl w:val="true"/>
              </w:rPr>
              <w:t>فروع</w:t>
            </w:r>
            <w:r>
              <w:rPr>
                <w:rStyle w:val="IndexLink"/>
                <w:rtl w:val="true"/>
              </w:rPr>
              <w:t>:</w:t>
              <w:tab/>
            </w:r>
            <w:r>
              <w:rPr>
                <w:rStyle w:val="IndexLink"/>
              </w:rPr>
              <w:t>394</w:t>
            </w:r>
          </w:hyperlink>
        </w:p>
        <w:p>
          <w:pPr>
            <w:pStyle w:val="Contents6"/>
            <w:tabs>
              <w:tab w:val="clear" w:pos="7609"/>
              <w:tab w:val="right" w:pos="9026" w:leader="dot"/>
            </w:tabs>
            <w:rPr/>
          </w:pPr>
          <w:hyperlink w:anchor="__RefHeading___Toc796039_222507752">
            <w:r>
              <w:rPr>
                <w:webHidden/>
                <w:rStyle w:val="IndexLink"/>
                <w:rtl w:val="true"/>
              </w:rPr>
              <w:t>الأوّل</w:t>
            </w:r>
            <w:r>
              <w:rPr>
                <w:rStyle w:val="IndexLink"/>
                <w:rtl w:val="true"/>
              </w:rPr>
              <w:t>:</w:t>
            </w:r>
            <w:r>
              <w:rPr>
                <w:rStyle w:val="IndexLink"/>
                <w:rtl w:val="true"/>
              </w:rPr>
              <w:t>إذا طهرت قبل غروب الشّمس بمقدار خمس،فقد بيّنّا انّه يجب</w:t>
            </w:r>
            <w:r>
              <w:rPr>
                <w:rStyle w:val="IndexLink"/>
                <w:rtl w:val="true"/>
              </w:rPr>
              <w:tab/>
            </w:r>
            <w:r>
              <w:rPr>
                <w:rStyle w:val="IndexLink"/>
              </w:rPr>
              <w:t>394</w:t>
            </w:r>
          </w:hyperlink>
        </w:p>
        <w:p>
          <w:pPr>
            <w:pStyle w:val="Contents6"/>
            <w:tabs>
              <w:tab w:val="clear" w:pos="7609"/>
              <w:tab w:val="right" w:pos="9026" w:leader="dot"/>
            </w:tabs>
            <w:rPr/>
          </w:pPr>
          <w:hyperlink w:anchor="__RefHeading___Toc796041_222507752">
            <w:r>
              <w:rPr>
                <w:webHidden/>
                <w:rStyle w:val="IndexLink"/>
                <w:rtl w:val="true"/>
              </w:rPr>
              <w:t>الثّاني</w:t>
            </w:r>
            <w:r>
              <w:rPr>
                <w:rStyle w:val="IndexLink"/>
                <w:rtl w:val="true"/>
              </w:rPr>
              <w:t>:</w:t>
            </w:r>
            <w:r>
              <w:rPr>
                <w:rStyle w:val="IndexLink"/>
                <w:rtl w:val="true"/>
              </w:rPr>
              <w:t>لا تجب الصّلاة إلاّ بإدراك الطّهارة و ركعة</w:t>
            </w:r>
            <w:r>
              <w:rPr>
                <w:rStyle w:val="IndexLink"/>
                <w:rtl w:val="true"/>
              </w:rPr>
              <w:t>.</w:t>
              <w:tab/>
            </w:r>
            <w:r>
              <w:rPr>
                <w:rStyle w:val="IndexLink"/>
              </w:rPr>
              <w:t>394</w:t>
            </w:r>
          </w:hyperlink>
        </w:p>
        <w:p>
          <w:pPr>
            <w:pStyle w:val="Contents6"/>
            <w:tabs>
              <w:tab w:val="clear" w:pos="7609"/>
              <w:tab w:val="right" w:pos="9026" w:leader="dot"/>
            </w:tabs>
            <w:rPr/>
          </w:pPr>
          <w:hyperlink w:anchor="__RefHeading___Toc796043_222507752">
            <w:r>
              <w:rPr>
                <w:webHidden/>
                <w:rStyle w:val="IndexLink"/>
                <w:rtl w:val="true"/>
              </w:rPr>
              <w:t>الثّالث</w:t>
            </w:r>
            <w:r>
              <w:rPr>
                <w:rStyle w:val="IndexLink"/>
                <w:rtl w:val="true"/>
              </w:rPr>
              <w:t>:</w:t>
            </w:r>
            <w:r>
              <w:rPr>
                <w:rStyle w:val="IndexLink"/>
                <w:rtl w:val="true"/>
              </w:rPr>
              <w:t>لو أدركت الطّهارة و أقلّ من ركعة،لم تجب الصّلاة عندنا</w:t>
            </w:r>
            <w:r>
              <w:rPr>
                <w:rStyle w:val="IndexLink"/>
                <w:rtl w:val="true"/>
              </w:rPr>
              <w:tab/>
            </w:r>
            <w:r>
              <w:rPr>
                <w:rStyle w:val="IndexLink"/>
              </w:rPr>
              <w:t>395</w:t>
            </w:r>
          </w:hyperlink>
        </w:p>
        <w:p>
          <w:pPr>
            <w:pStyle w:val="Contents6"/>
            <w:tabs>
              <w:tab w:val="clear" w:pos="7609"/>
              <w:tab w:val="right" w:pos="9026" w:leader="dot"/>
            </w:tabs>
            <w:rPr/>
          </w:pPr>
          <w:hyperlink w:anchor="__RefHeading___Toc796045_222507752">
            <w:r>
              <w:rPr>
                <w:webHidden/>
                <w:rStyle w:val="IndexLink"/>
                <w:rtl w:val="true"/>
              </w:rPr>
              <w:t>الرّابع</w:t>
            </w:r>
            <w:r>
              <w:rPr>
                <w:rStyle w:val="IndexLink"/>
                <w:rtl w:val="true"/>
              </w:rPr>
              <w:t>:</w:t>
            </w:r>
            <w:r>
              <w:rPr>
                <w:rStyle w:val="IndexLink"/>
                <w:rtl w:val="true"/>
              </w:rPr>
              <w:t>إذا قلنا</w:t>
            </w:r>
            <w:r>
              <w:rPr>
                <w:rStyle w:val="IndexLink"/>
                <w:rtl w:val="true"/>
              </w:rPr>
              <w:t>:</w:t>
            </w:r>
            <w:r>
              <w:rPr>
                <w:rStyle w:val="IndexLink"/>
                <w:rtl w:val="true"/>
              </w:rPr>
              <w:t>انّ الوقت مشترك بين الصّلاتين من الزّوال إلى الغروب و من</w:t>
            </w:r>
            <w:r>
              <w:rPr>
                <w:rStyle w:val="IndexLink"/>
                <w:rtl w:val="true"/>
              </w:rPr>
              <w:tab/>
            </w:r>
            <w:r>
              <w:rPr>
                <w:rStyle w:val="IndexLink"/>
              </w:rPr>
              <w:t>395</w:t>
            </w:r>
          </w:hyperlink>
        </w:p>
        <w:p>
          <w:pPr>
            <w:pStyle w:val="Contents6"/>
            <w:tabs>
              <w:tab w:val="clear" w:pos="7609"/>
              <w:tab w:val="right" w:pos="9026" w:leader="dot"/>
            </w:tabs>
            <w:rPr/>
          </w:pPr>
          <w:hyperlink w:anchor="__RefHeading___Toc796047_222507752">
            <w:r>
              <w:rPr>
                <w:webHidden/>
                <w:rStyle w:val="IndexLink"/>
                <w:rtl w:val="true"/>
              </w:rPr>
              <w:t>مسألة</w:t>
            </w:r>
            <w:r>
              <w:rPr>
                <w:rStyle w:val="IndexLink"/>
                <w:rtl w:val="true"/>
              </w:rPr>
              <w:t>:</w:t>
            </w:r>
            <w:r>
              <w:rPr>
                <w:rStyle w:val="IndexLink"/>
                <w:rtl w:val="true"/>
              </w:rPr>
              <w:t>لو سمعت سجدة التّلاوة،قال في النّهاية</w:t>
            </w:r>
            <w:r>
              <w:rPr>
                <w:rStyle w:val="IndexLink"/>
                <w:rtl w:val="true"/>
              </w:rPr>
              <w:t>:</w:t>
            </w:r>
            <w:r>
              <w:rPr>
                <w:rStyle w:val="IndexLink"/>
                <w:rtl w:val="true"/>
              </w:rPr>
              <w:t xml:space="preserve">لا يجوز لها أن تسجد </w:t>
            </w:r>
            <w:r>
              <w:rPr>
                <w:rStyle w:val="IndexLink"/>
                <w:rtl w:val="true"/>
              </w:rPr>
              <w:t>.</w:t>
              <w:tab/>
            </w:r>
            <w:r>
              <w:rPr>
                <w:rStyle w:val="IndexLink"/>
              </w:rPr>
              <w:t>395</w:t>
            </w:r>
          </w:hyperlink>
        </w:p>
        <w:p>
          <w:pPr>
            <w:pStyle w:val="Contents6"/>
            <w:tabs>
              <w:tab w:val="clear" w:pos="7609"/>
              <w:tab w:val="right" w:pos="9026" w:leader="dot"/>
            </w:tabs>
            <w:rPr/>
          </w:pPr>
          <w:hyperlink w:anchor="__RefHeading___Toc796049_222507752">
            <w:r>
              <w:rPr>
                <w:webHidden/>
                <w:rStyle w:val="IndexLink"/>
                <w:rtl w:val="true"/>
              </w:rPr>
              <w:t>مسألة</w:t>
            </w:r>
            <w:r>
              <w:rPr>
                <w:rStyle w:val="IndexLink"/>
                <w:rtl w:val="true"/>
              </w:rPr>
              <w:t>:</w:t>
            </w:r>
            <w:r>
              <w:rPr>
                <w:rStyle w:val="IndexLink"/>
                <w:rtl w:val="true"/>
              </w:rPr>
              <w:t>و يستحبّ لها الوضوء عند كلّ صلاة،و ذكر اللّه تعالى في مصلاّها بقدر</w:t>
            </w:r>
            <w:r>
              <w:rPr>
                <w:rStyle w:val="IndexLink"/>
                <w:rtl w:val="true"/>
              </w:rPr>
              <w:tab/>
            </w:r>
            <w:r>
              <w:rPr>
                <w:rStyle w:val="IndexLink"/>
              </w:rPr>
              <w:t>398</w:t>
            </w:r>
          </w:hyperlink>
        </w:p>
        <w:p>
          <w:pPr>
            <w:pStyle w:val="Contents6"/>
            <w:tabs>
              <w:tab w:val="clear" w:pos="7609"/>
              <w:tab w:val="right" w:pos="9026" w:leader="dot"/>
            </w:tabs>
            <w:rPr/>
          </w:pPr>
          <w:hyperlink w:anchor="__RefHeading___Toc796051_222507752">
            <w:r>
              <w:rPr>
                <w:webHidden/>
                <w:rStyle w:val="IndexLink"/>
                <w:rtl w:val="true"/>
              </w:rPr>
              <w:t>فروع</w:t>
            </w:r>
            <w:r>
              <w:rPr>
                <w:rStyle w:val="IndexLink"/>
                <w:rtl w:val="true"/>
              </w:rPr>
              <w:t>:</w:t>
              <w:tab/>
            </w:r>
            <w:r>
              <w:rPr>
                <w:rStyle w:val="IndexLink"/>
              </w:rPr>
              <w:t>398</w:t>
            </w:r>
          </w:hyperlink>
        </w:p>
        <w:p>
          <w:pPr>
            <w:pStyle w:val="Contents6"/>
            <w:tabs>
              <w:tab w:val="clear" w:pos="7609"/>
              <w:tab w:val="right" w:pos="9026" w:leader="dot"/>
            </w:tabs>
            <w:rPr/>
          </w:pPr>
          <w:hyperlink w:anchor="__RefHeading___Toc796053_222507752">
            <w:r>
              <w:rPr>
                <w:webHidden/>
                <w:rStyle w:val="IndexLink"/>
                <w:rtl w:val="true"/>
              </w:rPr>
              <w:t>الأوّل</w:t>
            </w:r>
            <w:r>
              <w:rPr>
                <w:rStyle w:val="IndexLink"/>
                <w:rtl w:val="true"/>
              </w:rPr>
              <w:t>:</w:t>
            </w:r>
            <w:r>
              <w:rPr>
                <w:rStyle w:val="IndexLink"/>
                <w:rtl w:val="true"/>
              </w:rPr>
              <w:t>لا تنوي بهذا الوضوء رفع الحدث،و لا استباحة الصّلاة،</w:t>
            </w:r>
            <w:r>
              <w:rPr>
                <w:rStyle w:val="IndexLink"/>
                <w:rtl w:val="true"/>
              </w:rPr>
              <w:tab/>
            </w:r>
            <w:r>
              <w:rPr>
                <w:rStyle w:val="IndexLink"/>
              </w:rPr>
              <w:t>398</w:t>
            </w:r>
          </w:hyperlink>
        </w:p>
        <w:p>
          <w:pPr>
            <w:pStyle w:val="Contents6"/>
            <w:tabs>
              <w:tab w:val="clear" w:pos="7609"/>
              <w:tab w:val="right" w:pos="9026" w:leader="dot"/>
            </w:tabs>
            <w:rPr/>
          </w:pPr>
          <w:hyperlink w:anchor="__RefHeading___Toc796055_222507752">
            <w:r>
              <w:rPr>
                <w:webHidden/>
                <w:rStyle w:val="IndexLink"/>
                <w:rtl w:val="true"/>
              </w:rPr>
              <w:t>الثّاني</w:t>
            </w:r>
            <w:r>
              <w:rPr>
                <w:rStyle w:val="IndexLink"/>
                <w:rtl w:val="true"/>
              </w:rPr>
              <w:t>:</w:t>
            </w:r>
            <w:r>
              <w:rPr>
                <w:rStyle w:val="IndexLink"/>
                <w:rtl w:val="true"/>
              </w:rPr>
              <w:t>لو توضّأت بنيّة التّقرّب في وقت يتوهّم انّه حيض فبان طهرا،لم يجز لها</w:t>
            </w:r>
            <w:r>
              <w:rPr>
                <w:rStyle w:val="IndexLink"/>
                <w:rtl w:val="true"/>
              </w:rPr>
              <w:tab/>
            </w:r>
            <w:r>
              <w:rPr>
                <w:rStyle w:val="IndexLink"/>
              </w:rPr>
              <w:t>399</w:t>
            </w:r>
          </w:hyperlink>
        </w:p>
        <w:p>
          <w:pPr>
            <w:pStyle w:val="Contents6"/>
            <w:tabs>
              <w:tab w:val="clear" w:pos="7609"/>
              <w:tab w:val="right" w:pos="9026" w:leader="dot"/>
            </w:tabs>
            <w:rPr/>
          </w:pPr>
          <w:hyperlink w:anchor="__RefHeading___Toc796057_222507752">
            <w:r>
              <w:rPr>
                <w:webHidden/>
                <w:rStyle w:val="IndexLink"/>
                <w:rtl w:val="true"/>
              </w:rPr>
              <w:t>الثّالث</w:t>
            </w:r>
            <w:r>
              <w:rPr>
                <w:rStyle w:val="IndexLink"/>
                <w:rtl w:val="true"/>
              </w:rPr>
              <w:t>:</w:t>
            </w:r>
            <w:r>
              <w:rPr>
                <w:rStyle w:val="IndexLink"/>
                <w:rtl w:val="true"/>
              </w:rPr>
              <w:t>لو نوت بوضوئها رفع الحدث في وقت يتوهّم فيه انّها حائض فبانت</w:t>
            </w:r>
            <w:r>
              <w:rPr>
                <w:rStyle w:val="IndexLink"/>
                <w:rtl w:val="true"/>
              </w:rPr>
              <w:tab/>
            </w:r>
            <w:r>
              <w:rPr>
                <w:rStyle w:val="IndexLink"/>
              </w:rPr>
              <w:t>399</w:t>
            </w:r>
          </w:hyperlink>
        </w:p>
        <w:p>
          <w:pPr>
            <w:pStyle w:val="Contents6"/>
            <w:tabs>
              <w:tab w:val="clear" w:pos="7609"/>
              <w:tab w:val="right" w:pos="9026" w:leader="dot"/>
            </w:tabs>
            <w:rPr/>
          </w:pPr>
          <w:hyperlink w:anchor="__RefHeading___Toc796059_222507752">
            <w:r>
              <w:rPr>
                <w:webHidden/>
                <w:rStyle w:val="IndexLink"/>
                <w:rtl w:val="true"/>
              </w:rPr>
              <w:t>الرّابع</w:t>
            </w:r>
            <w:r>
              <w:rPr>
                <w:rStyle w:val="IndexLink"/>
                <w:rtl w:val="true"/>
              </w:rPr>
              <w:t>:</w:t>
            </w:r>
            <w:r>
              <w:rPr>
                <w:rStyle w:val="IndexLink"/>
                <w:rtl w:val="true"/>
              </w:rPr>
              <w:t>لو اغتسلت عوض الوضوء لم تدرك به فضيلة الوضوء،</w:t>
            </w:r>
            <w:r>
              <w:rPr>
                <w:rStyle w:val="IndexLink"/>
                <w:rtl w:val="true"/>
              </w:rPr>
              <w:tab/>
            </w:r>
            <w:r>
              <w:rPr>
                <w:rStyle w:val="IndexLink"/>
              </w:rPr>
              <w:t>399</w:t>
            </w:r>
          </w:hyperlink>
        </w:p>
        <w:p>
          <w:pPr>
            <w:pStyle w:val="Contents6"/>
            <w:tabs>
              <w:tab w:val="clear" w:pos="7609"/>
              <w:tab w:val="right" w:pos="9026" w:leader="dot"/>
            </w:tabs>
            <w:rPr/>
          </w:pPr>
          <w:hyperlink w:anchor="__RefHeading___Toc796061_222507752">
            <w:r>
              <w:rPr>
                <w:webHidden/>
                <w:rStyle w:val="IndexLink"/>
                <w:rtl w:val="true"/>
              </w:rPr>
              <w:t>الخامس</w:t>
            </w:r>
            <w:r>
              <w:rPr>
                <w:rStyle w:val="IndexLink"/>
                <w:rtl w:val="true"/>
              </w:rPr>
              <w:t>:</w:t>
            </w:r>
            <w:r>
              <w:rPr>
                <w:rStyle w:val="IndexLink"/>
                <w:rtl w:val="true"/>
              </w:rPr>
              <w:t>لو فقدت الماء هل تتيمّم أم لا؟الوجه</w:t>
            </w:r>
            <w:r>
              <w:rPr>
                <w:rStyle w:val="IndexLink"/>
                <w:rtl w:val="true"/>
              </w:rPr>
              <w:t>:</w:t>
            </w:r>
            <w:r>
              <w:rPr>
                <w:rStyle w:val="IndexLink"/>
                <w:rtl w:val="true"/>
              </w:rPr>
              <w:t>لا،</w:t>
            </w:r>
            <w:r>
              <w:rPr>
                <w:rStyle w:val="IndexLink"/>
                <w:rtl w:val="true"/>
              </w:rPr>
              <w:tab/>
            </w:r>
            <w:r>
              <w:rPr>
                <w:rStyle w:val="IndexLink"/>
              </w:rPr>
              <w:t>399</w:t>
            </w:r>
          </w:hyperlink>
        </w:p>
        <w:p>
          <w:pPr>
            <w:pStyle w:val="Contents6"/>
            <w:tabs>
              <w:tab w:val="clear" w:pos="7609"/>
              <w:tab w:val="right" w:pos="9026" w:leader="dot"/>
            </w:tabs>
            <w:rPr/>
          </w:pPr>
          <w:hyperlink w:anchor="__RefHeading___Toc796063_222507752">
            <w:r>
              <w:rPr>
                <w:webHidden/>
                <w:rStyle w:val="IndexLink"/>
                <w:rtl w:val="true"/>
              </w:rPr>
              <w:t>مسألة</w:t>
            </w:r>
            <w:r>
              <w:rPr>
                <w:rStyle w:val="IndexLink"/>
                <w:rtl w:val="true"/>
              </w:rPr>
              <w:t>:</w:t>
            </w:r>
            <w:r>
              <w:rPr>
                <w:rStyle w:val="IndexLink"/>
                <w:rtl w:val="true"/>
              </w:rPr>
              <w:t>و يكره لها الخضاب</w:t>
            </w:r>
            <w:r>
              <w:rPr>
                <w:rStyle w:val="IndexLink"/>
                <w:rtl w:val="true"/>
              </w:rPr>
              <w:t>.</w:t>
              <w:tab/>
            </w:r>
            <w:r>
              <w:rPr>
                <w:rStyle w:val="IndexLink"/>
              </w:rPr>
              <w:t>399</w:t>
            </w:r>
          </w:hyperlink>
        </w:p>
        <w:p>
          <w:pPr>
            <w:pStyle w:val="Contents6"/>
            <w:tabs>
              <w:tab w:val="clear" w:pos="7609"/>
              <w:tab w:val="right" w:pos="9026" w:leader="dot"/>
            </w:tabs>
            <w:rPr/>
          </w:pPr>
          <w:hyperlink w:anchor="__RefHeading___Toc796065_222507752">
            <w:r>
              <w:rPr>
                <w:webHidden/>
                <w:rStyle w:val="IndexLink"/>
                <w:rtl w:val="true"/>
              </w:rPr>
              <w:t>مسألة</w:t>
            </w:r>
            <w:r>
              <w:rPr>
                <w:rStyle w:val="IndexLink"/>
                <w:rtl w:val="true"/>
              </w:rPr>
              <w:t>:</w:t>
            </w:r>
            <w:r>
              <w:rPr>
                <w:rStyle w:val="IndexLink"/>
                <w:rtl w:val="true"/>
              </w:rPr>
              <w:t>لا خلاف في تحريم وطء الحائض قبلا،</w:t>
            </w:r>
            <w:r>
              <w:rPr>
                <w:rStyle w:val="IndexLink"/>
                <w:rtl w:val="true"/>
              </w:rPr>
              <w:tab/>
            </w:r>
            <w:r>
              <w:rPr>
                <w:rStyle w:val="IndexLink"/>
              </w:rPr>
              <w:t>400</w:t>
            </w:r>
          </w:hyperlink>
        </w:p>
        <w:p>
          <w:pPr>
            <w:pStyle w:val="Contents6"/>
            <w:tabs>
              <w:tab w:val="clear" w:pos="7609"/>
              <w:tab w:val="right" w:pos="9026" w:leader="dot"/>
            </w:tabs>
            <w:rPr/>
          </w:pPr>
          <w:hyperlink w:anchor="__RefHeading___Toc796067_222507752">
            <w:r>
              <w:rPr>
                <w:webHidden/>
                <w:rStyle w:val="IndexLink"/>
                <w:rtl w:val="true"/>
              </w:rPr>
              <w:t>فروع</w:t>
            </w:r>
            <w:r>
              <w:rPr>
                <w:rStyle w:val="IndexLink"/>
                <w:rtl w:val="true"/>
              </w:rPr>
              <w:t>:</w:t>
              <w:tab/>
            </w:r>
            <w:r>
              <w:rPr>
                <w:rStyle w:val="IndexLink"/>
              </w:rPr>
              <w:t>405</w:t>
            </w:r>
          </w:hyperlink>
        </w:p>
        <w:p>
          <w:pPr>
            <w:pStyle w:val="Contents6"/>
            <w:tabs>
              <w:tab w:val="clear" w:pos="7609"/>
              <w:tab w:val="right" w:pos="9026" w:leader="dot"/>
            </w:tabs>
            <w:rPr/>
          </w:pPr>
          <w:hyperlink w:anchor="__RefHeading___Toc796069_222507752">
            <w:r>
              <w:rPr>
                <w:webHidden/>
                <w:rStyle w:val="IndexLink"/>
                <w:rtl w:val="true"/>
              </w:rPr>
              <w:t>الأوّل</w:t>
            </w:r>
            <w:r>
              <w:rPr>
                <w:rStyle w:val="IndexLink"/>
                <w:rtl w:val="true"/>
              </w:rPr>
              <w:t>:</w:t>
            </w:r>
            <w:r>
              <w:rPr>
                <w:rStyle w:val="IndexLink"/>
                <w:rtl w:val="true"/>
              </w:rPr>
              <w:t>الكفّارة في أوّله دينار قيمته عشرة دراهم</w:t>
            </w:r>
            <w:r>
              <w:rPr>
                <w:rStyle w:val="IndexLink"/>
                <w:rtl w:val="true"/>
              </w:rPr>
              <w:tab/>
            </w:r>
            <w:r>
              <w:rPr>
                <w:rStyle w:val="IndexLink"/>
              </w:rPr>
              <w:t>405</w:t>
            </w:r>
          </w:hyperlink>
        </w:p>
        <w:p>
          <w:pPr>
            <w:pStyle w:val="Contents6"/>
            <w:tabs>
              <w:tab w:val="clear" w:pos="7609"/>
              <w:tab w:val="right" w:pos="9026" w:leader="dot"/>
            </w:tabs>
            <w:rPr/>
          </w:pPr>
          <w:hyperlink w:anchor="__RefHeading___Toc796071_222507752">
            <w:r>
              <w:rPr>
                <w:webHidden/>
                <w:rStyle w:val="IndexLink"/>
                <w:rtl w:val="true"/>
              </w:rPr>
              <w:t>الثّاني</w:t>
            </w:r>
            <w:r>
              <w:rPr>
                <w:rStyle w:val="IndexLink"/>
                <w:rtl w:val="true"/>
              </w:rPr>
              <w:t>:</w:t>
            </w:r>
            <w:r>
              <w:rPr>
                <w:rStyle w:val="IndexLink"/>
                <w:rtl w:val="true"/>
              </w:rPr>
              <w:t>قال الشّيخ و ابن بابويه</w:t>
            </w:r>
            <w:r>
              <w:rPr>
                <w:rStyle w:val="IndexLink"/>
                <w:rtl w:val="true"/>
              </w:rPr>
              <w:t>:</w:t>
            </w:r>
            <w:r>
              <w:rPr>
                <w:rStyle w:val="IndexLink"/>
                <w:rtl w:val="true"/>
              </w:rPr>
              <w:t>من جامع أمته و هي حائض تصدّق بثلاثة</w:t>
            </w:r>
            <w:r>
              <w:rPr>
                <w:rStyle w:val="IndexLink"/>
                <w:rtl w:val="true"/>
              </w:rPr>
              <w:tab/>
            </w:r>
            <w:r>
              <w:rPr>
                <w:rStyle w:val="IndexLink"/>
              </w:rPr>
              <w:t>407</w:t>
            </w:r>
          </w:hyperlink>
        </w:p>
        <w:p>
          <w:pPr>
            <w:pStyle w:val="Contents6"/>
            <w:tabs>
              <w:tab w:val="clear" w:pos="7609"/>
              <w:tab w:val="right" w:pos="9026" w:leader="dot"/>
            </w:tabs>
            <w:rPr/>
          </w:pPr>
          <w:hyperlink w:anchor="__RefHeading___Toc796073_222507752">
            <w:r>
              <w:rPr>
                <w:webHidden/>
                <w:rStyle w:val="IndexLink"/>
                <w:rtl w:val="true"/>
              </w:rPr>
              <w:t>الثّالث</w:t>
            </w:r>
            <w:r>
              <w:rPr>
                <w:rStyle w:val="IndexLink"/>
                <w:rtl w:val="true"/>
              </w:rPr>
              <w:t>:</w:t>
            </w:r>
            <w:r>
              <w:rPr>
                <w:rStyle w:val="IndexLink"/>
                <w:rtl w:val="true"/>
              </w:rPr>
              <w:t>الأوّل،و الأوسط،و الآخر مختلف باختلاف النّساء في عاداتهنّ،</w:t>
            </w:r>
            <w:r>
              <w:rPr>
                <w:rStyle w:val="IndexLink"/>
                <w:rtl w:val="true"/>
              </w:rPr>
              <w:tab/>
            </w:r>
            <w:r>
              <w:rPr>
                <w:rStyle w:val="IndexLink"/>
              </w:rPr>
              <w:t>407</w:t>
            </w:r>
          </w:hyperlink>
        </w:p>
        <w:p>
          <w:pPr>
            <w:pStyle w:val="Contents6"/>
            <w:tabs>
              <w:tab w:val="clear" w:pos="7609"/>
              <w:tab w:val="right" w:pos="9026" w:leader="dot"/>
            </w:tabs>
            <w:rPr/>
          </w:pPr>
          <w:hyperlink w:anchor="__RefHeading___Toc796075_222507752">
            <w:r>
              <w:rPr>
                <w:webHidden/>
                <w:rStyle w:val="IndexLink"/>
                <w:rtl w:val="true"/>
              </w:rPr>
              <w:t>الرّابع</w:t>
            </w:r>
            <w:r>
              <w:rPr>
                <w:rStyle w:val="IndexLink"/>
                <w:rtl w:val="true"/>
              </w:rPr>
              <w:t>:</w:t>
            </w:r>
            <w:r>
              <w:rPr>
                <w:rStyle w:val="IndexLink"/>
                <w:rtl w:val="true"/>
              </w:rPr>
              <w:t>لو عجز عن الكفّارة سقطت</w:t>
            </w:r>
            <w:r>
              <w:rPr>
                <w:rStyle w:val="IndexLink"/>
                <w:rtl w:val="true"/>
              </w:rPr>
              <w:tab/>
            </w:r>
            <w:r>
              <w:rPr>
                <w:rStyle w:val="IndexLink"/>
              </w:rPr>
              <w:t>407</w:t>
            </w:r>
          </w:hyperlink>
        </w:p>
        <w:p>
          <w:pPr>
            <w:pStyle w:val="Contents6"/>
            <w:tabs>
              <w:tab w:val="clear" w:pos="7609"/>
              <w:tab w:val="right" w:pos="9026" w:leader="dot"/>
            </w:tabs>
            <w:rPr/>
          </w:pPr>
          <w:hyperlink w:anchor="__RefHeading___Toc796077_222507752">
            <w:r>
              <w:rPr>
                <w:webHidden/>
                <w:rStyle w:val="IndexLink"/>
                <w:rtl w:val="true"/>
              </w:rPr>
              <w:t>الخامس</w:t>
            </w:r>
            <w:r>
              <w:rPr>
                <w:rStyle w:val="IndexLink"/>
                <w:rtl w:val="true"/>
              </w:rPr>
              <w:t>:</w:t>
            </w:r>
            <w:r>
              <w:rPr>
                <w:rStyle w:val="IndexLink"/>
                <w:rtl w:val="true"/>
              </w:rPr>
              <w:t>حكم الأجنبيّة حكم الزّوجة،</w:t>
            </w:r>
            <w:r>
              <w:rPr>
                <w:rStyle w:val="IndexLink"/>
                <w:rtl w:val="true"/>
              </w:rPr>
              <w:tab/>
            </w:r>
            <w:r>
              <w:rPr>
                <w:rStyle w:val="IndexLink"/>
              </w:rPr>
              <w:t>407</w:t>
            </w:r>
          </w:hyperlink>
        </w:p>
        <w:p>
          <w:pPr>
            <w:pStyle w:val="Contents6"/>
            <w:tabs>
              <w:tab w:val="clear" w:pos="7609"/>
              <w:tab w:val="right" w:pos="9026" w:leader="dot"/>
            </w:tabs>
            <w:rPr/>
          </w:pPr>
          <w:hyperlink w:anchor="__RefHeading___Toc796079_222507752">
            <w:r>
              <w:rPr>
                <w:webHidden/>
                <w:rStyle w:val="IndexLink"/>
                <w:rtl w:val="true"/>
              </w:rPr>
              <w:t>السّادس</w:t>
            </w:r>
            <w:r>
              <w:rPr>
                <w:rStyle w:val="IndexLink"/>
                <w:rtl w:val="true"/>
              </w:rPr>
              <w:t>:</w:t>
            </w:r>
            <w:r>
              <w:rPr>
                <w:rStyle w:val="IndexLink"/>
                <w:rtl w:val="true"/>
              </w:rPr>
              <w:t>لو وطئ جاهلا أو ناسيا،فالوجه عدم تعلّق الكفّارة به</w:t>
            </w:r>
            <w:r>
              <w:rPr>
                <w:rStyle w:val="IndexLink"/>
                <w:rtl w:val="true"/>
              </w:rPr>
              <w:tab/>
            </w:r>
            <w:r>
              <w:rPr>
                <w:rStyle w:val="IndexLink"/>
              </w:rPr>
              <w:t>407</w:t>
            </w:r>
          </w:hyperlink>
        </w:p>
        <w:p>
          <w:pPr>
            <w:pStyle w:val="Contents6"/>
            <w:tabs>
              <w:tab w:val="clear" w:pos="7609"/>
              <w:tab w:val="right" w:pos="9026" w:leader="dot"/>
            </w:tabs>
            <w:rPr/>
          </w:pPr>
          <w:hyperlink w:anchor="__RefHeading___Toc796081_222507752">
            <w:r>
              <w:rPr>
                <w:webHidden/>
                <w:rStyle w:val="IndexLink"/>
                <w:rtl w:val="true"/>
              </w:rPr>
              <w:t>السّابع</w:t>
            </w:r>
            <w:r>
              <w:rPr>
                <w:rStyle w:val="IndexLink"/>
                <w:rtl w:val="true"/>
              </w:rPr>
              <w:t>:</w:t>
            </w:r>
            <w:r>
              <w:rPr>
                <w:rStyle w:val="IndexLink"/>
                <w:rtl w:val="true"/>
              </w:rPr>
              <w:t>لو وطئ طاهرا فحاضت في أثناء وطئه،وجب عليه النّزع</w:t>
            </w:r>
            <w:r>
              <w:rPr>
                <w:rStyle w:val="IndexLink"/>
                <w:rtl w:val="true"/>
              </w:rPr>
              <w:tab/>
            </w:r>
            <w:r>
              <w:rPr>
                <w:rStyle w:val="IndexLink"/>
              </w:rPr>
              <w:t>408</w:t>
            </w:r>
          </w:hyperlink>
        </w:p>
        <w:p>
          <w:pPr>
            <w:pStyle w:val="Contents6"/>
            <w:tabs>
              <w:tab w:val="clear" w:pos="7609"/>
              <w:tab w:val="right" w:pos="9026" w:leader="dot"/>
            </w:tabs>
            <w:rPr/>
          </w:pPr>
          <w:hyperlink w:anchor="__RefHeading___Toc796083_222507752">
            <w:r>
              <w:rPr>
                <w:webHidden/>
                <w:rStyle w:val="IndexLink"/>
                <w:rtl w:val="true"/>
              </w:rPr>
              <w:t>الثّامن</w:t>
            </w:r>
            <w:r>
              <w:rPr>
                <w:rStyle w:val="IndexLink"/>
                <w:rtl w:val="true"/>
              </w:rPr>
              <w:t>:</w:t>
            </w:r>
            <w:r>
              <w:rPr>
                <w:rStyle w:val="IndexLink"/>
                <w:rtl w:val="true"/>
              </w:rPr>
              <w:t>لو وطئ الصّبيّ لم يتعلّق به إثم إجماعا</w:t>
            </w:r>
            <w:r>
              <w:rPr>
                <w:rStyle w:val="IndexLink"/>
                <w:rtl w:val="true"/>
              </w:rPr>
              <w:tab/>
            </w:r>
            <w:r>
              <w:rPr>
                <w:rStyle w:val="IndexLink"/>
              </w:rPr>
              <w:t>408</w:t>
            </w:r>
          </w:hyperlink>
        </w:p>
        <w:p>
          <w:pPr>
            <w:pStyle w:val="Contents6"/>
            <w:tabs>
              <w:tab w:val="clear" w:pos="7609"/>
              <w:tab w:val="right" w:pos="9026" w:leader="dot"/>
            </w:tabs>
            <w:rPr/>
          </w:pPr>
          <w:hyperlink w:anchor="__RefHeading___Toc796085_222507752">
            <w:r>
              <w:rPr>
                <w:webHidden/>
                <w:rStyle w:val="IndexLink"/>
                <w:rtl w:val="true"/>
              </w:rPr>
              <w:t>التّاسع</w:t>
            </w:r>
            <w:r>
              <w:rPr>
                <w:rStyle w:val="IndexLink"/>
                <w:rtl w:val="true"/>
              </w:rPr>
              <w:t>:</w:t>
            </w:r>
            <w:r>
              <w:rPr>
                <w:rStyle w:val="IndexLink"/>
                <w:rtl w:val="true"/>
              </w:rPr>
              <w:t>لو كرّر الوطء،قال الشّيخ</w:t>
            </w:r>
            <w:r>
              <w:rPr>
                <w:rStyle w:val="IndexLink"/>
                <w:rtl w:val="true"/>
              </w:rPr>
              <w:t>:</w:t>
            </w:r>
            <w:r>
              <w:rPr>
                <w:rStyle w:val="IndexLink"/>
                <w:rtl w:val="true"/>
              </w:rPr>
              <w:t xml:space="preserve">لا يتكرّر،عملا بالأصل </w:t>
            </w:r>
            <w:r>
              <w:rPr>
                <w:rStyle w:val="IndexLink"/>
                <w:rtl w:val="true"/>
              </w:rPr>
              <w:t>.</w:t>
              <w:tab/>
            </w:r>
            <w:r>
              <w:rPr>
                <w:rStyle w:val="IndexLink"/>
              </w:rPr>
              <w:t>408</w:t>
            </w:r>
          </w:hyperlink>
        </w:p>
        <w:p>
          <w:pPr>
            <w:pStyle w:val="Contents6"/>
            <w:tabs>
              <w:tab w:val="clear" w:pos="7609"/>
              <w:tab w:val="right" w:pos="9026" w:leader="dot"/>
            </w:tabs>
            <w:rPr/>
          </w:pPr>
          <w:hyperlink w:anchor="__RefHeading___Toc796087_222507752">
            <w:r>
              <w:rPr>
                <w:webHidden/>
                <w:rStyle w:val="IndexLink"/>
                <w:rtl w:val="true"/>
              </w:rPr>
              <w:t>العاشر</w:t>
            </w:r>
            <w:r>
              <w:rPr>
                <w:rStyle w:val="IndexLink"/>
                <w:rtl w:val="true"/>
              </w:rPr>
              <w:t>:</w:t>
            </w:r>
            <w:r>
              <w:rPr>
                <w:rStyle w:val="IndexLink"/>
                <w:rtl w:val="true"/>
              </w:rPr>
              <w:t>يجب على الواطئ التّعزير،</w:t>
            </w:r>
            <w:r>
              <w:rPr>
                <w:rStyle w:val="IndexLink"/>
                <w:rtl w:val="true"/>
              </w:rPr>
              <w:tab/>
            </w:r>
            <w:r>
              <w:rPr>
                <w:rStyle w:val="IndexLink"/>
              </w:rPr>
              <w:t>408</w:t>
            </w:r>
          </w:hyperlink>
        </w:p>
        <w:p>
          <w:pPr>
            <w:pStyle w:val="Contents6"/>
            <w:tabs>
              <w:tab w:val="clear" w:pos="7609"/>
              <w:tab w:val="right" w:pos="9026" w:leader="dot"/>
            </w:tabs>
            <w:rPr/>
          </w:pPr>
          <w:hyperlink w:anchor="__RefHeading___Toc796089_222507752">
            <w:r>
              <w:rPr>
                <w:webHidden/>
                <w:rStyle w:val="IndexLink"/>
                <w:rtl w:val="true"/>
              </w:rPr>
              <w:t>الحادي عشر</w:t>
            </w:r>
            <w:r>
              <w:rPr>
                <w:rStyle w:val="IndexLink"/>
                <w:rtl w:val="true"/>
              </w:rPr>
              <w:t>:</w:t>
            </w:r>
            <w:r>
              <w:rPr>
                <w:rStyle w:val="IndexLink"/>
                <w:rtl w:val="true"/>
              </w:rPr>
              <w:t>لو وطئ مستحلاّ وجب قتله</w:t>
            </w:r>
            <w:r>
              <w:rPr>
                <w:rStyle w:val="IndexLink"/>
                <w:rtl w:val="true"/>
              </w:rPr>
              <w:tab/>
            </w:r>
            <w:r>
              <w:rPr>
                <w:rStyle w:val="IndexLink"/>
              </w:rPr>
              <w:t>408</w:t>
            </w:r>
          </w:hyperlink>
        </w:p>
        <w:p>
          <w:pPr>
            <w:pStyle w:val="Contents6"/>
            <w:tabs>
              <w:tab w:val="clear" w:pos="7609"/>
              <w:tab w:val="right" w:pos="9026" w:leader="dot"/>
            </w:tabs>
            <w:rPr/>
          </w:pPr>
          <w:hyperlink w:anchor="__RefHeading___Toc796091_222507752">
            <w:r>
              <w:rPr>
                <w:webHidden/>
                <w:rStyle w:val="IndexLink"/>
                <w:rtl w:val="true"/>
              </w:rPr>
              <w:t>الثّاني عشر</w:t>
            </w:r>
            <w:r>
              <w:rPr>
                <w:rStyle w:val="IndexLink"/>
                <w:rtl w:val="true"/>
              </w:rPr>
              <w:t>:</w:t>
            </w:r>
            <w:r>
              <w:rPr>
                <w:rStyle w:val="IndexLink"/>
                <w:rtl w:val="true"/>
              </w:rPr>
              <w:t>يجب عليه الامتناع من الوطء وقت الاشتباه</w:t>
            </w:r>
            <w:r>
              <w:rPr>
                <w:rStyle w:val="IndexLink"/>
                <w:rtl w:val="true"/>
              </w:rPr>
              <w:tab/>
            </w:r>
            <w:r>
              <w:rPr>
                <w:rStyle w:val="IndexLink"/>
              </w:rPr>
              <w:t>408</w:t>
            </w:r>
          </w:hyperlink>
        </w:p>
        <w:p>
          <w:pPr>
            <w:pStyle w:val="Contents6"/>
            <w:tabs>
              <w:tab w:val="clear" w:pos="7609"/>
              <w:tab w:val="right" w:pos="9026" w:leader="dot"/>
            </w:tabs>
            <w:rPr/>
          </w:pPr>
          <w:hyperlink w:anchor="__RefHeading___Toc796093_222507752">
            <w:r>
              <w:rPr>
                <w:webHidden/>
                <w:rStyle w:val="IndexLink"/>
                <w:rtl w:val="true"/>
              </w:rPr>
              <w:t>الثّالث عشر</w:t>
            </w:r>
            <w:r>
              <w:rPr>
                <w:rStyle w:val="IndexLink"/>
                <w:rtl w:val="true"/>
              </w:rPr>
              <w:t>:</w:t>
            </w:r>
            <w:r>
              <w:rPr>
                <w:rStyle w:val="IndexLink"/>
                <w:rtl w:val="true"/>
              </w:rPr>
              <w:t>لا تجب الكفّارة على المرأة و لو غرّت زوجها،</w:t>
            </w:r>
            <w:r>
              <w:rPr>
                <w:rStyle w:val="IndexLink"/>
                <w:rtl w:val="true"/>
              </w:rPr>
              <w:tab/>
            </w:r>
            <w:r>
              <w:rPr>
                <w:rStyle w:val="IndexLink"/>
              </w:rPr>
              <w:t>409</w:t>
            </w:r>
          </w:hyperlink>
        </w:p>
        <w:p>
          <w:pPr>
            <w:pStyle w:val="Contents6"/>
            <w:tabs>
              <w:tab w:val="clear" w:pos="7609"/>
              <w:tab w:val="right" w:pos="9026" w:leader="dot"/>
            </w:tabs>
            <w:rPr/>
          </w:pPr>
          <w:hyperlink w:anchor="__RefHeading___Toc796095_222507752">
            <w:r>
              <w:rPr>
                <w:webHidden/>
                <w:rStyle w:val="IndexLink"/>
                <w:rtl w:val="true"/>
              </w:rPr>
              <w:t>الرّابع عشر</w:t>
            </w:r>
            <w:r>
              <w:rPr>
                <w:rStyle w:val="IndexLink"/>
                <w:rtl w:val="true"/>
              </w:rPr>
              <w:t>:</w:t>
            </w:r>
            <w:r>
              <w:rPr>
                <w:rStyle w:val="IndexLink"/>
                <w:rtl w:val="true"/>
              </w:rPr>
              <w:t>حكم النّفساء في ذلك حكم الحائض</w:t>
            </w:r>
            <w:r>
              <w:rPr>
                <w:rStyle w:val="IndexLink"/>
                <w:rtl w:val="true"/>
              </w:rPr>
              <w:tab/>
            </w:r>
            <w:r>
              <w:rPr>
                <w:rStyle w:val="IndexLink"/>
              </w:rPr>
              <w:t>409</w:t>
            </w:r>
          </w:hyperlink>
        </w:p>
        <w:p>
          <w:pPr>
            <w:pStyle w:val="Contents6"/>
            <w:tabs>
              <w:tab w:val="clear" w:pos="7609"/>
              <w:tab w:val="right" w:pos="9026" w:leader="dot"/>
            </w:tabs>
            <w:rPr/>
          </w:pPr>
          <w:hyperlink w:anchor="__RefHeading___Toc796097_222507752">
            <w:r>
              <w:rPr>
                <w:webHidden/>
                <w:rStyle w:val="IndexLink"/>
                <w:rtl w:val="true"/>
              </w:rPr>
              <w:t>الخامس عشر</w:t>
            </w:r>
            <w:r>
              <w:rPr>
                <w:rStyle w:val="IndexLink"/>
                <w:rtl w:val="true"/>
              </w:rPr>
              <w:t>:</w:t>
            </w:r>
            <w:r>
              <w:rPr>
                <w:rStyle w:val="IndexLink"/>
                <w:rtl w:val="true"/>
              </w:rPr>
              <w:t>لا فرق في الإخراج بين المضروب و التّبر</w:t>
            </w:r>
            <w:r>
              <w:rPr>
                <w:rStyle w:val="IndexLink"/>
                <w:rtl w:val="true"/>
              </w:rPr>
              <w:tab/>
            </w:r>
            <w:r>
              <w:rPr>
                <w:rStyle w:val="IndexLink"/>
              </w:rPr>
              <w:t>409</w:t>
            </w:r>
          </w:hyperlink>
        </w:p>
        <w:p>
          <w:pPr>
            <w:pStyle w:val="Contents6"/>
            <w:tabs>
              <w:tab w:val="clear" w:pos="7609"/>
              <w:tab w:val="right" w:pos="9026" w:leader="dot"/>
            </w:tabs>
            <w:rPr/>
          </w:pPr>
          <w:hyperlink w:anchor="__RefHeading___Toc796099_222507752">
            <w:r>
              <w:rPr>
                <w:webHidden/>
                <w:rStyle w:val="IndexLink"/>
                <w:rtl w:val="true"/>
              </w:rPr>
              <w:t>السّادس عشر</w:t>
            </w:r>
            <w:r>
              <w:rPr>
                <w:rStyle w:val="IndexLink"/>
                <w:rtl w:val="true"/>
              </w:rPr>
              <w:t>:</w:t>
            </w:r>
            <w:r>
              <w:rPr>
                <w:rStyle w:val="IndexLink"/>
                <w:rtl w:val="true"/>
              </w:rPr>
              <w:t>مصرف هذه الكفّارة مصرف سائر الكفّارات،</w:t>
            </w:r>
            <w:r>
              <w:rPr>
                <w:rStyle w:val="IndexLink"/>
                <w:rtl w:val="true"/>
              </w:rPr>
              <w:tab/>
            </w:r>
            <w:r>
              <w:rPr>
                <w:rStyle w:val="IndexLink"/>
              </w:rPr>
              <w:t>409</w:t>
            </w:r>
          </w:hyperlink>
        </w:p>
        <w:p>
          <w:pPr>
            <w:pStyle w:val="Contents6"/>
            <w:tabs>
              <w:tab w:val="clear" w:pos="7609"/>
              <w:tab w:val="right" w:pos="9026" w:leader="dot"/>
            </w:tabs>
            <w:rPr/>
          </w:pPr>
          <w:hyperlink w:anchor="__RefHeading___Toc796101_222507752">
            <w:r>
              <w:rPr>
                <w:webHidden/>
                <w:rStyle w:val="IndexLink"/>
                <w:rtl w:val="true"/>
              </w:rPr>
              <w:t>السّابع عشر</w:t>
            </w:r>
            <w:r>
              <w:rPr>
                <w:rStyle w:val="IndexLink"/>
                <w:rtl w:val="true"/>
              </w:rPr>
              <w:t>:</w:t>
            </w:r>
            <w:r>
              <w:rPr>
                <w:rStyle w:val="IndexLink"/>
                <w:rtl w:val="true"/>
              </w:rPr>
              <w:t>وطء المستحاضة مباح</w:t>
            </w:r>
            <w:r>
              <w:rPr>
                <w:rStyle w:val="IndexLink"/>
                <w:rtl w:val="true"/>
              </w:rPr>
              <w:tab/>
            </w:r>
            <w:r>
              <w:rPr>
                <w:rStyle w:val="IndexLink"/>
              </w:rPr>
              <w:t>409</w:t>
            </w:r>
          </w:hyperlink>
        </w:p>
        <w:p>
          <w:pPr>
            <w:pStyle w:val="Contents6"/>
            <w:tabs>
              <w:tab w:val="clear" w:pos="7609"/>
              <w:tab w:val="right" w:pos="9026" w:leader="dot"/>
            </w:tabs>
            <w:rPr/>
          </w:pPr>
          <w:hyperlink w:anchor="__RefHeading___Toc796103_222507752">
            <w:r>
              <w:rPr>
                <w:webHidden/>
                <w:rStyle w:val="IndexLink"/>
                <w:rtl w:val="true"/>
              </w:rPr>
              <w:t>مسألة</w:t>
            </w:r>
            <w:r>
              <w:rPr>
                <w:rStyle w:val="IndexLink"/>
                <w:rtl w:val="true"/>
              </w:rPr>
              <w:t>:</w:t>
            </w:r>
            <w:r>
              <w:rPr>
                <w:rStyle w:val="IndexLink"/>
                <w:rtl w:val="true"/>
              </w:rPr>
              <w:t>و لو انقطع دمها حلّ وطؤها قبل الغسل</w:t>
            </w:r>
            <w:r>
              <w:rPr>
                <w:rStyle w:val="IndexLink"/>
                <w:rtl w:val="true"/>
              </w:rPr>
              <w:t>.</w:t>
              <w:tab/>
            </w:r>
            <w:r>
              <w:rPr>
                <w:rStyle w:val="IndexLink"/>
              </w:rPr>
              <w:t>409</w:t>
            </w:r>
          </w:hyperlink>
        </w:p>
        <w:p>
          <w:pPr>
            <w:pStyle w:val="Contents6"/>
            <w:tabs>
              <w:tab w:val="clear" w:pos="7609"/>
              <w:tab w:val="right" w:pos="9026" w:leader="dot"/>
            </w:tabs>
            <w:rPr/>
          </w:pPr>
          <w:hyperlink w:anchor="__RefHeading___Toc796105_222507752">
            <w:r>
              <w:rPr>
                <w:webHidden/>
                <w:rStyle w:val="IndexLink"/>
                <w:rtl w:val="true"/>
              </w:rPr>
              <w:t>فروع</w:t>
            </w:r>
            <w:r>
              <w:rPr>
                <w:rStyle w:val="IndexLink"/>
                <w:rtl w:val="true"/>
              </w:rPr>
              <w:t>:</w:t>
              <w:tab/>
            </w:r>
            <w:r>
              <w:rPr>
                <w:rStyle w:val="IndexLink"/>
              </w:rPr>
              <w:t>413</w:t>
            </w:r>
          </w:hyperlink>
        </w:p>
        <w:p>
          <w:pPr>
            <w:pStyle w:val="Contents6"/>
            <w:tabs>
              <w:tab w:val="clear" w:pos="7609"/>
              <w:tab w:val="right" w:pos="9026" w:leader="dot"/>
            </w:tabs>
            <w:rPr/>
          </w:pPr>
          <w:hyperlink w:anchor="__RefHeading___Toc796107_222507752">
            <w:r>
              <w:rPr>
                <w:webHidden/>
                <w:rStyle w:val="IndexLink"/>
                <w:rtl w:val="true"/>
              </w:rPr>
              <w:t>الأوّل</w:t>
            </w:r>
            <w:r>
              <w:rPr>
                <w:rStyle w:val="IndexLink"/>
                <w:rtl w:val="true"/>
              </w:rPr>
              <w:t>:</w:t>
            </w:r>
            <w:r>
              <w:rPr>
                <w:rStyle w:val="IndexLink"/>
                <w:rtl w:val="true"/>
              </w:rPr>
              <w:t>لو كانت عادتها دون العشرة فانقطع عليها،جاز للزّوج وطؤها</w:t>
            </w:r>
            <w:r>
              <w:rPr>
                <w:rStyle w:val="IndexLink"/>
                <w:rtl w:val="true"/>
              </w:rPr>
              <w:t>.</w:t>
              <w:tab/>
            </w:r>
            <w:r>
              <w:rPr>
                <w:rStyle w:val="IndexLink"/>
              </w:rPr>
              <w:t>413</w:t>
            </w:r>
          </w:hyperlink>
        </w:p>
        <w:p>
          <w:pPr>
            <w:pStyle w:val="Contents6"/>
            <w:tabs>
              <w:tab w:val="clear" w:pos="7609"/>
              <w:tab w:val="right" w:pos="9026" w:leader="dot"/>
            </w:tabs>
            <w:rPr/>
          </w:pPr>
          <w:hyperlink w:anchor="__RefHeading___Toc796109_222507752">
            <w:r>
              <w:rPr>
                <w:webHidden/>
                <w:rStyle w:val="IndexLink"/>
                <w:rtl w:val="true"/>
              </w:rPr>
              <w:t>الثّاني</w:t>
            </w:r>
            <w:r>
              <w:rPr>
                <w:rStyle w:val="IndexLink"/>
                <w:rtl w:val="true"/>
              </w:rPr>
              <w:t>:</w:t>
            </w:r>
            <w:r>
              <w:rPr>
                <w:rStyle w:val="IndexLink"/>
                <w:rtl w:val="true"/>
              </w:rPr>
              <w:t>يكره للزّوج وطؤها قبل الغسل</w:t>
            </w:r>
            <w:r>
              <w:rPr>
                <w:rStyle w:val="IndexLink"/>
                <w:rtl w:val="true"/>
              </w:rPr>
              <w:tab/>
            </w:r>
            <w:r>
              <w:rPr>
                <w:rStyle w:val="IndexLink"/>
              </w:rPr>
              <w:t>415</w:t>
            </w:r>
          </w:hyperlink>
        </w:p>
        <w:p>
          <w:pPr>
            <w:pStyle w:val="Contents6"/>
            <w:tabs>
              <w:tab w:val="clear" w:pos="7609"/>
              <w:tab w:val="right" w:pos="9026" w:leader="dot"/>
            </w:tabs>
            <w:rPr/>
          </w:pPr>
          <w:hyperlink w:anchor="__RefHeading___Toc796111_222507752">
            <w:r>
              <w:rPr>
                <w:webHidden/>
                <w:rStyle w:val="IndexLink"/>
                <w:rtl w:val="true"/>
              </w:rPr>
              <w:t>الثّالث</w:t>
            </w:r>
            <w:r>
              <w:rPr>
                <w:rStyle w:val="IndexLink"/>
                <w:rtl w:val="true"/>
              </w:rPr>
              <w:t>:</w:t>
            </w:r>
            <w:r>
              <w:rPr>
                <w:rStyle w:val="IndexLink"/>
                <w:rtl w:val="true"/>
              </w:rPr>
              <w:t>لو غلبته الشّهوة أمرها بغسل فرجها</w:t>
            </w:r>
            <w:r>
              <w:rPr>
                <w:rStyle w:val="IndexLink"/>
                <w:rtl w:val="true"/>
              </w:rPr>
              <w:tab/>
            </w:r>
            <w:r>
              <w:rPr>
                <w:rStyle w:val="IndexLink"/>
              </w:rPr>
              <w:t>415</w:t>
            </w:r>
          </w:hyperlink>
        </w:p>
        <w:p>
          <w:pPr>
            <w:pStyle w:val="Contents6"/>
            <w:tabs>
              <w:tab w:val="clear" w:pos="7609"/>
              <w:tab w:val="right" w:pos="9026" w:leader="dot"/>
            </w:tabs>
            <w:rPr/>
          </w:pPr>
          <w:hyperlink w:anchor="__RefHeading___Toc796113_222507752">
            <w:r>
              <w:rPr>
                <w:webHidden/>
                <w:rStyle w:val="IndexLink"/>
                <w:rtl w:val="true"/>
              </w:rPr>
              <w:t>مسألة</w:t>
            </w:r>
            <w:r>
              <w:rPr>
                <w:rStyle w:val="IndexLink"/>
                <w:rtl w:val="true"/>
              </w:rPr>
              <w:t>:</w:t>
            </w:r>
            <w:r>
              <w:rPr>
                <w:rStyle w:val="IndexLink"/>
                <w:rtl w:val="true"/>
              </w:rPr>
              <w:t>و عرق الحائض طاهر إذا لم يلاق النّجاسة،</w:t>
            </w:r>
            <w:r>
              <w:rPr>
                <w:rStyle w:val="IndexLink"/>
                <w:rtl w:val="true"/>
              </w:rPr>
              <w:tab/>
            </w:r>
            <w:r>
              <w:rPr>
                <w:rStyle w:val="IndexLink"/>
              </w:rPr>
              <w:t>415</w:t>
            </w:r>
          </w:hyperlink>
        </w:p>
        <w:p>
          <w:pPr>
            <w:pStyle w:val="Contents6"/>
            <w:tabs>
              <w:tab w:val="clear" w:pos="7609"/>
              <w:tab w:val="right" w:pos="9026" w:leader="dot"/>
            </w:tabs>
            <w:rPr/>
          </w:pPr>
          <w:hyperlink w:anchor="__RefHeading___Toc796115_222507752">
            <w:r>
              <w:rPr>
                <w:webHidden/>
                <w:rStyle w:val="IndexLink"/>
                <w:rtl w:val="true"/>
              </w:rPr>
              <w:t>فصول في هذا الباب</w:t>
            </w:r>
            <w:r>
              <w:rPr>
                <w:rStyle w:val="IndexLink"/>
                <w:rtl w:val="true"/>
              </w:rPr>
              <w:t>:</w:t>
              <w:tab/>
            </w:r>
            <w:r>
              <w:rPr>
                <w:rStyle w:val="IndexLink"/>
              </w:rPr>
              <w:t>416</w:t>
            </w:r>
          </w:hyperlink>
        </w:p>
        <w:p>
          <w:pPr>
            <w:pStyle w:val="Contents6"/>
            <w:tabs>
              <w:tab w:val="clear" w:pos="7609"/>
              <w:tab w:val="right" w:pos="9026" w:leader="dot"/>
            </w:tabs>
            <w:rPr/>
          </w:pPr>
          <w:hyperlink w:anchor="__RefHeading___Toc796117_222507752">
            <w:r>
              <w:rPr>
                <w:webHidden/>
                <w:rStyle w:val="IndexLink"/>
                <w:rtl w:val="true"/>
              </w:rPr>
              <w:t>فصل</w:t>
            </w:r>
            <w:r>
              <w:rPr>
                <w:rStyle w:val="IndexLink"/>
                <w:rtl w:val="true"/>
              </w:rPr>
              <w:t>:</w:t>
            </w:r>
            <w:r>
              <w:rPr>
                <w:rStyle w:val="IndexLink"/>
                <w:rtl w:val="true"/>
              </w:rPr>
              <w:t>و لا ينبغي أن تشرب المرأة دواءا إذا احتبس دمها</w:t>
            </w:r>
            <w:r>
              <w:rPr>
                <w:rStyle w:val="IndexLink"/>
                <w:rtl w:val="true"/>
              </w:rPr>
              <w:tab/>
            </w:r>
            <w:r>
              <w:rPr>
                <w:rStyle w:val="IndexLink"/>
              </w:rPr>
              <w:t>416</w:t>
            </w:r>
          </w:hyperlink>
        </w:p>
        <w:p>
          <w:pPr>
            <w:pStyle w:val="Contents6"/>
            <w:tabs>
              <w:tab w:val="clear" w:pos="7609"/>
              <w:tab w:val="right" w:pos="9026" w:leader="dot"/>
            </w:tabs>
            <w:rPr/>
          </w:pPr>
          <w:hyperlink w:anchor="__RefHeading___Toc796119_222507752">
            <w:r>
              <w:rPr>
                <w:webHidden/>
                <w:rStyle w:val="IndexLink"/>
                <w:rtl w:val="true"/>
              </w:rPr>
              <w:t>فصل</w:t>
            </w:r>
            <w:r>
              <w:rPr>
                <w:rStyle w:val="IndexLink"/>
                <w:rtl w:val="true"/>
              </w:rPr>
              <w:t>:</w:t>
            </w:r>
            <w:r>
              <w:rPr>
                <w:rStyle w:val="IndexLink"/>
                <w:rtl w:val="true"/>
              </w:rPr>
              <w:t>و أغلب ما يجيء الحيض في كلّ شهر مرّة</w:t>
            </w:r>
            <w:r>
              <w:rPr>
                <w:rStyle w:val="IndexLink"/>
                <w:rtl w:val="true"/>
              </w:rPr>
              <w:t>.</w:t>
              <w:tab/>
            </w:r>
            <w:r>
              <w:rPr>
                <w:rStyle w:val="IndexLink"/>
              </w:rPr>
              <w:t>416</w:t>
            </w:r>
          </w:hyperlink>
        </w:p>
        <w:p>
          <w:pPr>
            <w:pStyle w:val="Contents6"/>
            <w:tabs>
              <w:tab w:val="clear" w:pos="7609"/>
              <w:tab w:val="right" w:pos="9026" w:leader="dot"/>
            </w:tabs>
            <w:rPr/>
          </w:pPr>
          <w:hyperlink w:anchor="__RefHeading___Toc796121_222507752">
            <w:r>
              <w:rPr>
                <w:webHidden/>
                <w:rStyle w:val="IndexLink"/>
                <w:rtl w:val="true"/>
              </w:rPr>
              <w:t>فصل</w:t>
            </w:r>
            <w:r>
              <w:rPr>
                <w:rStyle w:val="IndexLink"/>
                <w:rtl w:val="true"/>
              </w:rPr>
              <w:t>:</w:t>
            </w:r>
            <w:r>
              <w:rPr>
                <w:rStyle w:val="IndexLink"/>
                <w:rtl w:val="true"/>
              </w:rPr>
              <w:t>النّاسية للعدد و الوقت ليس لها حيض و لا طهر</w:t>
            </w:r>
            <w:r>
              <w:rPr>
                <w:rStyle w:val="IndexLink"/>
                <w:rtl w:val="true"/>
              </w:rPr>
              <w:tab/>
            </w:r>
            <w:r>
              <w:rPr>
                <w:rStyle w:val="IndexLink"/>
              </w:rPr>
              <w:t>418</w:t>
            </w:r>
          </w:hyperlink>
        </w:p>
        <w:p>
          <w:pPr>
            <w:pStyle w:val="Contents6"/>
            <w:tabs>
              <w:tab w:val="clear" w:pos="7609"/>
              <w:tab w:val="right" w:pos="9026" w:leader="dot"/>
            </w:tabs>
            <w:rPr/>
          </w:pPr>
          <w:hyperlink w:anchor="__RefHeading___Toc796123_222507752">
            <w:r>
              <w:rPr>
                <w:webHidden/>
                <w:rStyle w:val="IndexLink"/>
                <w:rtl w:val="true"/>
              </w:rPr>
              <w:t>فصل</w:t>
            </w:r>
            <w:r>
              <w:rPr>
                <w:rStyle w:val="IndexLink"/>
                <w:rtl w:val="true"/>
              </w:rPr>
              <w:t>:</w:t>
            </w:r>
            <w:r>
              <w:rPr>
                <w:rStyle w:val="IndexLink"/>
                <w:rtl w:val="true"/>
              </w:rPr>
              <w:t>قال ابن بابويه</w:t>
            </w:r>
            <w:r>
              <w:rPr>
                <w:rStyle w:val="IndexLink"/>
                <w:rtl w:val="true"/>
              </w:rPr>
              <w:t>:</w:t>
            </w:r>
            <w:r>
              <w:rPr>
                <w:rStyle w:val="IndexLink"/>
                <w:rtl w:val="true"/>
              </w:rPr>
              <w:t>و لا يجوز للحائض أن تختضب</w:t>
            </w:r>
            <w:r>
              <w:rPr>
                <w:rStyle w:val="IndexLink"/>
                <w:rtl w:val="true"/>
              </w:rPr>
              <w:tab/>
            </w:r>
            <w:r>
              <w:rPr>
                <w:rStyle w:val="IndexLink"/>
              </w:rPr>
              <w:t>418</w:t>
            </w:r>
          </w:hyperlink>
        </w:p>
        <w:p>
          <w:pPr>
            <w:pStyle w:val="Contents6"/>
            <w:tabs>
              <w:tab w:val="clear" w:pos="7609"/>
              <w:tab w:val="right" w:pos="9026" w:leader="dot"/>
            </w:tabs>
            <w:rPr/>
          </w:pPr>
          <w:hyperlink w:anchor="__RefHeading___Toc796125_222507752">
            <w:r>
              <w:rPr>
                <w:webHidden/>
                <w:rStyle w:val="IndexLink"/>
                <w:rtl w:val="true"/>
              </w:rPr>
              <w:t>فصل</w:t>
            </w:r>
            <w:r>
              <w:rPr>
                <w:rStyle w:val="IndexLink"/>
                <w:rtl w:val="true"/>
              </w:rPr>
              <w:t>:</w:t>
            </w:r>
            <w:r>
              <w:rPr>
                <w:rStyle w:val="IndexLink"/>
                <w:rtl w:val="true"/>
              </w:rPr>
              <w:t>و لو شكّت المرأة في حال الصّلاة هل حاضت أم لا؟</w:t>
            </w:r>
            <w:r>
              <w:rPr>
                <w:rStyle w:val="IndexLink"/>
                <w:rtl w:val="true"/>
              </w:rPr>
              <w:tab/>
            </w:r>
            <w:r>
              <w:rPr>
                <w:rStyle w:val="IndexLink"/>
              </w:rPr>
              <w:t>419</w:t>
            </w:r>
          </w:hyperlink>
        </w:p>
        <w:p>
          <w:pPr>
            <w:pStyle w:val="Contents6"/>
            <w:tabs>
              <w:tab w:val="clear" w:pos="7609"/>
              <w:tab w:val="right" w:pos="9026" w:leader="dot"/>
            </w:tabs>
            <w:rPr/>
          </w:pPr>
          <w:hyperlink w:anchor="__RefHeading___Toc796127_222507752">
            <w:r>
              <w:rPr>
                <w:webHidden/>
                <w:rStyle w:val="IndexLink"/>
                <w:rtl w:val="true"/>
              </w:rPr>
              <w:t>فصل</w:t>
            </w:r>
            <w:r>
              <w:rPr>
                <w:rStyle w:val="IndexLink"/>
                <w:rtl w:val="true"/>
              </w:rPr>
              <w:t>:</w:t>
            </w:r>
            <w:r>
              <w:rPr>
                <w:rStyle w:val="IndexLink"/>
                <w:rtl w:val="true"/>
              </w:rPr>
              <w:t>و إذا كان على الحائض جنابة فليس عليها أن تغتسل حتّى ينقطع حيضها</w:t>
            </w:r>
            <w:r>
              <w:rPr>
                <w:rStyle w:val="IndexLink"/>
                <w:rtl w:val="true"/>
              </w:rPr>
              <w:t>.</w:t>
              <w:tab/>
            </w:r>
            <w:r>
              <w:rPr>
                <w:rStyle w:val="IndexLink"/>
              </w:rPr>
              <w:t>420</w:t>
            </w:r>
          </w:hyperlink>
        </w:p>
        <w:p>
          <w:pPr>
            <w:pStyle w:val="Contents6"/>
            <w:tabs>
              <w:tab w:val="clear" w:pos="7609"/>
              <w:tab w:val="right" w:pos="9026" w:leader="dot"/>
            </w:tabs>
            <w:rPr/>
          </w:pPr>
          <w:hyperlink w:anchor="__RefHeading___Toc796129_222507752">
            <w:r>
              <w:rPr>
                <w:webHidden/>
                <w:rStyle w:val="IndexLink"/>
                <w:rtl w:val="true"/>
              </w:rPr>
              <w:t>تذنيب</w:t>
            </w:r>
            <w:r>
              <w:rPr>
                <w:rStyle w:val="IndexLink"/>
                <w:rtl w:val="true"/>
              </w:rPr>
              <w:t>:</w:t>
            </w:r>
            <w:r>
              <w:rPr>
                <w:rStyle w:val="IndexLink"/>
                <w:rtl w:val="true"/>
              </w:rPr>
              <w:t>لو اغتسلت للجنابة في زمن حيضها لم ترتفع جنابتها</w:t>
            </w:r>
            <w:r>
              <w:rPr>
                <w:rStyle w:val="IndexLink"/>
                <w:rtl w:val="true"/>
              </w:rPr>
              <w:tab/>
            </w:r>
            <w:r>
              <w:rPr>
                <w:rStyle w:val="IndexLink"/>
              </w:rPr>
              <w:t>420</w:t>
            </w:r>
          </w:hyperlink>
        </w:p>
        <w:p>
          <w:pPr>
            <w:pStyle w:val="Contents6"/>
            <w:tabs>
              <w:tab w:val="clear" w:pos="7609"/>
              <w:tab w:val="right" w:pos="9026" w:leader="dot"/>
            </w:tabs>
            <w:rPr/>
          </w:pPr>
          <w:hyperlink w:anchor="__RefHeading___Toc796131_222507752">
            <w:r>
              <w:rPr>
                <w:webHidden/>
                <w:rStyle w:val="IndexLink"/>
                <w:rtl w:val="true"/>
              </w:rPr>
              <w:t>فصل</w:t>
            </w:r>
            <w:r>
              <w:rPr>
                <w:rStyle w:val="IndexLink"/>
                <w:rtl w:val="true"/>
              </w:rPr>
              <w:t>:</w:t>
            </w:r>
            <w:r>
              <w:rPr>
                <w:rStyle w:val="IndexLink"/>
                <w:rtl w:val="true"/>
              </w:rPr>
              <w:t>قد بيّنّا الاختلاف في الاكتفاء بغسل الحيض عن الطّهارة الصّغرى و عدمه ،</w:t>
            </w:r>
            <w:r>
              <w:rPr>
                <w:rStyle w:val="IndexLink"/>
                <w:rtl w:val="true"/>
              </w:rPr>
              <w:tab/>
            </w:r>
            <w:r>
              <w:rPr>
                <w:rStyle w:val="IndexLink"/>
              </w:rPr>
              <w:t>422</w:t>
            </w:r>
          </w:hyperlink>
        </w:p>
        <w:p>
          <w:pPr>
            <w:pStyle w:val="Contents6"/>
            <w:tabs>
              <w:tab w:val="clear" w:pos="7609"/>
              <w:tab w:val="right" w:pos="9026" w:leader="dot"/>
            </w:tabs>
            <w:rPr/>
          </w:pPr>
          <w:hyperlink w:anchor="__RefHeading___Toc796133_222507752">
            <w:r>
              <w:rPr>
                <w:webHidden/>
                <w:rStyle w:val="IndexLink"/>
                <w:rtl w:val="true"/>
              </w:rPr>
              <w:t>فصل</w:t>
            </w:r>
            <w:r>
              <w:rPr>
                <w:rStyle w:val="IndexLink"/>
                <w:rtl w:val="true"/>
              </w:rPr>
              <w:t>:</w:t>
            </w:r>
            <w:r>
              <w:rPr>
                <w:rStyle w:val="IndexLink"/>
                <w:rtl w:val="true"/>
              </w:rPr>
              <w:t>و يستحبّ لها الغسل للإحرام،و الجمعة،و دخول الحرم،</w:t>
            </w:r>
            <w:r>
              <w:rPr>
                <w:rStyle w:val="IndexLink"/>
                <w:rtl w:val="true"/>
              </w:rPr>
              <w:tab/>
            </w:r>
            <w:r>
              <w:rPr>
                <w:rStyle w:val="IndexLink"/>
              </w:rPr>
              <w:t>422</w:t>
            </w:r>
          </w:hyperlink>
        </w:p>
        <w:p>
          <w:pPr>
            <w:pStyle w:val="Contents6"/>
            <w:tabs>
              <w:tab w:val="clear" w:pos="7609"/>
              <w:tab w:val="right" w:pos="9026" w:leader="dot"/>
            </w:tabs>
            <w:rPr/>
          </w:pPr>
          <w:hyperlink w:anchor="__RefHeading___Toc796135_222507752">
            <w:r>
              <w:rPr>
                <w:webHidden/>
                <w:rStyle w:val="IndexLink"/>
                <w:rtl w:val="true"/>
              </w:rPr>
              <w:t>فصل</w:t>
            </w:r>
            <w:r>
              <w:rPr>
                <w:rStyle w:val="IndexLink"/>
                <w:rtl w:val="true"/>
              </w:rPr>
              <w:t>:</w:t>
            </w:r>
            <w:r>
              <w:rPr>
                <w:rStyle w:val="IndexLink"/>
                <w:rtl w:val="true"/>
              </w:rPr>
              <w:t>و روى ابن بابويه،عن النّبيّ صلّى اللّه عليه و آله،</w:t>
            </w:r>
            <w:r>
              <w:rPr>
                <w:rStyle w:val="IndexLink"/>
                <w:rtl w:val="true"/>
              </w:rPr>
              <w:tab/>
            </w:r>
            <w:r>
              <w:rPr>
                <w:rStyle w:val="IndexLink"/>
              </w:rPr>
              <w:t>423</w:t>
            </w:r>
          </w:hyperlink>
        </w:p>
        <w:p>
          <w:pPr>
            <w:pStyle w:val="Contents6"/>
            <w:tabs>
              <w:tab w:val="clear" w:pos="7609"/>
              <w:tab w:val="right" w:pos="9026" w:leader="dot"/>
            </w:tabs>
            <w:rPr/>
          </w:pPr>
          <w:hyperlink w:anchor="__RefHeading___Toc796137_222507752">
            <w:r>
              <w:rPr>
                <w:webHidden/>
                <w:rStyle w:val="IndexLink"/>
                <w:rtl w:val="true"/>
              </w:rPr>
              <w:t>فصل</w:t>
            </w:r>
            <w:r>
              <w:rPr>
                <w:rStyle w:val="IndexLink"/>
                <w:rtl w:val="true"/>
              </w:rPr>
              <w:t>:</w:t>
            </w:r>
            <w:r>
              <w:rPr>
                <w:rStyle w:val="IndexLink"/>
                <w:rtl w:val="true"/>
              </w:rPr>
              <w:t>و لا بأس أن تغتسل المرأة و عليها الزّعفران،</w:t>
            </w:r>
            <w:r>
              <w:rPr>
                <w:rStyle w:val="IndexLink"/>
                <w:rtl w:val="true"/>
              </w:rPr>
              <w:tab/>
            </w:r>
            <w:r>
              <w:rPr>
                <w:rStyle w:val="IndexLink"/>
              </w:rPr>
              <w:t>423</w:t>
            </w:r>
          </w:hyperlink>
        </w:p>
        <w:p>
          <w:pPr>
            <w:pStyle w:val="Contents6"/>
            <w:tabs>
              <w:tab w:val="clear" w:pos="7609"/>
              <w:tab w:val="right" w:pos="9026" w:leader="dot"/>
            </w:tabs>
            <w:rPr/>
          </w:pPr>
          <w:hyperlink w:anchor="__RefHeading___Toc796139_222507752">
            <w:r>
              <w:rPr>
                <w:webHidden/>
                <w:rStyle w:val="IndexLink"/>
                <w:rtl w:val="true"/>
              </w:rPr>
              <w:t>فصل</w:t>
            </w:r>
            <w:r>
              <w:rPr>
                <w:rStyle w:val="IndexLink"/>
                <w:rtl w:val="true"/>
              </w:rPr>
              <w:t>:</w:t>
            </w:r>
            <w:r>
              <w:rPr>
                <w:rStyle w:val="IndexLink"/>
                <w:rtl w:val="true"/>
              </w:rPr>
              <w:t>بدن الحائض و الجنب و النّفساء ليس بنجس،</w:t>
            </w:r>
            <w:r>
              <w:rPr>
                <w:rStyle w:val="IndexLink"/>
                <w:rtl w:val="true"/>
              </w:rPr>
              <w:tab/>
            </w:r>
            <w:r>
              <w:rPr>
                <w:rStyle w:val="IndexLink"/>
              </w:rPr>
              <w:t>423</w:t>
            </w:r>
          </w:hyperlink>
        </w:p>
        <w:p>
          <w:pPr>
            <w:pStyle w:val="Contents4"/>
            <w:tabs>
              <w:tab w:val="clear" w:pos="8176"/>
              <w:tab w:val="right" w:pos="9026" w:leader="dot"/>
            </w:tabs>
            <w:rPr/>
          </w:pPr>
          <w:hyperlink w:anchor="__RefHeading___Toc796141_222507752">
            <w:r>
              <w:rPr>
                <w:webHidden/>
                <w:rStyle w:val="IndexLink"/>
                <w:rtl w:val="true"/>
              </w:rPr>
              <w:t>الفصل الثّالث</w:t>
            </w:r>
            <w:r>
              <w:rPr>
                <w:rStyle w:val="IndexLink"/>
                <w:rtl w:val="true"/>
              </w:rPr>
              <w:t>:</w:t>
            </w:r>
            <w:r>
              <w:rPr>
                <w:rStyle w:val="IndexLink"/>
                <w:rtl w:val="true"/>
              </w:rPr>
              <w:t>في الاستحاضة</w:t>
            </w:r>
            <w:r>
              <w:rPr>
                <w:rStyle w:val="IndexLink"/>
                <w:rtl w:val="true"/>
              </w:rPr>
              <w:tab/>
            </w:r>
            <w:r>
              <w:rPr>
                <w:rStyle w:val="IndexLink"/>
              </w:rPr>
              <w:t>424</w:t>
            </w:r>
          </w:hyperlink>
        </w:p>
        <w:p>
          <w:pPr>
            <w:pStyle w:val="Contents5"/>
            <w:tabs>
              <w:tab w:val="clear" w:pos="7892"/>
              <w:tab w:val="right" w:pos="9026" w:leader="dot"/>
            </w:tabs>
            <w:rPr/>
          </w:pPr>
          <w:hyperlink w:anchor="__RefHeading___Toc796143_222507752">
            <w:r>
              <w:rPr>
                <w:webHidden/>
                <w:rStyle w:val="IndexLink"/>
                <w:rtl w:val="true"/>
              </w:rPr>
              <w:t>اشارة</w:t>
            </w:r>
            <w:r>
              <w:rPr>
                <w:rStyle w:val="IndexLink"/>
                <w:rtl w:val="true"/>
              </w:rPr>
              <w:tab/>
            </w:r>
            <w:r>
              <w:rPr>
                <w:rStyle w:val="IndexLink"/>
              </w:rPr>
              <w:t>424</w:t>
            </w:r>
          </w:hyperlink>
        </w:p>
        <w:p>
          <w:pPr>
            <w:pStyle w:val="Contents5"/>
            <w:tabs>
              <w:tab w:val="clear" w:pos="7892"/>
              <w:tab w:val="right" w:pos="9026" w:leader="dot"/>
            </w:tabs>
            <w:rPr/>
          </w:pPr>
          <w:hyperlink w:anchor="__RefHeading___Toc796145_222507752">
            <w:r>
              <w:rPr>
                <w:webHidden/>
                <w:rStyle w:val="IndexLink"/>
                <w:rtl w:val="true"/>
              </w:rPr>
              <w:t>مسألة</w:t>
            </w:r>
            <w:r>
              <w:rPr>
                <w:rStyle w:val="IndexLink"/>
                <w:rtl w:val="true"/>
              </w:rPr>
              <w:t>:</w:t>
            </w:r>
            <w:r>
              <w:rPr>
                <w:rStyle w:val="IndexLink"/>
                <w:rtl w:val="true"/>
              </w:rPr>
              <w:t>و يجب على المستحاضة أن تعتبر الدّم في قلّته و كثرته و توسّطه،</w:t>
            </w:r>
            <w:r>
              <w:rPr>
                <w:rStyle w:val="IndexLink"/>
                <w:rtl w:val="true"/>
              </w:rPr>
              <w:tab/>
            </w:r>
            <w:r>
              <w:rPr>
                <w:rStyle w:val="IndexLink"/>
              </w:rPr>
              <w:t>424</w:t>
            </w:r>
          </w:hyperlink>
        </w:p>
        <w:p>
          <w:pPr>
            <w:pStyle w:val="Contents6"/>
            <w:tabs>
              <w:tab w:val="clear" w:pos="7609"/>
              <w:tab w:val="right" w:pos="9026" w:leader="dot"/>
            </w:tabs>
            <w:rPr/>
          </w:pPr>
          <w:hyperlink w:anchor="__RefHeading___Toc796147_222507752">
            <w:r>
              <w:rPr>
                <w:webHidden/>
                <w:rStyle w:val="IndexLink"/>
                <w:rtl w:val="true"/>
              </w:rPr>
              <w:t>اشارة</w:t>
            </w:r>
            <w:r>
              <w:rPr>
                <w:rStyle w:val="IndexLink"/>
                <w:rtl w:val="true"/>
              </w:rPr>
              <w:tab/>
            </w:r>
            <w:r>
              <w:rPr>
                <w:rStyle w:val="IndexLink"/>
              </w:rPr>
              <w:t>424</w:t>
            </w:r>
          </w:hyperlink>
        </w:p>
        <w:p>
          <w:pPr>
            <w:pStyle w:val="Contents6"/>
            <w:tabs>
              <w:tab w:val="clear" w:pos="7609"/>
              <w:tab w:val="right" w:pos="9026" w:leader="dot"/>
            </w:tabs>
            <w:rPr/>
          </w:pPr>
          <w:hyperlink w:anchor="__RefHeading___Toc796149_222507752">
            <w:r>
              <w:rPr>
                <w:webHidden/>
                <w:rStyle w:val="IndexLink"/>
                <w:rtl w:val="true"/>
              </w:rPr>
              <w:t>فروع</w:t>
            </w:r>
            <w:r>
              <w:rPr>
                <w:rStyle w:val="IndexLink"/>
                <w:rtl w:val="true"/>
              </w:rPr>
              <w:t>:</w:t>
              <w:tab/>
            </w:r>
            <w:r>
              <w:rPr>
                <w:rStyle w:val="IndexLink"/>
              </w:rPr>
              <w:t>429</w:t>
            </w:r>
          </w:hyperlink>
        </w:p>
        <w:p>
          <w:pPr>
            <w:pStyle w:val="Contents6"/>
            <w:tabs>
              <w:tab w:val="clear" w:pos="7609"/>
              <w:tab w:val="right" w:pos="9026" w:leader="dot"/>
            </w:tabs>
            <w:rPr/>
          </w:pPr>
          <w:hyperlink w:anchor="__RefHeading___Toc796151_222507752">
            <w:r>
              <w:rPr>
                <w:webHidden/>
                <w:rStyle w:val="IndexLink"/>
                <w:rtl w:val="true"/>
              </w:rPr>
              <w:t>الأوّل</w:t>
            </w:r>
            <w:r>
              <w:rPr>
                <w:rStyle w:val="IndexLink"/>
                <w:rtl w:val="true"/>
              </w:rPr>
              <w:t>:</w:t>
            </w:r>
            <w:r>
              <w:rPr>
                <w:rStyle w:val="IndexLink"/>
                <w:rtl w:val="true"/>
              </w:rPr>
              <w:t>قال المفيد رحمه اللّه</w:t>
            </w:r>
            <w:r>
              <w:rPr>
                <w:rStyle w:val="IndexLink"/>
                <w:rtl w:val="true"/>
              </w:rPr>
              <w:t>:</w:t>
            </w:r>
            <w:r>
              <w:rPr>
                <w:rStyle w:val="IndexLink"/>
                <w:rtl w:val="true"/>
              </w:rPr>
              <w:t>إذا كان الدّم كثيرا صلّت بوضوئها و غسلها الظّهر</w:t>
            </w:r>
            <w:r>
              <w:rPr>
                <w:rStyle w:val="IndexLink"/>
                <w:rtl w:val="true"/>
              </w:rPr>
              <w:tab/>
            </w:r>
            <w:r>
              <w:rPr>
                <w:rStyle w:val="IndexLink"/>
              </w:rPr>
              <w:t>429</w:t>
            </w:r>
          </w:hyperlink>
        </w:p>
        <w:p>
          <w:pPr>
            <w:pStyle w:val="Contents6"/>
            <w:tabs>
              <w:tab w:val="clear" w:pos="7609"/>
              <w:tab w:val="right" w:pos="9026" w:leader="dot"/>
            </w:tabs>
            <w:rPr/>
          </w:pPr>
          <w:hyperlink w:anchor="__RefHeading___Toc796153_222507752">
            <w:r>
              <w:rPr>
                <w:webHidden/>
                <w:rStyle w:val="IndexLink"/>
                <w:rtl w:val="true"/>
              </w:rPr>
              <w:t>الثّاني</w:t>
            </w:r>
            <w:r>
              <w:rPr>
                <w:rStyle w:val="IndexLink"/>
                <w:rtl w:val="true"/>
              </w:rPr>
              <w:t>:</w:t>
            </w:r>
            <w:r>
              <w:rPr>
                <w:rStyle w:val="IndexLink"/>
                <w:rtl w:val="true"/>
              </w:rPr>
              <w:t>حكم النّيّة هاهنا حكم نيّة الحيض</w:t>
            </w:r>
            <w:r>
              <w:rPr>
                <w:rStyle w:val="IndexLink"/>
                <w:rtl w:val="true"/>
              </w:rPr>
              <w:tab/>
            </w:r>
            <w:r>
              <w:rPr>
                <w:rStyle w:val="IndexLink"/>
              </w:rPr>
              <w:t>431</w:t>
            </w:r>
          </w:hyperlink>
        </w:p>
        <w:p>
          <w:pPr>
            <w:pStyle w:val="Contents6"/>
            <w:tabs>
              <w:tab w:val="clear" w:pos="7609"/>
              <w:tab w:val="right" w:pos="9026" w:leader="dot"/>
            </w:tabs>
            <w:rPr/>
          </w:pPr>
          <w:hyperlink w:anchor="__RefHeading___Toc796155_222507752">
            <w:r>
              <w:rPr>
                <w:webHidden/>
                <w:rStyle w:val="IndexLink"/>
                <w:rtl w:val="true"/>
              </w:rPr>
              <w:t>الثّالث</w:t>
            </w:r>
            <w:r>
              <w:rPr>
                <w:rStyle w:val="IndexLink"/>
                <w:rtl w:val="true"/>
              </w:rPr>
              <w:t>:</w:t>
            </w:r>
            <w:r>
              <w:rPr>
                <w:rStyle w:val="IndexLink"/>
                <w:rtl w:val="true"/>
              </w:rPr>
              <w:t>إذا فعلت هذه الأغسال صارت طاهرة،</w:t>
            </w:r>
            <w:r>
              <w:rPr>
                <w:rStyle w:val="IndexLink"/>
                <w:rtl w:val="true"/>
              </w:rPr>
              <w:tab/>
            </w:r>
            <w:r>
              <w:rPr>
                <w:rStyle w:val="IndexLink"/>
              </w:rPr>
              <w:t>431</w:t>
            </w:r>
          </w:hyperlink>
        </w:p>
        <w:p>
          <w:pPr>
            <w:pStyle w:val="Contents6"/>
            <w:tabs>
              <w:tab w:val="clear" w:pos="7609"/>
              <w:tab w:val="right" w:pos="9026" w:leader="dot"/>
            </w:tabs>
            <w:rPr/>
          </w:pPr>
          <w:hyperlink w:anchor="__RefHeading___Toc796157_222507752">
            <w:r>
              <w:rPr>
                <w:webHidden/>
                <w:rStyle w:val="IndexLink"/>
                <w:rtl w:val="true"/>
              </w:rPr>
              <w:t>الرّابع</w:t>
            </w:r>
            <w:r>
              <w:rPr>
                <w:rStyle w:val="IndexLink"/>
                <w:rtl w:val="true"/>
              </w:rPr>
              <w:t>:</w:t>
            </w:r>
            <w:r>
              <w:rPr>
                <w:rStyle w:val="IndexLink"/>
                <w:rtl w:val="true"/>
              </w:rPr>
              <w:t>قد بيّنّا انّ المستحاضة لا تجمع بين صلاتين بوضوء واحد</w:t>
            </w:r>
            <w:r>
              <w:rPr>
                <w:rStyle w:val="IndexLink"/>
                <w:rtl w:val="true"/>
              </w:rPr>
              <w:tab/>
            </w:r>
            <w:r>
              <w:rPr>
                <w:rStyle w:val="IndexLink"/>
              </w:rPr>
              <w:t>431</w:t>
            </w:r>
          </w:hyperlink>
        </w:p>
        <w:p>
          <w:pPr>
            <w:pStyle w:val="Contents6"/>
            <w:tabs>
              <w:tab w:val="clear" w:pos="7609"/>
              <w:tab w:val="right" w:pos="9026" w:leader="dot"/>
            </w:tabs>
            <w:rPr/>
          </w:pPr>
          <w:hyperlink w:anchor="__RefHeading___Toc796159_222507752">
            <w:r>
              <w:rPr>
                <w:webHidden/>
                <w:rStyle w:val="IndexLink"/>
                <w:rtl w:val="true"/>
              </w:rPr>
              <w:t>الخامس</w:t>
            </w:r>
            <w:r>
              <w:rPr>
                <w:rStyle w:val="IndexLink"/>
                <w:rtl w:val="true"/>
              </w:rPr>
              <w:t>:</w:t>
            </w:r>
            <w:r>
              <w:rPr>
                <w:rStyle w:val="IndexLink"/>
                <w:rtl w:val="true"/>
              </w:rPr>
              <w:t>انقطاع دم الاستحاضة ليس بموجب للغسل</w:t>
            </w:r>
            <w:r>
              <w:rPr>
                <w:rStyle w:val="IndexLink"/>
                <w:rtl w:val="true"/>
              </w:rPr>
              <w:tab/>
            </w:r>
            <w:r>
              <w:rPr>
                <w:rStyle w:val="IndexLink"/>
              </w:rPr>
              <w:t>432</w:t>
            </w:r>
          </w:hyperlink>
        </w:p>
        <w:p>
          <w:pPr>
            <w:pStyle w:val="Contents5"/>
            <w:tabs>
              <w:tab w:val="clear" w:pos="7892"/>
              <w:tab w:val="right" w:pos="9026" w:leader="dot"/>
            </w:tabs>
            <w:rPr/>
          </w:pPr>
          <w:hyperlink w:anchor="__RefHeading___Toc796161_222507752">
            <w:r>
              <w:rPr>
                <w:webHidden/>
                <w:rStyle w:val="IndexLink"/>
                <w:rtl w:val="true"/>
              </w:rPr>
              <w:t>مسألة</w:t>
            </w:r>
            <w:r>
              <w:rPr>
                <w:rStyle w:val="IndexLink"/>
                <w:rtl w:val="true"/>
              </w:rPr>
              <w:t>:</w:t>
            </w:r>
            <w:r>
              <w:rPr>
                <w:rStyle w:val="IndexLink"/>
                <w:rtl w:val="true"/>
              </w:rPr>
              <w:t>المستحاضة مع الأفعال يجوز وطؤها</w:t>
            </w:r>
            <w:r>
              <w:rPr>
                <w:rStyle w:val="IndexLink"/>
                <w:rtl w:val="true"/>
              </w:rPr>
              <w:t>.</w:t>
              <w:tab/>
            </w:r>
            <w:r>
              <w:rPr>
                <w:rStyle w:val="IndexLink"/>
              </w:rPr>
              <w:t>432</w:t>
            </w:r>
          </w:hyperlink>
        </w:p>
        <w:p>
          <w:pPr>
            <w:pStyle w:val="Contents5"/>
            <w:tabs>
              <w:tab w:val="clear" w:pos="7892"/>
              <w:tab w:val="right" w:pos="9026" w:leader="dot"/>
            </w:tabs>
            <w:rPr/>
          </w:pPr>
          <w:hyperlink w:anchor="__RefHeading___Toc796163_222507752">
            <w:r>
              <w:rPr>
                <w:webHidden/>
                <w:rStyle w:val="IndexLink"/>
                <w:rtl w:val="true"/>
              </w:rPr>
              <w:t>مسألة</w:t>
            </w:r>
            <w:r>
              <w:rPr>
                <w:rStyle w:val="IndexLink"/>
                <w:rtl w:val="true"/>
              </w:rPr>
              <w:t>:</w:t>
            </w:r>
            <w:r>
              <w:rPr>
                <w:rStyle w:val="IndexLink"/>
                <w:rtl w:val="true"/>
              </w:rPr>
              <w:t xml:space="preserve">قد ذكرنا أنّ المستحاضة إذا انقطع دمها انتقض وضوؤها </w:t>
            </w:r>
            <w:r>
              <w:rPr>
                <w:rStyle w:val="IndexLink"/>
                <w:rtl w:val="true"/>
              </w:rPr>
              <w:t>.</w:t>
              <w:tab/>
            </w:r>
            <w:r>
              <w:rPr>
                <w:rStyle w:val="IndexLink"/>
              </w:rPr>
              <w:t>437</w:t>
            </w:r>
          </w:hyperlink>
        </w:p>
        <w:p>
          <w:pPr>
            <w:pStyle w:val="Contents6"/>
            <w:tabs>
              <w:tab w:val="clear" w:pos="7609"/>
              <w:tab w:val="right" w:pos="9026" w:leader="dot"/>
            </w:tabs>
            <w:rPr/>
          </w:pPr>
          <w:hyperlink w:anchor="__RefHeading___Toc796165_222507752">
            <w:r>
              <w:rPr>
                <w:webHidden/>
                <w:rStyle w:val="IndexLink"/>
                <w:rtl w:val="true"/>
              </w:rPr>
              <w:t>اشارة</w:t>
            </w:r>
            <w:r>
              <w:rPr>
                <w:rStyle w:val="IndexLink"/>
                <w:rtl w:val="true"/>
              </w:rPr>
              <w:tab/>
            </w:r>
            <w:r>
              <w:rPr>
                <w:rStyle w:val="IndexLink"/>
              </w:rPr>
              <w:t>437</w:t>
            </w:r>
          </w:hyperlink>
        </w:p>
        <w:p>
          <w:pPr>
            <w:pStyle w:val="Contents6"/>
            <w:tabs>
              <w:tab w:val="clear" w:pos="7609"/>
              <w:tab w:val="right" w:pos="9026" w:leader="dot"/>
            </w:tabs>
            <w:rPr/>
          </w:pPr>
          <w:hyperlink w:anchor="__RefHeading___Toc796167_222507752">
            <w:r>
              <w:rPr>
                <w:webHidden/>
                <w:rStyle w:val="IndexLink"/>
                <w:rtl w:val="true"/>
              </w:rPr>
              <w:t>فروع</w:t>
            </w:r>
            <w:r>
              <w:rPr>
                <w:rStyle w:val="IndexLink"/>
                <w:rtl w:val="true"/>
              </w:rPr>
              <w:t>:</w:t>
              <w:tab/>
            </w:r>
            <w:r>
              <w:rPr>
                <w:rStyle w:val="IndexLink"/>
              </w:rPr>
              <w:t>438</w:t>
            </w:r>
          </w:hyperlink>
        </w:p>
        <w:p>
          <w:pPr>
            <w:pStyle w:val="Contents6"/>
            <w:tabs>
              <w:tab w:val="clear" w:pos="7609"/>
              <w:tab w:val="right" w:pos="9026" w:leader="dot"/>
            </w:tabs>
            <w:rPr/>
          </w:pPr>
          <w:hyperlink w:anchor="__RefHeading___Toc796169_222507752">
            <w:r>
              <w:rPr>
                <w:webHidden/>
                <w:rStyle w:val="IndexLink"/>
                <w:rtl w:val="true"/>
              </w:rPr>
              <w:t>الأوّل</w:t>
            </w:r>
            <w:r>
              <w:rPr>
                <w:rStyle w:val="IndexLink"/>
                <w:rtl w:val="true"/>
              </w:rPr>
              <w:t>:</w:t>
            </w:r>
            <w:r>
              <w:rPr>
                <w:rStyle w:val="IndexLink"/>
                <w:rtl w:val="true"/>
              </w:rPr>
              <w:t>لو انقطع دمها في أثناء الصّلاة للبرء،احتمل وجوب الإتمام و الإعادة</w:t>
            </w:r>
            <w:r>
              <w:rPr>
                <w:rStyle w:val="IndexLink"/>
                <w:rtl w:val="true"/>
              </w:rPr>
              <w:tab/>
            </w:r>
            <w:r>
              <w:rPr>
                <w:rStyle w:val="IndexLink"/>
              </w:rPr>
              <w:t>438</w:t>
            </w:r>
          </w:hyperlink>
        </w:p>
        <w:p>
          <w:pPr>
            <w:pStyle w:val="Contents6"/>
            <w:tabs>
              <w:tab w:val="clear" w:pos="7609"/>
              <w:tab w:val="right" w:pos="9026" w:leader="dot"/>
            </w:tabs>
            <w:rPr/>
          </w:pPr>
          <w:hyperlink w:anchor="__RefHeading___Toc796171_222507752">
            <w:r>
              <w:rPr>
                <w:webHidden/>
                <w:rStyle w:val="IndexLink"/>
                <w:rtl w:val="true"/>
              </w:rPr>
              <w:t>الثّاني</w:t>
            </w:r>
            <w:r>
              <w:rPr>
                <w:rStyle w:val="IndexLink"/>
                <w:rtl w:val="true"/>
              </w:rPr>
              <w:t>:</w:t>
            </w:r>
            <w:r>
              <w:rPr>
                <w:rStyle w:val="IndexLink"/>
                <w:rtl w:val="true"/>
              </w:rPr>
              <w:t>لو كان دمها يجري تارة و ينقطع أخرى،فإن اتّسع وقت الانقطاع للطّهارة</w:t>
            </w:r>
            <w:r>
              <w:rPr>
                <w:rStyle w:val="IndexLink"/>
                <w:rtl w:val="true"/>
              </w:rPr>
              <w:tab/>
            </w:r>
            <w:r>
              <w:rPr>
                <w:rStyle w:val="IndexLink"/>
              </w:rPr>
              <w:t>438</w:t>
            </w:r>
          </w:hyperlink>
        </w:p>
        <w:p>
          <w:pPr>
            <w:pStyle w:val="Contents6"/>
            <w:tabs>
              <w:tab w:val="clear" w:pos="7609"/>
              <w:tab w:val="right" w:pos="9026" w:leader="dot"/>
            </w:tabs>
            <w:rPr/>
          </w:pPr>
          <w:hyperlink w:anchor="__RefHeading___Toc796173_222507752">
            <w:r>
              <w:rPr>
                <w:webHidden/>
                <w:rStyle w:val="IndexLink"/>
                <w:rtl w:val="true"/>
              </w:rPr>
              <w:t>الثّالث</w:t>
            </w:r>
            <w:r>
              <w:rPr>
                <w:rStyle w:val="IndexLink"/>
                <w:rtl w:val="true"/>
              </w:rPr>
              <w:t>:</w:t>
            </w:r>
            <w:r>
              <w:rPr>
                <w:rStyle w:val="IndexLink"/>
                <w:rtl w:val="true"/>
              </w:rPr>
              <w:t>لو توضّأت حال الجريان،ثمَّ صلّت بعد الانقطاع،فإن علمت انّه يعاود</w:t>
            </w:r>
            <w:r>
              <w:rPr>
                <w:rStyle w:val="IndexLink"/>
                <w:rtl w:val="true"/>
              </w:rPr>
              <w:tab/>
            </w:r>
            <w:r>
              <w:rPr>
                <w:rStyle w:val="IndexLink"/>
              </w:rPr>
              <w:t>438</w:t>
            </w:r>
          </w:hyperlink>
        </w:p>
        <w:p>
          <w:pPr>
            <w:pStyle w:val="Contents5"/>
            <w:tabs>
              <w:tab w:val="clear" w:pos="7892"/>
              <w:tab w:val="right" w:pos="9026" w:leader="dot"/>
            </w:tabs>
            <w:rPr/>
          </w:pPr>
          <w:hyperlink w:anchor="__RefHeading___Toc796175_222507752">
            <w:r>
              <w:rPr>
                <w:webHidden/>
                <w:rStyle w:val="IndexLink"/>
                <w:rtl w:val="true"/>
              </w:rPr>
              <w:t>مسألة</w:t>
            </w:r>
            <w:r>
              <w:rPr>
                <w:rStyle w:val="IndexLink"/>
                <w:rtl w:val="true"/>
              </w:rPr>
              <w:t>:</w:t>
            </w:r>
            <w:r>
              <w:rPr>
                <w:rStyle w:val="IndexLink"/>
                <w:rtl w:val="true"/>
              </w:rPr>
              <w:t>و غسلها كغسل الحائض سواء في اعتبار النّيّة،و التّرتيب،و مقارنة</w:t>
            </w:r>
            <w:r>
              <w:rPr>
                <w:rStyle w:val="IndexLink"/>
                <w:rtl w:val="true"/>
              </w:rPr>
              <w:tab/>
            </w:r>
            <w:r>
              <w:rPr>
                <w:rStyle w:val="IndexLink"/>
              </w:rPr>
              <w:t>438</w:t>
            </w:r>
          </w:hyperlink>
        </w:p>
        <w:p>
          <w:pPr>
            <w:pStyle w:val="Contents5"/>
            <w:tabs>
              <w:tab w:val="clear" w:pos="7892"/>
              <w:tab w:val="right" w:pos="9026" w:leader="dot"/>
            </w:tabs>
            <w:rPr/>
          </w:pPr>
          <w:hyperlink w:anchor="__RefHeading___Toc796177_222507752">
            <w:r>
              <w:rPr>
                <w:webHidden/>
                <w:rStyle w:val="IndexLink"/>
                <w:rtl w:val="true"/>
              </w:rPr>
              <w:t>مسألة</w:t>
            </w:r>
            <w:r>
              <w:rPr>
                <w:rStyle w:val="IndexLink"/>
                <w:rtl w:val="true"/>
              </w:rPr>
              <w:t>:</w:t>
            </w:r>
            <w:r>
              <w:rPr>
                <w:rStyle w:val="IndexLink"/>
                <w:rtl w:val="true"/>
              </w:rPr>
              <w:t>و لو اغتسلت لكلّ صلاة و توضّأت فهو أبلغ للتّطهير ،</w:t>
            </w:r>
            <w:r>
              <w:rPr>
                <w:rStyle w:val="IndexLink"/>
                <w:rtl w:val="true"/>
              </w:rPr>
              <w:tab/>
            </w:r>
            <w:r>
              <w:rPr>
                <w:rStyle w:val="IndexLink"/>
              </w:rPr>
              <w:t>438</w:t>
            </w:r>
          </w:hyperlink>
        </w:p>
        <w:p>
          <w:pPr>
            <w:pStyle w:val="Contents4"/>
            <w:tabs>
              <w:tab w:val="clear" w:pos="8176"/>
              <w:tab w:val="right" w:pos="9026" w:leader="dot"/>
            </w:tabs>
            <w:rPr/>
          </w:pPr>
          <w:hyperlink w:anchor="__RefHeading___Toc796179_222507752">
            <w:r>
              <w:rPr>
                <w:webHidden/>
                <w:rStyle w:val="IndexLink"/>
                <w:rtl w:val="true"/>
              </w:rPr>
              <w:t>الفصل الرّابع</w:t>
            </w:r>
            <w:r>
              <w:rPr>
                <w:rStyle w:val="IndexLink"/>
                <w:rtl w:val="true"/>
              </w:rPr>
              <w:t>:</w:t>
            </w:r>
            <w:r>
              <w:rPr>
                <w:rStyle w:val="IndexLink"/>
                <w:rtl w:val="true"/>
              </w:rPr>
              <w:t>في النّفاس</w:t>
            </w:r>
            <w:r>
              <w:rPr>
                <w:rStyle w:val="IndexLink"/>
                <w:rtl w:val="true"/>
              </w:rPr>
              <w:tab/>
            </w:r>
            <w:r>
              <w:rPr>
                <w:rStyle w:val="IndexLink"/>
              </w:rPr>
              <w:t>440</w:t>
            </w:r>
          </w:hyperlink>
        </w:p>
        <w:p>
          <w:pPr>
            <w:pStyle w:val="Contents5"/>
            <w:tabs>
              <w:tab w:val="clear" w:pos="7892"/>
              <w:tab w:val="right" w:pos="9026" w:leader="dot"/>
            </w:tabs>
            <w:rPr/>
          </w:pPr>
          <w:hyperlink w:anchor="__RefHeading___Toc796181_222507752">
            <w:r>
              <w:rPr>
                <w:webHidden/>
                <w:rStyle w:val="IndexLink"/>
                <w:rtl w:val="true"/>
              </w:rPr>
              <w:t>اشارة</w:t>
            </w:r>
            <w:r>
              <w:rPr>
                <w:rStyle w:val="IndexLink"/>
                <w:rtl w:val="true"/>
              </w:rPr>
              <w:tab/>
            </w:r>
            <w:r>
              <w:rPr>
                <w:rStyle w:val="IndexLink"/>
              </w:rPr>
              <w:t>440</w:t>
            </w:r>
          </w:hyperlink>
        </w:p>
        <w:p>
          <w:pPr>
            <w:pStyle w:val="Contents5"/>
            <w:tabs>
              <w:tab w:val="clear" w:pos="7892"/>
              <w:tab w:val="right" w:pos="9026" w:leader="dot"/>
            </w:tabs>
            <w:rPr/>
          </w:pPr>
          <w:hyperlink w:anchor="__RefHeading___Toc796183_222507752">
            <w:r>
              <w:rPr>
                <w:webHidden/>
                <w:rStyle w:val="IndexLink"/>
                <w:rtl w:val="true"/>
              </w:rPr>
              <w:t>مسألة</w:t>
            </w:r>
            <w:r>
              <w:rPr>
                <w:rStyle w:val="IndexLink"/>
                <w:rtl w:val="true"/>
              </w:rPr>
              <w:t>:</w:t>
            </w:r>
            <w:r>
              <w:rPr>
                <w:rStyle w:val="IndexLink"/>
                <w:rtl w:val="true"/>
              </w:rPr>
              <w:t>و لا يكون نفاس إلاّ مع الدّم،</w:t>
            </w:r>
            <w:r>
              <w:rPr>
                <w:rStyle w:val="IndexLink"/>
                <w:rtl w:val="true"/>
              </w:rPr>
              <w:tab/>
            </w:r>
            <w:r>
              <w:rPr>
                <w:rStyle w:val="IndexLink"/>
              </w:rPr>
              <w:t>440</w:t>
            </w:r>
          </w:hyperlink>
        </w:p>
        <w:p>
          <w:pPr>
            <w:pStyle w:val="Contents5"/>
            <w:tabs>
              <w:tab w:val="clear" w:pos="7892"/>
              <w:tab w:val="right" w:pos="9026" w:leader="dot"/>
            </w:tabs>
            <w:rPr/>
          </w:pPr>
          <w:hyperlink w:anchor="__RefHeading___Toc796185_222507752">
            <w:r>
              <w:rPr>
                <w:webHidden/>
                <w:rStyle w:val="IndexLink"/>
                <w:rtl w:val="true"/>
              </w:rPr>
              <w:t>مسألة</w:t>
            </w:r>
            <w:r>
              <w:rPr>
                <w:rStyle w:val="IndexLink"/>
                <w:rtl w:val="true"/>
              </w:rPr>
              <w:t>:</w:t>
            </w:r>
            <w:r>
              <w:rPr>
                <w:rStyle w:val="IndexLink"/>
                <w:rtl w:val="true"/>
              </w:rPr>
              <w:t>و لو خرج الدّم قبل الولادة لم يكن نفاسا</w:t>
            </w:r>
            <w:r>
              <w:rPr>
                <w:rStyle w:val="IndexLink"/>
                <w:rtl w:val="true"/>
              </w:rPr>
              <w:tab/>
            </w:r>
            <w:r>
              <w:rPr>
                <w:rStyle w:val="IndexLink"/>
              </w:rPr>
              <w:t>441</w:t>
            </w:r>
          </w:hyperlink>
        </w:p>
        <w:p>
          <w:pPr>
            <w:pStyle w:val="Contents6"/>
            <w:tabs>
              <w:tab w:val="clear" w:pos="7609"/>
              <w:tab w:val="right" w:pos="9026" w:leader="dot"/>
            </w:tabs>
            <w:rPr/>
          </w:pPr>
          <w:hyperlink w:anchor="__RefHeading___Toc796187_222507752">
            <w:r>
              <w:rPr>
                <w:webHidden/>
                <w:rStyle w:val="IndexLink"/>
                <w:rtl w:val="true"/>
              </w:rPr>
              <w:t>اشارة</w:t>
            </w:r>
            <w:r>
              <w:rPr>
                <w:rStyle w:val="IndexLink"/>
                <w:rtl w:val="true"/>
              </w:rPr>
              <w:tab/>
            </w:r>
            <w:r>
              <w:rPr>
                <w:rStyle w:val="IndexLink"/>
              </w:rPr>
              <w:t>441</w:t>
            </w:r>
          </w:hyperlink>
        </w:p>
        <w:p>
          <w:pPr>
            <w:pStyle w:val="Contents6"/>
            <w:tabs>
              <w:tab w:val="clear" w:pos="7609"/>
              <w:tab w:val="right" w:pos="9026" w:leader="dot"/>
            </w:tabs>
            <w:rPr/>
          </w:pPr>
          <w:hyperlink w:anchor="__RefHeading___Toc796189_222507752">
            <w:r>
              <w:rPr>
                <w:webHidden/>
                <w:rStyle w:val="IndexLink"/>
                <w:rtl w:val="true"/>
              </w:rPr>
              <w:t>فروع</w:t>
            </w:r>
            <w:r>
              <w:rPr>
                <w:rStyle w:val="IndexLink"/>
                <w:rtl w:val="true"/>
              </w:rPr>
              <w:t>:</w:t>
              <w:tab/>
            </w:r>
            <w:r>
              <w:rPr>
                <w:rStyle w:val="IndexLink"/>
              </w:rPr>
              <w:t>442</w:t>
            </w:r>
          </w:hyperlink>
        </w:p>
        <w:p>
          <w:pPr>
            <w:pStyle w:val="Contents6"/>
            <w:tabs>
              <w:tab w:val="clear" w:pos="7609"/>
              <w:tab w:val="right" w:pos="9026" w:leader="dot"/>
            </w:tabs>
            <w:rPr/>
          </w:pPr>
          <w:hyperlink w:anchor="__RefHeading___Toc796191_222507752">
            <w:r>
              <w:rPr>
                <w:webHidden/>
                <w:rStyle w:val="IndexLink"/>
                <w:rtl w:val="true"/>
              </w:rPr>
              <w:t>الأوّل</w:t>
            </w:r>
            <w:r>
              <w:rPr>
                <w:rStyle w:val="IndexLink"/>
                <w:rtl w:val="true"/>
              </w:rPr>
              <w:t>:</w:t>
            </w:r>
            <w:r>
              <w:rPr>
                <w:rStyle w:val="IndexLink"/>
                <w:rtl w:val="true"/>
              </w:rPr>
              <w:t>لو وضعت شيئا تبيّن فيه خلق الإنسان فرأت الدّم فهو نفاس</w:t>
            </w:r>
            <w:r>
              <w:rPr>
                <w:rStyle w:val="IndexLink"/>
                <w:rtl w:val="true"/>
              </w:rPr>
              <w:tab/>
            </w:r>
            <w:r>
              <w:rPr>
                <w:rStyle w:val="IndexLink"/>
              </w:rPr>
              <w:t>442</w:t>
            </w:r>
          </w:hyperlink>
        </w:p>
        <w:p>
          <w:pPr>
            <w:pStyle w:val="Contents6"/>
            <w:tabs>
              <w:tab w:val="clear" w:pos="7609"/>
              <w:tab w:val="right" w:pos="9026" w:leader="dot"/>
            </w:tabs>
            <w:rPr/>
          </w:pPr>
          <w:hyperlink w:anchor="__RefHeading___Toc796193_222507752">
            <w:r>
              <w:rPr>
                <w:webHidden/>
                <w:rStyle w:val="IndexLink"/>
                <w:rtl w:val="true"/>
              </w:rPr>
              <w:t>الثّاني</w:t>
            </w:r>
            <w:r>
              <w:rPr>
                <w:rStyle w:val="IndexLink"/>
                <w:rtl w:val="true"/>
              </w:rPr>
              <w:t>:</w:t>
            </w:r>
            <w:r>
              <w:rPr>
                <w:rStyle w:val="IndexLink"/>
                <w:rtl w:val="true"/>
              </w:rPr>
              <w:t>لو خرج بعض الولد كانت نفاسا</w:t>
            </w:r>
            <w:r>
              <w:rPr>
                <w:rStyle w:val="IndexLink"/>
                <w:rtl w:val="true"/>
              </w:rPr>
              <w:tab/>
            </w:r>
            <w:r>
              <w:rPr>
                <w:rStyle w:val="IndexLink"/>
              </w:rPr>
              <w:t>443</w:t>
            </w:r>
          </w:hyperlink>
        </w:p>
        <w:p>
          <w:pPr>
            <w:pStyle w:val="Contents6"/>
            <w:tabs>
              <w:tab w:val="clear" w:pos="7609"/>
              <w:tab w:val="right" w:pos="9026" w:leader="dot"/>
            </w:tabs>
            <w:rPr/>
          </w:pPr>
          <w:hyperlink w:anchor="__RefHeading___Toc796195_222507752">
            <w:r>
              <w:rPr>
                <w:webHidden/>
                <w:rStyle w:val="IndexLink"/>
                <w:rtl w:val="true"/>
              </w:rPr>
              <w:t>الثّالث</w:t>
            </w:r>
            <w:r>
              <w:rPr>
                <w:rStyle w:val="IndexLink"/>
                <w:rtl w:val="true"/>
              </w:rPr>
              <w:t>:</w:t>
            </w:r>
            <w:r>
              <w:rPr>
                <w:rStyle w:val="IndexLink"/>
                <w:rtl w:val="true"/>
              </w:rPr>
              <w:t>الدّم الخارج قبل الولادة،قال الشّيخ في الخلاف و المبسوط</w:t>
            </w:r>
            <w:r>
              <w:rPr>
                <w:rStyle w:val="IndexLink"/>
                <w:rtl w:val="true"/>
              </w:rPr>
              <w:t>:</w:t>
            </w:r>
            <w:r>
              <w:rPr>
                <w:rStyle w:val="IndexLink"/>
                <w:rtl w:val="true"/>
              </w:rPr>
              <w:t>ليس</w:t>
            </w:r>
            <w:r>
              <w:rPr>
                <w:rStyle w:val="IndexLink"/>
                <w:rtl w:val="true"/>
              </w:rPr>
              <w:tab/>
            </w:r>
            <w:r>
              <w:rPr>
                <w:rStyle w:val="IndexLink"/>
              </w:rPr>
              <w:t>443</w:t>
            </w:r>
          </w:hyperlink>
        </w:p>
        <w:p>
          <w:pPr>
            <w:pStyle w:val="Contents6"/>
            <w:tabs>
              <w:tab w:val="clear" w:pos="7609"/>
              <w:tab w:val="right" w:pos="9026" w:leader="dot"/>
            </w:tabs>
            <w:rPr/>
          </w:pPr>
          <w:hyperlink w:anchor="__RefHeading___Toc796197_222507752">
            <w:r>
              <w:rPr>
                <w:webHidden/>
                <w:rStyle w:val="IndexLink"/>
                <w:rtl w:val="true"/>
              </w:rPr>
              <w:t>الرّابع</w:t>
            </w:r>
            <w:r>
              <w:rPr>
                <w:rStyle w:val="IndexLink"/>
                <w:rtl w:val="true"/>
              </w:rPr>
              <w:t>:</w:t>
            </w:r>
            <w:r>
              <w:rPr>
                <w:rStyle w:val="IndexLink"/>
                <w:rtl w:val="true"/>
              </w:rPr>
              <w:t>الدّم المتخلّل بين الولدين التّوأمين نفاس</w:t>
            </w:r>
            <w:r>
              <w:rPr>
                <w:rStyle w:val="IndexLink"/>
                <w:rtl w:val="true"/>
              </w:rPr>
              <w:t>.</w:t>
              <w:tab/>
            </w:r>
            <w:r>
              <w:rPr>
                <w:rStyle w:val="IndexLink"/>
              </w:rPr>
              <w:t>443</w:t>
            </w:r>
          </w:hyperlink>
        </w:p>
        <w:p>
          <w:pPr>
            <w:pStyle w:val="Contents5"/>
            <w:tabs>
              <w:tab w:val="clear" w:pos="7892"/>
              <w:tab w:val="right" w:pos="9026" w:leader="dot"/>
            </w:tabs>
            <w:rPr/>
          </w:pPr>
          <w:hyperlink w:anchor="__RefHeading___Toc796199_222507752">
            <w:r>
              <w:rPr>
                <w:webHidden/>
                <w:rStyle w:val="IndexLink"/>
                <w:rtl w:val="true"/>
              </w:rPr>
              <w:t>مسألة</w:t>
            </w:r>
            <w:r>
              <w:rPr>
                <w:rStyle w:val="IndexLink"/>
                <w:rtl w:val="true"/>
              </w:rPr>
              <w:t>:</w:t>
            </w:r>
            <w:r>
              <w:rPr>
                <w:rStyle w:val="IndexLink"/>
                <w:rtl w:val="true"/>
              </w:rPr>
              <w:t>و لا حدّ لأقلّ النّفاس</w:t>
            </w:r>
            <w:r>
              <w:rPr>
                <w:rStyle w:val="IndexLink"/>
                <w:rtl w:val="true"/>
              </w:rPr>
              <w:t>.</w:t>
              <w:tab/>
            </w:r>
            <w:r>
              <w:rPr>
                <w:rStyle w:val="IndexLink"/>
              </w:rPr>
              <w:t>445</w:t>
            </w:r>
          </w:hyperlink>
        </w:p>
        <w:p>
          <w:pPr>
            <w:pStyle w:val="Contents5"/>
            <w:tabs>
              <w:tab w:val="clear" w:pos="7892"/>
              <w:tab w:val="right" w:pos="9026" w:leader="dot"/>
            </w:tabs>
            <w:rPr/>
          </w:pPr>
          <w:hyperlink w:anchor="__RefHeading___Toc796201_222507752">
            <w:r>
              <w:rPr>
                <w:webHidden/>
                <w:rStyle w:val="IndexLink"/>
                <w:rtl w:val="true"/>
              </w:rPr>
              <w:t>مسألة</w:t>
            </w:r>
            <w:r>
              <w:rPr>
                <w:rStyle w:val="IndexLink"/>
                <w:rtl w:val="true"/>
              </w:rPr>
              <w:t>:</w:t>
            </w:r>
            <w:r>
              <w:rPr>
                <w:rStyle w:val="IndexLink"/>
                <w:rtl w:val="true"/>
              </w:rPr>
              <w:t>و في حدّ كثرته خلاف بين علمائنا</w:t>
            </w:r>
            <w:r>
              <w:rPr>
                <w:rStyle w:val="IndexLink"/>
                <w:rtl w:val="true"/>
              </w:rPr>
              <w:t>.</w:t>
              <w:tab/>
            </w:r>
            <w:r>
              <w:rPr>
                <w:rStyle w:val="IndexLink"/>
              </w:rPr>
              <w:t>447</w:t>
            </w:r>
          </w:hyperlink>
        </w:p>
        <w:p>
          <w:pPr>
            <w:pStyle w:val="Contents6"/>
            <w:tabs>
              <w:tab w:val="clear" w:pos="7609"/>
              <w:tab w:val="right" w:pos="9026" w:leader="dot"/>
            </w:tabs>
            <w:rPr/>
          </w:pPr>
          <w:hyperlink w:anchor="__RefHeading___Toc796203_222507752">
            <w:r>
              <w:rPr>
                <w:webHidden/>
                <w:rStyle w:val="IndexLink"/>
                <w:rtl w:val="true"/>
              </w:rPr>
              <w:t>اشارة</w:t>
            </w:r>
            <w:r>
              <w:rPr>
                <w:rStyle w:val="IndexLink"/>
                <w:rtl w:val="true"/>
              </w:rPr>
              <w:tab/>
            </w:r>
            <w:r>
              <w:rPr>
                <w:rStyle w:val="IndexLink"/>
              </w:rPr>
              <w:t>447</w:t>
            </w:r>
          </w:hyperlink>
        </w:p>
        <w:p>
          <w:pPr>
            <w:pStyle w:val="Contents6"/>
            <w:tabs>
              <w:tab w:val="clear" w:pos="7609"/>
              <w:tab w:val="right" w:pos="9026" w:leader="dot"/>
            </w:tabs>
            <w:rPr/>
          </w:pPr>
          <w:hyperlink w:anchor="__RefHeading___Toc796205_222507752">
            <w:r>
              <w:rPr>
                <w:webHidden/>
                <w:rStyle w:val="IndexLink"/>
                <w:rtl w:val="true"/>
              </w:rPr>
              <w:t>فروع</w:t>
            </w:r>
            <w:r>
              <w:rPr>
                <w:rStyle w:val="IndexLink"/>
                <w:rtl w:val="true"/>
              </w:rPr>
              <w:t>:</w:t>
              <w:tab/>
            </w:r>
            <w:r>
              <w:rPr>
                <w:rStyle w:val="IndexLink"/>
              </w:rPr>
              <w:t>457</w:t>
            </w:r>
          </w:hyperlink>
        </w:p>
        <w:p>
          <w:pPr>
            <w:pStyle w:val="Contents6"/>
            <w:tabs>
              <w:tab w:val="clear" w:pos="7609"/>
              <w:tab w:val="right" w:pos="9026" w:leader="dot"/>
            </w:tabs>
            <w:rPr/>
          </w:pPr>
          <w:hyperlink w:anchor="__RefHeading___Toc796207_222507752">
            <w:r>
              <w:rPr>
                <w:webHidden/>
                <w:rStyle w:val="IndexLink"/>
                <w:rtl w:val="true"/>
              </w:rPr>
              <w:t>الأوّل</w:t>
            </w:r>
            <w:r>
              <w:rPr>
                <w:rStyle w:val="IndexLink"/>
                <w:rtl w:val="true"/>
              </w:rPr>
              <w:t>:</w:t>
            </w:r>
            <w:r>
              <w:rPr>
                <w:rStyle w:val="IndexLink"/>
                <w:rtl w:val="true"/>
              </w:rPr>
              <w:t>لا يرجع إذا تجاوز دمها إلى عادتها في النّفاس،</w:t>
            </w:r>
            <w:r>
              <w:rPr>
                <w:rStyle w:val="IndexLink"/>
                <w:rtl w:val="true"/>
              </w:rPr>
              <w:tab/>
            </w:r>
            <w:r>
              <w:rPr>
                <w:rStyle w:val="IndexLink"/>
              </w:rPr>
              <w:t>457</w:t>
            </w:r>
          </w:hyperlink>
        </w:p>
        <w:p>
          <w:pPr>
            <w:pStyle w:val="Contents6"/>
            <w:tabs>
              <w:tab w:val="clear" w:pos="7609"/>
              <w:tab w:val="right" w:pos="9026" w:leader="dot"/>
            </w:tabs>
            <w:rPr/>
          </w:pPr>
          <w:hyperlink w:anchor="__RefHeading___Toc796209_222507752">
            <w:r>
              <w:rPr>
                <w:webHidden/>
                <w:rStyle w:val="IndexLink"/>
                <w:rtl w:val="true"/>
              </w:rPr>
              <w:t>الثّاني</w:t>
            </w:r>
            <w:r>
              <w:rPr>
                <w:rStyle w:val="IndexLink"/>
                <w:rtl w:val="true"/>
              </w:rPr>
              <w:t>:</w:t>
            </w:r>
            <w:r>
              <w:rPr>
                <w:rStyle w:val="IndexLink"/>
                <w:rtl w:val="true"/>
              </w:rPr>
              <w:t>هل ترجع إلى عادة أمّها و أختها في النّفاس؟لا نعرف فتوى</w:t>
            </w:r>
            <w:r>
              <w:rPr>
                <w:rStyle w:val="IndexLink"/>
                <w:rtl w:val="true"/>
              </w:rPr>
              <w:tab/>
            </w:r>
            <w:r>
              <w:rPr>
                <w:rStyle w:val="IndexLink"/>
              </w:rPr>
              <w:t>458</w:t>
            </w:r>
          </w:hyperlink>
        </w:p>
        <w:p>
          <w:pPr>
            <w:pStyle w:val="Contents6"/>
            <w:tabs>
              <w:tab w:val="clear" w:pos="7609"/>
              <w:tab w:val="right" w:pos="9026" w:leader="dot"/>
            </w:tabs>
            <w:rPr/>
          </w:pPr>
          <w:hyperlink w:anchor="__RefHeading___Toc796211_222507752">
            <w:r>
              <w:rPr>
                <w:webHidden/>
                <w:rStyle w:val="IndexLink"/>
                <w:rtl w:val="true"/>
              </w:rPr>
              <w:t>الثّالث</w:t>
            </w:r>
            <w:r>
              <w:rPr>
                <w:rStyle w:val="IndexLink"/>
                <w:rtl w:val="true"/>
              </w:rPr>
              <w:t>:</w:t>
            </w:r>
            <w:r>
              <w:rPr>
                <w:rStyle w:val="IndexLink"/>
                <w:rtl w:val="true"/>
              </w:rPr>
              <w:t>لو كانت مبتدئة،أو مضطربة،أو ذات عادة منسيّة فإن انقطع الدّم</w:t>
            </w:r>
            <w:r>
              <w:rPr>
                <w:rStyle w:val="IndexLink"/>
                <w:rtl w:val="true"/>
              </w:rPr>
              <w:tab/>
            </w:r>
            <w:r>
              <w:rPr>
                <w:rStyle w:val="IndexLink"/>
              </w:rPr>
              <w:t>458</w:t>
            </w:r>
          </w:hyperlink>
        </w:p>
        <w:p>
          <w:pPr>
            <w:pStyle w:val="Contents6"/>
            <w:tabs>
              <w:tab w:val="clear" w:pos="7609"/>
              <w:tab w:val="right" w:pos="9026" w:leader="dot"/>
            </w:tabs>
            <w:rPr/>
          </w:pPr>
          <w:hyperlink w:anchor="__RefHeading___Toc796213_222507752">
            <w:r>
              <w:rPr>
                <w:webHidden/>
                <w:rStyle w:val="IndexLink"/>
                <w:rtl w:val="true"/>
              </w:rPr>
              <w:t>الرّابع</w:t>
            </w:r>
            <w:r>
              <w:rPr>
                <w:rStyle w:val="IndexLink"/>
                <w:rtl w:val="true"/>
              </w:rPr>
              <w:t>:</w:t>
            </w:r>
            <w:r>
              <w:rPr>
                <w:rStyle w:val="IndexLink"/>
                <w:rtl w:val="true"/>
              </w:rPr>
              <w:t>الأقرب انّ الاستظهار بيوم أو يومين لذات العادة ليس بواجب،</w:t>
            </w:r>
            <w:r>
              <w:rPr>
                <w:rStyle w:val="IndexLink"/>
                <w:rtl w:val="true"/>
              </w:rPr>
              <w:tab/>
            </w:r>
            <w:r>
              <w:rPr>
                <w:rStyle w:val="IndexLink"/>
              </w:rPr>
              <w:t>459</w:t>
            </w:r>
          </w:hyperlink>
        </w:p>
        <w:p>
          <w:pPr>
            <w:pStyle w:val="Contents6"/>
            <w:tabs>
              <w:tab w:val="clear" w:pos="7609"/>
              <w:tab w:val="right" w:pos="9026" w:leader="dot"/>
            </w:tabs>
            <w:rPr/>
          </w:pPr>
          <w:hyperlink w:anchor="__RefHeading___Toc796215_222507752">
            <w:r>
              <w:rPr>
                <w:webHidden/>
                <w:rStyle w:val="IndexLink"/>
                <w:rtl w:val="true"/>
              </w:rPr>
              <w:t>الخامس</w:t>
            </w:r>
            <w:r>
              <w:rPr>
                <w:rStyle w:val="IndexLink"/>
                <w:rtl w:val="true"/>
              </w:rPr>
              <w:t>:</w:t>
            </w:r>
            <w:r>
              <w:rPr>
                <w:rStyle w:val="IndexLink"/>
                <w:rtl w:val="true"/>
              </w:rPr>
              <w:t>إذا تجاوز الدّم أكثر أيّام النّفاس فهو استحاضة،</w:t>
            </w:r>
            <w:r>
              <w:rPr>
                <w:rStyle w:val="IndexLink"/>
                <w:rtl w:val="true"/>
              </w:rPr>
              <w:tab/>
            </w:r>
            <w:r>
              <w:rPr>
                <w:rStyle w:val="IndexLink"/>
              </w:rPr>
              <w:t>460</w:t>
            </w:r>
          </w:hyperlink>
        </w:p>
        <w:p>
          <w:pPr>
            <w:pStyle w:val="Contents6"/>
            <w:tabs>
              <w:tab w:val="clear" w:pos="7609"/>
              <w:tab w:val="right" w:pos="9026" w:leader="dot"/>
            </w:tabs>
            <w:rPr/>
          </w:pPr>
          <w:hyperlink w:anchor="__RefHeading___Toc796217_222507752">
            <w:r>
              <w:rPr>
                <w:webHidden/>
                <w:rStyle w:val="IndexLink"/>
                <w:rtl w:val="true"/>
              </w:rPr>
              <w:t>السّادس</w:t>
            </w:r>
            <w:r>
              <w:rPr>
                <w:rStyle w:val="IndexLink"/>
                <w:rtl w:val="true"/>
              </w:rPr>
              <w:t>:</w:t>
            </w:r>
            <w:r>
              <w:rPr>
                <w:rStyle w:val="IndexLink"/>
                <w:rtl w:val="true"/>
              </w:rPr>
              <w:t>لو تخلّل النّقاء بين الدّمين و لم يتجاوز أكثر النّفاس فالجميع نفاس</w:t>
            </w:r>
            <w:r>
              <w:rPr>
                <w:rStyle w:val="IndexLink"/>
                <w:rtl w:val="true"/>
              </w:rPr>
              <w:tab/>
            </w:r>
            <w:r>
              <w:rPr>
                <w:rStyle w:val="IndexLink"/>
              </w:rPr>
              <w:t>460</w:t>
            </w:r>
          </w:hyperlink>
        </w:p>
        <w:p>
          <w:pPr>
            <w:pStyle w:val="Contents6"/>
            <w:tabs>
              <w:tab w:val="clear" w:pos="7609"/>
              <w:tab w:val="right" w:pos="9026" w:leader="dot"/>
            </w:tabs>
            <w:rPr/>
          </w:pPr>
          <w:hyperlink w:anchor="__RefHeading___Toc796219_222507752">
            <w:r>
              <w:rPr>
                <w:webHidden/>
                <w:rStyle w:val="IndexLink"/>
                <w:rtl w:val="true"/>
              </w:rPr>
              <w:t>السّابع</w:t>
            </w:r>
            <w:r>
              <w:rPr>
                <w:rStyle w:val="IndexLink"/>
                <w:rtl w:val="true"/>
              </w:rPr>
              <w:t>:</w:t>
            </w:r>
            <w:r>
              <w:rPr>
                <w:rStyle w:val="IndexLink"/>
                <w:rtl w:val="true"/>
              </w:rPr>
              <w:t>لو لم يعد إلاّ بعد العاشر،اختصّ النّفاس بأيّام الدّم و كانت أيّام النّقاء</w:t>
            </w:r>
            <w:r>
              <w:rPr>
                <w:rStyle w:val="IndexLink"/>
                <w:rtl w:val="true"/>
              </w:rPr>
              <w:tab/>
            </w:r>
            <w:r>
              <w:rPr>
                <w:rStyle w:val="IndexLink"/>
              </w:rPr>
              <w:t>461</w:t>
            </w:r>
          </w:hyperlink>
        </w:p>
        <w:p>
          <w:pPr>
            <w:pStyle w:val="Contents6"/>
            <w:tabs>
              <w:tab w:val="clear" w:pos="7609"/>
              <w:tab w:val="right" w:pos="9026" w:leader="dot"/>
            </w:tabs>
            <w:rPr/>
          </w:pPr>
          <w:hyperlink w:anchor="__RefHeading___Toc796221_222507752">
            <w:r>
              <w:rPr>
                <w:webHidden/>
                <w:rStyle w:val="IndexLink"/>
                <w:rtl w:val="true"/>
              </w:rPr>
              <w:t>الثّامن</w:t>
            </w:r>
            <w:r>
              <w:rPr>
                <w:rStyle w:val="IndexLink"/>
                <w:rtl w:val="true"/>
              </w:rPr>
              <w:t>:</w:t>
            </w:r>
            <w:r>
              <w:rPr>
                <w:rStyle w:val="IndexLink"/>
                <w:rtl w:val="true"/>
              </w:rPr>
              <w:t>لو ولدت و لم تر دما إلاّ يوم العاشر فهو النّفاس خاصّة،</w:t>
            </w:r>
            <w:r>
              <w:rPr>
                <w:rStyle w:val="IndexLink"/>
                <w:rtl w:val="true"/>
              </w:rPr>
              <w:tab/>
            </w:r>
            <w:r>
              <w:rPr>
                <w:rStyle w:val="IndexLink"/>
              </w:rPr>
              <w:t>461</w:t>
            </w:r>
          </w:hyperlink>
        </w:p>
        <w:p>
          <w:pPr>
            <w:pStyle w:val="Contents6"/>
            <w:tabs>
              <w:tab w:val="clear" w:pos="7609"/>
              <w:tab w:val="right" w:pos="9026" w:leader="dot"/>
            </w:tabs>
            <w:rPr/>
          </w:pPr>
          <w:hyperlink w:anchor="__RefHeading___Toc796223_222507752">
            <w:r>
              <w:rPr>
                <w:webHidden/>
                <w:rStyle w:val="IndexLink"/>
                <w:rtl w:val="true"/>
              </w:rPr>
              <w:t>التّاسع</w:t>
            </w:r>
            <w:r>
              <w:rPr>
                <w:rStyle w:val="IndexLink"/>
                <w:rtl w:val="true"/>
              </w:rPr>
              <w:t>:</w:t>
            </w:r>
            <w:r>
              <w:rPr>
                <w:rStyle w:val="IndexLink"/>
                <w:rtl w:val="true"/>
              </w:rPr>
              <w:t>المعتادة في الحيض لو كانت ذات جفاف،ثمَّ ولدت و استحيضت،</w:t>
            </w:r>
            <w:r>
              <w:rPr>
                <w:rStyle w:val="IndexLink"/>
                <w:rtl w:val="true"/>
              </w:rPr>
              <w:tab/>
            </w:r>
            <w:r>
              <w:rPr>
                <w:rStyle w:val="IndexLink"/>
              </w:rPr>
              <w:t>462</w:t>
            </w:r>
          </w:hyperlink>
        </w:p>
        <w:p>
          <w:pPr>
            <w:pStyle w:val="Contents6"/>
            <w:tabs>
              <w:tab w:val="clear" w:pos="7609"/>
              <w:tab w:val="right" w:pos="9026" w:leader="dot"/>
            </w:tabs>
            <w:rPr/>
          </w:pPr>
          <w:hyperlink w:anchor="__RefHeading___Toc796225_222507752">
            <w:r>
              <w:rPr>
                <w:webHidden/>
                <w:rStyle w:val="IndexLink"/>
                <w:rtl w:val="true"/>
              </w:rPr>
              <w:t>العاشر</w:t>
            </w:r>
            <w:r>
              <w:rPr>
                <w:rStyle w:val="IndexLink"/>
                <w:rtl w:val="true"/>
              </w:rPr>
              <w:t>:</w:t>
            </w:r>
            <w:r>
              <w:rPr>
                <w:rStyle w:val="IndexLink"/>
                <w:rtl w:val="true"/>
              </w:rPr>
              <w:t>لو ولدت و لم تر الدّم إلى خمسة عشر يوما،ثمَّ رأته،فعندنا ليس بنفاس</w:t>
            </w:r>
            <w:r>
              <w:rPr>
                <w:rStyle w:val="IndexLink"/>
                <w:rtl w:val="true"/>
              </w:rPr>
              <w:tab/>
            </w:r>
            <w:r>
              <w:rPr>
                <w:rStyle w:val="IndexLink"/>
              </w:rPr>
              <w:t>462</w:t>
            </w:r>
          </w:hyperlink>
        </w:p>
        <w:p>
          <w:pPr>
            <w:pStyle w:val="Contents6"/>
            <w:tabs>
              <w:tab w:val="clear" w:pos="7609"/>
              <w:tab w:val="right" w:pos="9026" w:leader="dot"/>
            </w:tabs>
            <w:rPr/>
          </w:pPr>
          <w:hyperlink w:anchor="__RefHeading___Toc796227_222507752">
            <w:r>
              <w:rPr>
                <w:webHidden/>
                <w:rStyle w:val="IndexLink"/>
                <w:rtl w:val="true"/>
              </w:rPr>
              <w:t>الحادي عشر</w:t>
            </w:r>
            <w:r>
              <w:rPr>
                <w:rStyle w:val="IndexLink"/>
                <w:rtl w:val="true"/>
              </w:rPr>
              <w:t>:</w:t>
            </w:r>
            <w:r>
              <w:rPr>
                <w:rStyle w:val="IndexLink"/>
                <w:rtl w:val="true"/>
              </w:rPr>
              <w:t>لا اعتبار بعادتها في النّفاس عندنا</w:t>
            </w:r>
            <w:r>
              <w:rPr>
                <w:rStyle w:val="IndexLink"/>
                <w:rtl w:val="true"/>
              </w:rPr>
              <w:tab/>
            </w:r>
            <w:r>
              <w:rPr>
                <w:rStyle w:val="IndexLink"/>
              </w:rPr>
              <w:t>462</w:t>
            </w:r>
          </w:hyperlink>
        </w:p>
        <w:p>
          <w:pPr>
            <w:pStyle w:val="Contents6"/>
            <w:tabs>
              <w:tab w:val="clear" w:pos="7609"/>
              <w:tab w:val="right" w:pos="9026" w:leader="dot"/>
            </w:tabs>
            <w:rPr/>
          </w:pPr>
          <w:hyperlink w:anchor="__RefHeading___Toc796229_222507752">
            <w:r>
              <w:rPr>
                <w:webHidden/>
                <w:rStyle w:val="IndexLink"/>
                <w:rtl w:val="true"/>
              </w:rPr>
              <w:t>الثّاني عشر</w:t>
            </w:r>
            <w:r>
              <w:rPr>
                <w:rStyle w:val="IndexLink"/>
                <w:rtl w:val="true"/>
              </w:rPr>
              <w:t>:</w:t>
            </w:r>
            <w:r>
              <w:rPr>
                <w:rStyle w:val="IndexLink"/>
                <w:rtl w:val="true"/>
              </w:rPr>
              <w:t>القائلون باعتبار العادة فيه،اختلفوا فيما يزيد عليها،</w:t>
            </w:r>
            <w:r>
              <w:rPr>
                <w:rStyle w:val="IndexLink"/>
                <w:rtl w:val="true"/>
              </w:rPr>
              <w:tab/>
            </w:r>
            <w:r>
              <w:rPr>
                <w:rStyle w:val="IndexLink"/>
              </w:rPr>
              <w:t>462</w:t>
            </w:r>
          </w:hyperlink>
        </w:p>
        <w:p>
          <w:pPr>
            <w:pStyle w:val="Contents6"/>
            <w:tabs>
              <w:tab w:val="clear" w:pos="7609"/>
              <w:tab w:val="right" w:pos="9026" w:leader="dot"/>
            </w:tabs>
            <w:rPr/>
          </w:pPr>
          <w:hyperlink w:anchor="__RefHeading___Toc796231_222507752">
            <w:r>
              <w:rPr>
                <w:webHidden/>
                <w:rStyle w:val="IndexLink"/>
                <w:rtl w:val="true"/>
              </w:rPr>
              <w:t>الثّالث عشر</w:t>
            </w:r>
            <w:r>
              <w:rPr>
                <w:rStyle w:val="IndexLink"/>
                <w:rtl w:val="true"/>
              </w:rPr>
              <w:t>:</w:t>
            </w:r>
            <w:r>
              <w:rPr>
                <w:rStyle w:val="IndexLink"/>
                <w:rtl w:val="true"/>
              </w:rPr>
              <w:t>لو ولدت توأمين فما بعد الثّاني نفاس قطعا،</w:t>
            </w:r>
            <w:r>
              <w:rPr>
                <w:rStyle w:val="IndexLink"/>
                <w:rtl w:val="true"/>
              </w:rPr>
              <w:tab/>
            </w:r>
            <w:r>
              <w:rPr>
                <w:rStyle w:val="IndexLink"/>
              </w:rPr>
              <w:t>463</w:t>
            </w:r>
          </w:hyperlink>
        </w:p>
        <w:p>
          <w:pPr>
            <w:pStyle w:val="Contents5"/>
            <w:tabs>
              <w:tab w:val="clear" w:pos="7892"/>
              <w:tab w:val="right" w:pos="9026" w:leader="dot"/>
            </w:tabs>
            <w:rPr/>
          </w:pPr>
          <w:hyperlink w:anchor="__RefHeading___Toc796233_222507752">
            <w:r>
              <w:rPr>
                <w:webHidden/>
                <w:rStyle w:val="IndexLink"/>
                <w:rtl w:val="true"/>
              </w:rPr>
              <w:t>مسألة</w:t>
            </w:r>
            <w:r>
              <w:rPr>
                <w:rStyle w:val="IndexLink"/>
                <w:rtl w:val="true"/>
              </w:rPr>
              <w:t>:</w:t>
            </w:r>
            <w:r>
              <w:rPr>
                <w:rStyle w:val="IndexLink"/>
                <w:rtl w:val="true"/>
              </w:rPr>
              <w:t>و حكم النّفساء حكم الحائض</w:t>
            </w:r>
            <w:r>
              <w:rPr>
                <w:rStyle w:val="IndexLink"/>
                <w:rtl w:val="true"/>
              </w:rPr>
              <w:tab/>
            </w:r>
            <w:r>
              <w:rPr>
                <w:rStyle w:val="IndexLink"/>
              </w:rPr>
              <w:t>464</w:t>
            </w:r>
          </w:hyperlink>
        </w:p>
        <w:p>
          <w:pPr>
            <w:pStyle w:val="Contents5"/>
            <w:tabs>
              <w:tab w:val="clear" w:pos="7892"/>
              <w:tab w:val="right" w:pos="9026" w:leader="dot"/>
            </w:tabs>
            <w:rPr/>
          </w:pPr>
          <w:hyperlink w:anchor="__RefHeading___Toc796235_222507752">
            <w:r>
              <w:rPr>
                <w:webHidden/>
                <w:rStyle w:val="IndexLink"/>
                <w:rtl w:val="true"/>
              </w:rPr>
              <w:t>مسألة</w:t>
            </w:r>
            <w:r>
              <w:rPr>
                <w:rStyle w:val="IndexLink"/>
                <w:rtl w:val="true"/>
              </w:rPr>
              <w:t>:</w:t>
            </w:r>
            <w:r>
              <w:rPr>
                <w:rStyle w:val="IndexLink"/>
                <w:rtl w:val="true"/>
              </w:rPr>
              <w:t>و غسلها واجب،</w:t>
            </w:r>
            <w:r>
              <w:rPr>
                <w:rStyle w:val="IndexLink"/>
                <w:rtl w:val="true"/>
              </w:rPr>
              <w:tab/>
            </w:r>
            <w:r>
              <w:rPr>
                <w:rStyle w:val="IndexLink"/>
              </w:rPr>
              <w:t>466</w:t>
            </w:r>
          </w:hyperlink>
        </w:p>
        <w:p>
          <w:pPr>
            <w:pStyle w:val="Contents6"/>
            <w:tabs>
              <w:tab w:val="clear" w:pos="7609"/>
              <w:tab w:val="right" w:pos="9026" w:leader="dot"/>
            </w:tabs>
            <w:rPr/>
          </w:pPr>
          <w:hyperlink w:anchor="__RefHeading___Toc796237_222507752">
            <w:r>
              <w:rPr>
                <w:webHidden/>
                <w:rStyle w:val="IndexLink"/>
                <w:rtl w:val="true"/>
              </w:rPr>
              <w:t>اشارة</w:t>
            </w:r>
            <w:r>
              <w:rPr>
                <w:rStyle w:val="IndexLink"/>
                <w:rtl w:val="true"/>
              </w:rPr>
              <w:tab/>
            </w:r>
            <w:r>
              <w:rPr>
                <w:rStyle w:val="IndexLink"/>
              </w:rPr>
              <w:t>466</w:t>
            </w:r>
          </w:hyperlink>
        </w:p>
        <w:p>
          <w:pPr>
            <w:pStyle w:val="Contents6"/>
            <w:tabs>
              <w:tab w:val="clear" w:pos="7609"/>
              <w:tab w:val="right" w:pos="9026" w:leader="dot"/>
            </w:tabs>
            <w:rPr/>
          </w:pPr>
          <w:hyperlink w:anchor="__RefHeading___Toc796239_222507752">
            <w:r>
              <w:rPr>
                <w:webHidden/>
                <w:rStyle w:val="IndexLink"/>
                <w:rtl w:val="true"/>
              </w:rPr>
              <w:t>تذنيب</w:t>
            </w:r>
            <w:r>
              <w:rPr>
                <w:rStyle w:val="IndexLink"/>
                <w:rtl w:val="true"/>
              </w:rPr>
              <w:t>:</w:t>
            </w:r>
            <w:r>
              <w:rPr>
                <w:rStyle w:val="IndexLink"/>
                <w:rtl w:val="true"/>
              </w:rPr>
              <w:t>لو طهرت،ثمَّ ولدت و لم تر دما لم تنتقض طهارتها،</w:t>
            </w:r>
            <w:r>
              <w:rPr>
                <w:rStyle w:val="IndexLink"/>
                <w:rtl w:val="true"/>
              </w:rPr>
              <w:tab/>
            </w:r>
            <w:r>
              <w:rPr>
                <w:rStyle w:val="IndexLink"/>
              </w:rPr>
              <w:t>467</w:t>
            </w:r>
          </w:hyperlink>
        </w:p>
        <w:p>
          <w:pPr>
            <w:pStyle w:val="Contents4"/>
            <w:tabs>
              <w:tab w:val="clear" w:pos="8176"/>
              <w:tab w:val="right" w:pos="9026" w:leader="dot"/>
            </w:tabs>
            <w:rPr/>
          </w:pPr>
          <w:hyperlink w:anchor="__RefHeading___Toc796241_222507752">
            <w:r>
              <w:rPr>
                <w:webHidden/>
                <w:rStyle w:val="IndexLink"/>
                <w:rtl w:val="true"/>
              </w:rPr>
              <w:t>الفصل الخامس</w:t>
            </w:r>
            <w:r>
              <w:rPr>
                <w:rStyle w:val="IndexLink"/>
                <w:rtl w:val="true"/>
              </w:rPr>
              <w:t>:</w:t>
            </w:r>
            <w:r>
              <w:rPr>
                <w:rStyle w:val="IndexLink"/>
                <w:rtl w:val="true"/>
              </w:rPr>
              <w:t>في غسل مسّ الأموات</w:t>
            </w:r>
            <w:r>
              <w:rPr>
                <w:rStyle w:val="IndexLink"/>
                <w:rtl w:val="true"/>
              </w:rPr>
              <w:tab/>
            </w:r>
            <w:r>
              <w:rPr>
                <w:rStyle w:val="IndexLink"/>
              </w:rPr>
              <w:t>467</w:t>
            </w:r>
          </w:hyperlink>
        </w:p>
        <w:p>
          <w:pPr>
            <w:pStyle w:val="Contents5"/>
            <w:tabs>
              <w:tab w:val="clear" w:pos="7892"/>
              <w:tab w:val="right" w:pos="9026" w:leader="dot"/>
            </w:tabs>
            <w:rPr/>
          </w:pPr>
          <w:hyperlink w:anchor="__RefHeading___Toc796243_222507752">
            <w:r>
              <w:rPr>
                <w:webHidden/>
                <w:rStyle w:val="IndexLink"/>
                <w:rtl w:val="true"/>
              </w:rPr>
              <w:t>مسألة</w:t>
            </w:r>
            <w:r>
              <w:rPr>
                <w:rStyle w:val="IndexLink"/>
                <w:rtl w:val="true"/>
              </w:rPr>
              <w:t>:</w:t>
            </w:r>
            <w:r>
              <w:rPr>
                <w:rStyle w:val="IndexLink"/>
                <w:rtl w:val="true"/>
              </w:rPr>
              <w:t>و يجب الغسل على من مسّ ميّتا</w:t>
            </w:r>
            <w:r>
              <w:rPr>
                <w:rStyle w:val="IndexLink"/>
                <w:rtl w:val="true"/>
              </w:rPr>
              <w:tab/>
            </w:r>
            <w:r>
              <w:rPr>
                <w:rStyle w:val="IndexLink"/>
              </w:rPr>
              <w:t>467</w:t>
            </w:r>
          </w:hyperlink>
        </w:p>
        <w:p>
          <w:pPr>
            <w:pStyle w:val="Contents6"/>
            <w:tabs>
              <w:tab w:val="clear" w:pos="7609"/>
              <w:tab w:val="right" w:pos="9026" w:leader="dot"/>
            </w:tabs>
            <w:rPr/>
          </w:pPr>
          <w:hyperlink w:anchor="__RefHeading___Toc796245_222507752">
            <w:r>
              <w:rPr>
                <w:webHidden/>
                <w:rStyle w:val="IndexLink"/>
                <w:rtl w:val="true"/>
              </w:rPr>
              <w:t>اشارة</w:t>
            </w:r>
            <w:r>
              <w:rPr>
                <w:rStyle w:val="IndexLink"/>
                <w:rtl w:val="true"/>
              </w:rPr>
              <w:tab/>
            </w:r>
            <w:r>
              <w:rPr>
                <w:rStyle w:val="IndexLink"/>
              </w:rPr>
              <w:t>467</w:t>
            </w:r>
          </w:hyperlink>
        </w:p>
        <w:p>
          <w:pPr>
            <w:pStyle w:val="Contents6"/>
            <w:tabs>
              <w:tab w:val="clear" w:pos="7609"/>
              <w:tab w:val="right" w:pos="9026" w:leader="dot"/>
            </w:tabs>
            <w:rPr/>
          </w:pPr>
          <w:hyperlink w:anchor="__RefHeading___Toc796247_222507752">
            <w:r>
              <w:rPr>
                <w:webHidden/>
                <w:rStyle w:val="IndexLink"/>
                <w:rtl w:val="true"/>
              </w:rPr>
              <w:t>فروع</w:t>
            </w:r>
            <w:r>
              <w:rPr>
                <w:rStyle w:val="IndexLink"/>
                <w:rtl w:val="true"/>
              </w:rPr>
              <w:t>:</w:t>
              <w:tab/>
            </w:r>
            <w:r>
              <w:rPr>
                <w:rStyle w:val="IndexLink"/>
              </w:rPr>
              <w:t>471</w:t>
            </w:r>
          </w:hyperlink>
        </w:p>
        <w:p>
          <w:pPr>
            <w:pStyle w:val="Contents6"/>
            <w:tabs>
              <w:tab w:val="clear" w:pos="7609"/>
              <w:tab w:val="right" w:pos="9026" w:leader="dot"/>
            </w:tabs>
            <w:rPr/>
          </w:pPr>
          <w:hyperlink w:anchor="__RefHeading___Toc796249_222507752">
            <w:r>
              <w:rPr>
                <w:webHidden/>
                <w:rStyle w:val="IndexLink"/>
                <w:rtl w:val="true"/>
              </w:rPr>
              <w:t>الأوّل</w:t>
            </w:r>
            <w:r>
              <w:rPr>
                <w:rStyle w:val="IndexLink"/>
                <w:rtl w:val="true"/>
              </w:rPr>
              <w:t>:</w:t>
            </w:r>
            <w:r>
              <w:rPr>
                <w:rStyle w:val="IndexLink"/>
                <w:rtl w:val="true"/>
              </w:rPr>
              <w:t>يجب الغسل على الغاسل و من مسّه بغير الغسل،</w:t>
            </w:r>
            <w:r>
              <w:rPr>
                <w:rStyle w:val="IndexLink"/>
                <w:rtl w:val="true"/>
              </w:rPr>
              <w:tab/>
            </w:r>
            <w:r>
              <w:rPr>
                <w:rStyle w:val="IndexLink"/>
              </w:rPr>
              <w:t>471</w:t>
            </w:r>
          </w:hyperlink>
        </w:p>
        <w:p>
          <w:pPr>
            <w:pStyle w:val="Contents6"/>
            <w:tabs>
              <w:tab w:val="clear" w:pos="7609"/>
              <w:tab w:val="right" w:pos="9026" w:leader="dot"/>
            </w:tabs>
            <w:rPr/>
          </w:pPr>
          <w:hyperlink w:anchor="__RefHeading___Toc796251_222507752">
            <w:r>
              <w:rPr>
                <w:webHidden/>
                <w:rStyle w:val="IndexLink"/>
                <w:rtl w:val="true"/>
              </w:rPr>
              <w:t>الثّاني</w:t>
            </w:r>
            <w:r>
              <w:rPr>
                <w:rStyle w:val="IndexLink"/>
                <w:rtl w:val="true"/>
              </w:rPr>
              <w:t>:</w:t>
            </w:r>
            <w:r>
              <w:rPr>
                <w:rStyle w:val="IndexLink"/>
                <w:rtl w:val="true"/>
              </w:rPr>
              <w:t>لا فرق في اللّمس بين أن يكون أحدهما رطبا أو كلاهما يابسين</w:t>
            </w:r>
            <w:r>
              <w:rPr>
                <w:rStyle w:val="IndexLink"/>
                <w:rtl w:val="true"/>
              </w:rPr>
              <w:tab/>
            </w:r>
            <w:r>
              <w:rPr>
                <w:rStyle w:val="IndexLink"/>
              </w:rPr>
              <w:t>471</w:t>
            </w:r>
          </w:hyperlink>
        </w:p>
        <w:p>
          <w:pPr>
            <w:pStyle w:val="Contents6"/>
            <w:tabs>
              <w:tab w:val="clear" w:pos="7609"/>
              <w:tab w:val="right" w:pos="9026" w:leader="dot"/>
            </w:tabs>
            <w:rPr/>
          </w:pPr>
          <w:hyperlink w:anchor="__RefHeading___Toc796253_222507752">
            <w:r>
              <w:rPr>
                <w:webHidden/>
                <w:rStyle w:val="IndexLink"/>
                <w:rtl w:val="true"/>
              </w:rPr>
              <w:t>الثّالث</w:t>
            </w:r>
            <w:r>
              <w:rPr>
                <w:rStyle w:val="IndexLink"/>
                <w:rtl w:val="true"/>
              </w:rPr>
              <w:t>:</w:t>
            </w:r>
            <w:r>
              <w:rPr>
                <w:rStyle w:val="IndexLink"/>
                <w:rtl w:val="true"/>
              </w:rPr>
              <w:t>لو مسّه رطبا ينجس نجاسة عينيّة،</w:t>
            </w:r>
            <w:r>
              <w:rPr>
                <w:rStyle w:val="IndexLink"/>
                <w:rtl w:val="true"/>
              </w:rPr>
              <w:tab/>
            </w:r>
            <w:r>
              <w:rPr>
                <w:rStyle w:val="IndexLink"/>
              </w:rPr>
              <w:t>471</w:t>
            </w:r>
          </w:hyperlink>
        </w:p>
        <w:p>
          <w:pPr>
            <w:pStyle w:val="Contents5"/>
            <w:tabs>
              <w:tab w:val="clear" w:pos="7892"/>
              <w:tab w:val="right" w:pos="9026" w:leader="dot"/>
            </w:tabs>
            <w:rPr/>
          </w:pPr>
          <w:hyperlink w:anchor="__RefHeading___Toc796255_222507752">
            <w:r>
              <w:rPr>
                <w:webHidden/>
                <w:rStyle w:val="IndexLink"/>
                <w:rtl w:val="true"/>
              </w:rPr>
              <w:t>مسألة</w:t>
            </w:r>
            <w:r>
              <w:rPr>
                <w:rStyle w:val="IndexLink"/>
                <w:rtl w:val="true"/>
              </w:rPr>
              <w:t>:</w:t>
            </w:r>
            <w:r>
              <w:rPr>
                <w:rStyle w:val="IndexLink"/>
                <w:rtl w:val="true"/>
              </w:rPr>
              <w:t>و لا يجب الغسل لو مسّه بعد تطهيره بالغسل و لا قبل برده بالموت،</w:t>
            </w:r>
            <w:r>
              <w:rPr>
                <w:rStyle w:val="IndexLink"/>
                <w:rtl w:val="true"/>
              </w:rPr>
              <w:tab/>
            </w:r>
            <w:r>
              <w:rPr>
                <w:rStyle w:val="IndexLink"/>
              </w:rPr>
              <w:t>471</w:t>
            </w:r>
          </w:hyperlink>
        </w:p>
        <w:p>
          <w:pPr>
            <w:pStyle w:val="Contents6"/>
            <w:tabs>
              <w:tab w:val="clear" w:pos="7609"/>
              <w:tab w:val="right" w:pos="9026" w:leader="dot"/>
            </w:tabs>
            <w:rPr/>
          </w:pPr>
          <w:hyperlink w:anchor="__RefHeading___Toc796257_222507752">
            <w:r>
              <w:rPr>
                <w:webHidden/>
                <w:rStyle w:val="IndexLink"/>
                <w:rtl w:val="true"/>
              </w:rPr>
              <w:t>اشارة</w:t>
            </w:r>
            <w:r>
              <w:rPr>
                <w:rStyle w:val="IndexLink"/>
                <w:rtl w:val="true"/>
              </w:rPr>
              <w:tab/>
            </w:r>
            <w:r>
              <w:rPr>
                <w:rStyle w:val="IndexLink"/>
              </w:rPr>
              <w:t>471</w:t>
            </w:r>
          </w:hyperlink>
        </w:p>
        <w:p>
          <w:pPr>
            <w:pStyle w:val="Contents6"/>
            <w:tabs>
              <w:tab w:val="clear" w:pos="7609"/>
              <w:tab w:val="right" w:pos="9026" w:leader="dot"/>
            </w:tabs>
            <w:rPr/>
          </w:pPr>
          <w:hyperlink w:anchor="__RefHeading___Toc796259_222507752">
            <w:r>
              <w:rPr>
                <w:webHidden/>
                <w:rStyle w:val="IndexLink"/>
                <w:rtl w:val="true"/>
              </w:rPr>
              <w:t>فروع</w:t>
            </w:r>
            <w:r>
              <w:rPr>
                <w:rStyle w:val="IndexLink"/>
                <w:rtl w:val="true"/>
              </w:rPr>
              <w:t>:</w:t>
              <w:tab/>
            </w:r>
            <w:r>
              <w:rPr>
                <w:rStyle w:val="IndexLink"/>
              </w:rPr>
              <w:t>472</w:t>
            </w:r>
          </w:hyperlink>
        </w:p>
        <w:p>
          <w:pPr>
            <w:pStyle w:val="Contents6"/>
            <w:tabs>
              <w:tab w:val="clear" w:pos="7609"/>
              <w:tab w:val="right" w:pos="9026" w:leader="dot"/>
            </w:tabs>
            <w:rPr/>
          </w:pPr>
          <w:hyperlink w:anchor="__RefHeading___Toc796261_222507752">
            <w:r>
              <w:rPr>
                <w:webHidden/>
                <w:rStyle w:val="IndexLink"/>
                <w:rtl w:val="true"/>
              </w:rPr>
              <w:t>الأوّل</w:t>
            </w:r>
            <w:r>
              <w:rPr>
                <w:rStyle w:val="IndexLink"/>
                <w:rtl w:val="true"/>
              </w:rPr>
              <w:t>:</w:t>
            </w:r>
            <w:r>
              <w:rPr>
                <w:rStyle w:val="IndexLink"/>
                <w:rtl w:val="true"/>
              </w:rPr>
              <w:t>قال الشّيخ في المبسوط</w:t>
            </w:r>
            <w:r>
              <w:rPr>
                <w:rStyle w:val="IndexLink"/>
                <w:rtl w:val="true"/>
              </w:rPr>
              <w:t>:</w:t>
            </w:r>
            <w:r>
              <w:rPr>
                <w:rStyle w:val="IndexLink"/>
                <w:rtl w:val="true"/>
              </w:rPr>
              <w:t>لو مسّه قبل برده لم يجب الغسل</w:t>
            </w:r>
            <w:r>
              <w:rPr>
                <w:rStyle w:val="IndexLink"/>
                <w:rtl w:val="true"/>
              </w:rPr>
              <w:tab/>
            </w:r>
            <w:r>
              <w:rPr>
                <w:rStyle w:val="IndexLink"/>
              </w:rPr>
              <w:t>472</w:t>
            </w:r>
          </w:hyperlink>
        </w:p>
        <w:p>
          <w:pPr>
            <w:pStyle w:val="Contents6"/>
            <w:tabs>
              <w:tab w:val="clear" w:pos="7609"/>
              <w:tab w:val="right" w:pos="9026" w:leader="dot"/>
            </w:tabs>
            <w:rPr/>
          </w:pPr>
          <w:hyperlink w:anchor="__RefHeading___Toc796263_222507752">
            <w:r>
              <w:rPr>
                <w:webHidden/>
                <w:rStyle w:val="IndexLink"/>
                <w:rtl w:val="true"/>
              </w:rPr>
              <w:t>الثّاني</w:t>
            </w:r>
            <w:r>
              <w:rPr>
                <w:rStyle w:val="IndexLink"/>
                <w:rtl w:val="true"/>
              </w:rPr>
              <w:t>:</w:t>
            </w:r>
            <w:r>
              <w:rPr>
                <w:rStyle w:val="IndexLink"/>
                <w:rtl w:val="true"/>
              </w:rPr>
              <w:t>الأقرب في الشّهيد انّه لا يجب الغسل بمسّه،</w:t>
            </w:r>
            <w:r>
              <w:rPr>
                <w:rStyle w:val="IndexLink"/>
                <w:rtl w:val="true"/>
              </w:rPr>
              <w:tab/>
            </w:r>
            <w:r>
              <w:rPr>
                <w:rStyle w:val="IndexLink"/>
              </w:rPr>
              <w:t>472</w:t>
            </w:r>
          </w:hyperlink>
        </w:p>
        <w:p>
          <w:pPr>
            <w:pStyle w:val="Contents6"/>
            <w:tabs>
              <w:tab w:val="clear" w:pos="7609"/>
              <w:tab w:val="right" w:pos="9026" w:leader="dot"/>
            </w:tabs>
            <w:rPr/>
          </w:pPr>
          <w:hyperlink w:anchor="__RefHeading___Toc796265_222507752">
            <w:r>
              <w:rPr>
                <w:webHidden/>
                <w:rStyle w:val="IndexLink"/>
                <w:rtl w:val="true"/>
              </w:rPr>
              <w:t>الثّالث</w:t>
            </w:r>
            <w:r>
              <w:rPr>
                <w:rStyle w:val="IndexLink"/>
                <w:rtl w:val="true"/>
              </w:rPr>
              <w:t>:</w:t>
            </w:r>
            <w:r>
              <w:rPr>
                <w:rStyle w:val="IndexLink"/>
                <w:rtl w:val="true"/>
              </w:rPr>
              <w:t>المقتول قودا،أو مرجوما،أو حدّا،إذا فعل ما أمر به من الغسل،هل</w:t>
            </w:r>
            <w:r>
              <w:rPr>
                <w:rStyle w:val="IndexLink"/>
                <w:rtl w:val="true"/>
              </w:rPr>
              <w:tab/>
            </w:r>
            <w:r>
              <w:rPr>
                <w:rStyle w:val="IndexLink"/>
              </w:rPr>
              <w:t>472</w:t>
            </w:r>
          </w:hyperlink>
        </w:p>
        <w:p>
          <w:pPr>
            <w:pStyle w:val="Contents6"/>
            <w:tabs>
              <w:tab w:val="clear" w:pos="7609"/>
              <w:tab w:val="right" w:pos="9026" w:leader="dot"/>
            </w:tabs>
            <w:rPr/>
          </w:pPr>
          <w:hyperlink w:anchor="__RefHeading___Toc796267_222507752">
            <w:r>
              <w:rPr>
                <w:webHidden/>
                <w:rStyle w:val="IndexLink"/>
                <w:rtl w:val="true"/>
              </w:rPr>
              <w:t>الرّابع</w:t>
            </w:r>
            <w:r>
              <w:rPr>
                <w:rStyle w:val="IndexLink"/>
                <w:rtl w:val="true"/>
              </w:rPr>
              <w:t>:</w:t>
            </w:r>
            <w:r>
              <w:rPr>
                <w:rStyle w:val="IndexLink"/>
                <w:rtl w:val="true"/>
              </w:rPr>
              <w:t>السّقط الّذي لدون أربعة أشهر لا يجب بمسّه الغسل</w:t>
            </w:r>
            <w:r>
              <w:rPr>
                <w:rStyle w:val="IndexLink"/>
                <w:rtl w:val="true"/>
              </w:rPr>
              <w:t>.</w:t>
              <w:tab/>
            </w:r>
            <w:r>
              <w:rPr>
                <w:rStyle w:val="IndexLink"/>
              </w:rPr>
              <w:t>472</w:t>
            </w:r>
          </w:hyperlink>
        </w:p>
        <w:p>
          <w:pPr>
            <w:pStyle w:val="Contents6"/>
            <w:tabs>
              <w:tab w:val="clear" w:pos="7609"/>
              <w:tab w:val="right" w:pos="9026" w:leader="dot"/>
            </w:tabs>
            <w:rPr/>
          </w:pPr>
          <w:hyperlink w:anchor="__RefHeading___Toc796269_222507752">
            <w:r>
              <w:rPr>
                <w:webHidden/>
                <w:rStyle w:val="IndexLink"/>
                <w:rtl w:val="true"/>
              </w:rPr>
              <w:t>الخامس</w:t>
            </w:r>
            <w:r>
              <w:rPr>
                <w:rStyle w:val="IndexLink"/>
                <w:rtl w:val="true"/>
              </w:rPr>
              <w:t>:</w:t>
            </w:r>
            <w:r>
              <w:rPr>
                <w:rStyle w:val="IndexLink"/>
                <w:rtl w:val="true"/>
              </w:rPr>
              <w:t>الأقرب انّ الغسل يجب بمسّ الكافر،</w:t>
            </w:r>
            <w:r>
              <w:rPr>
                <w:rStyle w:val="IndexLink"/>
                <w:rtl w:val="true"/>
              </w:rPr>
              <w:tab/>
            </w:r>
            <w:r>
              <w:rPr>
                <w:rStyle w:val="IndexLink"/>
              </w:rPr>
              <w:t>473</w:t>
            </w:r>
          </w:hyperlink>
        </w:p>
        <w:p>
          <w:pPr>
            <w:pStyle w:val="Contents6"/>
            <w:tabs>
              <w:tab w:val="clear" w:pos="7609"/>
              <w:tab w:val="right" w:pos="9026" w:leader="dot"/>
            </w:tabs>
            <w:rPr/>
          </w:pPr>
          <w:hyperlink w:anchor="__RefHeading___Toc796271_222507752">
            <w:r>
              <w:rPr>
                <w:webHidden/>
                <w:rStyle w:val="IndexLink"/>
                <w:rtl w:val="true"/>
              </w:rPr>
              <w:t>السّادس</w:t>
            </w:r>
            <w:r>
              <w:rPr>
                <w:rStyle w:val="IndexLink"/>
                <w:rtl w:val="true"/>
              </w:rPr>
              <w:t>:</w:t>
            </w:r>
            <w:r>
              <w:rPr>
                <w:rStyle w:val="IndexLink"/>
                <w:rtl w:val="true"/>
              </w:rPr>
              <w:t>لو تعذّر الماء فيمّم الميّت وجب على من مسّه بعده الغسل،</w:t>
            </w:r>
            <w:r>
              <w:rPr>
                <w:rStyle w:val="IndexLink"/>
                <w:rtl w:val="true"/>
              </w:rPr>
              <w:tab/>
            </w:r>
            <w:r>
              <w:rPr>
                <w:rStyle w:val="IndexLink"/>
              </w:rPr>
              <w:t>473</w:t>
            </w:r>
          </w:hyperlink>
        </w:p>
        <w:p>
          <w:pPr>
            <w:pStyle w:val="Contents5"/>
            <w:tabs>
              <w:tab w:val="clear" w:pos="7892"/>
              <w:tab w:val="right" w:pos="9026" w:leader="dot"/>
            </w:tabs>
            <w:rPr/>
          </w:pPr>
          <w:hyperlink w:anchor="__RefHeading___Toc796273_222507752">
            <w:r>
              <w:rPr>
                <w:webHidden/>
                <w:rStyle w:val="IndexLink"/>
                <w:rtl w:val="true"/>
              </w:rPr>
              <w:t>مسألة</w:t>
            </w:r>
            <w:r>
              <w:rPr>
                <w:rStyle w:val="IndexLink"/>
                <w:rtl w:val="true"/>
              </w:rPr>
              <w:t>:</w:t>
            </w:r>
            <w:r>
              <w:rPr>
                <w:rStyle w:val="IndexLink"/>
                <w:rtl w:val="true"/>
              </w:rPr>
              <w:t>و يجب الغسل بمسّ قطعة من الميّت ذات عظم</w:t>
            </w:r>
            <w:r>
              <w:rPr>
                <w:rStyle w:val="IndexLink"/>
                <w:rtl w:val="true"/>
              </w:rPr>
              <w:tab/>
            </w:r>
            <w:r>
              <w:rPr>
                <w:rStyle w:val="IndexLink"/>
              </w:rPr>
              <w:t>473</w:t>
            </w:r>
          </w:hyperlink>
        </w:p>
        <w:p>
          <w:pPr>
            <w:pStyle w:val="Contents5"/>
            <w:tabs>
              <w:tab w:val="clear" w:pos="7892"/>
              <w:tab w:val="right" w:pos="9026" w:leader="dot"/>
            </w:tabs>
            <w:rPr/>
          </w:pPr>
          <w:hyperlink w:anchor="__RefHeading___Toc796275_222507752">
            <w:r>
              <w:rPr>
                <w:webHidden/>
                <w:rStyle w:val="IndexLink"/>
                <w:rtl w:val="true"/>
              </w:rPr>
              <w:t>مسألة</w:t>
            </w:r>
            <w:r>
              <w:rPr>
                <w:rStyle w:val="IndexLink"/>
                <w:rtl w:val="true"/>
              </w:rPr>
              <w:t>:</w:t>
            </w:r>
            <w:r>
              <w:rPr>
                <w:rStyle w:val="IndexLink"/>
                <w:rtl w:val="true"/>
              </w:rPr>
              <w:t>و لو مسّ ميّتا من غير النّاس لم يجب الغسل</w:t>
            </w:r>
            <w:r>
              <w:rPr>
                <w:rStyle w:val="IndexLink"/>
                <w:rtl w:val="true"/>
              </w:rPr>
              <w:tab/>
            </w:r>
            <w:r>
              <w:rPr>
                <w:rStyle w:val="IndexLink"/>
              </w:rPr>
              <w:t>473</w:t>
            </w:r>
          </w:hyperlink>
        </w:p>
        <w:p>
          <w:pPr>
            <w:pStyle w:val="Contents6"/>
            <w:tabs>
              <w:tab w:val="clear" w:pos="7609"/>
              <w:tab w:val="right" w:pos="9026" w:leader="dot"/>
            </w:tabs>
            <w:rPr/>
          </w:pPr>
          <w:hyperlink w:anchor="__RefHeading___Toc796277_222507752">
            <w:r>
              <w:rPr>
                <w:webHidden/>
                <w:rStyle w:val="IndexLink"/>
                <w:rtl w:val="true"/>
              </w:rPr>
              <w:t>اشارة</w:t>
            </w:r>
            <w:r>
              <w:rPr>
                <w:rStyle w:val="IndexLink"/>
                <w:rtl w:val="true"/>
              </w:rPr>
              <w:tab/>
            </w:r>
            <w:r>
              <w:rPr>
                <w:rStyle w:val="IndexLink"/>
              </w:rPr>
              <w:t>473</w:t>
            </w:r>
          </w:hyperlink>
        </w:p>
        <w:p>
          <w:pPr>
            <w:pStyle w:val="Contents6"/>
            <w:tabs>
              <w:tab w:val="clear" w:pos="7609"/>
              <w:tab w:val="right" w:pos="9026" w:leader="dot"/>
            </w:tabs>
            <w:rPr/>
          </w:pPr>
          <w:hyperlink w:anchor="__RefHeading___Toc796279_222507752">
            <w:r>
              <w:rPr>
                <w:webHidden/>
                <w:rStyle w:val="IndexLink"/>
                <w:rtl w:val="true"/>
              </w:rPr>
              <w:t>فروع</w:t>
            </w:r>
            <w:r>
              <w:rPr>
                <w:rStyle w:val="IndexLink"/>
                <w:rtl w:val="true"/>
              </w:rPr>
              <w:t>:</w:t>
              <w:tab/>
            </w:r>
            <w:r>
              <w:rPr>
                <w:rStyle w:val="IndexLink"/>
              </w:rPr>
              <w:t>473</w:t>
            </w:r>
          </w:hyperlink>
        </w:p>
        <w:p>
          <w:pPr>
            <w:pStyle w:val="Contents6"/>
            <w:tabs>
              <w:tab w:val="clear" w:pos="7609"/>
              <w:tab w:val="right" w:pos="9026" w:leader="dot"/>
            </w:tabs>
            <w:rPr/>
          </w:pPr>
          <w:hyperlink w:anchor="__RefHeading___Toc796281_222507752">
            <w:r>
              <w:rPr>
                <w:webHidden/>
                <w:rStyle w:val="IndexLink"/>
                <w:rtl w:val="true"/>
              </w:rPr>
              <w:t>الأوّل</w:t>
            </w:r>
            <w:r>
              <w:rPr>
                <w:rStyle w:val="IndexLink"/>
                <w:rtl w:val="true"/>
              </w:rPr>
              <w:t>:</w:t>
            </w:r>
            <w:r>
              <w:rPr>
                <w:rStyle w:val="IndexLink"/>
                <w:rtl w:val="true"/>
              </w:rPr>
              <w:t>لو كانت الميتة غير ذات نفس سائلة لم تنجس بالموت</w:t>
            </w:r>
            <w:r>
              <w:rPr>
                <w:rStyle w:val="IndexLink"/>
                <w:rtl w:val="true"/>
              </w:rPr>
              <w:tab/>
            </w:r>
            <w:r>
              <w:rPr>
                <w:rStyle w:val="IndexLink"/>
              </w:rPr>
              <w:t>473</w:t>
            </w:r>
          </w:hyperlink>
        </w:p>
        <w:p>
          <w:pPr>
            <w:pStyle w:val="Contents6"/>
            <w:tabs>
              <w:tab w:val="clear" w:pos="7609"/>
              <w:tab w:val="right" w:pos="9026" w:leader="dot"/>
            </w:tabs>
            <w:rPr/>
          </w:pPr>
          <w:hyperlink w:anchor="__RefHeading___Toc796283_222507752">
            <w:r>
              <w:rPr>
                <w:webHidden/>
                <w:rStyle w:val="IndexLink"/>
                <w:rtl w:val="true"/>
              </w:rPr>
              <w:t>الثّاني</w:t>
            </w:r>
            <w:r>
              <w:rPr>
                <w:rStyle w:val="IndexLink"/>
                <w:rtl w:val="true"/>
              </w:rPr>
              <w:t>:</w:t>
            </w:r>
            <w:r>
              <w:rPr>
                <w:rStyle w:val="IndexLink"/>
                <w:rtl w:val="true"/>
              </w:rPr>
              <w:t>لا فرق بين أن يمسّ الميتة برطوبة أو لا في إيجاب غسل اليد خاصّة،</w:t>
            </w:r>
            <w:r>
              <w:rPr>
                <w:rStyle w:val="IndexLink"/>
                <w:rtl w:val="true"/>
              </w:rPr>
              <w:tab/>
            </w:r>
            <w:r>
              <w:rPr>
                <w:rStyle w:val="IndexLink"/>
              </w:rPr>
              <w:t>473</w:t>
            </w:r>
          </w:hyperlink>
        </w:p>
        <w:p>
          <w:pPr>
            <w:pStyle w:val="Contents6"/>
            <w:tabs>
              <w:tab w:val="clear" w:pos="7609"/>
              <w:tab w:val="right" w:pos="9026" w:leader="dot"/>
            </w:tabs>
            <w:rPr/>
          </w:pPr>
          <w:hyperlink w:anchor="__RefHeading___Toc796285_222507752">
            <w:r>
              <w:rPr>
                <w:webHidden/>
                <w:rStyle w:val="IndexLink"/>
                <w:rtl w:val="true"/>
              </w:rPr>
              <w:t>الثّالث</w:t>
            </w:r>
            <w:r>
              <w:rPr>
                <w:rStyle w:val="IndexLink"/>
                <w:rtl w:val="true"/>
              </w:rPr>
              <w:t>:</w:t>
            </w:r>
            <w:r>
              <w:rPr>
                <w:rStyle w:val="IndexLink"/>
                <w:rtl w:val="true"/>
              </w:rPr>
              <w:t>لو مسّ الصّوف المتّصل بها،أو الشّعر،أو الوبر ففي إيجاب غسل اليد</w:t>
            </w:r>
            <w:r>
              <w:rPr>
                <w:rStyle w:val="IndexLink"/>
                <w:rtl w:val="true"/>
              </w:rPr>
              <w:tab/>
            </w:r>
            <w:r>
              <w:rPr>
                <w:rStyle w:val="IndexLink"/>
              </w:rPr>
              <w:t>474</w:t>
            </w:r>
          </w:hyperlink>
        </w:p>
        <w:p>
          <w:pPr>
            <w:pStyle w:val="Contents6"/>
            <w:tabs>
              <w:tab w:val="clear" w:pos="7609"/>
              <w:tab w:val="right" w:pos="9026" w:leader="dot"/>
            </w:tabs>
            <w:rPr/>
          </w:pPr>
          <w:hyperlink w:anchor="__RefHeading___Toc796287_222507752">
            <w:r>
              <w:rPr>
                <w:webHidden/>
                <w:rStyle w:val="IndexLink"/>
                <w:rtl w:val="true"/>
              </w:rPr>
              <w:t>الرّابع</w:t>
            </w:r>
            <w:r>
              <w:rPr>
                <w:rStyle w:val="IndexLink"/>
                <w:rtl w:val="true"/>
              </w:rPr>
              <w:t>:</w:t>
            </w:r>
            <w:r>
              <w:rPr>
                <w:rStyle w:val="IndexLink"/>
                <w:rtl w:val="true"/>
              </w:rPr>
              <w:t>هل تنجس اليد لو كانت الميتة يابسة؟فيه نظر</w:t>
            </w:r>
            <w:r>
              <w:rPr>
                <w:rStyle w:val="IndexLink"/>
                <w:rtl w:val="true"/>
              </w:rPr>
              <w:tab/>
            </w:r>
            <w:r>
              <w:rPr>
                <w:rStyle w:val="IndexLink"/>
              </w:rPr>
              <w:t>474</w:t>
            </w:r>
          </w:hyperlink>
        </w:p>
        <w:p>
          <w:pPr>
            <w:pStyle w:val="Contents5"/>
            <w:tabs>
              <w:tab w:val="clear" w:pos="7892"/>
              <w:tab w:val="right" w:pos="9026" w:leader="dot"/>
            </w:tabs>
            <w:rPr/>
          </w:pPr>
          <w:hyperlink w:anchor="__RefHeading___Toc796289_222507752">
            <w:r>
              <w:rPr>
                <w:webHidden/>
                <w:rStyle w:val="IndexLink"/>
                <w:rtl w:val="true"/>
              </w:rPr>
              <w:t>مسألة</w:t>
            </w:r>
            <w:r>
              <w:rPr>
                <w:rStyle w:val="IndexLink"/>
                <w:rtl w:val="true"/>
              </w:rPr>
              <w:t>:</w:t>
            </w:r>
            <w:r>
              <w:rPr>
                <w:rStyle w:val="IndexLink"/>
                <w:rtl w:val="true"/>
              </w:rPr>
              <w:t>قال بعض الجمهور</w:t>
            </w:r>
            <w:r>
              <w:rPr>
                <w:rStyle w:val="IndexLink"/>
                <w:rtl w:val="true"/>
              </w:rPr>
              <w:t>:</w:t>
            </w:r>
            <w:r>
              <w:rPr>
                <w:rStyle w:val="IndexLink"/>
                <w:rtl w:val="true"/>
              </w:rPr>
              <w:t>يجب الغسل على من غسل الكافر الحيّ ،</w:t>
            </w:r>
            <w:r>
              <w:rPr>
                <w:rStyle w:val="IndexLink"/>
                <w:rtl w:val="true"/>
              </w:rPr>
              <w:tab/>
            </w:r>
            <w:r>
              <w:rPr>
                <w:rStyle w:val="IndexLink"/>
              </w:rPr>
              <w:t>474</w:t>
            </w:r>
          </w:hyperlink>
        </w:p>
        <w:p>
          <w:pPr>
            <w:pStyle w:val="Contents4"/>
            <w:tabs>
              <w:tab w:val="clear" w:pos="8176"/>
              <w:tab w:val="right" w:pos="9026" w:leader="dot"/>
            </w:tabs>
            <w:rPr/>
          </w:pPr>
          <w:hyperlink w:anchor="__RefHeading___Toc796291_222507752">
            <w:r>
              <w:rPr>
                <w:webHidden/>
                <w:rStyle w:val="IndexLink"/>
                <w:rtl w:val="true"/>
              </w:rPr>
              <w:t>الفصل السّادس</w:t>
            </w:r>
            <w:r>
              <w:rPr>
                <w:rStyle w:val="IndexLink"/>
                <w:rtl w:val="true"/>
              </w:rPr>
              <w:t>:</w:t>
            </w:r>
            <w:r>
              <w:rPr>
                <w:rStyle w:val="IndexLink"/>
                <w:rtl w:val="true"/>
              </w:rPr>
              <w:t>في الأغسال المندوبة</w:t>
            </w:r>
            <w:r>
              <w:rPr>
                <w:rStyle w:val="IndexLink"/>
                <w:rtl w:val="true"/>
              </w:rPr>
              <w:tab/>
            </w:r>
            <w:r>
              <w:rPr>
                <w:rStyle w:val="IndexLink"/>
              </w:rPr>
              <w:t>474</w:t>
            </w:r>
          </w:hyperlink>
        </w:p>
        <w:p>
          <w:pPr>
            <w:pStyle w:val="Contents5"/>
            <w:tabs>
              <w:tab w:val="clear" w:pos="7892"/>
              <w:tab w:val="right" w:pos="9026" w:leader="dot"/>
            </w:tabs>
            <w:rPr/>
          </w:pPr>
          <w:hyperlink w:anchor="__RefHeading___Toc796293_222507752">
            <w:r>
              <w:rPr>
                <w:webHidden/>
                <w:rStyle w:val="IndexLink"/>
                <w:rtl w:val="true"/>
              </w:rPr>
              <w:t>و هي إمّا أن تستحبّ للوقت،</w:t>
            </w:r>
            <w:r>
              <w:rPr>
                <w:rStyle w:val="IndexLink"/>
                <w:rtl w:val="true"/>
              </w:rPr>
              <w:tab/>
            </w:r>
            <w:r>
              <w:rPr>
                <w:rStyle w:val="IndexLink"/>
              </w:rPr>
              <w:t>474</w:t>
            </w:r>
          </w:hyperlink>
        </w:p>
        <w:p>
          <w:pPr>
            <w:pStyle w:val="Contents6"/>
            <w:tabs>
              <w:tab w:val="clear" w:pos="7609"/>
              <w:tab w:val="right" w:pos="9026" w:leader="dot"/>
            </w:tabs>
            <w:rPr/>
          </w:pPr>
          <w:hyperlink w:anchor="__RefHeading___Toc796295_222507752">
            <w:r>
              <w:rPr>
                <w:webHidden/>
                <w:rStyle w:val="IndexLink"/>
                <w:rtl w:val="true"/>
              </w:rPr>
              <w:t>اشارة</w:t>
            </w:r>
            <w:r>
              <w:rPr>
                <w:rStyle w:val="IndexLink"/>
                <w:rtl w:val="true"/>
              </w:rPr>
              <w:tab/>
            </w:r>
            <w:r>
              <w:rPr>
                <w:rStyle w:val="IndexLink"/>
              </w:rPr>
              <w:t>474</w:t>
            </w:r>
          </w:hyperlink>
        </w:p>
        <w:p>
          <w:pPr>
            <w:pStyle w:val="Contents6"/>
            <w:tabs>
              <w:tab w:val="clear" w:pos="7609"/>
              <w:tab w:val="right" w:pos="9026" w:leader="dot"/>
            </w:tabs>
            <w:rPr/>
          </w:pPr>
          <w:hyperlink w:anchor="__RefHeading___Toc796297_222507752">
            <w:r>
              <w:rPr>
                <w:webHidden/>
                <w:rStyle w:val="IndexLink"/>
                <w:rtl w:val="true"/>
              </w:rPr>
              <w:t>فروع</w:t>
            </w:r>
            <w:r>
              <w:rPr>
                <w:rStyle w:val="IndexLink"/>
                <w:rtl w:val="true"/>
              </w:rPr>
              <w:t>:</w:t>
              <w:tab/>
            </w:r>
            <w:r>
              <w:rPr>
                <w:rStyle w:val="IndexLink"/>
              </w:rPr>
              <w:t>479</w:t>
            </w:r>
          </w:hyperlink>
        </w:p>
        <w:p>
          <w:pPr>
            <w:pStyle w:val="Contents6"/>
            <w:tabs>
              <w:tab w:val="clear" w:pos="7609"/>
              <w:tab w:val="right" w:pos="9026" w:leader="dot"/>
            </w:tabs>
            <w:rPr/>
          </w:pPr>
          <w:hyperlink w:anchor="__RefHeading___Toc796299_222507752">
            <w:r>
              <w:rPr>
                <w:webHidden/>
                <w:rStyle w:val="IndexLink"/>
                <w:rtl w:val="true"/>
              </w:rPr>
              <w:t>الأوّل</w:t>
            </w:r>
            <w:r>
              <w:rPr>
                <w:rStyle w:val="IndexLink"/>
                <w:rtl w:val="true"/>
              </w:rPr>
              <w:t>:</w:t>
            </w:r>
            <w:r>
              <w:rPr>
                <w:rStyle w:val="IndexLink"/>
                <w:rtl w:val="true"/>
              </w:rPr>
              <w:t>وقته للمختار من طلوع الفجر إلى الزّوال،</w:t>
            </w:r>
            <w:r>
              <w:rPr>
                <w:rStyle w:val="IndexLink"/>
                <w:rtl w:val="true"/>
              </w:rPr>
              <w:tab/>
            </w:r>
            <w:r>
              <w:rPr>
                <w:rStyle w:val="IndexLink"/>
              </w:rPr>
              <w:t>479</w:t>
            </w:r>
          </w:hyperlink>
        </w:p>
        <w:p>
          <w:pPr>
            <w:pStyle w:val="Contents6"/>
            <w:tabs>
              <w:tab w:val="clear" w:pos="7609"/>
              <w:tab w:val="right" w:pos="9026" w:leader="dot"/>
            </w:tabs>
            <w:rPr/>
          </w:pPr>
          <w:hyperlink w:anchor="__RefHeading___Toc796301_222507752">
            <w:r>
              <w:rPr>
                <w:webHidden/>
                <w:rStyle w:val="IndexLink"/>
                <w:rtl w:val="true"/>
              </w:rPr>
              <w:t>الثّاني</w:t>
            </w:r>
            <w:r>
              <w:rPr>
                <w:rStyle w:val="IndexLink"/>
                <w:rtl w:val="true"/>
              </w:rPr>
              <w:t>:</w:t>
            </w:r>
            <w:r>
              <w:rPr>
                <w:rStyle w:val="IndexLink"/>
                <w:rtl w:val="true"/>
              </w:rPr>
              <w:t>و الغسل مستحبّ لليوم،</w:t>
            </w:r>
            <w:r>
              <w:rPr>
                <w:rStyle w:val="IndexLink"/>
                <w:rtl w:val="true"/>
              </w:rPr>
              <w:tab/>
            </w:r>
            <w:r>
              <w:rPr>
                <w:rStyle w:val="IndexLink"/>
              </w:rPr>
              <w:t>480</w:t>
            </w:r>
          </w:hyperlink>
        </w:p>
        <w:p>
          <w:pPr>
            <w:pStyle w:val="Contents6"/>
            <w:tabs>
              <w:tab w:val="clear" w:pos="7609"/>
              <w:tab w:val="right" w:pos="9026" w:leader="dot"/>
            </w:tabs>
            <w:rPr/>
          </w:pPr>
          <w:hyperlink w:anchor="__RefHeading___Toc796303_222507752">
            <w:r>
              <w:rPr>
                <w:webHidden/>
                <w:rStyle w:val="IndexLink"/>
                <w:rtl w:val="true"/>
              </w:rPr>
              <w:t>الثّالث</w:t>
            </w:r>
            <w:r>
              <w:rPr>
                <w:rStyle w:val="IndexLink"/>
                <w:rtl w:val="true"/>
              </w:rPr>
              <w:t>:</w:t>
            </w:r>
            <w:r>
              <w:rPr>
                <w:rStyle w:val="IndexLink"/>
                <w:rtl w:val="true"/>
              </w:rPr>
              <w:t>لو فاته يوم الجمعة قبل الزّوال قضاه بعده،</w:t>
            </w:r>
            <w:r>
              <w:rPr>
                <w:rStyle w:val="IndexLink"/>
                <w:rtl w:val="true"/>
              </w:rPr>
              <w:tab/>
            </w:r>
            <w:r>
              <w:rPr>
                <w:rStyle w:val="IndexLink"/>
              </w:rPr>
              <w:t>481</w:t>
            </w:r>
          </w:hyperlink>
        </w:p>
        <w:p>
          <w:pPr>
            <w:pStyle w:val="Contents6"/>
            <w:tabs>
              <w:tab w:val="clear" w:pos="7609"/>
              <w:tab w:val="right" w:pos="9026" w:leader="dot"/>
            </w:tabs>
            <w:rPr/>
          </w:pPr>
          <w:hyperlink w:anchor="__RefHeading___Toc796305_222507752">
            <w:r>
              <w:rPr>
                <w:webHidden/>
                <w:rStyle w:val="IndexLink"/>
                <w:rtl w:val="true"/>
              </w:rPr>
              <w:t>الرّابع</w:t>
            </w:r>
            <w:r>
              <w:rPr>
                <w:rStyle w:val="IndexLink"/>
                <w:rtl w:val="true"/>
              </w:rPr>
              <w:t>:</w:t>
            </w:r>
            <w:r>
              <w:rPr>
                <w:rStyle w:val="IndexLink"/>
                <w:rtl w:val="true"/>
              </w:rPr>
              <w:t>لو غلب على ظنّه يوم الخميس فقدان الماء في الجمعة استحبّ له تقديمه يوم</w:t>
            </w:r>
            <w:r>
              <w:rPr>
                <w:rStyle w:val="IndexLink"/>
                <w:rtl w:val="true"/>
              </w:rPr>
              <w:tab/>
            </w:r>
            <w:r>
              <w:rPr>
                <w:rStyle w:val="IndexLink"/>
              </w:rPr>
              <w:t>481</w:t>
            </w:r>
          </w:hyperlink>
        </w:p>
        <w:p>
          <w:pPr>
            <w:pStyle w:val="Contents6"/>
            <w:tabs>
              <w:tab w:val="clear" w:pos="7609"/>
              <w:tab w:val="right" w:pos="9026" w:leader="dot"/>
            </w:tabs>
            <w:rPr/>
          </w:pPr>
          <w:hyperlink w:anchor="__RefHeading___Toc796307_222507752">
            <w:r>
              <w:rPr>
                <w:webHidden/>
                <w:rStyle w:val="IndexLink"/>
                <w:rtl w:val="true"/>
              </w:rPr>
              <w:t>تذنيب</w:t>
            </w:r>
            <w:r>
              <w:rPr>
                <w:rStyle w:val="IndexLink"/>
                <w:rtl w:val="true"/>
              </w:rPr>
              <w:t>:</w:t>
            </w:r>
            <w:r>
              <w:rPr>
                <w:rStyle w:val="IndexLink"/>
                <w:rtl w:val="true"/>
              </w:rPr>
              <w:t>لو اغتسل يوم الخميس لخوف الإعواز،ثمَّ وجد الماء يوم الجمعة،استحبّ له</w:t>
            </w:r>
            <w:r>
              <w:rPr>
                <w:rStyle w:val="IndexLink"/>
                <w:rtl w:val="true"/>
              </w:rPr>
              <w:tab/>
            </w:r>
            <w:r>
              <w:rPr>
                <w:rStyle w:val="IndexLink"/>
              </w:rPr>
              <w:t>482</w:t>
            </w:r>
          </w:hyperlink>
        </w:p>
        <w:p>
          <w:pPr>
            <w:pStyle w:val="Contents6"/>
            <w:tabs>
              <w:tab w:val="clear" w:pos="7609"/>
              <w:tab w:val="right" w:pos="9026" w:leader="dot"/>
            </w:tabs>
            <w:rPr/>
          </w:pPr>
          <w:hyperlink w:anchor="__RefHeading___Toc796309_222507752">
            <w:r>
              <w:rPr>
                <w:webHidden/>
                <w:rStyle w:val="IndexLink"/>
                <w:rtl w:val="true"/>
              </w:rPr>
              <w:t>آخر</w:t>
            </w:r>
            <w:r>
              <w:rPr>
                <w:rStyle w:val="IndexLink"/>
                <w:rtl w:val="true"/>
              </w:rPr>
              <w:t>:</w:t>
            </w:r>
            <w:r>
              <w:rPr>
                <w:rStyle w:val="IndexLink"/>
                <w:rtl w:val="true"/>
              </w:rPr>
              <w:t>لو خاف الفوات يوم الجمعة دون السّبت احتمل استحباب التّقديم</w:t>
            </w:r>
            <w:r>
              <w:rPr>
                <w:rStyle w:val="IndexLink"/>
                <w:rtl w:val="true"/>
              </w:rPr>
              <w:tab/>
            </w:r>
            <w:r>
              <w:rPr>
                <w:rStyle w:val="IndexLink"/>
              </w:rPr>
              <w:t>482</w:t>
            </w:r>
          </w:hyperlink>
        </w:p>
        <w:p>
          <w:pPr>
            <w:pStyle w:val="Contents6"/>
            <w:tabs>
              <w:tab w:val="clear" w:pos="7609"/>
              <w:tab w:val="right" w:pos="9026" w:leader="dot"/>
            </w:tabs>
            <w:rPr/>
          </w:pPr>
          <w:hyperlink w:anchor="__RefHeading___Toc796311_222507752">
            <w:r>
              <w:rPr>
                <w:webHidden/>
                <w:rStyle w:val="IndexLink"/>
                <w:rtl w:val="true"/>
              </w:rPr>
              <w:t>الخامس</w:t>
            </w:r>
            <w:r>
              <w:rPr>
                <w:rStyle w:val="IndexLink"/>
                <w:rtl w:val="true"/>
              </w:rPr>
              <w:t>:</w:t>
            </w:r>
            <w:r>
              <w:rPr>
                <w:rStyle w:val="IndexLink"/>
                <w:rtl w:val="true"/>
              </w:rPr>
              <w:t>لا بدّ فيه من النّيّة،</w:t>
            </w:r>
            <w:r>
              <w:rPr>
                <w:rStyle w:val="IndexLink"/>
                <w:rtl w:val="true"/>
              </w:rPr>
              <w:tab/>
            </w:r>
            <w:r>
              <w:rPr>
                <w:rStyle w:val="IndexLink"/>
              </w:rPr>
              <w:t>482</w:t>
            </w:r>
          </w:hyperlink>
        </w:p>
        <w:p>
          <w:pPr>
            <w:pStyle w:val="Contents6"/>
            <w:tabs>
              <w:tab w:val="clear" w:pos="7609"/>
              <w:tab w:val="right" w:pos="9026" w:leader="dot"/>
            </w:tabs>
            <w:rPr/>
          </w:pPr>
          <w:hyperlink w:anchor="__RefHeading___Toc796313_222507752">
            <w:r>
              <w:rPr>
                <w:webHidden/>
                <w:rStyle w:val="IndexLink"/>
                <w:rtl w:val="true"/>
              </w:rPr>
              <w:t>السّادس</w:t>
            </w:r>
            <w:r>
              <w:rPr>
                <w:rStyle w:val="IndexLink"/>
                <w:rtl w:val="true"/>
              </w:rPr>
              <w:t>:</w:t>
            </w:r>
            <w:r>
              <w:rPr>
                <w:rStyle w:val="IndexLink"/>
                <w:rtl w:val="true"/>
              </w:rPr>
              <w:t>يستحبّ فيه الدّعاء،</w:t>
            </w:r>
            <w:r>
              <w:rPr>
                <w:rStyle w:val="IndexLink"/>
                <w:rtl w:val="true"/>
              </w:rPr>
              <w:tab/>
            </w:r>
            <w:r>
              <w:rPr>
                <w:rStyle w:val="IndexLink"/>
              </w:rPr>
              <w:t>482</w:t>
            </w:r>
          </w:hyperlink>
        </w:p>
        <w:p>
          <w:pPr>
            <w:pStyle w:val="Contents6"/>
            <w:tabs>
              <w:tab w:val="clear" w:pos="7609"/>
              <w:tab w:val="right" w:pos="9026" w:leader="dot"/>
            </w:tabs>
            <w:rPr/>
          </w:pPr>
          <w:hyperlink w:anchor="__RefHeading___Toc796315_222507752">
            <w:r>
              <w:rPr>
                <w:webHidden/>
                <w:rStyle w:val="IndexLink"/>
                <w:rtl w:val="true"/>
              </w:rPr>
              <w:t>السّابع</w:t>
            </w:r>
            <w:r>
              <w:rPr>
                <w:rStyle w:val="IndexLink"/>
                <w:rtl w:val="true"/>
              </w:rPr>
              <w:t>:</w:t>
            </w:r>
            <w:r>
              <w:rPr>
                <w:rStyle w:val="IndexLink"/>
                <w:rtl w:val="true"/>
              </w:rPr>
              <w:t>هو مستحبّ للرجال و النّساء،الحاضرين و المسافرين</w:t>
            </w:r>
            <w:r>
              <w:rPr>
                <w:rStyle w:val="IndexLink"/>
                <w:rtl w:val="true"/>
              </w:rPr>
              <w:tab/>
            </w:r>
            <w:r>
              <w:rPr>
                <w:rStyle w:val="IndexLink"/>
              </w:rPr>
              <w:t>483</w:t>
            </w:r>
          </w:hyperlink>
        </w:p>
        <w:p>
          <w:pPr>
            <w:pStyle w:val="Contents6"/>
            <w:tabs>
              <w:tab w:val="clear" w:pos="7609"/>
              <w:tab w:val="right" w:pos="9026" w:leader="dot"/>
            </w:tabs>
            <w:rPr/>
          </w:pPr>
          <w:hyperlink w:anchor="__RefHeading___Toc796317_222507752">
            <w:r>
              <w:rPr>
                <w:webHidden/>
                <w:rStyle w:val="IndexLink"/>
                <w:rtl w:val="true"/>
              </w:rPr>
              <w:t>الثّامن</w:t>
            </w:r>
            <w:r>
              <w:rPr>
                <w:rStyle w:val="IndexLink"/>
                <w:rtl w:val="true"/>
              </w:rPr>
              <w:t>:</w:t>
            </w:r>
            <w:r>
              <w:rPr>
                <w:rStyle w:val="IndexLink"/>
                <w:rtl w:val="true"/>
              </w:rPr>
              <w:t>لو حضر الجمعة من لا تجب عليه،استحبّ الغسل له إجماعا،</w:t>
            </w:r>
            <w:r>
              <w:rPr>
                <w:rStyle w:val="IndexLink"/>
                <w:rtl w:val="true"/>
              </w:rPr>
              <w:tab/>
            </w:r>
            <w:r>
              <w:rPr>
                <w:rStyle w:val="IndexLink"/>
              </w:rPr>
              <w:t>484</w:t>
            </w:r>
          </w:hyperlink>
        </w:p>
        <w:p>
          <w:pPr>
            <w:pStyle w:val="Contents6"/>
            <w:tabs>
              <w:tab w:val="clear" w:pos="7609"/>
              <w:tab w:val="right" w:pos="9026" w:leader="dot"/>
            </w:tabs>
            <w:rPr/>
          </w:pPr>
          <w:hyperlink w:anchor="__RefHeading___Toc796319_222507752">
            <w:r>
              <w:rPr>
                <w:webHidden/>
                <w:rStyle w:val="IndexLink"/>
                <w:rtl w:val="true"/>
              </w:rPr>
              <w:t>التّاسع</w:t>
            </w:r>
            <w:r>
              <w:rPr>
                <w:rStyle w:val="IndexLink"/>
                <w:rtl w:val="true"/>
              </w:rPr>
              <w:t>:</w:t>
            </w:r>
            <w:r>
              <w:rPr>
                <w:rStyle w:val="IndexLink"/>
                <w:rtl w:val="true"/>
              </w:rPr>
              <w:t>كلّما قرب فعله من الزّوال كان أفضل،</w:t>
            </w:r>
            <w:r>
              <w:rPr>
                <w:rStyle w:val="IndexLink"/>
                <w:rtl w:val="true"/>
              </w:rPr>
              <w:tab/>
            </w:r>
            <w:r>
              <w:rPr>
                <w:rStyle w:val="IndexLink"/>
              </w:rPr>
              <w:t>484</w:t>
            </w:r>
          </w:hyperlink>
        </w:p>
        <w:p>
          <w:pPr>
            <w:pStyle w:val="Contents6"/>
            <w:tabs>
              <w:tab w:val="clear" w:pos="7609"/>
              <w:tab w:val="right" w:pos="9026" w:leader="dot"/>
            </w:tabs>
            <w:rPr/>
          </w:pPr>
          <w:hyperlink w:anchor="__RefHeading___Toc796321_222507752">
            <w:r>
              <w:rPr>
                <w:webHidden/>
                <w:rStyle w:val="IndexLink"/>
                <w:rtl w:val="true"/>
              </w:rPr>
              <w:t>مسألة</w:t>
            </w:r>
            <w:r>
              <w:rPr>
                <w:rStyle w:val="IndexLink"/>
                <w:rtl w:val="true"/>
              </w:rPr>
              <w:t>:</w:t>
            </w:r>
            <w:r>
              <w:rPr>
                <w:rStyle w:val="IndexLink"/>
                <w:rtl w:val="true"/>
              </w:rPr>
              <w:t>و يستحبّ الغسل في يومي</w:t>
            </w:r>
            <w:r>
              <w:rPr>
                <w:rStyle w:val="IndexLink"/>
                <w:rtl w:val="true"/>
              </w:rPr>
              <w:t>:</w:t>
            </w:r>
            <w:r>
              <w:rPr>
                <w:rStyle w:val="IndexLink"/>
                <w:rtl w:val="true"/>
              </w:rPr>
              <w:t>الفطر و الأضحى</w:t>
            </w:r>
            <w:r>
              <w:rPr>
                <w:rStyle w:val="IndexLink"/>
                <w:rtl w:val="true"/>
              </w:rPr>
              <w:t>.</w:t>
              <w:tab/>
            </w:r>
            <w:r>
              <w:rPr>
                <w:rStyle w:val="IndexLink"/>
              </w:rPr>
              <w:t>485</w:t>
            </w:r>
          </w:hyperlink>
        </w:p>
        <w:p>
          <w:pPr>
            <w:pStyle w:val="Contents6"/>
            <w:tabs>
              <w:tab w:val="clear" w:pos="7609"/>
              <w:tab w:val="right" w:pos="9026" w:leader="dot"/>
            </w:tabs>
            <w:rPr/>
          </w:pPr>
          <w:hyperlink w:anchor="__RefHeading___Toc796323_222507752">
            <w:r>
              <w:rPr>
                <w:webHidden/>
                <w:rStyle w:val="IndexLink"/>
                <w:rtl w:val="true"/>
              </w:rPr>
              <w:t>فروع</w:t>
            </w:r>
            <w:r>
              <w:rPr>
                <w:rStyle w:val="IndexLink"/>
                <w:rtl w:val="true"/>
              </w:rPr>
              <w:t>:</w:t>
              <w:tab/>
            </w:r>
            <w:r>
              <w:rPr>
                <w:rStyle w:val="IndexLink"/>
              </w:rPr>
              <w:t>486</w:t>
            </w:r>
          </w:hyperlink>
        </w:p>
        <w:p>
          <w:pPr>
            <w:pStyle w:val="Contents6"/>
            <w:tabs>
              <w:tab w:val="clear" w:pos="7609"/>
              <w:tab w:val="right" w:pos="9026" w:leader="dot"/>
            </w:tabs>
            <w:rPr/>
          </w:pPr>
          <w:hyperlink w:anchor="__RefHeading___Toc796325_222507752">
            <w:r>
              <w:rPr>
                <w:webHidden/>
                <w:rStyle w:val="IndexLink"/>
                <w:rtl w:val="true"/>
              </w:rPr>
              <w:t>الأوّل</w:t>
            </w:r>
            <w:r>
              <w:rPr>
                <w:rStyle w:val="IndexLink"/>
                <w:rtl w:val="true"/>
              </w:rPr>
              <w:t>:</w:t>
            </w:r>
            <w:r>
              <w:rPr>
                <w:rStyle w:val="IndexLink"/>
                <w:rtl w:val="true"/>
              </w:rPr>
              <w:t>وقت الغسل بعد طلوع الفجر</w:t>
            </w:r>
            <w:r>
              <w:rPr>
                <w:rStyle w:val="IndexLink"/>
                <w:rtl w:val="true"/>
              </w:rPr>
              <w:t>.</w:t>
              <w:tab/>
            </w:r>
            <w:r>
              <w:rPr>
                <w:rStyle w:val="IndexLink"/>
              </w:rPr>
              <w:t>486</w:t>
            </w:r>
          </w:hyperlink>
        </w:p>
        <w:p>
          <w:pPr>
            <w:pStyle w:val="Contents6"/>
            <w:tabs>
              <w:tab w:val="clear" w:pos="7609"/>
              <w:tab w:val="right" w:pos="9026" w:leader="dot"/>
            </w:tabs>
            <w:rPr/>
          </w:pPr>
          <w:hyperlink w:anchor="__RefHeading___Toc796327_222507752">
            <w:r>
              <w:rPr>
                <w:webHidden/>
                <w:rStyle w:val="IndexLink"/>
                <w:rtl w:val="true"/>
              </w:rPr>
              <w:t>الثّاني</w:t>
            </w:r>
            <w:r>
              <w:rPr>
                <w:rStyle w:val="IndexLink"/>
                <w:rtl w:val="true"/>
              </w:rPr>
              <w:t>:</w:t>
            </w:r>
            <w:r>
              <w:rPr>
                <w:rStyle w:val="IndexLink"/>
                <w:rtl w:val="true"/>
              </w:rPr>
              <w:t>هل يمتدّ وقته بامتداد اليوم،الأقرب أنّه مضيّق عند الصّلاة،</w:t>
            </w:r>
            <w:r>
              <w:rPr>
                <w:rStyle w:val="IndexLink"/>
                <w:rtl w:val="true"/>
              </w:rPr>
              <w:tab/>
            </w:r>
            <w:r>
              <w:rPr>
                <w:rStyle w:val="IndexLink"/>
              </w:rPr>
              <w:t>486</w:t>
            </w:r>
          </w:hyperlink>
        </w:p>
        <w:p>
          <w:pPr>
            <w:pStyle w:val="Contents6"/>
            <w:tabs>
              <w:tab w:val="clear" w:pos="7609"/>
              <w:tab w:val="right" w:pos="9026" w:leader="dot"/>
            </w:tabs>
            <w:rPr/>
          </w:pPr>
          <w:hyperlink w:anchor="__RefHeading___Toc796329_222507752">
            <w:r>
              <w:rPr>
                <w:webHidden/>
                <w:rStyle w:val="IndexLink"/>
                <w:rtl w:val="true"/>
              </w:rPr>
              <w:t>الثّالث</w:t>
            </w:r>
            <w:r>
              <w:rPr>
                <w:rStyle w:val="IndexLink"/>
                <w:rtl w:val="true"/>
              </w:rPr>
              <w:t>:</w:t>
            </w:r>
            <w:r>
              <w:rPr>
                <w:rStyle w:val="IndexLink"/>
                <w:rtl w:val="true"/>
              </w:rPr>
              <w:t>لو فات لم يستحبّ قضاؤه،</w:t>
            </w:r>
            <w:r>
              <w:rPr>
                <w:rStyle w:val="IndexLink"/>
                <w:rtl w:val="true"/>
              </w:rPr>
              <w:tab/>
            </w:r>
            <w:r>
              <w:rPr>
                <w:rStyle w:val="IndexLink"/>
              </w:rPr>
              <w:t>486</w:t>
            </w:r>
          </w:hyperlink>
        </w:p>
        <w:p>
          <w:pPr>
            <w:pStyle w:val="Contents6"/>
            <w:tabs>
              <w:tab w:val="clear" w:pos="7609"/>
              <w:tab w:val="right" w:pos="9026" w:leader="dot"/>
            </w:tabs>
            <w:rPr/>
          </w:pPr>
          <w:hyperlink w:anchor="__RefHeading___Toc796331_222507752">
            <w:r>
              <w:rPr>
                <w:webHidden/>
                <w:rStyle w:val="IndexLink"/>
                <w:rtl w:val="true"/>
              </w:rPr>
              <w:t>الرّابع</w:t>
            </w:r>
            <w:r>
              <w:rPr>
                <w:rStyle w:val="IndexLink"/>
                <w:rtl w:val="true"/>
              </w:rPr>
              <w:t>:</w:t>
            </w:r>
            <w:r>
              <w:rPr>
                <w:rStyle w:val="IndexLink"/>
                <w:rtl w:val="true"/>
              </w:rPr>
              <w:t>الأقرب استحبابه على النّساء و من لا يحضر العيد</w:t>
            </w:r>
            <w:r>
              <w:rPr>
                <w:rStyle w:val="IndexLink"/>
                <w:rtl w:val="true"/>
              </w:rPr>
              <w:tab/>
            </w:r>
            <w:r>
              <w:rPr>
                <w:rStyle w:val="IndexLink"/>
              </w:rPr>
              <w:t>486</w:t>
            </w:r>
          </w:hyperlink>
        </w:p>
        <w:p>
          <w:pPr>
            <w:pStyle w:val="Contents6"/>
            <w:tabs>
              <w:tab w:val="clear" w:pos="7609"/>
              <w:tab w:val="right" w:pos="9026" w:leader="dot"/>
            </w:tabs>
            <w:rPr/>
          </w:pPr>
          <w:hyperlink w:anchor="__RefHeading___Toc796333_222507752">
            <w:r>
              <w:rPr>
                <w:webHidden/>
                <w:rStyle w:val="IndexLink"/>
                <w:rtl w:val="true"/>
              </w:rPr>
              <w:t>الخامس</w:t>
            </w:r>
            <w:r>
              <w:rPr>
                <w:rStyle w:val="IndexLink"/>
                <w:rtl w:val="true"/>
              </w:rPr>
              <w:t>:</w:t>
            </w:r>
            <w:r>
              <w:rPr>
                <w:rStyle w:val="IndexLink"/>
                <w:rtl w:val="true"/>
              </w:rPr>
              <w:t>لا بدّ فيه من النّيّة،</w:t>
            </w:r>
            <w:r>
              <w:rPr>
                <w:rStyle w:val="IndexLink"/>
                <w:rtl w:val="true"/>
              </w:rPr>
              <w:tab/>
            </w:r>
            <w:r>
              <w:rPr>
                <w:rStyle w:val="IndexLink"/>
              </w:rPr>
              <w:t>487</w:t>
            </w:r>
          </w:hyperlink>
        </w:p>
        <w:p>
          <w:pPr>
            <w:pStyle w:val="Contents6"/>
            <w:tabs>
              <w:tab w:val="clear" w:pos="7609"/>
              <w:tab w:val="right" w:pos="9026" w:leader="dot"/>
            </w:tabs>
            <w:rPr/>
          </w:pPr>
          <w:hyperlink w:anchor="__RefHeading___Toc796335_222507752">
            <w:r>
              <w:rPr>
                <w:webHidden/>
                <w:rStyle w:val="IndexLink"/>
                <w:rtl w:val="true"/>
              </w:rPr>
              <w:t>مسألة</w:t>
            </w:r>
            <w:r>
              <w:rPr>
                <w:rStyle w:val="IndexLink"/>
                <w:rtl w:val="true"/>
              </w:rPr>
              <w:t>:</w:t>
            </w:r>
            <w:r>
              <w:rPr>
                <w:rStyle w:val="IndexLink"/>
                <w:rtl w:val="true"/>
              </w:rPr>
              <w:t>و يستحبّ الغسل</w:t>
            </w:r>
            <w:r>
              <w:rPr>
                <w:rStyle w:val="IndexLink"/>
                <w:rtl w:val="true"/>
              </w:rPr>
              <w:tab/>
            </w:r>
            <w:r>
              <w:rPr>
                <w:rStyle w:val="IndexLink"/>
              </w:rPr>
              <w:t>487</w:t>
            </w:r>
          </w:hyperlink>
        </w:p>
        <w:p>
          <w:pPr>
            <w:pStyle w:val="Contents5"/>
            <w:tabs>
              <w:tab w:val="clear" w:pos="7892"/>
              <w:tab w:val="right" w:pos="9026" w:leader="dot"/>
            </w:tabs>
            <w:rPr/>
          </w:pPr>
          <w:hyperlink w:anchor="__RefHeading___Toc796337_222507752">
            <w:r>
              <w:rPr>
                <w:webHidden/>
                <w:rStyle w:val="IndexLink"/>
                <w:rtl w:val="true"/>
              </w:rPr>
              <w:t>الثّاني</w:t>
            </w:r>
            <w:r>
              <w:rPr>
                <w:rStyle w:val="IndexLink"/>
                <w:rtl w:val="true"/>
              </w:rPr>
              <w:t>:</w:t>
            </w:r>
            <w:r>
              <w:rPr>
                <w:rStyle w:val="IndexLink"/>
                <w:rtl w:val="true"/>
              </w:rPr>
              <w:t>ما يستحبّ للمكان،</w:t>
            </w:r>
            <w:r>
              <w:rPr>
                <w:rStyle w:val="IndexLink"/>
                <w:rtl w:val="true"/>
              </w:rPr>
              <w:tab/>
            </w:r>
            <w:r>
              <w:rPr>
                <w:rStyle w:val="IndexLink"/>
              </w:rPr>
              <w:t>488</w:t>
            </w:r>
          </w:hyperlink>
        </w:p>
        <w:p>
          <w:pPr>
            <w:pStyle w:val="Contents5"/>
            <w:tabs>
              <w:tab w:val="clear" w:pos="7892"/>
              <w:tab w:val="right" w:pos="9026" w:leader="dot"/>
            </w:tabs>
            <w:rPr/>
          </w:pPr>
          <w:hyperlink w:anchor="__RefHeading___Toc796339_222507752">
            <w:r>
              <w:rPr>
                <w:webHidden/>
                <w:rStyle w:val="IndexLink"/>
                <w:rtl w:val="true"/>
              </w:rPr>
              <w:t>الثالث</w:t>
            </w:r>
            <w:r>
              <w:rPr>
                <w:rStyle w:val="IndexLink"/>
                <w:rtl w:val="true"/>
              </w:rPr>
              <w:t>:</w:t>
            </w:r>
            <w:r>
              <w:rPr>
                <w:rStyle w:val="IndexLink"/>
                <w:rtl w:val="true"/>
              </w:rPr>
              <w:t>ما يستحبّ للفعل،</w:t>
            </w:r>
            <w:r>
              <w:rPr>
                <w:rStyle w:val="IndexLink"/>
                <w:rtl w:val="true"/>
              </w:rPr>
              <w:tab/>
            </w:r>
            <w:r>
              <w:rPr>
                <w:rStyle w:val="IndexLink"/>
              </w:rPr>
              <w:t>488</w:t>
            </w:r>
          </w:hyperlink>
        </w:p>
        <w:p>
          <w:pPr>
            <w:pStyle w:val="Contents6"/>
            <w:tabs>
              <w:tab w:val="clear" w:pos="7609"/>
              <w:tab w:val="right" w:pos="9026" w:leader="dot"/>
            </w:tabs>
            <w:rPr/>
          </w:pPr>
          <w:hyperlink w:anchor="__RefHeading___Toc796341_222507752">
            <w:r>
              <w:rPr>
                <w:webHidden/>
                <w:rStyle w:val="IndexLink"/>
                <w:rtl w:val="true"/>
              </w:rPr>
              <w:t>اشارة</w:t>
            </w:r>
            <w:r>
              <w:rPr>
                <w:rStyle w:val="IndexLink"/>
                <w:rtl w:val="true"/>
              </w:rPr>
              <w:tab/>
            </w:r>
            <w:r>
              <w:rPr>
                <w:rStyle w:val="IndexLink"/>
              </w:rPr>
              <w:t>488</w:t>
            </w:r>
          </w:hyperlink>
        </w:p>
        <w:p>
          <w:pPr>
            <w:pStyle w:val="Contents6"/>
            <w:tabs>
              <w:tab w:val="clear" w:pos="7609"/>
              <w:tab w:val="right" w:pos="9026" w:leader="dot"/>
            </w:tabs>
            <w:rPr/>
          </w:pPr>
          <w:hyperlink w:anchor="__RefHeading___Toc796343_222507752">
            <w:r>
              <w:rPr>
                <w:webHidden/>
                <w:rStyle w:val="IndexLink"/>
                <w:rtl w:val="true"/>
              </w:rPr>
              <w:t>فروع</w:t>
            </w:r>
            <w:r>
              <w:rPr>
                <w:rStyle w:val="IndexLink"/>
                <w:rtl w:val="true"/>
              </w:rPr>
              <w:tab/>
            </w:r>
            <w:r>
              <w:rPr>
                <w:rStyle w:val="IndexLink"/>
              </w:rPr>
              <w:t>489</w:t>
            </w:r>
          </w:hyperlink>
        </w:p>
        <w:p>
          <w:pPr>
            <w:pStyle w:val="Contents6"/>
            <w:tabs>
              <w:tab w:val="clear" w:pos="7609"/>
              <w:tab w:val="right" w:pos="9026" w:leader="dot"/>
            </w:tabs>
            <w:rPr/>
          </w:pPr>
          <w:hyperlink w:anchor="__RefHeading___Toc796345_222507752">
            <w:r>
              <w:rPr>
                <w:webHidden/>
                <w:rStyle w:val="IndexLink"/>
                <w:rtl w:val="true"/>
              </w:rPr>
              <w:t>الأوّل</w:t>
            </w:r>
            <w:r>
              <w:rPr>
                <w:rStyle w:val="IndexLink"/>
                <w:rtl w:val="true"/>
              </w:rPr>
              <w:t>:</w:t>
            </w:r>
            <w:r>
              <w:rPr>
                <w:rStyle w:val="IndexLink"/>
                <w:rtl w:val="true"/>
              </w:rPr>
              <w:t>الإحرام يعمّ إحرام الحجّ و العمرة،</w:t>
            </w:r>
            <w:r>
              <w:rPr>
                <w:rStyle w:val="IndexLink"/>
                <w:rtl w:val="true"/>
              </w:rPr>
              <w:tab/>
            </w:r>
            <w:r>
              <w:rPr>
                <w:rStyle w:val="IndexLink"/>
              </w:rPr>
              <w:t>489</w:t>
            </w:r>
          </w:hyperlink>
        </w:p>
        <w:p>
          <w:pPr>
            <w:pStyle w:val="Contents6"/>
            <w:tabs>
              <w:tab w:val="clear" w:pos="7609"/>
              <w:tab w:val="right" w:pos="9026" w:leader="dot"/>
            </w:tabs>
            <w:rPr/>
          </w:pPr>
          <w:hyperlink w:anchor="__RefHeading___Toc796347_222507752">
            <w:r>
              <w:rPr>
                <w:webHidden/>
                <w:rStyle w:val="IndexLink"/>
                <w:rtl w:val="true"/>
              </w:rPr>
              <w:t>الثّاني</w:t>
            </w:r>
            <w:r>
              <w:rPr>
                <w:rStyle w:val="IndexLink"/>
                <w:rtl w:val="true"/>
              </w:rPr>
              <w:t>:</w:t>
            </w:r>
            <w:r>
              <w:rPr>
                <w:rStyle w:val="IndexLink"/>
                <w:rtl w:val="true"/>
              </w:rPr>
              <w:t>الزّيارة تعمّ زيارة النّبيّ صلّى اللّه عليه و آله و الأئمّة عليهم السّلام،</w:t>
            </w:r>
            <w:r>
              <w:rPr>
                <w:rStyle w:val="IndexLink"/>
                <w:rtl w:val="true"/>
              </w:rPr>
              <w:tab/>
            </w:r>
            <w:r>
              <w:rPr>
                <w:rStyle w:val="IndexLink"/>
              </w:rPr>
              <w:t>489</w:t>
            </w:r>
          </w:hyperlink>
        </w:p>
        <w:p>
          <w:pPr>
            <w:pStyle w:val="Contents6"/>
            <w:tabs>
              <w:tab w:val="clear" w:pos="7609"/>
              <w:tab w:val="right" w:pos="9026" w:leader="dot"/>
            </w:tabs>
            <w:rPr/>
          </w:pPr>
          <w:hyperlink w:anchor="__RefHeading___Toc796349_222507752">
            <w:r>
              <w:rPr>
                <w:webHidden/>
                <w:rStyle w:val="IndexLink"/>
                <w:rtl w:val="true"/>
              </w:rPr>
              <w:t>الثّالث</w:t>
            </w:r>
            <w:r>
              <w:rPr>
                <w:rStyle w:val="IndexLink"/>
                <w:rtl w:val="true"/>
              </w:rPr>
              <w:t>:</w:t>
            </w:r>
            <w:r>
              <w:rPr>
                <w:rStyle w:val="IndexLink"/>
                <w:rtl w:val="true"/>
              </w:rPr>
              <w:t>هذا الحكم عام في الرّجال و النّساء،</w:t>
            </w:r>
            <w:r>
              <w:rPr>
                <w:rStyle w:val="IndexLink"/>
                <w:rtl w:val="true"/>
              </w:rPr>
              <w:tab/>
            </w:r>
            <w:r>
              <w:rPr>
                <w:rStyle w:val="IndexLink"/>
              </w:rPr>
              <w:t>489</w:t>
            </w:r>
          </w:hyperlink>
        </w:p>
        <w:p>
          <w:pPr>
            <w:pStyle w:val="Contents6"/>
            <w:tabs>
              <w:tab w:val="clear" w:pos="7609"/>
              <w:tab w:val="right" w:pos="9026" w:leader="dot"/>
            </w:tabs>
            <w:rPr/>
          </w:pPr>
          <w:hyperlink w:anchor="__RefHeading___Toc796351_222507752">
            <w:r>
              <w:rPr>
                <w:webHidden/>
                <w:rStyle w:val="IndexLink"/>
                <w:rtl w:val="true"/>
              </w:rPr>
              <w:t>مسألة</w:t>
            </w:r>
            <w:r>
              <w:rPr>
                <w:rStyle w:val="IndexLink"/>
                <w:rtl w:val="true"/>
              </w:rPr>
              <w:t>:</w:t>
            </w:r>
            <w:r>
              <w:rPr>
                <w:rStyle w:val="IndexLink"/>
                <w:rtl w:val="true"/>
              </w:rPr>
              <w:t>و الغسل من توبة الفسق مستحبّ،</w:t>
            </w:r>
            <w:r>
              <w:rPr>
                <w:rStyle w:val="IndexLink"/>
                <w:rtl w:val="true"/>
              </w:rPr>
              <w:tab/>
            </w:r>
            <w:r>
              <w:rPr>
                <w:rStyle w:val="IndexLink"/>
              </w:rPr>
              <w:t>489</w:t>
            </w:r>
          </w:hyperlink>
        </w:p>
        <w:p>
          <w:pPr>
            <w:pStyle w:val="Contents6"/>
            <w:tabs>
              <w:tab w:val="clear" w:pos="7609"/>
              <w:tab w:val="right" w:pos="9026" w:leader="dot"/>
            </w:tabs>
            <w:rPr/>
          </w:pPr>
          <w:hyperlink w:anchor="__RefHeading___Toc796353_222507752">
            <w:r>
              <w:rPr>
                <w:webHidden/>
                <w:rStyle w:val="IndexLink"/>
                <w:rtl w:val="true"/>
              </w:rPr>
              <w:t>مسألة</w:t>
            </w:r>
            <w:r>
              <w:rPr>
                <w:rStyle w:val="IndexLink"/>
                <w:rtl w:val="true"/>
              </w:rPr>
              <w:t>:</w:t>
            </w:r>
            <w:r>
              <w:rPr>
                <w:rStyle w:val="IndexLink"/>
                <w:rtl w:val="true"/>
              </w:rPr>
              <w:t>و يستحبّ من توبة الكفر سواء كان ارتدادا،أو أصليّا،</w:t>
            </w:r>
            <w:r>
              <w:rPr>
                <w:rStyle w:val="IndexLink"/>
                <w:rtl w:val="true"/>
              </w:rPr>
              <w:tab/>
            </w:r>
            <w:r>
              <w:rPr>
                <w:rStyle w:val="IndexLink"/>
              </w:rPr>
              <w:t>490</w:t>
            </w:r>
          </w:hyperlink>
        </w:p>
        <w:p>
          <w:pPr>
            <w:pStyle w:val="Contents6"/>
            <w:tabs>
              <w:tab w:val="clear" w:pos="7609"/>
              <w:tab w:val="right" w:pos="9026" w:leader="dot"/>
            </w:tabs>
            <w:rPr/>
          </w:pPr>
          <w:hyperlink w:anchor="__RefHeading___Toc796355_222507752">
            <w:r>
              <w:rPr>
                <w:webHidden/>
                <w:rStyle w:val="IndexLink"/>
                <w:rtl w:val="true"/>
              </w:rPr>
              <w:t>مسألة</w:t>
            </w:r>
            <w:r>
              <w:rPr>
                <w:rStyle w:val="IndexLink"/>
                <w:rtl w:val="true"/>
              </w:rPr>
              <w:t>:</w:t>
            </w:r>
            <w:r>
              <w:rPr>
                <w:rStyle w:val="IndexLink"/>
                <w:rtl w:val="true"/>
              </w:rPr>
              <w:t>و يستحبّ الغسل لصلاة الاستسقاء،</w:t>
            </w:r>
            <w:r>
              <w:rPr>
                <w:rStyle w:val="IndexLink"/>
                <w:rtl w:val="true"/>
              </w:rPr>
              <w:tab/>
            </w:r>
            <w:r>
              <w:rPr>
                <w:rStyle w:val="IndexLink"/>
              </w:rPr>
              <w:t>492</w:t>
            </w:r>
          </w:hyperlink>
        </w:p>
        <w:p>
          <w:pPr>
            <w:pStyle w:val="Contents6"/>
            <w:tabs>
              <w:tab w:val="clear" w:pos="7609"/>
              <w:tab w:val="right" w:pos="9026" w:leader="dot"/>
            </w:tabs>
            <w:rPr/>
          </w:pPr>
          <w:hyperlink w:anchor="__RefHeading___Toc796357_222507752">
            <w:r>
              <w:rPr>
                <w:webHidden/>
                <w:rStyle w:val="IndexLink"/>
                <w:rtl w:val="true"/>
              </w:rPr>
              <w:t>مسألة</w:t>
            </w:r>
            <w:r>
              <w:rPr>
                <w:rStyle w:val="IndexLink"/>
                <w:rtl w:val="true"/>
              </w:rPr>
              <w:t>:</w:t>
            </w:r>
            <w:r>
              <w:rPr>
                <w:rStyle w:val="IndexLink"/>
                <w:rtl w:val="true"/>
              </w:rPr>
              <w:t>و يستحبّ عند صلاة الاستخارة،و صلاة الحاجة،</w:t>
            </w:r>
            <w:r>
              <w:rPr>
                <w:rStyle w:val="IndexLink"/>
                <w:rtl w:val="true"/>
              </w:rPr>
              <w:tab/>
            </w:r>
            <w:r>
              <w:rPr>
                <w:rStyle w:val="IndexLink"/>
              </w:rPr>
              <w:t>492</w:t>
            </w:r>
          </w:hyperlink>
        </w:p>
        <w:p>
          <w:pPr>
            <w:pStyle w:val="Contents6"/>
            <w:tabs>
              <w:tab w:val="clear" w:pos="7609"/>
              <w:tab w:val="right" w:pos="9026" w:leader="dot"/>
            </w:tabs>
            <w:rPr/>
          </w:pPr>
          <w:hyperlink w:anchor="__RefHeading___Toc796359_222507752">
            <w:r>
              <w:rPr>
                <w:webHidden/>
                <w:rStyle w:val="IndexLink"/>
                <w:rtl w:val="true"/>
              </w:rPr>
              <w:t>مسألة</w:t>
            </w:r>
            <w:r>
              <w:rPr>
                <w:rStyle w:val="IndexLink"/>
                <w:rtl w:val="true"/>
              </w:rPr>
              <w:t>:</w:t>
            </w:r>
            <w:r>
              <w:rPr>
                <w:rStyle w:val="IndexLink"/>
                <w:rtl w:val="true"/>
              </w:rPr>
              <w:t>و يستحبّ غسل المولود عند ولادته،</w:t>
            </w:r>
            <w:r>
              <w:rPr>
                <w:rStyle w:val="IndexLink"/>
                <w:rtl w:val="true"/>
              </w:rPr>
              <w:tab/>
            </w:r>
            <w:r>
              <w:rPr>
                <w:rStyle w:val="IndexLink"/>
              </w:rPr>
              <w:t>493</w:t>
            </w:r>
          </w:hyperlink>
        </w:p>
        <w:p>
          <w:pPr>
            <w:pStyle w:val="Contents6"/>
            <w:tabs>
              <w:tab w:val="clear" w:pos="7609"/>
              <w:tab w:val="right" w:pos="9026" w:leader="dot"/>
            </w:tabs>
            <w:rPr/>
          </w:pPr>
          <w:hyperlink w:anchor="__RefHeading___Toc796361_222507752">
            <w:r>
              <w:rPr>
                <w:webHidden/>
                <w:rStyle w:val="IndexLink"/>
                <w:rtl w:val="true"/>
              </w:rPr>
              <w:t>مسألة</w:t>
            </w:r>
            <w:r>
              <w:rPr>
                <w:rStyle w:val="IndexLink"/>
                <w:rtl w:val="true"/>
              </w:rPr>
              <w:t>:</w:t>
            </w:r>
            <w:r>
              <w:rPr>
                <w:rStyle w:val="IndexLink"/>
                <w:rtl w:val="true"/>
              </w:rPr>
              <w:t>و يستحبّ الغسل لقضاء صلاة الكسوف إذا تركها متعمّدا</w:t>
            </w:r>
            <w:r>
              <w:rPr>
                <w:rStyle w:val="IndexLink"/>
                <w:rtl w:val="true"/>
              </w:rPr>
              <w:tab/>
            </w:r>
            <w:r>
              <w:rPr>
                <w:rStyle w:val="IndexLink"/>
              </w:rPr>
              <w:t>494</w:t>
            </w:r>
          </w:hyperlink>
        </w:p>
        <w:p>
          <w:pPr>
            <w:pStyle w:val="Contents6"/>
            <w:tabs>
              <w:tab w:val="clear" w:pos="7609"/>
              <w:tab w:val="right" w:pos="9026" w:leader="dot"/>
            </w:tabs>
            <w:rPr/>
          </w:pPr>
          <w:hyperlink w:anchor="__RefHeading___Toc796363_222507752">
            <w:r>
              <w:rPr>
                <w:webHidden/>
                <w:rStyle w:val="IndexLink"/>
                <w:rtl w:val="true"/>
              </w:rPr>
              <w:t>مسألة</w:t>
            </w:r>
            <w:r>
              <w:rPr>
                <w:rStyle w:val="IndexLink"/>
                <w:rtl w:val="true"/>
              </w:rPr>
              <w:t>:</w:t>
            </w:r>
            <w:r>
              <w:rPr>
                <w:rStyle w:val="IndexLink"/>
                <w:rtl w:val="true"/>
              </w:rPr>
              <w:t>قال ابن بابويه</w:t>
            </w:r>
            <w:r>
              <w:rPr>
                <w:rStyle w:val="IndexLink"/>
                <w:rtl w:val="true"/>
              </w:rPr>
              <w:t>:</w:t>
            </w:r>
            <w:r>
              <w:rPr>
                <w:rStyle w:val="IndexLink"/>
                <w:rtl w:val="true"/>
              </w:rPr>
              <w:t>روي انّ من قتل وزغا فعليه الغسل،</w:t>
            </w:r>
            <w:r>
              <w:rPr>
                <w:rStyle w:val="IndexLink"/>
                <w:rtl w:val="true"/>
              </w:rPr>
              <w:tab/>
            </w:r>
            <w:r>
              <w:rPr>
                <w:rStyle w:val="IndexLink"/>
              </w:rPr>
              <w:t>494</w:t>
            </w:r>
          </w:hyperlink>
        </w:p>
        <w:p>
          <w:pPr>
            <w:pStyle w:val="Contents6"/>
            <w:tabs>
              <w:tab w:val="clear" w:pos="7609"/>
              <w:tab w:val="right" w:pos="9026" w:leader="dot"/>
            </w:tabs>
            <w:rPr/>
          </w:pPr>
          <w:hyperlink w:anchor="__RefHeading___Toc796365_222507752">
            <w:r>
              <w:rPr>
                <w:webHidden/>
                <w:rStyle w:val="IndexLink"/>
                <w:rtl w:val="true"/>
              </w:rPr>
              <w:t>فروع</w:t>
            </w:r>
            <w:r>
              <w:rPr>
                <w:rStyle w:val="IndexLink"/>
                <w:rtl w:val="true"/>
              </w:rPr>
              <w:t>:</w:t>
              <w:tab/>
            </w:r>
            <w:r>
              <w:rPr>
                <w:rStyle w:val="IndexLink"/>
              </w:rPr>
              <w:t>495</w:t>
            </w:r>
          </w:hyperlink>
        </w:p>
        <w:p>
          <w:pPr>
            <w:pStyle w:val="Contents6"/>
            <w:tabs>
              <w:tab w:val="clear" w:pos="7609"/>
              <w:tab w:val="right" w:pos="9026" w:leader="dot"/>
            </w:tabs>
            <w:rPr/>
          </w:pPr>
          <w:hyperlink w:anchor="__RefHeading___Toc796367_222507752">
            <w:r>
              <w:rPr>
                <w:webHidden/>
                <w:rStyle w:val="IndexLink"/>
                <w:rtl w:val="true"/>
              </w:rPr>
              <w:t>الأوّل</w:t>
            </w:r>
            <w:r>
              <w:rPr>
                <w:rStyle w:val="IndexLink"/>
                <w:rtl w:val="true"/>
              </w:rPr>
              <w:t>:</w:t>
            </w:r>
            <w:r>
              <w:rPr>
                <w:rStyle w:val="IndexLink"/>
                <w:rtl w:val="true"/>
              </w:rPr>
              <w:t>لو اجتمعت أسباب الاستحباب،فالأقرب الاكتفاء بغسل واحد عنها</w:t>
            </w:r>
            <w:r>
              <w:rPr>
                <w:rStyle w:val="IndexLink"/>
                <w:rtl w:val="true"/>
              </w:rPr>
              <w:t>.</w:t>
              <w:tab/>
            </w:r>
            <w:r>
              <w:rPr>
                <w:rStyle w:val="IndexLink"/>
              </w:rPr>
              <w:t>495</w:t>
            </w:r>
          </w:hyperlink>
        </w:p>
        <w:p>
          <w:pPr>
            <w:pStyle w:val="Contents6"/>
            <w:tabs>
              <w:tab w:val="clear" w:pos="7609"/>
              <w:tab w:val="right" w:pos="9026" w:leader="dot"/>
            </w:tabs>
            <w:rPr/>
          </w:pPr>
          <w:hyperlink w:anchor="__RefHeading___Toc796369_222507752">
            <w:r>
              <w:rPr>
                <w:webHidden/>
                <w:rStyle w:val="IndexLink"/>
                <w:rtl w:val="true"/>
              </w:rPr>
              <w:t>الثّاني</w:t>
            </w:r>
            <w:r>
              <w:rPr>
                <w:rStyle w:val="IndexLink"/>
                <w:rtl w:val="true"/>
              </w:rPr>
              <w:t>:</w:t>
            </w:r>
            <w:r>
              <w:rPr>
                <w:rStyle w:val="IndexLink"/>
                <w:rtl w:val="true"/>
              </w:rPr>
              <w:t>لا ترفع هذه الأغسال الحدث</w:t>
            </w:r>
            <w:r>
              <w:rPr>
                <w:rStyle w:val="IndexLink"/>
                <w:rtl w:val="true"/>
              </w:rPr>
              <w:t>.</w:t>
              <w:tab/>
            </w:r>
            <w:r>
              <w:rPr>
                <w:rStyle w:val="IndexLink"/>
              </w:rPr>
              <w:t>495</w:t>
            </w:r>
          </w:hyperlink>
        </w:p>
        <w:p>
          <w:pPr>
            <w:pStyle w:val="Contents6"/>
            <w:tabs>
              <w:tab w:val="clear" w:pos="7609"/>
              <w:tab w:val="right" w:pos="9026" w:leader="dot"/>
            </w:tabs>
            <w:rPr/>
          </w:pPr>
          <w:hyperlink w:anchor="__RefHeading___Toc796371_222507752">
            <w:r>
              <w:rPr>
                <w:webHidden/>
                <w:rStyle w:val="IndexLink"/>
                <w:rtl w:val="true"/>
              </w:rPr>
              <w:t>الثّالث</w:t>
            </w:r>
            <w:r>
              <w:rPr>
                <w:rStyle w:val="IndexLink"/>
                <w:rtl w:val="true"/>
              </w:rPr>
              <w:t>:</w:t>
            </w:r>
            <w:r>
              <w:rPr>
                <w:rStyle w:val="IndexLink"/>
                <w:rtl w:val="true"/>
              </w:rPr>
              <w:t>ما يستحبّ للمكان و الفعل يقدّم عليهما،</w:t>
            </w:r>
            <w:r>
              <w:rPr>
                <w:rStyle w:val="IndexLink"/>
                <w:rtl w:val="true"/>
              </w:rPr>
              <w:tab/>
            </w:r>
            <w:r>
              <w:rPr>
                <w:rStyle w:val="IndexLink"/>
              </w:rPr>
              <w:t>495</w:t>
            </w:r>
          </w:hyperlink>
        </w:p>
        <w:p>
          <w:pPr>
            <w:pStyle w:val="Contents6"/>
            <w:tabs>
              <w:tab w:val="clear" w:pos="7609"/>
              <w:tab w:val="right" w:pos="9026" w:leader="dot"/>
            </w:tabs>
            <w:rPr/>
          </w:pPr>
          <w:hyperlink w:anchor="__RefHeading___Toc796373_222507752">
            <w:r>
              <w:rPr>
                <w:webHidden/>
                <w:rStyle w:val="IndexLink"/>
                <w:rtl w:val="true"/>
              </w:rPr>
              <w:t>الرّابع</w:t>
            </w:r>
            <w:r>
              <w:rPr>
                <w:rStyle w:val="IndexLink"/>
                <w:rtl w:val="true"/>
              </w:rPr>
              <w:t>:</w:t>
            </w:r>
            <w:r>
              <w:rPr>
                <w:rStyle w:val="IndexLink"/>
                <w:rtl w:val="true"/>
              </w:rPr>
              <w:t>ما كان للفعل يستحبّ أن يوقع الفعل عليه،</w:t>
            </w:r>
            <w:r>
              <w:rPr>
                <w:rStyle w:val="IndexLink"/>
                <w:rtl w:val="true"/>
              </w:rPr>
              <w:tab/>
            </w:r>
            <w:r>
              <w:rPr>
                <w:rStyle w:val="IndexLink"/>
              </w:rPr>
              <w:t>495</w:t>
            </w:r>
          </w:hyperlink>
        </w:p>
        <w:p>
          <w:pPr>
            <w:pStyle w:val="Contents6"/>
            <w:tabs>
              <w:tab w:val="clear" w:pos="7609"/>
              <w:tab w:val="right" w:pos="9026" w:leader="dot"/>
            </w:tabs>
            <w:rPr/>
          </w:pPr>
          <w:hyperlink w:anchor="__RefHeading___Toc796375_222507752">
            <w:r>
              <w:rPr>
                <w:webHidden/>
                <w:rStyle w:val="IndexLink"/>
                <w:rtl w:val="true"/>
              </w:rPr>
              <w:t>الخامس</w:t>
            </w:r>
            <w:r>
              <w:rPr>
                <w:rStyle w:val="IndexLink"/>
                <w:rtl w:val="true"/>
              </w:rPr>
              <w:t>:</w:t>
            </w:r>
            <w:r>
              <w:rPr>
                <w:rStyle w:val="IndexLink"/>
                <w:rtl w:val="true"/>
              </w:rPr>
              <w:t>لو نوى بالغسل الواحد الواجب و النّدب،فالوجه عدم إجزائه عنهما</w:t>
            </w:r>
            <w:r>
              <w:rPr>
                <w:rStyle w:val="IndexLink"/>
                <w:rtl w:val="true"/>
              </w:rPr>
              <w:tab/>
            </w:r>
            <w:r>
              <w:rPr>
                <w:rStyle w:val="IndexLink"/>
              </w:rPr>
              <w:t>495</w:t>
            </w:r>
          </w:hyperlink>
        </w:p>
        <w:p>
          <w:pPr>
            <w:pStyle w:val="Contents6"/>
            <w:tabs>
              <w:tab w:val="clear" w:pos="7609"/>
              <w:tab w:val="right" w:pos="9026" w:leader="dot"/>
            </w:tabs>
            <w:rPr/>
          </w:pPr>
          <w:hyperlink w:anchor="__RefHeading___Toc796377_222507752">
            <w:r>
              <w:rPr>
                <w:webHidden/>
                <w:rStyle w:val="IndexLink"/>
                <w:rtl w:val="true"/>
              </w:rPr>
              <w:t>السّادس</w:t>
            </w:r>
            <w:r>
              <w:rPr>
                <w:rStyle w:val="IndexLink"/>
                <w:rtl w:val="true"/>
              </w:rPr>
              <w:t>:</w:t>
            </w:r>
            <w:r>
              <w:rPr>
                <w:rStyle w:val="IndexLink"/>
                <w:rtl w:val="true"/>
              </w:rPr>
              <w:t>لا عوض لهذه الأغسال المندوبة،</w:t>
            </w:r>
            <w:r>
              <w:rPr>
                <w:rStyle w:val="IndexLink"/>
                <w:rtl w:val="true"/>
              </w:rPr>
              <w:tab/>
            </w:r>
            <w:r>
              <w:rPr>
                <w:rStyle w:val="IndexLink"/>
              </w:rPr>
              <w:t>495</w:t>
            </w:r>
          </w:hyperlink>
        </w:p>
        <w:p>
          <w:pPr>
            <w:pStyle w:val="Contents6"/>
            <w:tabs>
              <w:tab w:val="clear" w:pos="7609"/>
              <w:tab w:val="right" w:pos="9026" w:leader="dot"/>
            </w:tabs>
            <w:rPr/>
          </w:pPr>
          <w:hyperlink w:anchor="__RefHeading___Toc796379_222507752">
            <w:r>
              <w:rPr>
                <w:webHidden/>
                <w:rStyle w:val="IndexLink"/>
                <w:rtl w:val="true"/>
              </w:rPr>
              <w:t>السابع</w:t>
            </w:r>
            <w:r>
              <w:rPr>
                <w:rStyle w:val="IndexLink"/>
                <w:rtl w:val="true"/>
              </w:rPr>
              <w:t>:</w:t>
            </w:r>
            <w:r>
              <w:rPr>
                <w:rStyle w:val="IndexLink"/>
                <w:rtl w:val="true"/>
              </w:rPr>
              <w:t>كيفيّة هذه الأغسال مثل غسل الجنابة،</w:t>
            </w:r>
            <w:r>
              <w:rPr>
                <w:rStyle w:val="IndexLink"/>
                <w:rtl w:val="true"/>
              </w:rPr>
              <w:tab/>
            </w:r>
            <w:r>
              <w:rPr>
                <w:rStyle w:val="IndexLink"/>
              </w:rPr>
              <w:t>495</w:t>
            </w:r>
          </w:hyperlink>
        </w:p>
        <w:p>
          <w:pPr>
            <w:pStyle w:val="Contents6"/>
            <w:tabs>
              <w:tab w:val="clear" w:pos="7609"/>
              <w:tab w:val="right" w:pos="9026" w:leader="dot"/>
            </w:tabs>
            <w:rPr/>
          </w:pPr>
          <w:hyperlink w:anchor="__RefHeading___Toc796381_222507752">
            <w:r>
              <w:rPr>
                <w:webHidden/>
                <w:rStyle w:val="IndexLink"/>
                <w:rtl w:val="true"/>
              </w:rPr>
              <w:t>الثّامن</w:t>
            </w:r>
            <w:r>
              <w:rPr>
                <w:rStyle w:val="IndexLink"/>
                <w:rtl w:val="true"/>
              </w:rPr>
              <w:t>:</w:t>
            </w:r>
            <w:r>
              <w:rPr>
                <w:rStyle w:val="IndexLink"/>
                <w:rtl w:val="true"/>
              </w:rPr>
              <w:t>لو نوى المجنب غسل الجنابة خاصّة في يوم الجمعة لم يحصل له فضل</w:t>
            </w:r>
            <w:r>
              <w:rPr>
                <w:rStyle w:val="IndexLink"/>
                <w:rtl w:val="true"/>
              </w:rPr>
              <w:tab/>
            </w:r>
            <w:r>
              <w:rPr>
                <w:rStyle w:val="IndexLink"/>
              </w:rPr>
              <w:t>496</w:t>
            </w:r>
          </w:hyperlink>
        </w:p>
        <w:p>
          <w:pPr>
            <w:pStyle w:val="Contents6"/>
            <w:tabs>
              <w:tab w:val="clear" w:pos="7609"/>
              <w:tab w:val="right" w:pos="9026" w:leader="dot"/>
            </w:tabs>
            <w:rPr/>
          </w:pPr>
          <w:hyperlink w:anchor="__RefHeading___Toc796383_222507752">
            <w:r>
              <w:rPr>
                <w:webHidden/>
                <w:rStyle w:val="IndexLink"/>
                <w:rtl w:val="true"/>
              </w:rPr>
              <w:t>مسألة</w:t>
            </w:r>
            <w:r>
              <w:rPr>
                <w:rStyle w:val="IndexLink"/>
                <w:rtl w:val="true"/>
              </w:rPr>
              <w:t>:</w:t>
            </w:r>
            <w:r>
              <w:rPr>
                <w:rStyle w:val="IndexLink"/>
                <w:rtl w:val="true"/>
              </w:rPr>
              <w:t>و ليس على المجنون و المغمى عليه إذا أفاقا الغسل،</w:t>
            </w:r>
            <w:r>
              <w:rPr>
                <w:rStyle w:val="IndexLink"/>
                <w:rtl w:val="true"/>
              </w:rPr>
              <w:tab/>
            </w:r>
            <w:r>
              <w:rPr>
                <w:rStyle w:val="IndexLink"/>
              </w:rPr>
              <w:t>496</w:t>
            </w:r>
          </w:hyperlink>
        </w:p>
        <w:p>
          <w:pPr>
            <w:pStyle w:val="Contents6"/>
            <w:tabs>
              <w:tab w:val="clear" w:pos="7609"/>
              <w:tab w:val="right" w:pos="9026" w:leader="dot"/>
            </w:tabs>
            <w:rPr/>
          </w:pPr>
          <w:hyperlink w:anchor="__RefHeading___Toc796385_222507752">
            <w:r>
              <w:rPr>
                <w:webHidden/>
                <w:rStyle w:val="IndexLink"/>
                <w:rtl w:val="true"/>
              </w:rPr>
              <w:t>مسألة</w:t>
            </w:r>
            <w:r>
              <w:rPr>
                <w:rStyle w:val="IndexLink"/>
                <w:rtl w:val="true"/>
              </w:rPr>
              <w:t>:</w:t>
            </w:r>
            <w:r>
              <w:rPr>
                <w:rStyle w:val="IndexLink"/>
                <w:rtl w:val="true"/>
              </w:rPr>
              <w:t>قال بعض الحنفيّة</w:t>
            </w:r>
            <w:r>
              <w:rPr>
                <w:rStyle w:val="IndexLink"/>
                <w:rtl w:val="true"/>
              </w:rPr>
              <w:t>:</w:t>
            </w:r>
            <w:r>
              <w:rPr>
                <w:rStyle w:val="IndexLink"/>
                <w:rtl w:val="true"/>
              </w:rPr>
              <w:t xml:space="preserve">يستحبّ للصّبيّ إذا أدرك،الغسل </w:t>
            </w:r>
            <w:r>
              <w:rPr>
                <w:rStyle w:val="IndexLink"/>
                <w:rtl w:val="true"/>
              </w:rPr>
              <w:t>.</w:t>
              <w:tab/>
            </w:r>
            <w:r>
              <w:rPr>
                <w:rStyle w:val="IndexLink"/>
              </w:rPr>
              <w:t>496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2669_112793"/>
      <w:bookmarkStart w:id="1" w:name="pg12669_112793"/>
      <w:bookmarkEnd w:id="1"/>
    </w:p>
    <w:p>
      <w:pPr>
        <w:pStyle w:val="Heading2"/>
        <w:numPr>
          <w:ilvl w:val="1"/>
          <w:numId w:val="1"/>
        </w:numPr>
        <w:rPr/>
      </w:pPr>
      <w:bookmarkStart w:id="2" w:name="pg12669_112793"/>
      <w:bookmarkStart w:id="3" w:name="__RefHeading___Toc795123_222507752"/>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علامه حلی، حسن‌بن یوسف، </w:t>
      </w:r>
      <w:r>
        <w:rPr>
          <w:rFonts w:eastAsia="IRNazanin" w:cs="IRNazanin"/>
          <w:color w:val="111111"/>
          <w:sz w:val="28"/>
          <w:szCs w:val="28"/>
          <w:lang w:bidi="fa-IR"/>
        </w:rPr>
        <w:t>648</w:t>
      </w:r>
      <w:r>
        <w:rPr>
          <w:rFonts w:eastAsia="IRNazanin" w:cs="IRNazanin"/>
          <w:color w:val="111111"/>
          <w:sz w:val="28"/>
          <w:szCs w:val="28"/>
          <w:rtl w:val="true"/>
          <w:lang w:bidi="fa-IR"/>
        </w:rPr>
        <w:t xml:space="preserve"> - </w:t>
      </w:r>
      <w:r>
        <w:rPr>
          <w:rFonts w:eastAsia="IRNazanin" w:cs="IRNazanin"/>
          <w:color w:val="111111"/>
          <w:sz w:val="28"/>
          <w:szCs w:val="28"/>
          <w:lang w:bidi="fa-IR"/>
        </w:rPr>
        <w:t>726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منتهی‌المطلب فی تحقیق‌المذهب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للعلامه الحلی الحسن‌بن یوسف‌بن علی‌بن المطهر؛ تحقیق قسم الفقه فی مجمع البحوث الاسلامیه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آستان قدس رضوی بنیاد پژوهش های اسلامی،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1994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w:t>
      </w:r>
      <w:r>
        <w:rPr>
          <w:rFonts w:eastAsia="IRNazanin" w:cs="IRNazanin"/>
          <w:color w:val="111111"/>
          <w:sz w:val="28"/>
          <w:szCs w:val="28"/>
          <w:lang w:bidi="fa-IR"/>
        </w:rPr>
        <w:t>1373</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19000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444</w:t>
      </w:r>
      <w:r>
        <w:rPr>
          <w:rFonts w:eastAsia="IRNazanin" w:cs="IRNazanin"/>
          <w:color w:val="111111"/>
          <w:sz w:val="28"/>
          <w:szCs w:val="28"/>
          <w:rtl w:val="true"/>
          <w:lang w:bidi="fa-IR"/>
        </w:rPr>
        <w:t>-</w:t>
      </w:r>
      <w:r>
        <w:rPr>
          <w:rFonts w:eastAsia="IRNazanin" w:cs="IRNazanin"/>
          <w:color w:val="111111"/>
          <w:sz w:val="28"/>
          <w:szCs w:val="28"/>
          <w:lang w:bidi="fa-IR"/>
        </w:rPr>
        <w:t>293</w:t>
      </w:r>
      <w:r>
        <w:rPr>
          <w:rFonts w:eastAsia="IRNazanin" w:cs="IRNazanin"/>
          <w:color w:val="111111"/>
          <w:sz w:val="28"/>
          <w:szCs w:val="28"/>
          <w:rtl w:val="true"/>
          <w:lang w:bidi="fa-IR"/>
        </w:rPr>
        <w:t>-</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برون سپاری</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فهرستنویسی براساس جلد ششم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متفرقه</w:t>
      </w:r>
    </w:p>
    <w:p>
      <w:pPr>
        <w:pStyle w:val="BookText"/>
        <w:rPr/>
      </w:pPr>
      <w:r>
        <w:rPr>
          <w:rFonts w:ascii="Amiri" w:hAnsi="Amiri" w:eastAsia="Amiri" w:cs="Amiri"/>
          <w:color w:val="111111"/>
          <w:sz w:val="28"/>
          <w:sz w:val="28"/>
          <w:szCs w:val="28"/>
          <w:rtl w:val="true"/>
          <w:lang w:bidi="ar-SA"/>
        </w:rPr>
        <w:t>شناسه افزوده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البحوث الاسلامية</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BP182/3</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1373</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297/342</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eastAsia="IRNazanin" w:cs="IRNazanin"/>
          <w:color w:val="111111"/>
          <w:sz w:val="28"/>
          <w:szCs w:val="28"/>
          <w:lang w:bidi="fa-IR"/>
        </w:rPr>
        <w:t>2559784</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795125_222507752"/>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منتهی‌المطلب فی تحقیق‌المذهب</w:t>
      </w:r>
    </w:p>
    <w:p>
      <w:pPr>
        <w:pStyle w:val="BookText"/>
        <w:rPr/>
      </w:pPr>
      <w:r>
        <w:rPr>
          <w:rFonts w:ascii="IRNazanin" w:hAnsi="IRNazanin" w:eastAsia="IRNazanin"/>
          <w:color w:val="111111"/>
          <w:sz w:val="28"/>
          <w:sz w:val="28"/>
          <w:szCs w:val="28"/>
          <w:rtl w:val="true"/>
          <w:lang w:bidi="fa-IR"/>
        </w:rPr>
        <w:t>للعلامه الحلی الحسن‌بن یوسف‌بن علی‌بن المطهر</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تحقیق قسم الفقه فی مجمع البحوث الاسلامیه</w:t>
      </w:r>
      <w:r>
        <w:rPr>
          <w:rFonts w:eastAsia="IRNazanin" w:cs="IRNazanin"/>
          <w:color w:val="111111"/>
          <w:sz w:val="28"/>
          <w:szCs w:val="28"/>
          <w:rtl w:val="true"/>
          <w:lang w:bidi="fa-IR"/>
        </w:rPr>
        <w:t xml:space="preserve">. </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علامه حلی، حسن‌بن یوسف، </w:t>
      </w:r>
      <w:r>
        <w:rPr>
          <w:rFonts w:eastAsia="IRNazanin" w:cs="IRNazanin"/>
          <w:color w:val="111111"/>
          <w:sz w:val="28"/>
          <w:szCs w:val="28"/>
          <w:lang w:bidi="fa-IR"/>
        </w:rPr>
        <w:t>648</w:t>
      </w:r>
      <w:r>
        <w:rPr>
          <w:rFonts w:eastAsia="IRNazanin" w:cs="IRNazanin"/>
          <w:color w:val="111111"/>
          <w:sz w:val="28"/>
          <w:szCs w:val="28"/>
          <w:rtl w:val="true"/>
          <w:lang w:bidi="fa-IR"/>
        </w:rPr>
        <w:t xml:space="preserve"> - </w:t>
      </w:r>
      <w:r>
        <w:rPr>
          <w:rFonts w:eastAsia="IRNazanin" w:cs="IRNazanin"/>
          <w:color w:val="111111"/>
          <w:sz w:val="28"/>
          <w:szCs w:val="28"/>
          <w:lang w:bidi="fa-IR"/>
        </w:rPr>
        <w:t>726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منتهی‌المطلب فی تحقیق‌المذهب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للعلامه الحلی الحسن‌بن یوسف‌بن علی‌بن المطهر؛ تحقیق قسم الفقه فی مجمع البحوث الاسلامیه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آستان قدس رضوی بنیاد پژوهش های اسلامی،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1994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w:t>
      </w:r>
      <w:r>
        <w:rPr>
          <w:rFonts w:eastAsia="IRNazanin" w:cs="IRNazanin"/>
          <w:color w:val="111111"/>
          <w:sz w:val="28"/>
          <w:szCs w:val="28"/>
          <w:lang w:bidi="fa-IR"/>
        </w:rPr>
        <w:t>1373</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19000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444</w:t>
      </w:r>
      <w:r>
        <w:rPr>
          <w:rFonts w:eastAsia="IRNazanin" w:cs="IRNazanin"/>
          <w:color w:val="111111"/>
          <w:sz w:val="28"/>
          <w:szCs w:val="28"/>
          <w:rtl w:val="true"/>
          <w:lang w:bidi="fa-IR"/>
        </w:rPr>
        <w:t>-</w:t>
      </w:r>
      <w:r>
        <w:rPr>
          <w:rFonts w:eastAsia="IRNazanin" w:cs="IRNazanin"/>
          <w:color w:val="111111"/>
          <w:sz w:val="28"/>
          <w:szCs w:val="28"/>
          <w:lang w:bidi="fa-IR"/>
        </w:rPr>
        <w:t>293</w:t>
      </w:r>
      <w:r>
        <w:rPr>
          <w:rFonts w:eastAsia="IRNazanin" w:cs="IRNazanin"/>
          <w:color w:val="111111"/>
          <w:sz w:val="28"/>
          <w:szCs w:val="28"/>
          <w:rtl w:val="true"/>
          <w:lang w:bidi="fa-IR"/>
        </w:rPr>
        <w:t>-</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برون سپاری</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فهرستنویسی براساس جلد ششم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متفرقه</w:t>
      </w:r>
    </w:p>
    <w:p>
      <w:pPr>
        <w:pStyle w:val="BookText"/>
        <w:rPr/>
      </w:pPr>
      <w:r>
        <w:rPr>
          <w:rFonts w:ascii="Amiri" w:hAnsi="Amiri" w:eastAsia="Amiri" w:cs="Amiri"/>
          <w:color w:val="111111"/>
          <w:sz w:val="28"/>
          <w:sz w:val="28"/>
          <w:szCs w:val="28"/>
          <w:rtl w:val="true"/>
          <w:lang w:bidi="ar-SA"/>
        </w:rPr>
        <w:t>شناسه افزوده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البحوث الاسلامية</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BP182/3</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1373</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297/342</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eastAsia="IRNazanin" w:cs="IRNazanin"/>
          <w:color w:val="111111"/>
          <w:sz w:val="28"/>
          <w:szCs w:val="28"/>
          <w:lang w:bidi="fa-IR"/>
        </w:rPr>
        <w:t>2559784</w:t>
      </w:r>
      <w:r>
        <w:rPr>
          <w:rFonts w:eastAsia="IRNazanin" w:cs="IRNazanin"/>
          <w:color w:val="111111"/>
          <w:sz w:val="28"/>
          <w:szCs w:val="28"/>
          <w:rtl w:val="true"/>
          <w:lang w:bidi="fa-IR"/>
        </w:rPr>
        <w:t xml:space="preserve"> </w:t>
      </w:r>
      <w:bookmarkStart w:id="7" w:name="pg12669_112799"/>
    </w:p>
    <w:p>
      <w:pPr>
        <w:pStyle w:val="Heading2"/>
        <w:numPr>
          <w:ilvl w:val="1"/>
          <w:numId w:val="1"/>
        </w:numPr>
        <w:rPr/>
      </w:pPr>
      <w:bookmarkStart w:id="8" w:name="__RefHeading___Toc795127_222507752"/>
      <w:bookmarkStart w:id="9" w:name="_Toc3"/>
      <w:bookmarkEnd w:id="7"/>
      <w:bookmarkEnd w:id="8"/>
      <w:r>
        <w:rPr>
          <w:rtl w:val="true"/>
        </w:rPr>
        <w:t>تتمة كتاب الطهارة</w:t>
      </w:r>
      <w:bookmarkEnd w:id="9"/>
    </w:p>
    <w:p>
      <w:pPr>
        <w:pStyle w:val="Heading3"/>
        <w:numPr>
          <w:ilvl w:val="2"/>
          <w:numId w:val="1"/>
        </w:numPr>
        <w:rPr/>
      </w:pPr>
      <w:bookmarkStart w:id="10" w:name="__RefHeading___Toc795129_222507752"/>
      <w:bookmarkStart w:id="11" w:name="_Toc4"/>
      <w:bookmarkEnd w:id="10"/>
      <w:r>
        <w:rPr>
          <w:rtl w:val="true"/>
        </w:rPr>
        <w:t>تتمة المقصد الثاني</w:t>
      </w:r>
      <w:bookmarkEnd w:id="11"/>
    </w:p>
    <w:p>
      <w:pPr>
        <w:pStyle w:val="Heading4"/>
        <w:numPr>
          <w:ilvl w:val="3"/>
          <w:numId w:val="1"/>
        </w:numPr>
        <w:rPr/>
      </w:pPr>
      <w:bookmarkStart w:id="12" w:name="__RefHeading___Toc795131_222507752"/>
      <w:bookmarkStart w:id="13" w:name="_Toc5"/>
      <w:bookmarkEnd w:id="12"/>
      <w:r>
        <w:rPr>
          <w:rtl w:val="true"/>
        </w:rPr>
        <w:t>البحث الرّابع</w:t>
      </w:r>
      <w:r>
        <w:rPr>
          <w:rtl w:val="true"/>
        </w:rPr>
        <w:t>:</w:t>
      </w:r>
      <w:r>
        <w:rPr>
          <w:rtl w:val="true"/>
        </w:rPr>
        <w:t>في أفعال الوضوء و كيفيّته</w:t>
      </w:r>
      <w:r>
        <w:rPr>
          <w:rtl w:val="true"/>
        </w:rPr>
        <w:t>:</w:t>
      </w:r>
      <w:bookmarkEnd w:id="13"/>
    </w:p>
    <w:p>
      <w:pPr>
        <w:pStyle w:val="Heading5"/>
        <w:numPr>
          <w:ilvl w:val="4"/>
          <w:numId w:val="1"/>
        </w:numPr>
        <w:rPr/>
      </w:pPr>
      <w:bookmarkStart w:id="14" w:name="__RefHeading___Toc795133_222507752"/>
      <w:bookmarkStart w:id="15" w:name="_Toc6"/>
      <w:bookmarkEnd w:id="14"/>
      <w:r>
        <w:rPr>
          <w:rtl w:val="true"/>
        </w:rPr>
        <w:t>مسألة</w:t>
      </w:r>
      <w:r>
        <w:rPr>
          <w:rtl w:val="true"/>
        </w:rPr>
        <w:t>:</w:t>
      </w:r>
      <w:r>
        <w:rPr>
          <w:rtl w:val="true"/>
        </w:rPr>
        <w:t>في النّيّة،</w:t>
      </w:r>
      <w:bookmarkEnd w:id="15"/>
    </w:p>
    <w:p>
      <w:pPr>
        <w:pStyle w:val="Heading6"/>
        <w:numPr>
          <w:ilvl w:val="5"/>
          <w:numId w:val="1"/>
        </w:numPr>
        <w:rPr/>
      </w:pPr>
      <w:bookmarkStart w:id="16" w:name="__RefHeading___Toc795135_222507752"/>
      <w:bookmarkStart w:id="17" w:name="_Toc7"/>
      <w:bookmarkEnd w:id="16"/>
      <w:r>
        <w:rPr>
          <w:rtl w:val="true"/>
        </w:rPr>
        <w:t>اشارة</w:t>
      </w:r>
      <w:bookmarkEnd w:id="17"/>
    </w:p>
    <w:p>
      <w:pPr>
        <w:pStyle w:val="BookText"/>
        <w:rPr/>
      </w:pPr>
      <w:r>
        <w:rPr>
          <w:rFonts w:ascii="Amiri" w:hAnsi="Amiri" w:eastAsia="Amiri" w:cs="Amiri"/>
          <w:color w:val="111111"/>
          <w:sz w:val="28"/>
          <w:sz w:val="28"/>
          <w:szCs w:val="28"/>
          <w:rtl w:val="true"/>
          <w:lang w:bidi="ar-SA"/>
        </w:rPr>
        <w:t>و فيها بحثان غامضان</w:t>
      </w:r>
      <w:r>
        <w:rPr>
          <w:rFonts w:eastAsia="Amiri" w:cs="Amiri" w:ascii="Amiri" w:hAnsi="Amiri"/>
          <w:color w:val="111111"/>
          <w:sz w:val="28"/>
          <w:szCs w:val="28"/>
          <w:rtl w:val="true"/>
          <w:lang w:bidi="ar-SA"/>
        </w:rPr>
        <w:t>:</w:t>
      </w:r>
    </w:p>
    <w:p>
      <w:pPr>
        <w:pStyle w:val="Heading6"/>
        <w:numPr>
          <w:ilvl w:val="5"/>
          <w:numId w:val="1"/>
        </w:numPr>
        <w:rPr/>
      </w:pPr>
      <w:bookmarkStart w:id="18" w:name="__RefHeading___Toc795137_222507752"/>
      <w:bookmarkStart w:id="19" w:name="_Toc8"/>
      <w:bookmarkEnd w:id="18"/>
      <w:r>
        <w:rPr>
          <w:rtl w:val="true"/>
        </w:rPr>
        <w:t>الأوّل</w:t>
      </w:r>
      <w:r>
        <w:rPr>
          <w:rtl w:val="true"/>
        </w:rPr>
        <w:t>:</w:t>
      </w:r>
      <w:r>
        <w:rPr>
          <w:rtl w:val="true"/>
        </w:rPr>
        <w:t>في وجوبها</w:t>
      </w:r>
      <w:r>
        <w:rPr>
          <w:rtl w:val="true"/>
        </w:rPr>
        <w:t>:</w:t>
      </w:r>
      <w:bookmarkEnd w:id="19"/>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علماؤنا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النّيّة شرط في الطّهارة المائيّة بنوعيها و التّرابيّة،و هو قول عليّ عليه السّلام،و هو مذهب ربيعة،و اللّيث،و إسحاق،و أبي عبيد،و ابن المنذر </w:t>
      </w:r>
      <w:r>
        <w:rPr>
          <w:rStyle w:val="FootnoteAnchor"/>
          <w:rtl w:val="true"/>
        </w:rPr>
        <w:footnoteReference w:id="2"/>
      </w:r>
      <w:r>
        <w:rPr>
          <w:rFonts w:ascii="IRNazanin" w:hAnsi="IRNazanin" w:eastAsia="IRNazanin"/>
          <w:color w:val="111111"/>
          <w:sz w:val="28"/>
          <w:sz w:val="28"/>
          <w:szCs w:val="28"/>
          <w:rtl w:val="true"/>
          <w:lang w:bidi="fa-IR"/>
        </w:rPr>
        <w:t xml:space="preserve">، و أحمد بن حنبل </w:t>
      </w:r>
      <w:r>
        <w:rPr>
          <w:rStyle w:val="FootnoteAnchor"/>
          <w:rtl w:val="true"/>
        </w:rPr>
        <w:footnoteReference w:id="3"/>
      </w:r>
      <w:r>
        <w:rPr>
          <w:rFonts w:ascii="Amiri" w:hAnsi="Amiri" w:eastAsia="Amiri" w:cs="Amiri"/>
          <w:color w:val="111111"/>
          <w:sz w:val="28"/>
          <w:sz w:val="28"/>
          <w:szCs w:val="28"/>
          <w:rtl w:val="true"/>
          <w:lang w:bidi="ar-SA"/>
        </w:rPr>
        <w:t xml:space="preserve">،و أبي ثور،و داود </w:t>
      </w:r>
      <w:r>
        <w:rPr>
          <w:rStyle w:val="FootnoteAnchor"/>
          <w:rtl w:val="true"/>
        </w:rPr>
        <w:footnoteReference w:id="4"/>
      </w:r>
      <w:r>
        <w:rPr>
          <w:rFonts w:ascii="Amiri" w:hAnsi="Amiri" w:eastAsia="Amiri" w:cs="Amiri"/>
          <w:color w:val="111111"/>
          <w:sz w:val="28"/>
          <w:sz w:val="28"/>
          <w:szCs w:val="28"/>
          <w:rtl w:val="true"/>
          <w:lang w:bidi="ar-SA"/>
        </w:rPr>
        <w:t xml:space="preserve">،و الشّافعيّ </w:t>
      </w:r>
      <w:r>
        <w:rPr>
          <w:rStyle w:val="FootnoteAnchor"/>
          <w:rtl w:val="true"/>
        </w:rPr>
        <w:footnoteReference w:id="5"/>
      </w:r>
      <w:r>
        <w:rPr>
          <w:rFonts w:ascii="Amiri" w:hAnsi="Amiri" w:eastAsia="Amiri" w:cs="Amiri"/>
          <w:color w:val="111111"/>
          <w:sz w:val="28"/>
          <w:sz w:val="28"/>
          <w:szCs w:val="28"/>
          <w:rtl w:val="true"/>
          <w:lang w:bidi="ar-SA"/>
        </w:rPr>
        <w:t xml:space="preserve">،و مالك </w:t>
      </w:r>
      <w:r>
        <w:rPr>
          <w:rStyle w:val="FootnoteAnchor"/>
          <w:rtl w:val="true"/>
        </w:rPr>
        <w:footnoteReference w:id="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أبو حنيفة </w:t>
      </w:r>
    </w:p>
    <w:p>
      <w:pPr>
        <w:pStyle w:val="BookText"/>
        <w:rPr/>
      </w:pPr>
      <w:r>
        <w:rPr>
          <w:rFonts w:ascii="Amiri" w:hAnsi="Amiri" w:eastAsia="Amiri" w:cs="Amiri"/>
          <w:color w:val="111111"/>
          <w:sz w:val="28"/>
          <w:sz w:val="28"/>
          <w:szCs w:val="28"/>
          <w:rtl w:val="true"/>
          <w:lang w:bidi="ar-SA"/>
        </w:rPr>
        <w:t>و الثّوريّ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تشترط النّيّة في طهارة الماء،و إنّما تشترط للتّيمّم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الحسن بن صالح بن حيّ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ليست النّيّة شرطا في شيء من الطّهارات المائيّة و التّرابيّة </w:t>
      </w:r>
      <w:r>
        <w:rPr>
          <w:rStyle w:val="FootnoteAnchor"/>
          <w:rtl w:val="true"/>
        </w:rPr>
        <w:footnoteReference w:id="8"/>
      </w:r>
      <w:r>
        <w:rPr>
          <w:rFonts w:ascii="Amiri" w:hAnsi="Amiri" w:eastAsia="Amiri" w:cs="Amiri"/>
          <w:color w:val="111111"/>
          <w:sz w:val="28"/>
          <w:sz w:val="28"/>
          <w:szCs w:val="28"/>
          <w:rtl w:val="true"/>
          <w:lang w:bidi="ar-SA"/>
        </w:rPr>
        <w:t>،و عن الأوزاعي روايتان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إحداهما كقول الحسن،و الأخرى كقول أبي حنيفة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الجمهور،عن عليّ عليه السّلام،انّه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النّيّة شرط في جميع الطّهارات</w:t>
      </w:r>
      <w:r>
        <w:rPr>
          <w:rFonts w:eastAsia="Amiri" w:cs="Amiri" w:ascii="Amiri" w:hAnsi="Amiri"/>
          <w:color w:val="111111"/>
          <w:sz w:val="28"/>
          <w:szCs w:val="28"/>
          <w:rtl w:val="true"/>
          <w:lang w:bidi="ar-SA"/>
        </w:rPr>
        <w:t xml:space="preserve">) </w:t>
      </w:r>
      <w:r>
        <w:rPr>
          <w:rStyle w:val="FootnoteAnchor"/>
          <w:rtl w:val="true"/>
        </w:rPr>
        <w:footnoteReference w:id="10"/>
      </w:r>
      <w:r>
        <w:rPr>
          <w:rFonts w:ascii="Amiri" w:hAnsi="Amiri" w:eastAsia="Amiri" w:cs="Amiri"/>
          <w:color w:val="111111"/>
          <w:sz w:val="28"/>
          <w:sz w:val="28"/>
          <w:szCs w:val="28"/>
          <w:rtl w:val="true"/>
          <w:lang w:bidi="ar-SA"/>
        </w:rPr>
        <w:t>و قوله 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طريق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روي،عن الرّضا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قول إلاّ بعمل، و لا عمل إلاّ بنيّة،و لا نيّة إلاّ بإصابة السّنّة</w:t>
      </w:r>
      <w:r>
        <w:rPr>
          <w:rFonts w:eastAsia="Amiri" w:cs="Amiri" w:ascii="Amiri" w:hAnsi="Amiri"/>
          <w:color w:val="111111"/>
          <w:sz w:val="28"/>
          <w:szCs w:val="28"/>
          <w:rtl w:val="true"/>
          <w:lang w:bidi="ar-SA"/>
        </w:rPr>
        <w:t xml:space="preserve">)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الوضوء عبادة،و كلّ عبادة بنيّة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الصّغرى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فلأنّ أهل اللّغة نصّوا على انّ التّعبّد هو التّذلّل </w:t>
      </w:r>
      <w:r>
        <w:rPr>
          <w:rStyle w:val="FootnoteAnchor"/>
          <w:rtl w:val="true"/>
        </w:rPr>
        <w:footnoteReference w:id="12"/>
      </w:r>
      <w:r>
        <w:rPr>
          <w:rFonts w:ascii="IRNazanin" w:hAnsi="IRNazanin" w:eastAsia="IRNazanin"/>
          <w:color w:val="111111"/>
          <w:sz w:val="28"/>
          <w:sz w:val="28"/>
          <w:szCs w:val="28"/>
          <w:rtl w:val="true"/>
          <w:lang w:bidi="fa-IR"/>
        </w:rPr>
        <w:t>،قال الشّاعر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أفردت إفراد البعير المعبّد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المذلّل،و هذا المعنى المشتق منه موجود هنا،فإنّ فعل الطّهارة على وجه </w:t>
      </w:r>
    </w:p>
    <w:p>
      <w:pPr>
        <w:pStyle w:val="BookText"/>
        <w:rPr/>
      </w:pPr>
      <w:r>
        <w:rPr>
          <w:rFonts w:ascii="Amiri" w:hAnsi="Amiri" w:eastAsia="Amiri" w:cs="Amiri"/>
          <w:color w:val="111111"/>
          <w:sz w:val="28"/>
          <w:sz w:val="28"/>
          <w:szCs w:val="28"/>
          <w:rtl w:val="true"/>
          <w:lang w:bidi="ar-SA"/>
        </w:rPr>
        <w:t>الطّاعة نوع تذلّل،فيصدق عليه اللّفظ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لأنّ التّيمّم عبادة و هو بدل،و البدل بحكم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الكبرى فيدلّ عليها قوله تعالى وَ ما أُمِرُوا إِلاّ لِيَعْبُدُوا اللّهَ مُخْلِصِينَ لَهُ الدِّينَ </w:t>
      </w:r>
      <w:r>
        <w:rPr>
          <w:rStyle w:val="FootnoteAnchor"/>
          <w:rtl w:val="true"/>
        </w:rPr>
        <w:footnoteReference w:id="14"/>
      </w:r>
      <w:r>
        <w:rPr>
          <w:rFonts w:ascii="Amiri" w:hAnsi="Amiri" w:eastAsia="Amiri" w:cs="Amiri"/>
          <w:color w:val="111111"/>
          <w:sz w:val="28"/>
          <w:sz w:val="28"/>
          <w:szCs w:val="28"/>
          <w:rtl w:val="true"/>
          <w:lang w:bidi="ar-SA"/>
        </w:rPr>
        <w:t>و الإخلاص هو مراد بالنّيّة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تعالى قُلِ اللّهَ أَعْبُدُ مُخْلِصاً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قوله تعالى فَاعْبُدِ اللّهَ مُخْلِصاً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الوضوء عمل ضرورة،و كلّ عمل بنيّة،لقوله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الأعمال بالنّيّات،و إنّما لكلّ امرئ ما نوى</w:t>
      </w:r>
      <w:r>
        <w:rPr>
          <w:rFonts w:eastAsia="Amiri" w:cs="Amiri" w:ascii="Amiri" w:hAnsi="Amiri"/>
          <w:color w:val="111111"/>
          <w:sz w:val="28"/>
          <w:szCs w:val="28"/>
          <w:rtl w:val="true"/>
          <w:lang w:bidi="ar-SA"/>
        </w:rPr>
        <w:t xml:space="preserve">) </w:t>
      </w:r>
      <w:r>
        <w:rPr>
          <w:rStyle w:val="FootnoteAnchor"/>
          <w:rtl w:val="true"/>
        </w:rPr>
        <w:footnoteReference w:id="17"/>
      </w:r>
      <w:r>
        <w:rPr>
          <w:rFonts w:ascii="Amiri" w:hAnsi="Amiri" w:eastAsia="Amiri" w:cs="Amiri"/>
          <w:color w:val="111111"/>
          <w:sz w:val="28"/>
          <w:sz w:val="28"/>
          <w:szCs w:val="28"/>
          <w:rtl w:val="true"/>
          <w:lang w:bidi="ar-SA"/>
        </w:rPr>
        <w:t>اتّفق عليه الجمهور فنفى أن يكون له عمل شرعيّ بدون النّيّة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تعالى وَ ما لِأَحَدٍ عِنْدَهُ مِنْ نِعْمَةٍ تُجْزى إِلاَّ ابْتِغاءَ وَجْهِ رَبِّهِ الْأَعْلى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تعالى إِذا قُمْتُمْ إِلَى الصَّلاةِ فَاغْسِلُوا </w:t>
      </w:r>
      <w:r>
        <w:rPr>
          <w:rStyle w:val="FootnoteAnchor"/>
          <w:rtl w:val="true"/>
        </w:rPr>
        <w:footnoteReference w:id="19"/>
      </w:r>
      <w:r>
        <w:rPr>
          <w:rFonts w:ascii="Amiri" w:hAnsi="Amiri" w:eastAsia="Amiri" w:cs="Amiri"/>
          <w:color w:val="111111"/>
          <w:sz w:val="28"/>
          <w:sz w:val="28"/>
          <w:szCs w:val="28"/>
          <w:rtl w:val="true"/>
          <w:lang w:bidi="ar-SA"/>
        </w:rPr>
        <w:t>و المفهوم منه في لغة العرب 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اغسلوا للصّلاة،كما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لقيت الأمير فالبس أهبتك،أي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للقائه، و إذا لقيت العدوّ فخذ سلاحك،أي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لأجل لقائه،و هو كثير النّظائر</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لم تجب النّيّة في الوضوء لزم أحد الأمرين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إمّا التّسلسل أو خرق </w:t>
      </w:r>
    </w:p>
    <w:p>
      <w:pPr>
        <w:pStyle w:val="BookText"/>
        <w:rPr/>
      </w:pPr>
      <w:r>
        <w:rPr>
          <w:rFonts w:ascii="Amiri" w:hAnsi="Amiri" w:eastAsia="Amiri" w:cs="Amiri"/>
          <w:color w:val="111111"/>
          <w:sz w:val="28"/>
          <w:sz w:val="28"/>
          <w:szCs w:val="28"/>
          <w:rtl w:val="true"/>
          <w:lang w:bidi="ar-SA"/>
        </w:rPr>
        <w:t>الإجماع،و التّالي بقسميه باطل قطعا،فالمقدّم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الشّرطيّة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الوضوء بقيد عدم النّيّة إمّا أن يكون شرطا أو لا يكون،و على التّقدير الأوّل يلزم خرق الإجماع،و على التّقدير الثّاني إمّا أن لا يكون المسمّى شرطا،أو يكون،و على التّقدير الأوّل يلزم خرق الإجماع،و على التّقدير الثّاني يلزم التّسلسل،لأنّ الكلّي لا يمكن وجوده إلاّ مشخّصا،و قيد الخصوصيّة هما النّيّة و عدمها،فأحدهما شرط للمسمّى،فإمّا أن يكون الشّرط العدم،فيلزم خرق الإجماع،لأنّ شرط الشّرط شرط، و إمّا الوجود،فيلزم المطلوب،و إمّا أن يكون مسمّى ثانيا و ينقل </w:t>
      </w:r>
      <w:r>
        <w:rPr>
          <w:rStyle w:val="FootnoteAnchor"/>
          <w:rtl w:val="true"/>
        </w:rPr>
        <w:footnoteReference w:id="20"/>
      </w:r>
      <w:r>
        <w:rPr>
          <w:rFonts w:ascii="Amiri" w:hAnsi="Amiri" w:eastAsia="Amiri" w:cs="Amiri"/>
          <w:color w:val="111111"/>
          <w:sz w:val="28"/>
          <w:sz w:val="28"/>
          <w:szCs w:val="28"/>
          <w:rtl w:val="true"/>
          <w:lang w:bidi="ar-SA"/>
        </w:rPr>
        <w:t>الكلام إليه و ذلك يفضي إلى التّسلسل المحال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أنّها طهارة عن حدث فلا تصحّ بغير نيّة كالتّيمّم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انّها عبادة،فافتقرت إلى النّية كالصّلاة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بيان الصّغرى من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العبادة هي الفعل المأمور به شرعا من غير اطّراد عرفيّ و لا اقتضاء عقليّ،و الطّهارة كذلك،فإنّها مرادة شرعا ليست ممّا يطّرد بها العرف و لا يقتضيها العقل لانتفاء المصلحة المتأخّرة فيها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انّها تنقسم إلى فرض و نفل،و كلّ ما انقسم إليهما فهو عبادة بالاستقراء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بيان الكبرى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العبادة لو صحّت بدون النّيّة فلا تخلو إمّا أن يحصل عليها ثواب أم لا،و القسمان باطلان</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فلأنّه يلزم منه مخالفة الدّليل و هو 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المؤمن من عمله إلاّ ما نواه</w:t>
      </w:r>
      <w:r>
        <w:rPr>
          <w:rFonts w:eastAsia="Amiri" w:cs="Amiri" w:ascii="Amiri" w:hAnsi="Amiri"/>
          <w:color w:val="111111"/>
          <w:sz w:val="28"/>
          <w:szCs w:val="28"/>
          <w:rtl w:val="true"/>
          <w:lang w:bidi="ar-SA"/>
        </w:rPr>
        <w:t xml:space="preserve">) </w:t>
      </w:r>
      <w:r>
        <w:rPr>
          <w:rStyle w:val="FootnoteAnchor"/>
          <w:rtl w:val="true"/>
        </w:rPr>
        <w:footnoteReference w:id="22"/>
      </w:r>
      <w:r>
        <w:rPr>
          <w:rFonts w:ascii="Amiri" w:hAnsi="Amiri" w:eastAsia="Amiri" w:cs="Amiri"/>
          <w:color w:val="111111"/>
          <w:sz w:val="28"/>
          <w:sz w:val="28"/>
          <w:szCs w:val="28"/>
          <w:rtl w:val="true"/>
          <w:lang w:bidi="ar-SA"/>
        </w:rPr>
        <w:t>رواه الجمهور،المراد بذلك نفي الثّواب بدون النّيّة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الثّاني باطل،و إلاّ لزم القبح العقليّ و هو حصول التّكليف من غير عوض، و لأنّه مخالف للعمومات الواردة من جهة الكتاب و السّنّة الدّالّة على الثّواب في كلّ 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احتجّ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حنيفة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تعالى إِذا قُمْتُمْ إِلَى الصَّلاةِ فَاغْسِلُوا </w:t>
      </w:r>
      <w:r>
        <w:rPr>
          <w:rStyle w:val="FootnoteAnchor"/>
          <w:rtl w:val="true"/>
        </w:rPr>
        <w:footnoteReference w:id="23"/>
      </w:r>
      <w:r>
        <w:rPr>
          <w:rFonts w:ascii="Amiri" w:hAnsi="Amiri" w:eastAsia="Amiri" w:cs="Amiri"/>
          <w:color w:val="111111"/>
          <w:sz w:val="28"/>
          <w:sz w:val="28"/>
          <w:szCs w:val="28"/>
          <w:rtl w:val="true"/>
          <w:lang w:bidi="ar-SA"/>
        </w:rPr>
        <w:t>ذكر الشّرائط و لم يذكر النّيّة،فلو كانت شرطا لوجب ذكرها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أمر بالغسل،و مقتضى الأمر الإجزاء </w:t>
      </w:r>
      <w:r>
        <w:rPr>
          <w:rStyle w:val="FootnoteAnchor"/>
          <w:rtl w:val="true"/>
        </w:rPr>
        <w:footnoteReference w:id="24"/>
      </w:r>
      <w:r>
        <w:rPr>
          <w:rFonts w:ascii="IRNazanin" w:hAnsi="IRNazanin" w:eastAsia="IRNazanin"/>
          <w:color w:val="111111"/>
          <w:sz w:val="28"/>
          <w:sz w:val="28"/>
          <w:szCs w:val="28"/>
          <w:rtl w:val="true"/>
          <w:lang w:bidi="fa-IR"/>
        </w:rPr>
        <w:t>بفعل المأمور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الآية ليس فيها ذكر النّيّة،فلو أوجبناها لكنّا قد زدنا على النّصّ، و الزّيادة على النّصّ نسخ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أنّها طهارة بالماء،فلا تفتقر إلى النّيّة كغسل النّجاسة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انّها غير عبادة،فلا تفتقر إلى النّيّة كسائر الأفعال الخارجة عن كونها عبادة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بيان الصّغرى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انّها لو كانت عبادة فإمّا مع النّيّة أو بدونها،و الثّاني باطل لأنّها لو كانت عبادة مع عدم النّيّة بطل قولكم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عبادة تفتقر إلى النّيّة،و الأوّل باطل أيضا،و إلاّ لبطل قولكم أيضا بافتقار العبادة إلى النّيّة،و إلاّ لزم اشتراط النّيّة بالنّيّة</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فالجواب عن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حجّة لنا،لما بيّنّا من أنّ المفهوم منه إِذا قُمْتُمْ إِلَى الصَّلاةِ فاغسلوا للصّلاة </w:t>
      </w:r>
      <w:r>
        <w:rPr>
          <w:rStyle w:val="FootnoteAnchor"/>
          <w:rtl w:val="true"/>
        </w:rPr>
        <w:footnoteReference w:id="2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فإنّه لم يذكر الشّرائط بل ذكر أركان الوضوء، </w:t>
      </w:r>
      <w:bookmarkStart w:id="20" w:name="pg12669_112804"/>
    </w:p>
    <w:p>
      <w:pPr>
        <w:pStyle w:val="BookText"/>
        <w:rPr/>
      </w:pPr>
      <w:bookmarkEnd w:id="20"/>
      <w:r>
        <w:rPr>
          <w:rFonts w:ascii="Amiri" w:hAnsi="Amiri" w:eastAsia="Amiri" w:cs="Amiri"/>
          <w:color w:val="111111"/>
          <w:sz w:val="28"/>
          <w:sz w:val="28"/>
          <w:szCs w:val="28"/>
          <w:rtl w:val="true"/>
          <w:lang w:bidi="ar-SA"/>
        </w:rPr>
        <w:t>و النّبيّ صلّى اللّه عليه و آله بيّن شرائطه كالتّيمّم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قلناه أوّلا،و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مقتضى الأمر وجوب الفعل و هو واجب، فاشترط لصحّته شرط آخر،كالتّيمّم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ذكرناه أوّلا،و بالمنع من كون الزّيادة على النّصّ نسخا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أنّها مع كونها طهارة،هي أيضا عبادة،و العبادة لا تكون إلاّ منويّة،لأنّها قربة إلى اللّه تعالى و 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الخامس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نقول انّها عبادة بدون النّيّة،أي تسمّى عبادة بدونها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تبطل كلّ عبادة تفتقر إلى النيّة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نسلّم،فإنّا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العبادة تفتقر إلى النّيّة في التّحصيل و الإيجاد على الوجه المطلوب شرعا،لا انّها تفتقر إليها بأن تكون مصحّحة للإطلاق اللّفظي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سلّمنا،لكنّا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انّها عبادة مع النّيّة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يبطل افتقارها إلى النّيّة و إلاّ لزم افتقار العبادة مع النّية إلى النّية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باطل،فإنّه لا يلزم من افتقارها إلى نيّة هي جزؤها،افتقارها مع ذلك الجزء إلى نيّة أخرى ثانية</w:t>
      </w:r>
      <w:r>
        <w:rPr>
          <w:rFonts w:eastAsia="Amiri" w:cs="Amiri" w:ascii="Amiri" w:hAnsi="Amiri"/>
          <w:color w:val="111111"/>
          <w:sz w:val="28"/>
          <w:szCs w:val="28"/>
          <w:rtl w:val="true"/>
          <w:lang w:bidi="ar-SA"/>
        </w:rPr>
        <w:t>.</w:t>
      </w:r>
    </w:p>
    <w:p>
      <w:pPr>
        <w:pStyle w:val="Heading6"/>
        <w:numPr>
          <w:ilvl w:val="5"/>
          <w:numId w:val="1"/>
        </w:numPr>
        <w:rPr/>
      </w:pPr>
      <w:bookmarkStart w:id="21" w:name="__RefHeading___Toc795139_222507752"/>
      <w:bookmarkStart w:id="22" w:name="_Toc9"/>
      <w:bookmarkEnd w:id="21"/>
      <w:r>
        <w:rPr>
          <w:rtl w:val="true"/>
        </w:rPr>
        <w:t>فروع</w:t>
      </w:r>
      <w:r>
        <w:rPr>
          <w:rtl w:val="true"/>
        </w:rPr>
        <w:t>:</w:t>
      </w:r>
      <w:bookmarkEnd w:id="22"/>
    </w:p>
    <w:p>
      <w:pPr>
        <w:pStyle w:val="Heading6"/>
        <w:numPr>
          <w:ilvl w:val="5"/>
          <w:numId w:val="1"/>
        </w:numPr>
        <w:rPr/>
      </w:pPr>
      <w:bookmarkStart w:id="23" w:name="__RefHeading___Toc795141_222507752"/>
      <w:bookmarkStart w:id="24" w:name="_Toc10"/>
      <w:bookmarkEnd w:id="23"/>
      <w:r>
        <w:rPr>
          <w:rtl w:val="true"/>
        </w:rPr>
        <w:t>الأوّل</w:t>
      </w:r>
      <w:r>
        <w:rPr>
          <w:rtl w:val="true"/>
        </w:rPr>
        <w:t>:</w:t>
      </w:r>
      <w:r>
        <w:rPr>
          <w:rtl w:val="true"/>
        </w:rPr>
        <w:t>إزالة النّجاسة لا تفتقر إلى النّيّة</w:t>
      </w:r>
      <w:r>
        <w:rPr>
          <w:rtl w:val="true"/>
        </w:rPr>
        <w:t>.</w:t>
      </w:r>
      <w:bookmarkEnd w:id="24"/>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هو قول العلماء،و حكي عن ابن سريج </w:t>
      </w:r>
      <w:r>
        <w:rPr>
          <w:rStyle w:val="FootnoteAnchor"/>
          <w:rtl w:val="true"/>
        </w:rPr>
        <w:footnoteReference w:id="28"/>
      </w:r>
      <w:r>
        <w:rPr>
          <w:rFonts w:ascii="Amiri" w:hAnsi="Amiri" w:eastAsia="Amiri" w:cs="Amiri"/>
          <w:color w:val="111111"/>
          <w:sz w:val="28"/>
          <w:sz w:val="28"/>
          <w:szCs w:val="28"/>
          <w:rtl w:val="true"/>
          <w:lang w:bidi="ar-SA"/>
        </w:rPr>
        <w:t xml:space="preserve">و هو قول أبي سهل الصّعلوكي </w:t>
      </w:r>
      <w:r>
        <w:rPr>
          <w:rStyle w:val="FootnoteAnchor"/>
          <w:rtl w:val="true"/>
        </w:rPr>
        <w:footnoteReference w:id="29"/>
      </w:r>
      <w:r>
        <w:rPr>
          <w:rFonts w:ascii="Amiri" w:hAnsi="Amiri" w:eastAsia="Amiri" w:cs="Amiri"/>
          <w:color w:val="111111"/>
          <w:sz w:val="28"/>
          <w:sz w:val="28"/>
          <w:szCs w:val="28"/>
          <w:rtl w:val="true"/>
          <w:lang w:bidi="ar-SA"/>
        </w:rPr>
        <w:t>من الشّافعيّة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انّها تفتقر إلى النّيّة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 xml:space="preserve">. </w:t>
      </w:r>
      <w:bookmarkStart w:id="25" w:name="pg12669_112805"/>
    </w:p>
    <w:p>
      <w:pPr>
        <w:pStyle w:val="BookText"/>
        <w:rPr/>
      </w:pPr>
      <w:bookmarkEnd w:id="25"/>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انّها كالتّرك،فلا تفتقر إلى النّيّة</w:t>
      </w:r>
      <w:r>
        <w:rPr>
          <w:rFonts w:eastAsia="Amiri" w:cs="Amiri" w:ascii="Amiri" w:hAnsi="Amiri"/>
          <w:color w:val="111111"/>
          <w:sz w:val="28"/>
          <w:szCs w:val="28"/>
          <w:rtl w:val="true"/>
          <w:lang w:bidi="ar-SA"/>
        </w:rPr>
        <w:t>.</w:t>
      </w:r>
    </w:p>
    <w:p>
      <w:pPr>
        <w:pStyle w:val="Heading6"/>
        <w:numPr>
          <w:ilvl w:val="5"/>
          <w:numId w:val="1"/>
        </w:numPr>
        <w:rPr/>
      </w:pPr>
      <w:bookmarkStart w:id="26" w:name="__RefHeading___Toc795143_222507752"/>
      <w:bookmarkStart w:id="27" w:name="_Toc11"/>
      <w:bookmarkEnd w:id="26"/>
      <w:r>
        <w:rPr>
          <w:rtl w:val="true"/>
        </w:rPr>
        <w:t>الثّاني</w:t>
      </w:r>
      <w:r>
        <w:rPr>
          <w:rtl w:val="true"/>
        </w:rPr>
        <w:t>:</w:t>
      </w:r>
      <w:r>
        <w:rPr>
          <w:rtl w:val="true"/>
        </w:rPr>
        <w:t>غسل الميّت لا بدّ فيه من النّيّة</w:t>
      </w:r>
      <w:bookmarkEnd w:id="27"/>
    </w:p>
    <w:p>
      <w:pPr>
        <w:pStyle w:val="BookText"/>
        <w:rPr/>
      </w:pPr>
      <w:r>
        <w:rPr>
          <w:rFonts w:ascii="Amiri" w:hAnsi="Amiri" w:eastAsia="Amiri" w:cs="Amiri"/>
          <w:color w:val="111111"/>
          <w:sz w:val="28"/>
          <w:sz w:val="28"/>
          <w:szCs w:val="28"/>
          <w:rtl w:val="true"/>
          <w:lang w:bidi="ar-SA"/>
        </w:rPr>
        <w:t xml:space="preserve">و قد صرّح بذلك أبو الصّلاح </w:t>
      </w:r>
      <w:r>
        <w:rPr>
          <w:rStyle w:val="FootnoteAnchor"/>
          <w:rtl w:val="true"/>
        </w:rPr>
        <w:footnoteReference w:id="31"/>
      </w:r>
      <w:r>
        <w:rPr>
          <w:rFonts w:ascii="Amiri" w:hAnsi="Amiri" w:eastAsia="Amiri" w:cs="Amiri"/>
          <w:color w:val="111111"/>
          <w:sz w:val="28"/>
          <w:sz w:val="28"/>
          <w:szCs w:val="28"/>
          <w:rtl w:val="true"/>
          <w:lang w:bidi="ar-SA"/>
        </w:rPr>
        <w:t>،لأنّها عبادة،فتفتقر إلى النّيّة،و للشّافعيّ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قلناه،بناء على انّ الميّت لا ينجس،فكان غسله كالطّهارة عن 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عدم الافتقار إلى نيّة </w:t>
      </w:r>
      <w:r>
        <w:rPr>
          <w:rStyle w:val="FootnoteAnchor"/>
          <w:rtl w:val="true"/>
        </w:rPr>
        <w:footnoteReference w:id="32"/>
      </w:r>
      <w:r>
        <w:rPr>
          <w:rFonts w:ascii="Amiri" w:hAnsi="Amiri" w:eastAsia="Amiri" w:cs="Amiri"/>
          <w:color w:val="111111"/>
          <w:sz w:val="28"/>
          <w:sz w:val="28"/>
          <w:szCs w:val="28"/>
          <w:rtl w:val="true"/>
          <w:lang w:bidi="ar-SA"/>
        </w:rPr>
        <w:t>،بناء على أنّه ينجس،فصار كغسل النّجاسة</w:t>
      </w:r>
      <w:r>
        <w:rPr>
          <w:rFonts w:eastAsia="Amiri" w:cs="Amiri" w:ascii="Amiri" w:hAnsi="Amiri"/>
          <w:color w:val="111111"/>
          <w:sz w:val="28"/>
          <w:szCs w:val="28"/>
          <w:rtl w:val="true"/>
          <w:lang w:bidi="ar-SA"/>
        </w:rPr>
        <w:t>.</w:t>
      </w:r>
    </w:p>
    <w:p>
      <w:pPr>
        <w:pStyle w:val="Heading6"/>
        <w:numPr>
          <w:ilvl w:val="5"/>
          <w:numId w:val="1"/>
        </w:numPr>
        <w:rPr/>
      </w:pPr>
      <w:bookmarkStart w:id="28" w:name="__RefHeading___Toc795145_222507752"/>
      <w:bookmarkStart w:id="29" w:name="_Toc12"/>
      <w:bookmarkEnd w:id="28"/>
      <w:r>
        <w:rPr>
          <w:rtl w:val="true"/>
        </w:rPr>
        <w:t>الثّالث</w:t>
      </w:r>
      <w:r>
        <w:rPr>
          <w:rtl w:val="true"/>
        </w:rPr>
        <w:t>:</w:t>
      </w:r>
      <w:r>
        <w:rPr>
          <w:rtl w:val="true"/>
        </w:rPr>
        <w:t>الحائض إذا انقطع دمها قال بعض علمائنا</w:t>
      </w:r>
      <w:r>
        <w:rPr>
          <w:rtl w:val="true"/>
        </w:rPr>
        <w:t>:</w:t>
      </w:r>
      <w:r>
        <w:rPr>
          <w:rtl w:val="true"/>
        </w:rPr>
        <w:t>لا يحلّ للزّوج الوطء</w:t>
      </w:r>
      <w:bookmarkEnd w:id="29"/>
    </w:p>
    <w:p>
      <w:pPr>
        <w:pStyle w:val="BookText"/>
        <w:rPr/>
      </w:pPr>
      <w:r>
        <w:rPr>
          <w:rFonts w:ascii="Amiri" w:hAnsi="Amiri" w:eastAsia="Amiri" w:cs="Amiri"/>
          <w:color w:val="111111"/>
          <w:sz w:val="28"/>
          <w:sz w:val="28"/>
          <w:szCs w:val="28"/>
          <w:rtl w:val="true"/>
          <w:lang w:bidi="ar-SA"/>
        </w:rPr>
        <w:t xml:space="preserve">حتّى تغتسل </w:t>
      </w:r>
      <w:r>
        <w:rPr>
          <w:rStyle w:val="FootnoteAnchor"/>
          <w:rtl w:val="true"/>
        </w:rPr>
        <w:footnoteReference w:id="33"/>
      </w:r>
      <w:r>
        <w:rPr>
          <w:rFonts w:ascii="Amiri" w:hAnsi="Amiri" w:eastAsia="Amiri" w:cs="Amiri"/>
          <w:color w:val="111111"/>
          <w:sz w:val="28"/>
          <w:sz w:val="28"/>
          <w:szCs w:val="28"/>
          <w:rtl w:val="true"/>
          <w:lang w:bidi="ar-SA"/>
        </w:rPr>
        <w:t>فإن نوت به إباحة الاستمتاع فالأقرب الإجزاء،و للشّافعيّ وجهان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أحدهما،و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يجوز </w:t>
      </w:r>
      <w:r>
        <w:rPr>
          <w:rStyle w:val="FootnoteAnchor"/>
          <w:rtl w:val="true"/>
        </w:rPr>
        <w:footnoteReference w:id="34"/>
      </w:r>
      <w:r>
        <w:rPr>
          <w:rFonts w:ascii="Amiri" w:hAnsi="Amiri" w:eastAsia="Amiri" w:cs="Amiri"/>
          <w:color w:val="111111"/>
          <w:sz w:val="28"/>
          <w:sz w:val="28"/>
          <w:szCs w:val="28"/>
          <w:rtl w:val="true"/>
          <w:lang w:bidi="ar-SA"/>
        </w:rPr>
        <w:t xml:space="preserve">،لأنّها من أهل حقّ اللّه تعالى،و الطّهارة فيها حقّ للّه تعالى و حقّ للزّوج،فلا بدّ من نيّتهما معا،لتكلّفها طهارة تصلح للحقّين بخلاف الذّميّة،لأنّها </w:t>
      </w:r>
      <w:r>
        <w:rPr>
          <w:rStyle w:val="FootnoteAnchor"/>
          <w:rtl w:val="true"/>
        </w:rPr>
        <w:footnoteReference w:id="35"/>
      </w:r>
      <w:r>
        <w:rPr>
          <w:rFonts w:ascii="Amiri" w:hAnsi="Amiri" w:eastAsia="Amiri" w:cs="Amiri"/>
          <w:color w:val="111111"/>
          <w:sz w:val="28"/>
          <w:sz w:val="28"/>
          <w:szCs w:val="28"/>
          <w:rtl w:val="true"/>
          <w:lang w:bidi="ar-SA"/>
        </w:rPr>
        <w:t>ليست من أهل اللّه تعالى،فاكتفى فيها بنيّة حقّ الزّوج</w:t>
      </w:r>
      <w:r>
        <w:rPr>
          <w:rFonts w:eastAsia="Amiri" w:cs="Amiri" w:ascii="Amiri" w:hAnsi="Amiri"/>
          <w:color w:val="111111"/>
          <w:sz w:val="28"/>
          <w:szCs w:val="28"/>
          <w:rtl w:val="true"/>
          <w:lang w:bidi="ar-SA"/>
        </w:rPr>
        <w:t>.</w:t>
      </w:r>
    </w:p>
    <w:p>
      <w:pPr>
        <w:pStyle w:val="Heading6"/>
        <w:numPr>
          <w:ilvl w:val="5"/>
          <w:numId w:val="1"/>
        </w:numPr>
        <w:rPr/>
      </w:pPr>
      <w:bookmarkStart w:id="30" w:name="__RefHeading___Toc795147_222507752"/>
      <w:bookmarkStart w:id="31" w:name="_Toc13"/>
      <w:bookmarkEnd w:id="30"/>
      <w:r>
        <w:rPr>
          <w:rtl w:val="true"/>
        </w:rPr>
        <w:t>الرّابع</w:t>
      </w:r>
      <w:r>
        <w:rPr>
          <w:rtl w:val="true"/>
        </w:rPr>
        <w:t>:</w:t>
      </w:r>
      <w:r>
        <w:rPr>
          <w:rtl w:val="true"/>
        </w:rPr>
        <w:t>لو ارتدّ لم يبطل غسله و لا وضوؤه على الأقوى</w:t>
      </w:r>
      <w:bookmarkEnd w:id="31"/>
    </w:p>
    <w:p>
      <w:pPr>
        <w:pStyle w:val="BookText"/>
        <w:rPr/>
      </w:pPr>
      <w:r>
        <w:rPr>
          <w:rFonts w:ascii="Amiri" w:hAnsi="Amiri" w:eastAsia="Amiri" w:cs="Amiri"/>
          <w:color w:val="111111"/>
          <w:sz w:val="28"/>
          <w:sz w:val="28"/>
          <w:szCs w:val="28"/>
          <w:rtl w:val="true"/>
          <w:lang w:bidi="ar-SA"/>
        </w:rPr>
        <w:t>،و يبطل تيمّمه،لأنّه نوى به الاستباحة و قد خرج عنها بالرّدّة</w:t>
      </w:r>
      <w:r>
        <w:rPr>
          <w:rFonts w:eastAsia="Amiri" w:cs="Amiri" w:ascii="Amiri" w:hAnsi="Amiri"/>
          <w:color w:val="111111"/>
          <w:sz w:val="28"/>
          <w:szCs w:val="28"/>
          <w:rtl w:val="true"/>
          <w:lang w:bidi="ar-SA"/>
        </w:rPr>
        <w:t>.</w:t>
      </w:r>
    </w:p>
    <w:p>
      <w:pPr>
        <w:pStyle w:val="Heading6"/>
        <w:numPr>
          <w:ilvl w:val="5"/>
          <w:numId w:val="1"/>
        </w:numPr>
        <w:rPr/>
      </w:pPr>
      <w:bookmarkStart w:id="32" w:name="__RefHeading___Toc795149_222507752"/>
      <w:bookmarkStart w:id="33" w:name="_Toc14"/>
      <w:bookmarkEnd w:id="32"/>
      <w:r>
        <w:rPr>
          <w:rtl w:val="true"/>
        </w:rPr>
        <w:t>الخامس</w:t>
      </w:r>
      <w:r>
        <w:rPr>
          <w:rtl w:val="true"/>
        </w:rPr>
        <w:t>:</w:t>
      </w:r>
      <w:r>
        <w:rPr>
          <w:rtl w:val="true"/>
        </w:rPr>
        <w:t>طهارة الصّبيّ معتبرة عند الشّيخ ،و فيه إشكال</w:t>
      </w:r>
      <w:bookmarkEnd w:id="33"/>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أقربه أنّها تمرين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به </w:t>
      </w:r>
      <w:bookmarkStart w:id="34" w:name="pg12669_112806"/>
    </w:p>
    <w:p>
      <w:pPr>
        <w:pStyle w:val="BookText"/>
        <w:rPr/>
      </w:pPr>
      <w:bookmarkEnd w:id="34"/>
      <w:r>
        <w:rPr>
          <w:rFonts w:ascii="Amiri" w:hAnsi="Amiri" w:eastAsia="Amiri" w:cs="Amiri"/>
          <w:color w:val="111111"/>
          <w:sz w:val="28"/>
          <w:sz w:val="28"/>
          <w:szCs w:val="28"/>
          <w:rtl w:val="true"/>
          <w:lang w:bidi="ar-SA"/>
        </w:rPr>
        <w:t xml:space="preserve">قال أبو حنيفة </w:t>
      </w:r>
      <w:r>
        <w:rPr>
          <w:rStyle w:val="FootnoteAnchor"/>
          <w:rtl w:val="true"/>
        </w:rPr>
        <w:footnoteReference w:id="37"/>
      </w:r>
      <w:r>
        <w:rPr>
          <w:rFonts w:ascii="Amiri" w:hAnsi="Amiri" w:eastAsia="Amiri" w:cs="Amiri"/>
          <w:color w:val="111111"/>
          <w:sz w:val="28"/>
          <w:sz w:val="28"/>
          <w:szCs w:val="28"/>
          <w:rtl w:val="true"/>
          <w:lang w:bidi="ar-SA"/>
        </w:rPr>
        <w:t xml:space="preserve">،و قال الشّافعيّ بالأوّل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ليس أهلا للتّكليف،و على قول الشّيخ لو بلغ بغير المبطل بعد الطّهارة لم يجب عليه الاستئناف،و كذا لو جامع الصّغيرة فاغتسلت،ثمَّ بلغت</w:t>
      </w:r>
      <w:r>
        <w:rPr>
          <w:rFonts w:eastAsia="Amiri" w:cs="Amiri" w:ascii="Amiri" w:hAnsi="Amiri"/>
          <w:color w:val="111111"/>
          <w:sz w:val="28"/>
          <w:szCs w:val="28"/>
          <w:rtl w:val="true"/>
          <w:lang w:bidi="ar-SA"/>
        </w:rPr>
        <w:t>.</w:t>
      </w:r>
    </w:p>
    <w:p>
      <w:pPr>
        <w:pStyle w:val="Heading6"/>
        <w:numPr>
          <w:ilvl w:val="5"/>
          <w:numId w:val="1"/>
        </w:numPr>
        <w:rPr/>
      </w:pPr>
      <w:bookmarkStart w:id="35" w:name="__RefHeading___Toc795151_222507752"/>
      <w:bookmarkStart w:id="36" w:name="_Toc15"/>
      <w:bookmarkEnd w:id="35"/>
      <w:r>
        <w:rPr>
          <w:rtl w:val="true"/>
        </w:rPr>
        <w:t>السّادس</w:t>
      </w:r>
      <w:r>
        <w:rPr>
          <w:rtl w:val="true"/>
        </w:rPr>
        <w:t>:</w:t>
      </w:r>
      <w:r>
        <w:rPr>
          <w:rtl w:val="true"/>
        </w:rPr>
        <w:t>لو اغتسل الجنب و ترك جزءا من بدنه،</w:t>
      </w:r>
      <w:bookmarkEnd w:id="36"/>
    </w:p>
    <w:p>
      <w:pPr>
        <w:pStyle w:val="BookText"/>
        <w:rPr/>
      </w:pPr>
      <w:r>
        <w:rPr>
          <w:rFonts w:ascii="Amiri" w:hAnsi="Amiri" w:eastAsia="Amiri" w:cs="Amiri"/>
          <w:color w:val="111111"/>
          <w:sz w:val="28"/>
          <w:sz w:val="28"/>
          <w:szCs w:val="28"/>
          <w:rtl w:val="true"/>
          <w:lang w:bidi="ar-SA"/>
        </w:rPr>
        <w:t>ثمَّ نسي الاغتسال فأعاد الغسل و غسل ذلك المحل،فالأقوى صحّة غسله،لأنّ الواجب عليه غسل ذلك الجزء و قد حصل</w:t>
      </w:r>
      <w:r>
        <w:rPr>
          <w:rFonts w:eastAsia="Amiri" w:cs="Amiri" w:ascii="Amiri" w:hAnsi="Amiri"/>
          <w:color w:val="111111"/>
          <w:sz w:val="28"/>
          <w:szCs w:val="28"/>
          <w:rtl w:val="true"/>
          <w:lang w:bidi="ar-SA"/>
        </w:rPr>
        <w:t>.</w:t>
      </w:r>
    </w:p>
    <w:p>
      <w:pPr>
        <w:pStyle w:val="Heading6"/>
        <w:numPr>
          <w:ilvl w:val="5"/>
          <w:numId w:val="1"/>
        </w:numPr>
        <w:rPr/>
      </w:pPr>
      <w:bookmarkStart w:id="37" w:name="__RefHeading___Toc795153_222507752"/>
      <w:bookmarkStart w:id="38" w:name="_Toc16"/>
      <w:bookmarkEnd w:id="37"/>
      <w:r>
        <w:rPr>
          <w:rtl w:val="true"/>
        </w:rPr>
        <w:t>السّابع</w:t>
      </w:r>
      <w:r>
        <w:rPr>
          <w:rtl w:val="true"/>
        </w:rPr>
        <w:t>:</w:t>
      </w:r>
      <w:r>
        <w:rPr>
          <w:rtl w:val="true"/>
        </w:rPr>
        <w:t>لو نوت المستحاضة بالوضوء استباحة صلاتين فما زاد،ففي صحّة</w:t>
      </w:r>
      <w:bookmarkEnd w:id="38"/>
    </w:p>
    <w:p>
      <w:pPr>
        <w:pStyle w:val="BookText"/>
        <w:rPr/>
      </w:pPr>
      <w:r>
        <w:rPr>
          <w:rFonts w:ascii="Amiri" w:hAnsi="Amiri" w:eastAsia="Amiri" w:cs="Amiri"/>
          <w:color w:val="111111"/>
          <w:sz w:val="28"/>
          <w:sz w:val="28"/>
          <w:szCs w:val="28"/>
          <w:rtl w:val="true"/>
          <w:lang w:bidi="ar-SA"/>
        </w:rPr>
        <w:t>الطّهارة إشكال</w:t>
      </w:r>
    </w:p>
    <w:p>
      <w:pPr>
        <w:pStyle w:val="BookText"/>
        <w:rPr/>
      </w:pPr>
      <w:r>
        <w:rPr>
          <w:rFonts w:ascii="Amiri" w:hAnsi="Amiri" w:eastAsia="Amiri" w:cs="Amiri"/>
          <w:color w:val="111111"/>
          <w:sz w:val="28"/>
          <w:sz w:val="28"/>
          <w:szCs w:val="28"/>
          <w:rtl w:val="true"/>
          <w:lang w:bidi="ar-SA"/>
        </w:rPr>
        <w:t>ينشأ من انّها نوت شيئا يستحيل حصوله شرعا فلا عبرة بذلك الوضوء، و من استلزام نيّة الصّلاتين نيّة إحداهما</w:t>
      </w:r>
      <w:r>
        <w:rPr>
          <w:rFonts w:eastAsia="Amiri" w:cs="Amiri" w:ascii="Amiri" w:hAnsi="Amiri"/>
          <w:color w:val="111111"/>
          <w:sz w:val="28"/>
          <w:szCs w:val="28"/>
          <w:rtl w:val="true"/>
          <w:lang w:bidi="ar-SA"/>
        </w:rPr>
        <w:t>.</w:t>
      </w:r>
    </w:p>
    <w:p>
      <w:pPr>
        <w:pStyle w:val="Heading6"/>
        <w:numPr>
          <w:ilvl w:val="5"/>
          <w:numId w:val="1"/>
        </w:numPr>
        <w:rPr/>
      </w:pPr>
      <w:bookmarkStart w:id="39" w:name="__RefHeading___Toc795155_222507752"/>
      <w:bookmarkStart w:id="40" w:name="_Toc17"/>
      <w:bookmarkEnd w:id="39"/>
      <w:r>
        <w:rPr>
          <w:rtl w:val="true"/>
        </w:rPr>
        <w:t>الثّاني</w:t>
      </w:r>
      <w:r>
        <w:rPr>
          <w:rtl w:val="true"/>
        </w:rPr>
        <w:t>:</w:t>
      </w:r>
      <w:r>
        <w:rPr>
          <w:rtl w:val="true"/>
        </w:rPr>
        <w:t>في كيفيّتها و شرائطها</w:t>
      </w:r>
      <w:r>
        <w:rPr>
          <w:rtl w:val="true"/>
        </w:rPr>
        <w:t>.</w:t>
      </w:r>
      <w:bookmarkEnd w:id="40"/>
    </w:p>
    <w:p>
      <w:pPr>
        <w:pStyle w:val="BookText"/>
        <w:rPr/>
      </w:pPr>
      <w:r>
        <w:rPr>
          <w:rFonts w:ascii="Amiri" w:hAnsi="Amiri" w:eastAsia="Amiri" w:cs="Amiri"/>
          <w:color w:val="111111"/>
          <w:sz w:val="28"/>
          <w:sz w:val="28"/>
          <w:szCs w:val="28"/>
          <w:rtl w:val="true"/>
          <w:lang w:bidi="ar-SA"/>
        </w:rPr>
        <w:t>و النيّة عبارة عن القصد،يقال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نواك اللّه بخير،أي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قصدك،و نويت السّفر، 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قصدته و عزمت عليه،و محلّها القلب لأنّه محلّ القصود و الدّواعي،فمتى اعتقد بقلبه أجزأه،سواء تلفّظ بها بلسانه أو لا،و لو نطق بها و لم يخطر بباله لم يجزئه،و لو سبق لسانه إلى غير عزمه و ما اعتقده،لم يمنع صحّة ما اعتقده بقلبه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يشترط استحضار نيّة التّقرّب لقوله تعالى وَ ما أُمِرُوا إِلاّ لِيَعْبُدُوا اللّهَ مُخْلِصِينَ لَهُ الدِّينَ </w:t>
      </w:r>
      <w:r>
        <w:rPr>
          <w:rStyle w:val="FootnoteAnchor"/>
          <w:rtl w:val="true"/>
        </w:rPr>
        <w:footnoteReference w:id="39"/>
      </w:r>
      <w:r>
        <w:rPr>
          <w:rFonts w:ascii="Amiri" w:hAnsi="Amiri" w:eastAsia="Amiri" w:cs="Amiri"/>
          <w:color w:val="111111"/>
          <w:sz w:val="28"/>
          <w:sz w:val="28"/>
          <w:szCs w:val="28"/>
          <w:rtl w:val="true"/>
          <w:lang w:bidi="ar-SA"/>
        </w:rPr>
        <w:t>و لا يتحقّق الإخلاص بدون التّقرّب</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يشترط استباحة شيء لا يستباح إلاّ بها،كالصّلاة،و الطّواف،أو رفع الحدث و هو إزالة المانع من كلّ فعل يفتقر إلى الطّهارة لقوله تعالى إِذا قُمْتُمْ إِلَى الصَّلاةِ فَاغْسِلُوا </w:t>
      </w:r>
      <w:r>
        <w:rPr>
          <w:rStyle w:val="FootnoteAnchor"/>
          <w:rtl w:val="true"/>
        </w:rPr>
        <w:footnoteReference w:id="40"/>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للصّلاة على الأقوى،و اكتفى الشّيخ رحمه اللّه في بعض كتبه بنيّة </w:t>
      </w:r>
      <w:bookmarkStart w:id="41" w:name="pg12669_112807"/>
    </w:p>
    <w:p>
      <w:pPr>
        <w:pStyle w:val="BookText"/>
        <w:rPr/>
      </w:pPr>
      <w:bookmarkEnd w:id="41"/>
      <w:r>
        <w:rPr>
          <w:rFonts w:ascii="Amiri" w:hAnsi="Amiri" w:eastAsia="Amiri" w:cs="Amiri"/>
          <w:color w:val="111111"/>
          <w:sz w:val="28"/>
          <w:sz w:val="28"/>
          <w:szCs w:val="28"/>
          <w:rtl w:val="true"/>
          <w:lang w:bidi="ar-SA"/>
        </w:rPr>
        <w:t>القربة</w:t>
      </w:r>
      <w:r>
        <w:rPr>
          <w:rFonts w:eastAsia="Amiri" w:cs="Amiri" w:ascii="Amiri" w:hAnsi="Amiri"/>
          <w:color w:val="111111"/>
          <w:sz w:val="28"/>
          <w:szCs w:val="28"/>
          <w:rtl w:val="true"/>
          <w:lang w:bidi="ar-SA"/>
        </w:rPr>
        <w:t xml:space="preserve">.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 فإنّها تدلّ على نيّة الاستباحة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يجب أن تقع مقارنة لغسل الوجه،لأنّه مبدأ للطّهارة،فلو تراخت عنه لوقع غير منويّ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يستحبّ إيقاعها عند غسل اليدين للوضوء أمام غسل الوجه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تشتمل النّيّة أفعال الطّهارة المسنونة و الواجبة،لأنّ غسل اليدين للوضوء من أفعاله،فجاز إيقاع النّيّة عنده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جوّز الشّافعيّة ذلك بشرط بقاء الذّكر إلى غسل الوجه </w:t>
      </w:r>
      <w:r>
        <w:rPr>
          <w:rStyle w:val="FootnoteAnchor"/>
          <w:rtl w:val="true"/>
        </w:rPr>
        <w:footnoteReference w:id="42"/>
      </w:r>
      <w:r>
        <w:rPr>
          <w:rFonts w:ascii="Amiri" w:hAnsi="Amiri" w:eastAsia="Amiri" w:cs="Amiri"/>
          <w:color w:val="111111"/>
          <w:sz w:val="28"/>
          <w:sz w:val="28"/>
          <w:szCs w:val="28"/>
          <w:rtl w:val="true"/>
          <w:lang w:bidi="ar-SA"/>
        </w:rPr>
        <w:t>،و المعتمد ما قلناه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يتضيّق عند غسل أوّل جزء من الوجه الّذي هو أوّل واجباته،و لا يجوز تقديمها على غسل اليدين و لو بالزّمن اليسير،خلافا لأحمد </w:t>
      </w:r>
      <w:r>
        <w:rPr>
          <w:rStyle w:val="FootnoteAnchor"/>
          <w:rtl w:val="true"/>
        </w:rPr>
        <w:footnoteReference w:id="43"/>
      </w:r>
      <w:r>
        <w:rPr>
          <w:rFonts w:ascii="Amiri" w:hAnsi="Amiri" w:eastAsia="Amiri" w:cs="Amiri"/>
          <w:color w:val="111111"/>
          <w:sz w:val="28"/>
          <w:sz w:val="28"/>
          <w:szCs w:val="28"/>
          <w:rtl w:val="true"/>
          <w:lang w:bidi="ar-SA"/>
        </w:rPr>
        <w:t>،و إلاّ فإن استحضرت حالة الغسل فتلك اخرى مجدّدة و إلاّ وقع غير منويّ فلا يكون مجزيا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يجب استدامتها حكما بمعنى انّه لا ينتقل إلى نيّة منافية لها،و لا يشترط الاستمرار حقيقة للمشقّة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نعم،يستحبّ،لتقع جميع الأفعال مقترنة بالنّيّة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هل يشترط نيّة الوجوب أو النّدب؟الوجه اشتراطه،لأنّه فعل مشترك فلا يتخصّص إلاّ بالنّيّة،و بالقياس على واجبات العبادات</w:t>
      </w:r>
      <w:r>
        <w:rPr>
          <w:rFonts w:eastAsia="Amiri" w:cs="Amiri" w:ascii="Amiri" w:hAnsi="Amiri"/>
          <w:color w:val="111111"/>
          <w:sz w:val="28"/>
          <w:szCs w:val="28"/>
          <w:rtl w:val="true"/>
          <w:lang w:bidi="ar-SA"/>
        </w:rPr>
        <w:t>.</w:t>
      </w:r>
    </w:p>
    <w:p>
      <w:pPr>
        <w:pStyle w:val="Heading6"/>
        <w:numPr>
          <w:ilvl w:val="5"/>
          <w:numId w:val="1"/>
        </w:numPr>
        <w:rPr/>
      </w:pPr>
      <w:bookmarkStart w:id="42" w:name="__RefHeading___Toc795157_222507752"/>
      <w:bookmarkStart w:id="43" w:name="_Toc18"/>
      <w:bookmarkEnd w:id="42"/>
      <w:r>
        <w:rPr>
          <w:rtl w:val="true"/>
        </w:rPr>
        <w:t>فروع</w:t>
      </w:r>
      <w:r>
        <w:rPr>
          <w:rtl w:val="true"/>
        </w:rPr>
        <w:t>:</w:t>
      </w:r>
      <w:bookmarkEnd w:id="43"/>
    </w:p>
    <w:p>
      <w:pPr>
        <w:pStyle w:val="Heading6"/>
        <w:numPr>
          <w:ilvl w:val="5"/>
          <w:numId w:val="1"/>
        </w:numPr>
        <w:rPr/>
      </w:pPr>
      <w:bookmarkStart w:id="44" w:name="__RefHeading___Toc795159_222507752"/>
      <w:bookmarkStart w:id="45" w:name="_Toc19"/>
      <w:bookmarkEnd w:id="44"/>
      <w:r>
        <w:rPr>
          <w:rtl w:val="true"/>
        </w:rPr>
        <w:t>الأوّل</w:t>
      </w:r>
      <w:r>
        <w:rPr>
          <w:rtl w:val="true"/>
        </w:rPr>
        <w:t>:</w:t>
      </w:r>
      <w:r>
        <w:rPr>
          <w:rtl w:val="true"/>
        </w:rPr>
        <w:t>لو نوى ما لا يشرع له الطّهارة كالأكل،و البيع،و التّبرّد لم يرتفع حدثه</w:t>
      </w:r>
      <w:bookmarkEnd w:id="45"/>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إجماعا،لأنّه لم ينو الطّهارة و لا ما يتضمّن نيّتها،فلا تكون حاصلة له،كالّذي لم ينو شيئا</w:t>
      </w:r>
      <w:r>
        <w:rPr>
          <w:rFonts w:eastAsia="Amiri" w:cs="Amiri" w:ascii="Amiri" w:hAnsi="Amiri"/>
          <w:color w:val="111111"/>
          <w:sz w:val="28"/>
          <w:szCs w:val="28"/>
          <w:rtl w:val="true"/>
          <w:lang w:bidi="ar-SA"/>
        </w:rPr>
        <w:t xml:space="preserve">. </w:t>
      </w:r>
      <w:bookmarkStart w:id="46" w:name="pg12669_112808"/>
    </w:p>
    <w:p>
      <w:pPr>
        <w:pStyle w:val="Heading6"/>
        <w:numPr>
          <w:ilvl w:val="5"/>
          <w:numId w:val="1"/>
        </w:numPr>
        <w:rPr/>
      </w:pPr>
      <w:bookmarkStart w:id="47" w:name="__RefHeading___Toc795161_222507752"/>
      <w:bookmarkStart w:id="48" w:name="_Toc20"/>
      <w:bookmarkEnd w:id="46"/>
      <w:bookmarkEnd w:id="47"/>
      <w:r>
        <w:rPr>
          <w:rtl w:val="true"/>
        </w:rPr>
        <w:t>الثّاني</w:t>
      </w:r>
      <w:r>
        <w:rPr>
          <w:rtl w:val="true"/>
        </w:rPr>
        <w:t>:</w:t>
      </w:r>
      <w:r>
        <w:rPr>
          <w:rtl w:val="true"/>
        </w:rPr>
        <w:t>لو نوى ما ليس من شرطه الطّهارة</w:t>
      </w:r>
      <w:bookmarkEnd w:id="48"/>
    </w:p>
    <w:p>
      <w:pPr>
        <w:pStyle w:val="BookText"/>
        <w:rPr/>
      </w:pPr>
      <w:r>
        <w:rPr>
          <w:rFonts w:ascii="Amiri" w:hAnsi="Amiri" w:eastAsia="Amiri" w:cs="Amiri"/>
          <w:color w:val="111111"/>
          <w:sz w:val="28"/>
          <w:sz w:val="28"/>
          <w:szCs w:val="28"/>
          <w:rtl w:val="true"/>
          <w:lang w:bidi="ar-SA"/>
        </w:rPr>
        <w:t>بل من فضله كقراءة القرآن،و النّوم، أو كتابة القرآن،أو الأحاديث،أو الفقه،أو الكون على طهارة،قال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يرتفع حدثه </w:t>
      </w:r>
      <w:r>
        <w:rPr>
          <w:rStyle w:val="FootnoteAnchor"/>
          <w:rtl w:val="true"/>
        </w:rPr>
        <w:footnoteReference w:id="44"/>
      </w:r>
      <w:r>
        <w:rPr>
          <w:rFonts w:ascii="Amiri" w:hAnsi="Amiri" w:eastAsia="Amiri" w:cs="Amiri"/>
          <w:color w:val="111111"/>
          <w:sz w:val="28"/>
          <w:sz w:val="28"/>
          <w:szCs w:val="28"/>
          <w:rtl w:val="true"/>
          <w:lang w:bidi="ar-SA"/>
        </w:rPr>
        <w:t xml:space="preserve">،لأنّه لم ينو رفع الحدث و لا ما يتضمّنه،فأشبه ما لو نوى التّبرّد،و فيه للشّافعيّ وجهان </w:t>
      </w:r>
      <w:r>
        <w:rPr>
          <w:rStyle w:val="FootnoteAnchor"/>
          <w:rtl w:val="true"/>
        </w:rPr>
        <w:footnoteReference w:id="45"/>
      </w:r>
      <w:r>
        <w:rPr>
          <w:rFonts w:ascii="Amiri" w:hAnsi="Amiri" w:eastAsia="Amiri" w:cs="Amiri"/>
          <w:color w:val="111111"/>
          <w:sz w:val="28"/>
          <w:sz w:val="28"/>
          <w:szCs w:val="28"/>
          <w:rtl w:val="true"/>
          <w:lang w:bidi="ar-SA"/>
        </w:rPr>
        <w:t>،و يمكن أن يقال بارتفاع الحدث كأحد وجهي الشّافعيّ،لأنّه نوى طهارة شرعيّة فينبغي أن يحصل له ما نواه،عملا بالخبر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ينو رفع الحدث و لا ما يتضمّنه،ممنوع لأنّه نوى شيئا من ضرورته صحّة الطّهارة و هو الفضيلة الحاصلة لمن فعل ذلك و هو على طهارة،فصحّت طهارته،كما لو نوى ما لا يباح إلاّ بها،أمّا لو نوى وضوءا مطلقا فالوجه عدم الارتفاع،لما قاله الشّيخ، و إن كان فيه نظر من حيث انّ الوضوء و الطّهارة إنّما ينصرفان بالإطلاق إلى المشروع فيكون ناويا لوضوء شرعيّ،إلاّ أنّ الأوّل أصحّ،و هو قول أكثر الشّافعيّة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9" w:name="__RefHeading___Toc795163_222507752"/>
      <w:bookmarkStart w:id="50" w:name="_Toc21"/>
      <w:bookmarkEnd w:id="49"/>
      <w:r>
        <w:rPr>
          <w:rtl w:val="true"/>
        </w:rPr>
        <w:t>الثّالث</w:t>
      </w:r>
      <w:r>
        <w:rPr>
          <w:rtl w:val="true"/>
        </w:rPr>
        <w:t>:</w:t>
      </w:r>
      <w:r>
        <w:rPr>
          <w:rtl w:val="true"/>
        </w:rPr>
        <w:t>لو جدّد الطّهارة ندبا فتبيّن انّه كان محدثا فوجهان</w:t>
      </w:r>
      <w:r>
        <w:rPr>
          <w:rtl w:val="true"/>
        </w:rPr>
        <w:t>:</w:t>
      </w:r>
      <w:bookmarkEnd w:id="50"/>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الإجزاء،لأنّه نوى طهارة شرعيّة فيحصل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عدمه،لأنّه لم ينو رفع الحدث و لا ما يتضمّنه،فهو كما لو نوى التّبرّد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لو شكّ في الحدث بعد يقين الطّهارة فتوضّأ احتياطا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أغفل لمعة في الطّهارة الواجبة فانغسلت في الثّانية أو أغفلت في الغسلة الأولى فانغسلت في الثّانية فالوجهان</w:t>
      </w:r>
      <w:r>
        <w:rPr>
          <w:rFonts w:eastAsia="Amiri" w:cs="Amiri" w:ascii="Amiri" w:hAnsi="Amiri"/>
          <w:color w:val="111111"/>
          <w:sz w:val="28"/>
          <w:szCs w:val="28"/>
          <w:rtl w:val="true"/>
          <w:lang w:bidi="ar-SA"/>
        </w:rPr>
        <w:t>.</w:t>
      </w:r>
    </w:p>
    <w:p>
      <w:pPr>
        <w:pStyle w:val="Heading6"/>
        <w:numPr>
          <w:ilvl w:val="5"/>
          <w:numId w:val="1"/>
        </w:numPr>
        <w:rPr/>
      </w:pPr>
      <w:bookmarkStart w:id="51" w:name="__RefHeading___Toc795165_222507752"/>
      <w:bookmarkStart w:id="52" w:name="_Toc22"/>
      <w:bookmarkEnd w:id="51"/>
      <w:r>
        <w:rPr>
          <w:rtl w:val="true"/>
        </w:rPr>
        <w:t>الرّابع</w:t>
      </w:r>
      <w:r>
        <w:rPr>
          <w:rtl w:val="true"/>
        </w:rPr>
        <w:t>:</w:t>
      </w:r>
      <w:r>
        <w:rPr>
          <w:rtl w:val="true"/>
        </w:rPr>
        <w:t>لو نوى الجنب الاستيطان في المسجد،أو قراءة العزائم،أو مسّ كتابة</w:t>
      </w:r>
      <w:bookmarkEnd w:id="52"/>
    </w:p>
    <w:p>
      <w:pPr>
        <w:pStyle w:val="BookText"/>
        <w:rPr/>
      </w:pPr>
      <w:r>
        <w:rPr>
          <w:rFonts w:ascii="IRNazanin" w:hAnsi="IRNazanin" w:eastAsia="IRNazanin"/>
          <w:color w:val="111111"/>
          <w:sz w:val="28"/>
          <w:sz w:val="28"/>
          <w:szCs w:val="28"/>
          <w:rtl w:val="true"/>
          <w:lang w:bidi="fa-IR"/>
        </w:rPr>
        <w:t>القرآن ارتفع حدثه</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قولا واحدا،لأنّه شرط لذلك كلّه،أمّا لو نوى الاجتياز ففي ارتفاع حدثه إشكال،نصّ الشّيخ على عدمه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 xml:space="preserve">. </w:t>
      </w:r>
      <w:bookmarkStart w:id="53" w:name="pg12669_112809"/>
    </w:p>
    <w:p>
      <w:pPr>
        <w:pStyle w:val="Heading6"/>
        <w:numPr>
          <w:ilvl w:val="5"/>
          <w:numId w:val="1"/>
        </w:numPr>
        <w:rPr/>
      </w:pPr>
      <w:bookmarkStart w:id="54" w:name="__RefHeading___Toc795167_222507752"/>
      <w:bookmarkStart w:id="55" w:name="_Toc23"/>
      <w:bookmarkEnd w:id="53"/>
      <w:bookmarkEnd w:id="54"/>
      <w:r>
        <w:rPr>
          <w:rtl w:val="true"/>
        </w:rPr>
        <w:t>الخامس</w:t>
      </w:r>
      <w:r>
        <w:rPr>
          <w:rtl w:val="true"/>
        </w:rPr>
        <w:t>:</w:t>
      </w:r>
      <w:r>
        <w:rPr>
          <w:rtl w:val="true"/>
        </w:rPr>
        <w:t>لو نوى الطّهارة و التّبرّد أجزأه</w:t>
      </w:r>
      <w:bookmarkEnd w:id="55"/>
    </w:p>
    <w:p>
      <w:pPr>
        <w:pStyle w:val="BookText"/>
        <w:rPr/>
      </w:pPr>
      <w:r>
        <w:rPr>
          <w:rFonts w:ascii="Amiri" w:hAnsi="Amiri" w:eastAsia="Amiri" w:cs="Amiri"/>
          <w:color w:val="111111"/>
          <w:sz w:val="28"/>
          <w:sz w:val="28"/>
          <w:szCs w:val="28"/>
          <w:rtl w:val="true"/>
          <w:lang w:bidi="ar-SA"/>
        </w:rPr>
        <w:t xml:space="preserve">،و هو أظهر قولي الشّافعيّ </w:t>
      </w:r>
      <w:r>
        <w:rPr>
          <w:rStyle w:val="FootnoteAnchor"/>
          <w:rtl w:val="true"/>
        </w:rPr>
        <w:footnoteReference w:id="48"/>
      </w:r>
      <w:r>
        <w:rPr>
          <w:rFonts w:ascii="Amiri" w:hAnsi="Amiri" w:eastAsia="Amiri" w:cs="Amiri"/>
          <w:color w:val="111111"/>
          <w:sz w:val="28"/>
          <w:sz w:val="28"/>
          <w:szCs w:val="28"/>
          <w:rtl w:val="true"/>
          <w:lang w:bidi="ar-SA"/>
        </w:rPr>
        <w:t xml:space="preserve">،لأنّ التّبرّد </w:t>
      </w:r>
      <w:r>
        <w:rPr>
          <w:rStyle w:val="FootnoteAnchor"/>
          <w:rtl w:val="true"/>
        </w:rPr>
        <w:footnoteReference w:id="49"/>
      </w:r>
      <w:r>
        <w:rPr>
          <w:rFonts w:ascii="Amiri" w:hAnsi="Amiri" w:eastAsia="Amiri" w:cs="Amiri"/>
          <w:color w:val="111111"/>
          <w:sz w:val="28"/>
          <w:sz w:val="28"/>
          <w:szCs w:val="28"/>
          <w:rtl w:val="true"/>
          <w:lang w:bidi="ar-SA"/>
        </w:rPr>
        <w:t xml:space="preserve">يحصل بدون النّيّة فلا يؤثّر هذا الاشتراك فإنّه قد فعل الواجب و زيادة غير منافية،كما لو قصد بالصّلاة،الطّاعة و الخلاص من خصمه،و يحتمل البطلان و هو الوجه الثّاني للشّافعيّ </w:t>
      </w:r>
      <w:r>
        <w:rPr>
          <w:rStyle w:val="FootnoteAnchor"/>
          <w:rtl w:val="true"/>
        </w:rPr>
        <w:footnoteReference w:id="50"/>
      </w:r>
      <w:r>
        <w:rPr>
          <w:rFonts w:ascii="Amiri" w:hAnsi="Amiri" w:eastAsia="Amiri" w:cs="Amiri"/>
          <w:color w:val="111111"/>
          <w:sz w:val="28"/>
          <w:sz w:val="28"/>
          <w:szCs w:val="28"/>
          <w:rtl w:val="true"/>
          <w:lang w:bidi="ar-SA"/>
        </w:rPr>
        <w:t>،لأنّه لم يخلص فعله للعبادة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لو ضمّ إلى الرّفع نيّة الرّياء،فالوجه عندي البطلان،لأنّ الطّاعة لا تخلص طاعة إلاّ بنيّتها،و لم تحصل،فلا يكون ما فعله مجزيا</w:t>
      </w:r>
      <w:r>
        <w:rPr>
          <w:rFonts w:eastAsia="Amiri" w:cs="Amiri" w:ascii="Amiri" w:hAnsi="Amiri"/>
          <w:color w:val="111111"/>
          <w:sz w:val="28"/>
          <w:szCs w:val="28"/>
          <w:rtl w:val="true"/>
          <w:lang w:bidi="ar-SA"/>
        </w:rPr>
        <w:t>.</w:t>
      </w:r>
    </w:p>
    <w:p>
      <w:pPr>
        <w:pStyle w:val="Heading6"/>
        <w:numPr>
          <w:ilvl w:val="5"/>
          <w:numId w:val="1"/>
        </w:numPr>
        <w:rPr/>
      </w:pPr>
      <w:bookmarkStart w:id="56" w:name="__RefHeading___Toc795169_222507752"/>
      <w:bookmarkStart w:id="57" w:name="_Toc24"/>
      <w:bookmarkEnd w:id="56"/>
      <w:r>
        <w:rPr>
          <w:rtl w:val="true"/>
        </w:rPr>
        <w:t>السّادس</w:t>
      </w:r>
      <w:r>
        <w:rPr>
          <w:rtl w:val="true"/>
        </w:rPr>
        <w:t>:</w:t>
      </w:r>
      <w:r>
        <w:rPr>
          <w:rtl w:val="true"/>
        </w:rPr>
        <w:t>لو عزبت النّيّة عن خاطره في أثناء الطّهارة لم يؤثّر في صحّتها،</w:t>
      </w:r>
      <w:bookmarkEnd w:id="57"/>
    </w:p>
    <w:p>
      <w:pPr>
        <w:pStyle w:val="BookText"/>
        <w:rPr/>
      </w:pPr>
      <w:r>
        <w:rPr>
          <w:rFonts w:ascii="Amiri" w:hAnsi="Amiri" w:eastAsia="Amiri" w:cs="Amiri"/>
          <w:color w:val="111111"/>
          <w:sz w:val="28"/>
          <w:sz w:val="28"/>
          <w:szCs w:val="28"/>
          <w:rtl w:val="true"/>
          <w:lang w:bidi="ar-SA"/>
        </w:rPr>
        <w:t xml:space="preserve">خلافا للشّافعيّ فيما لو عزبت بعد اقترانها بغسل اليدين،و وافقنا على الإجزاء لو عزبت بعد اقترانها بغسل الوجه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أتى بالمأمور به،و هو الطّهارة مع النّيّة،فوجب الاجتزاء </w:t>
      </w:r>
      <w:r>
        <w:rPr>
          <w:rStyle w:val="FootnoteAnchor"/>
          <w:rtl w:val="true"/>
        </w:rPr>
        <w:footnoteReference w:id="52"/>
      </w:r>
      <w:r>
        <w:rPr>
          <w:rFonts w:ascii="Amiri" w:hAnsi="Amiri" w:eastAsia="Amiri" w:cs="Amiri"/>
          <w:color w:val="111111"/>
          <w:sz w:val="28"/>
          <w:sz w:val="28"/>
          <w:szCs w:val="28"/>
          <w:rtl w:val="true"/>
          <w:lang w:bidi="ar-SA"/>
        </w:rPr>
        <w:t>به،و لأنّ ما اشترطت له النّيّة لا يبطل بعزوبها و الذّهول عنها كالصّلاة و الصّيام،و الفرق بين ما لو اقترنت بغسل الوجه و غسل اليدين باطل،لأنّهما استويا في كونهما من أفعال الطّهارة المشترطة فيها النّيّة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عزبت عند </w:t>
      </w:r>
      <w:r>
        <w:rPr>
          <w:rStyle w:val="FootnoteAnchor"/>
          <w:rtl w:val="true"/>
        </w:rPr>
        <w:footnoteReference w:id="53"/>
      </w:r>
      <w:r>
        <w:rPr>
          <w:rFonts w:ascii="Amiri" w:hAnsi="Amiri" w:eastAsia="Amiri" w:cs="Amiri"/>
          <w:color w:val="111111"/>
          <w:sz w:val="28"/>
          <w:sz w:val="28"/>
          <w:szCs w:val="28"/>
          <w:rtl w:val="true"/>
          <w:lang w:bidi="ar-SA"/>
        </w:rPr>
        <w:t>غسل الوجه،و قد قدّمها عند غسل اليدين،ثمَّ غسل اليدين للتّبرّد،لم يقع عن الوضوء فإن ذكر و رطوبة الوجه باقية،جاز استئناف غسل اليدين بنيّة الوضوء و إلاّ استأنف من أوّله</w:t>
      </w:r>
      <w:r>
        <w:rPr>
          <w:rFonts w:eastAsia="Amiri" w:cs="Amiri" w:ascii="Amiri" w:hAnsi="Amiri"/>
          <w:color w:val="111111"/>
          <w:sz w:val="28"/>
          <w:szCs w:val="28"/>
          <w:rtl w:val="true"/>
          <w:lang w:bidi="ar-SA"/>
        </w:rPr>
        <w:t xml:space="preserve">. </w:t>
      </w:r>
      <w:bookmarkStart w:id="58" w:name="pg12669_112810"/>
    </w:p>
    <w:p>
      <w:pPr>
        <w:pStyle w:val="Heading6"/>
        <w:numPr>
          <w:ilvl w:val="5"/>
          <w:numId w:val="1"/>
        </w:numPr>
        <w:rPr/>
      </w:pPr>
      <w:bookmarkStart w:id="59" w:name="__RefHeading___Toc795171_222507752"/>
      <w:bookmarkStart w:id="60" w:name="_Toc25"/>
      <w:bookmarkEnd w:id="58"/>
      <w:bookmarkEnd w:id="59"/>
      <w:r>
        <w:rPr>
          <w:rtl w:val="true"/>
        </w:rPr>
        <w:t>السّابع</w:t>
      </w:r>
      <w:r>
        <w:rPr>
          <w:rtl w:val="true"/>
        </w:rPr>
        <w:t>:</w:t>
      </w:r>
      <w:r>
        <w:rPr>
          <w:rtl w:val="true"/>
        </w:rPr>
        <w:t>لو نوى قطع النّيّة في أثناء الطّهارة لم يبطل فعله</w:t>
      </w:r>
      <w:bookmarkEnd w:id="60"/>
    </w:p>
    <w:p>
      <w:pPr>
        <w:pStyle w:val="BookText"/>
        <w:rPr/>
      </w:pPr>
      <w:r>
        <w:rPr>
          <w:rFonts w:ascii="Amiri" w:hAnsi="Amiri" w:eastAsia="Amiri" w:cs="Amiri"/>
          <w:color w:val="111111"/>
          <w:sz w:val="28"/>
          <w:sz w:val="28"/>
          <w:szCs w:val="28"/>
          <w:rtl w:val="true"/>
          <w:lang w:bidi="ar-SA"/>
        </w:rPr>
        <w:t xml:space="preserve">الأوّل خلافا لبعض الشّافعيّة </w:t>
      </w:r>
      <w:r>
        <w:rPr>
          <w:rStyle w:val="FootnoteAnchor"/>
          <w:rtl w:val="true"/>
        </w:rPr>
        <w:footnoteReference w:id="54"/>
      </w:r>
      <w:r>
        <w:rPr>
          <w:rFonts w:ascii="Amiri" w:hAnsi="Amiri" w:eastAsia="Amiri" w:cs="Amiri"/>
          <w:color w:val="111111"/>
          <w:sz w:val="28"/>
          <w:sz w:val="28"/>
          <w:szCs w:val="28"/>
          <w:rtl w:val="true"/>
          <w:lang w:bidi="ar-SA"/>
        </w:rPr>
        <w:t>،لأنّه وقع صحيحا فلا يؤثّر فيه قطع النّيّة،كما لو نوى القطع بعد الفراغ، و ما أتى به من الغسل بعد القطع لا اعتداد به لفقدان شرطه،و لو أعاد النّيّة أعاد ما فعله بغير نيّة،لكن يقع هنا فرق بين الوضوء و الغسل في طول الفصل و قصره،فيجوز في الغسل معهما،و يشترط في الوضوء عدم الطّول المؤدّي إلى الجفاف</w:t>
      </w:r>
      <w:r>
        <w:rPr>
          <w:rFonts w:eastAsia="Amiri" w:cs="Amiri" w:ascii="Amiri" w:hAnsi="Amiri"/>
          <w:color w:val="111111"/>
          <w:sz w:val="28"/>
          <w:szCs w:val="28"/>
          <w:rtl w:val="true"/>
          <w:lang w:bidi="ar-SA"/>
        </w:rPr>
        <w:t>.</w:t>
      </w:r>
    </w:p>
    <w:p>
      <w:pPr>
        <w:pStyle w:val="Heading6"/>
        <w:numPr>
          <w:ilvl w:val="5"/>
          <w:numId w:val="1"/>
        </w:numPr>
        <w:rPr/>
      </w:pPr>
      <w:bookmarkStart w:id="61" w:name="__RefHeading___Toc795173_222507752"/>
      <w:bookmarkStart w:id="62" w:name="_Toc26"/>
      <w:bookmarkEnd w:id="61"/>
      <w:r>
        <w:rPr>
          <w:rtl w:val="true"/>
        </w:rPr>
        <w:t>الثّامن</w:t>
      </w:r>
      <w:r>
        <w:rPr>
          <w:rtl w:val="true"/>
        </w:rPr>
        <w:t>:</w:t>
      </w:r>
      <w:r>
        <w:rPr>
          <w:rtl w:val="true"/>
        </w:rPr>
        <w:t>لو شكّ في النّيّة بعد الفراغ لم يلتفت،</w:t>
      </w:r>
      <w:bookmarkEnd w:id="62"/>
    </w:p>
    <w:p>
      <w:pPr>
        <w:pStyle w:val="BookText"/>
        <w:rPr/>
      </w:pPr>
      <w:r>
        <w:rPr>
          <w:rFonts w:ascii="Amiri" w:hAnsi="Amiri" w:eastAsia="Amiri" w:cs="Amiri"/>
          <w:color w:val="111111"/>
          <w:sz w:val="28"/>
          <w:sz w:val="28"/>
          <w:szCs w:val="28"/>
          <w:rtl w:val="true"/>
          <w:lang w:bidi="ar-SA"/>
        </w:rPr>
        <w:t>لأنّها وقعت مشروعة،فلا يؤثّر فيها تجدّد الشّك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لو وقع الشّك في الأثناء استأنف قولا واحدا،لأنّها عبادة مشروطة بالنّيّة و لم تتحقّق</w:t>
      </w:r>
      <w:r>
        <w:rPr>
          <w:rFonts w:eastAsia="Amiri" w:cs="Amiri" w:ascii="Amiri" w:hAnsi="Amiri"/>
          <w:color w:val="111111"/>
          <w:sz w:val="28"/>
          <w:szCs w:val="28"/>
          <w:rtl w:val="true"/>
          <w:lang w:bidi="ar-SA"/>
        </w:rPr>
        <w:t>.</w:t>
      </w:r>
    </w:p>
    <w:p>
      <w:pPr>
        <w:pStyle w:val="Heading6"/>
        <w:numPr>
          <w:ilvl w:val="5"/>
          <w:numId w:val="1"/>
        </w:numPr>
        <w:rPr/>
      </w:pPr>
      <w:bookmarkStart w:id="63" w:name="__RefHeading___Toc795175_222507752"/>
      <w:bookmarkStart w:id="64" w:name="_Toc27"/>
      <w:bookmarkEnd w:id="63"/>
      <w:r>
        <w:rPr>
          <w:rtl w:val="true"/>
        </w:rPr>
        <w:t>التّاسع</w:t>
      </w:r>
      <w:r>
        <w:rPr>
          <w:rtl w:val="true"/>
        </w:rPr>
        <w:t>:</w:t>
      </w:r>
      <w:r>
        <w:rPr>
          <w:rtl w:val="true"/>
        </w:rPr>
        <w:t>لو وضّأه غيره لعذر اعتبرت نيّة المتوضّئ،</w:t>
      </w:r>
      <w:bookmarkEnd w:id="64"/>
    </w:p>
    <w:p>
      <w:pPr>
        <w:pStyle w:val="BookText"/>
        <w:rPr/>
      </w:pPr>
      <w:r>
        <w:rPr>
          <w:rFonts w:ascii="Amiri" w:hAnsi="Amiri" w:eastAsia="Amiri" w:cs="Amiri"/>
          <w:color w:val="111111"/>
          <w:sz w:val="28"/>
          <w:sz w:val="28"/>
          <w:szCs w:val="28"/>
          <w:rtl w:val="true"/>
          <w:lang w:bidi="ar-SA"/>
        </w:rPr>
        <w:t>لأنّه المخاطب بالطّهارة و الوضوء يحصل له،و لا يحصل إلاّ مع النّيّة،و لا اعتبار بالموضّي لأنّه غير مخاطب و لا يحصل له،فأشبه حامل الماء إليه</w:t>
      </w:r>
      <w:r>
        <w:rPr>
          <w:rFonts w:eastAsia="Amiri" w:cs="Amiri" w:ascii="Amiri" w:hAnsi="Amiri"/>
          <w:color w:val="111111"/>
          <w:sz w:val="28"/>
          <w:szCs w:val="28"/>
          <w:rtl w:val="true"/>
          <w:lang w:bidi="ar-SA"/>
        </w:rPr>
        <w:t>.</w:t>
      </w:r>
    </w:p>
    <w:p>
      <w:pPr>
        <w:pStyle w:val="Heading6"/>
        <w:numPr>
          <w:ilvl w:val="5"/>
          <w:numId w:val="1"/>
        </w:numPr>
        <w:rPr/>
      </w:pPr>
      <w:bookmarkStart w:id="65" w:name="__RefHeading___Toc795177_222507752"/>
      <w:bookmarkStart w:id="66" w:name="_Toc28"/>
      <w:bookmarkEnd w:id="65"/>
      <w:r>
        <w:rPr>
          <w:rtl w:val="true"/>
        </w:rPr>
        <w:t>العاشر</w:t>
      </w:r>
      <w:r>
        <w:rPr>
          <w:rtl w:val="true"/>
        </w:rPr>
        <w:t>:</w:t>
      </w:r>
      <w:r>
        <w:rPr>
          <w:rtl w:val="true"/>
        </w:rPr>
        <w:t>لا تصحّ طهارة الكافر</w:t>
      </w:r>
      <w:bookmarkEnd w:id="66"/>
    </w:p>
    <w:p>
      <w:pPr>
        <w:pStyle w:val="BookText"/>
        <w:rPr/>
      </w:pPr>
      <w:r>
        <w:rPr>
          <w:rFonts w:ascii="Amiri" w:hAnsi="Amiri" w:eastAsia="Amiri" w:cs="Amiri"/>
          <w:color w:val="111111"/>
          <w:sz w:val="28"/>
          <w:sz w:val="28"/>
          <w:szCs w:val="28"/>
          <w:rtl w:val="true"/>
          <w:lang w:bidi="ar-SA"/>
        </w:rPr>
        <w:t>لعدم النّيّة منه،و لو وقعت النّيّة منه فهي غير معتبرة إذ من شرطها الإسلام،و لا فرق بين أن يكون ذميّا أو حربيّا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الشّافعيّ في أحد الوجهين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اجتزاء الذّميّة تحت المسلم بغسلها من الحيض لحقّ الزّوج،فلا يلزمها الإعادة بعد الإسلام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7" w:name="__RefHeading___Toc795179_222507752"/>
      <w:bookmarkStart w:id="68" w:name="_Toc29"/>
      <w:bookmarkEnd w:id="67"/>
      <w:r>
        <w:rPr>
          <w:rtl w:val="true"/>
        </w:rPr>
        <w:t>الحادي عشر</w:t>
      </w:r>
      <w:r>
        <w:rPr>
          <w:rtl w:val="true"/>
        </w:rPr>
        <w:t>:</w:t>
      </w:r>
      <w:r>
        <w:rPr>
          <w:rtl w:val="true"/>
        </w:rPr>
        <w:t>لو نوى بطهارته صلاة معيّنة،كان كما لو نوى استباحة</w:t>
      </w:r>
      <w:bookmarkEnd w:id="68"/>
    </w:p>
    <w:p>
      <w:pPr>
        <w:pStyle w:val="BookText"/>
        <w:rPr/>
      </w:pPr>
      <w:r>
        <w:rPr>
          <w:rFonts w:ascii="Amiri" w:hAnsi="Amiri" w:eastAsia="Amiri" w:cs="Amiri"/>
          <w:color w:val="111111"/>
          <w:sz w:val="28"/>
          <w:sz w:val="28"/>
          <w:szCs w:val="28"/>
          <w:rtl w:val="true"/>
          <w:lang w:bidi="ar-SA"/>
        </w:rPr>
        <w:t>الصّلاة،</w:t>
      </w:r>
    </w:p>
    <w:p>
      <w:pPr>
        <w:pStyle w:val="BookText"/>
        <w:rPr/>
      </w:pPr>
      <w:r>
        <w:rPr>
          <w:rStyle w:val="FootnoteAnchor"/>
          <w:rtl w:val="true"/>
        </w:rPr>
        <w:footnoteReference w:id="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لو نوى انّه لا يصلّي غيرها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أحد أقوال الشّافعيّ،و قال أيضا</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يفسد،لأنّه لم ينو ما تقتضيه الطّهارة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يباح له ما نوى،لأنّ الطّهارة قد تصحّ لصلاة واحدة كالمستحاضة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 xml:space="preserve">. </w:t>
      </w:r>
      <w:bookmarkStart w:id="69" w:name="pg12669_112811"/>
    </w:p>
    <w:p>
      <w:pPr>
        <w:pStyle w:val="BookText"/>
        <w:rPr/>
      </w:pPr>
      <w:bookmarkEnd w:id="69"/>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فعل المأمور به و هو النّيّة و الأفعال،فوجب الاجتزاء و لا يحصل بدون رفع الحدث،فيجوز له الدّخول به في كلّ صلاة واجبة،أو مندوبة،لزوال المانع،و لأنّ هذا إبطال للطّهارة </w:t>
      </w:r>
      <w:r>
        <w:rPr>
          <w:rStyle w:val="FootnoteAnchor"/>
          <w:rtl w:val="true"/>
        </w:rPr>
        <w:footnoteReference w:id="58"/>
      </w:r>
      <w:r>
        <w:rPr>
          <w:rFonts w:ascii="Amiri" w:hAnsi="Amiri" w:eastAsia="Amiri" w:cs="Amiri"/>
          <w:color w:val="111111"/>
          <w:sz w:val="28"/>
          <w:sz w:val="28"/>
          <w:szCs w:val="28"/>
          <w:rtl w:val="true"/>
          <w:lang w:bidi="ar-SA"/>
        </w:rPr>
        <w:t>بعد صحّتها من غير حدث،و لا فرق بين أن تكون تلك الصّلاة نفلا أو فرضا</w:t>
      </w:r>
      <w:r>
        <w:rPr>
          <w:rFonts w:eastAsia="Amiri" w:cs="Amiri" w:ascii="Amiri" w:hAnsi="Amiri"/>
          <w:color w:val="111111"/>
          <w:sz w:val="28"/>
          <w:szCs w:val="28"/>
          <w:rtl w:val="true"/>
          <w:lang w:bidi="ar-SA"/>
        </w:rPr>
        <w:t>.</w:t>
      </w:r>
    </w:p>
    <w:p>
      <w:pPr>
        <w:pStyle w:val="Heading6"/>
        <w:numPr>
          <w:ilvl w:val="5"/>
          <w:numId w:val="1"/>
        </w:numPr>
        <w:rPr/>
      </w:pPr>
      <w:bookmarkStart w:id="70" w:name="__RefHeading___Toc795181_222507752"/>
      <w:bookmarkStart w:id="71" w:name="_Toc30"/>
      <w:bookmarkEnd w:id="70"/>
      <w:r>
        <w:rPr>
          <w:rtl w:val="true"/>
        </w:rPr>
        <w:t>الثّاني عشر</w:t>
      </w:r>
      <w:r>
        <w:rPr>
          <w:rtl w:val="true"/>
        </w:rPr>
        <w:t>:</w:t>
      </w:r>
      <w:r>
        <w:rPr>
          <w:rtl w:val="true"/>
        </w:rPr>
        <w:t>المستحاضة تكفيها نيّة استباحة الصّلاة</w:t>
      </w:r>
      <w:r>
        <w:rPr>
          <w:rtl w:val="true"/>
        </w:rPr>
        <w:t>.</w:t>
      </w:r>
      <w:bookmarkEnd w:id="71"/>
    </w:p>
    <w:p>
      <w:pPr>
        <w:pStyle w:val="BookText"/>
        <w:rPr/>
      </w:pPr>
      <w:r>
        <w:rPr>
          <w:rFonts w:ascii="Amiri" w:hAnsi="Amiri" w:eastAsia="Amiri" w:cs="Amiri"/>
          <w:color w:val="111111"/>
          <w:sz w:val="28"/>
          <w:sz w:val="28"/>
          <w:szCs w:val="28"/>
          <w:rtl w:val="true"/>
          <w:lang w:bidi="ar-SA"/>
        </w:rPr>
        <w:t xml:space="preserve">و هو أحد قولي الشّافعيّ </w:t>
      </w:r>
      <w:r>
        <w:rPr>
          <w:rStyle w:val="FootnoteAnchor"/>
          <w:rtl w:val="true"/>
        </w:rPr>
        <w:footnoteReference w:id="59"/>
      </w:r>
      <w:r>
        <w:rPr>
          <w:rFonts w:ascii="Amiri" w:hAnsi="Amiri" w:eastAsia="Amiri" w:cs="Amiri"/>
          <w:color w:val="111111"/>
          <w:sz w:val="28"/>
          <w:sz w:val="28"/>
          <w:szCs w:val="28"/>
          <w:rtl w:val="true"/>
          <w:lang w:bidi="ar-SA"/>
        </w:rPr>
        <w:t xml:space="preserve">،و لا يجوز لها نيّة رفع الحدث،لأنّه موجود،خلافا للشّافعيّ،فإنّه اشترطه مع نيّة الاستباحة في أحد قوليه </w:t>
      </w:r>
      <w:r>
        <w:rPr>
          <w:rStyle w:val="FootnoteAnchor"/>
          <w:rtl w:val="true"/>
        </w:rPr>
        <w:footnoteReference w:id="60"/>
      </w:r>
      <w:r>
        <w:rPr>
          <w:rFonts w:ascii="Amiri" w:hAnsi="Amiri" w:eastAsia="Amiri" w:cs="Amiri"/>
          <w:color w:val="111111"/>
          <w:sz w:val="28"/>
          <w:sz w:val="28"/>
          <w:szCs w:val="28"/>
          <w:rtl w:val="true"/>
          <w:lang w:bidi="ar-SA"/>
        </w:rPr>
        <w:t>،و هو باطل،لأنّه نيّة ما يمتنع حصوله،فإن نوت الرّفع احتمل الصّحّة،لاستلزامه نيّة الاستباحة،و الأقوى البطلان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المبطون و صاحب السّلس و المتيمّم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علماؤنا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يجب عليه الطّهارتان ينوي رفع الحدث إن قدّم الغسل، و الاستباحة إن قدّم الوضوء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الأقرب أنّ له أن ينوي الرّفع بكلّ منهما</w:t>
      </w:r>
      <w:r>
        <w:rPr>
          <w:rFonts w:eastAsia="Amiri" w:cs="Amiri" w:ascii="Amiri" w:hAnsi="Amiri"/>
          <w:color w:val="111111"/>
          <w:sz w:val="28"/>
          <w:szCs w:val="28"/>
          <w:rtl w:val="true"/>
          <w:lang w:bidi="ar-SA"/>
        </w:rPr>
        <w:t>.</w:t>
      </w:r>
    </w:p>
    <w:p>
      <w:pPr>
        <w:pStyle w:val="Heading6"/>
        <w:numPr>
          <w:ilvl w:val="5"/>
          <w:numId w:val="1"/>
        </w:numPr>
        <w:rPr/>
      </w:pPr>
      <w:bookmarkStart w:id="72" w:name="__RefHeading___Toc795183_222507752"/>
      <w:bookmarkStart w:id="73" w:name="_Toc31"/>
      <w:bookmarkEnd w:id="72"/>
      <w:r>
        <w:rPr>
          <w:rtl w:val="true"/>
        </w:rPr>
        <w:t>الثّالث عشر</w:t>
      </w:r>
      <w:r>
        <w:rPr>
          <w:rtl w:val="true"/>
        </w:rPr>
        <w:t>:</w:t>
      </w:r>
      <w:r>
        <w:rPr>
          <w:rtl w:val="true"/>
        </w:rPr>
        <w:t>لو فرّق النّيّة على أعضاء الوضوء،بأن نوى غسل الوجه لرفع</w:t>
      </w:r>
      <w:bookmarkEnd w:id="73"/>
    </w:p>
    <w:p>
      <w:pPr>
        <w:pStyle w:val="BookText"/>
        <w:rPr/>
      </w:pPr>
      <w:r>
        <w:rPr>
          <w:rFonts w:ascii="Amiri" w:hAnsi="Amiri" w:eastAsia="Amiri" w:cs="Amiri"/>
          <w:color w:val="111111"/>
          <w:sz w:val="28"/>
          <w:sz w:val="28"/>
          <w:szCs w:val="28"/>
          <w:rtl w:val="true"/>
          <w:lang w:bidi="ar-SA"/>
        </w:rPr>
        <w:t>الحدث،ثمَّ اليمنى كذلك إلى آخر الأعضاء،فالوجه عندي الإجزاء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أحد قولي الشّافعيّ،و في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يجزئه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إذا صحّ غسل الوجه بنيّة مطلقة يدخل فيها ضمنا،فلأن يصح بنيّة مقصودة أولى</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احتجّ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الوضوء عبادة واحدة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لا يتصوّر</w:t>
      </w:r>
      <w:r>
        <w:rPr>
          <w:rFonts w:eastAsia="Amiri" w:cs="Amiri" w:ascii="Amiri" w:hAnsi="Amiri"/>
          <w:color w:val="111111"/>
          <w:sz w:val="28"/>
          <w:szCs w:val="28"/>
          <w:rtl w:val="true"/>
          <w:lang w:bidi="ar-SA"/>
        </w:rPr>
        <w:t xml:space="preserve">) </w:t>
      </w:r>
      <w:r>
        <w:rPr>
          <w:rStyle w:val="FootnoteAnchor"/>
          <w:rtl w:val="true"/>
        </w:rPr>
        <w:footnoteReference w:id="62"/>
      </w:r>
      <w:r>
        <w:rPr>
          <w:rFonts w:ascii="IRNazanin" w:hAnsi="IRNazanin" w:eastAsia="IRNazanin"/>
          <w:color w:val="111111"/>
          <w:sz w:val="28"/>
          <w:sz w:val="28"/>
          <w:szCs w:val="28"/>
          <w:rtl w:val="true"/>
          <w:lang w:bidi="fa-IR"/>
        </w:rPr>
        <w:t xml:space="preserve">اختصاص بعضها بالبطلان </w:t>
      </w:r>
      <w:bookmarkStart w:id="74" w:name="pg12669_112812"/>
    </w:p>
    <w:p>
      <w:pPr>
        <w:pStyle w:val="BookText"/>
        <w:rPr/>
      </w:pPr>
      <w:bookmarkEnd w:id="74"/>
      <w:r>
        <w:rPr>
          <w:rFonts w:ascii="Amiri" w:hAnsi="Amiri" w:eastAsia="Amiri" w:cs="Amiri"/>
          <w:color w:val="111111"/>
          <w:sz w:val="28"/>
          <w:sz w:val="28"/>
          <w:szCs w:val="28"/>
          <w:rtl w:val="true"/>
          <w:lang w:bidi="ar-SA"/>
        </w:rPr>
        <w:t xml:space="preserve">و بعضها بالصّحة،فتصير كالصّلاة </w:t>
      </w:r>
      <w:r>
        <w:rPr>
          <w:rStyle w:val="FootnoteAnchor"/>
          <w:rtl w:val="true"/>
        </w:rPr>
        <w:footnoteReference w:id="63"/>
      </w:r>
      <w:r>
        <w:rPr>
          <w:rFonts w:ascii="Amiri" w:hAnsi="Amiri" w:eastAsia="Amiri" w:cs="Amiri"/>
          <w:color w:val="111111"/>
          <w:sz w:val="28"/>
          <w:sz w:val="28"/>
          <w:szCs w:val="28"/>
          <w:rtl w:val="true"/>
          <w:lang w:bidi="ar-SA"/>
        </w:rPr>
        <w:t>،فكما تبطل لو نوى التّكبير،ثمَّ نوى القراءة و هكذا لبطلت صلاته،فكذا 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الفرق فإنّ أركان الصّلاة يرتبط بعضها بالبعض بخلاف أركان الطّهارة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لو أتى بالبعض من النّيّة عند غسل الوجه،و البعض عند اليمنى،و هكذا فإنّه تبطل طهارته،لأنّه يحصل بعض الأفعال خاليا عن النّية فلا يكون مجزيا</w:t>
      </w:r>
      <w:r>
        <w:rPr>
          <w:rFonts w:eastAsia="Amiri" w:cs="Amiri" w:ascii="Amiri" w:hAnsi="Amiri"/>
          <w:color w:val="111111"/>
          <w:sz w:val="28"/>
          <w:szCs w:val="28"/>
          <w:rtl w:val="true"/>
          <w:lang w:bidi="ar-SA"/>
        </w:rPr>
        <w:t>.</w:t>
      </w:r>
    </w:p>
    <w:p>
      <w:pPr>
        <w:pStyle w:val="Heading6"/>
        <w:numPr>
          <w:ilvl w:val="5"/>
          <w:numId w:val="1"/>
        </w:numPr>
        <w:rPr/>
      </w:pPr>
      <w:bookmarkStart w:id="75" w:name="__RefHeading___Toc795185_222507752"/>
      <w:bookmarkStart w:id="76" w:name="_Toc32"/>
      <w:bookmarkEnd w:id="75"/>
      <w:r>
        <w:rPr>
          <w:rtl w:val="true"/>
        </w:rPr>
        <w:t>الرّابع عشر</w:t>
      </w:r>
      <w:r>
        <w:rPr>
          <w:rtl w:val="true"/>
        </w:rPr>
        <w:t>:</w:t>
      </w:r>
      <w:r>
        <w:rPr>
          <w:rtl w:val="true"/>
        </w:rPr>
        <w:t>قد بيّنا انّه يستحبّ غسل اليدين قبل إدخالهما الإناء ،</w:t>
      </w:r>
      <w:bookmarkEnd w:id="76"/>
    </w:p>
    <w:p>
      <w:pPr>
        <w:pStyle w:val="BookText"/>
        <w:rPr/>
      </w:pPr>
      <w:r>
        <w:rPr>
          <w:rStyle w:val="FootnoteAnchor"/>
          <w:rtl w:val="true"/>
        </w:rPr>
        <w:footnoteReference w:id="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يستحبّ في غير الإناء؟إشكال،فإن قلنا به صحّ اقتران النّيّة به و إلاّ فلا</w:t>
      </w:r>
      <w:r>
        <w:rPr>
          <w:rFonts w:eastAsia="Amiri" w:cs="Amiri" w:ascii="Amiri" w:hAnsi="Amiri"/>
          <w:color w:val="111111"/>
          <w:sz w:val="28"/>
          <w:szCs w:val="28"/>
          <w:rtl w:val="true"/>
          <w:lang w:bidi="ar-SA"/>
        </w:rPr>
        <w:t>.</w:t>
      </w:r>
    </w:p>
    <w:p>
      <w:pPr>
        <w:pStyle w:val="Heading6"/>
        <w:numPr>
          <w:ilvl w:val="5"/>
          <w:numId w:val="1"/>
        </w:numPr>
        <w:rPr/>
      </w:pPr>
      <w:bookmarkStart w:id="77" w:name="__RefHeading___Toc795187_222507752"/>
      <w:bookmarkStart w:id="78" w:name="_Toc33"/>
      <w:bookmarkEnd w:id="77"/>
      <w:r>
        <w:rPr>
          <w:rtl w:val="true"/>
        </w:rPr>
        <w:t>الخامس عشر</w:t>
      </w:r>
      <w:r>
        <w:rPr>
          <w:rtl w:val="true"/>
        </w:rPr>
        <w:t>:</w:t>
      </w:r>
      <w:r>
        <w:rPr>
          <w:rtl w:val="true"/>
        </w:rPr>
        <w:t>لو نوى رفع حدث معيّن ارتفعت جميع الأحداث،</w:t>
      </w:r>
      <w:bookmarkEnd w:id="78"/>
    </w:p>
    <w:p>
      <w:pPr>
        <w:pStyle w:val="BookText"/>
        <w:rPr/>
      </w:pPr>
      <w:r>
        <w:rPr>
          <w:rFonts w:ascii="Amiri" w:hAnsi="Amiri" w:eastAsia="Amiri" w:cs="Amiri"/>
          <w:color w:val="111111"/>
          <w:sz w:val="28"/>
          <w:sz w:val="28"/>
          <w:szCs w:val="28"/>
          <w:rtl w:val="true"/>
          <w:lang w:bidi="ar-SA"/>
        </w:rPr>
        <w:t>سواء كان آخر الأحداث أو أوّلها،لأنّ الأحداث تتداخل،فلا يرتفع أحدها إلاّ بارتفاع الجميع،و قد نوى رفع أحدها،فوجب أن يحصل له،فيحصل رفع الجميع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أحد أقوال الشّافعيّ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لا يرتفع حدثه،لأنّه لم ينو رفع جميع الأحداث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إن كان آخر الأحداث ارتفعت كلّها،لأنّها تداخلت فيما بعدها، و إن كان أوّلها لم يرتفع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79" w:name="__RefHeading___Toc795189_222507752"/>
      <w:bookmarkStart w:id="80" w:name="_Toc34"/>
      <w:bookmarkEnd w:id="79"/>
      <w:r>
        <w:rPr>
          <w:rtl w:val="true"/>
        </w:rPr>
        <w:t>السّادس عشر</w:t>
      </w:r>
      <w:r>
        <w:rPr>
          <w:rtl w:val="true"/>
        </w:rPr>
        <w:t>:</w:t>
      </w:r>
      <w:r>
        <w:rPr>
          <w:rtl w:val="true"/>
        </w:rPr>
        <w:t>لو نوى رفع حدث بعينه و الواقع غيره،</w:t>
      </w:r>
      <w:bookmarkEnd w:id="80"/>
    </w:p>
    <w:p>
      <w:pPr>
        <w:pStyle w:val="BookText"/>
        <w:rPr/>
      </w:pPr>
      <w:r>
        <w:rPr>
          <w:rFonts w:ascii="Amiri" w:hAnsi="Amiri" w:eastAsia="Amiri" w:cs="Amiri"/>
          <w:color w:val="111111"/>
          <w:sz w:val="28"/>
          <w:sz w:val="28"/>
          <w:szCs w:val="28"/>
          <w:rtl w:val="true"/>
          <w:lang w:bidi="ar-SA"/>
        </w:rPr>
        <w:t>فإن كان غالطا صحّ، و إلاّ بطل</w:t>
      </w:r>
      <w:r>
        <w:rPr>
          <w:rFonts w:eastAsia="Amiri" w:cs="Amiri" w:ascii="Amiri" w:hAnsi="Amiri"/>
          <w:color w:val="111111"/>
          <w:sz w:val="28"/>
          <w:szCs w:val="28"/>
          <w:rtl w:val="true"/>
          <w:lang w:bidi="ar-SA"/>
        </w:rPr>
        <w:t>.</w:t>
      </w:r>
    </w:p>
    <w:p>
      <w:pPr>
        <w:pStyle w:val="Heading6"/>
        <w:numPr>
          <w:ilvl w:val="5"/>
          <w:numId w:val="1"/>
        </w:numPr>
        <w:rPr/>
      </w:pPr>
      <w:bookmarkStart w:id="81" w:name="__RefHeading___Toc795191_222507752"/>
      <w:bookmarkStart w:id="82" w:name="_Toc35"/>
      <w:bookmarkEnd w:id="81"/>
      <w:r>
        <w:rPr>
          <w:rtl w:val="true"/>
        </w:rPr>
        <w:t>السّابع عشر</w:t>
      </w:r>
      <w:r>
        <w:rPr>
          <w:rtl w:val="true"/>
        </w:rPr>
        <w:t>:</w:t>
      </w:r>
      <w:r>
        <w:rPr>
          <w:rtl w:val="true"/>
        </w:rPr>
        <w:t>كلّ من عليه طهارة واجبة يجب أن ينوي الوجوب،و غيره ينوي</w:t>
      </w:r>
      <w:bookmarkEnd w:id="82"/>
    </w:p>
    <w:p>
      <w:pPr>
        <w:pStyle w:val="BookText"/>
        <w:rPr/>
      </w:pPr>
      <w:r>
        <w:rPr>
          <w:rFonts w:ascii="Amiri" w:hAnsi="Amiri" w:eastAsia="Amiri" w:cs="Amiri"/>
          <w:color w:val="111111"/>
          <w:sz w:val="28"/>
          <w:sz w:val="28"/>
          <w:szCs w:val="28"/>
          <w:rtl w:val="true"/>
          <w:lang w:bidi="ar-SA"/>
        </w:rPr>
        <w:t>النّدب،</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فلو نوى الوجوب أعاد،و لو صلّى به فريضة لم تصحّ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صلّى بطهارات متعدّدة فرائض كثيرة مع تخلّل الحدث،بأن كان يتوضّأ لكلّ فريضة قبل وقتها،أعاد الصّلاة الأولى خاصّة،لبطلانها،فصارت قضاء،و كلّ من عليه قضاء ينوي الوجوب</w:t>
      </w:r>
      <w:r>
        <w:rPr>
          <w:rFonts w:eastAsia="Amiri" w:cs="Amiri" w:ascii="Amiri" w:hAnsi="Amiri"/>
          <w:color w:val="111111"/>
          <w:sz w:val="28"/>
          <w:szCs w:val="28"/>
          <w:rtl w:val="true"/>
          <w:lang w:bidi="ar-SA"/>
        </w:rPr>
        <w:t xml:space="preserve">. </w:t>
      </w:r>
      <w:bookmarkStart w:id="83" w:name="pg12669_112813"/>
    </w:p>
    <w:p>
      <w:pPr>
        <w:pStyle w:val="Heading5"/>
        <w:numPr>
          <w:ilvl w:val="4"/>
          <w:numId w:val="1"/>
        </w:numPr>
        <w:rPr/>
      </w:pPr>
      <w:bookmarkStart w:id="84" w:name="__RefHeading___Toc795193_222507752"/>
      <w:bookmarkStart w:id="85" w:name="_Toc36"/>
      <w:bookmarkEnd w:id="83"/>
      <w:bookmarkEnd w:id="84"/>
      <w:r>
        <w:rPr>
          <w:rtl w:val="true"/>
        </w:rPr>
        <w:t>مسألة</w:t>
      </w:r>
      <w:r>
        <w:rPr>
          <w:rtl w:val="true"/>
        </w:rPr>
        <w:t>:</w:t>
      </w:r>
      <w:r>
        <w:rPr>
          <w:rtl w:val="true"/>
        </w:rPr>
        <w:t>و يجب غسل الوجه</w:t>
      </w:r>
      <w:r>
        <w:rPr>
          <w:rtl w:val="true"/>
        </w:rPr>
        <w:t>.</w:t>
      </w:r>
      <w:bookmarkEnd w:id="85"/>
    </w:p>
    <w:p>
      <w:pPr>
        <w:pStyle w:val="Heading6"/>
        <w:numPr>
          <w:ilvl w:val="5"/>
          <w:numId w:val="1"/>
        </w:numPr>
        <w:rPr/>
      </w:pPr>
      <w:bookmarkStart w:id="86" w:name="__RefHeading___Toc795195_222507752"/>
      <w:bookmarkStart w:id="87" w:name="_Toc37"/>
      <w:bookmarkEnd w:id="86"/>
      <w:r>
        <w:rPr>
          <w:rtl w:val="true"/>
        </w:rPr>
        <w:t>اشارة</w:t>
      </w:r>
      <w:bookmarkEnd w:id="87"/>
    </w:p>
    <w:p>
      <w:pPr>
        <w:pStyle w:val="BookText"/>
        <w:rPr/>
      </w:pPr>
      <w:r>
        <w:rPr>
          <w:rFonts w:ascii="Amiri" w:hAnsi="Amiri" w:eastAsia="Amiri" w:cs="Amiri"/>
          <w:color w:val="111111"/>
          <w:sz w:val="28"/>
          <w:sz w:val="28"/>
          <w:szCs w:val="28"/>
          <w:rtl w:val="true"/>
          <w:lang w:bidi="ar-SA"/>
        </w:rPr>
        <w:t xml:space="preserve">و هو مذهب علماء الإسلام،قال اللّه تعالى فَاغْسِلُوا وُجُوهَكُمْ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اختلفوا في حدّه،فمذهب أهل البيت عليهم السّلام انّه من قصاص شعر الرّأس إلى الذّقن طولا،و ما دارت عليه الإبهام و الوسطى عرضا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به قال مالك </w:t>
      </w:r>
      <w:r>
        <w:rPr>
          <w:rStyle w:val="FootnoteAnchor"/>
          <w:rtl w:val="true"/>
        </w:rPr>
        <w:footnoteReference w:id="6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الشّافعيّ </w:t>
      </w:r>
      <w:r>
        <w:rPr>
          <w:rStyle w:val="FootnoteAnchor"/>
          <w:rtl w:val="true"/>
        </w:rPr>
        <w:footnoteReference w:id="68"/>
      </w:r>
      <w:r>
        <w:rPr>
          <w:rFonts w:ascii="Amiri" w:hAnsi="Amiri" w:eastAsia="Amiri" w:cs="Amiri"/>
          <w:color w:val="111111"/>
          <w:sz w:val="28"/>
          <w:sz w:val="28"/>
          <w:szCs w:val="28"/>
          <w:rtl w:val="true"/>
          <w:lang w:bidi="ar-SA"/>
        </w:rPr>
        <w:t xml:space="preserve">،و أبو حنيفة </w:t>
      </w:r>
      <w:r>
        <w:rPr>
          <w:rStyle w:val="FootnoteAnchor"/>
          <w:rtl w:val="true"/>
        </w:rPr>
        <w:footnoteReference w:id="69"/>
      </w:r>
      <w:r>
        <w:rPr>
          <w:rFonts w:ascii="Amiri" w:hAnsi="Amiri" w:eastAsia="Amiri" w:cs="Amiri"/>
          <w:color w:val="111111"/>
          <w:sz w:val="28"/>
          <w:sz w:val="28"/>
          <w:szCs w:val="28"/>
          <w:rtl w:val="true"/>
          <w:lang w:bidi="ar-SA"/>
        </w:rPr>
        <w:t>،و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بين العذار و الاذن من الوجه </w:t>
      </w:r>
      <w:r>
        <w:rPr>
          <w:rStyle w:val="FootnoteAnchor"/>
          <w:rtl w:val="true"/>
        </w:rPr>
        <w:footnoteReference w:id="7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ذهب الزّهريّ إلى انّ الأذنين من الوجه </w:t>
      </w:r>
      <w:r>
        <w:rPr>
          <w:rStyle w:val="FootnoteAnchor"/>
          <w:rtl w:val="true"/>
        </w:rPr>
        <w:footnoteReference w:id="7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نقل شارح الطّحاويّ،عن أبي يوسف انّه روي عنه </w:t>
      </w:r>
      <w:r>
        <w:rPr>
          <w:rStyle w:val="FootnoteAnchor"/>
          <w:rtl w:val="true"/>
        </w:rPr>
        <w:footnoteReference w:id="7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نبتت اللّحية زال العذار عن حدّ الوجه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بعض الحنابلة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الصّدغان من الوجه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الوجه ما يحصل به المواجهة،و هذا لا يواجه به</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رواه الشّيخ في الحسن،عن زرارة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عن حدّ الوجه الّذي ينبغي له أن يوضّأ الّذي قال اللّه عزّ و جل؟فقال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الوجه الّذي أمر اللّه عزّ و جلّ بغسله الّذي لا ينبغي لأحد أن يزيد عليه و لا ينقص منه،إن زاد عليه لم يؤجر،و إن نقص منه أثم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دارت عليه السّبّابة و الوسطى و الإبهام من قصاص شعر الرّأس إلى الذّقن،و ما حوت عليه الإصبعان من الوجه مستديرا فهو من الوجه،و ما سوى ذلك فليس من الوجه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الصّدغ من الوجه؟قال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رواه محمّد بن يعقوب </w:t>
      </w:r>
      <w:r>
        <w:rPr>
          <w:rStyle w:val="FootnoteAnchor"/>
          <w:rtl w:val="true"/>
        </w:rPr>
        <w:footnoteReference w:id="75"/>
      </w:r>
      <w:r>
        <w:rPr>
          <w:rFonts w:ascii="Amiri" w:hAnsi="Amiri" w:eastAsia="Amiri" w:cs="Amiri"/>
          <w:color w:val="111111"/>
          <w:sz w:val="28"/>
          <w:sz w:val="28"/>
          <w:szCs w:val="28"/>
          <w:rtl w:val="true"/>
          <w:lang w:bidi="ar-SA"/>
        </w:rPr>
        <w:t>،و محمّد بن بابويه في كتابيهما في الصّحيح،و زاد ابن بابويه تعيين المرويّ عنه و هو أبو جعفر الباقر عليه السّلام،و زاد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زرارة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أرأيت ما أحاط به الشّعر؟فقال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كلّما أحاط به الشّعر فليس على العباد أن يطلبوه و لا يبحثوا عنه و لكن يجري عليه الماء</w:t>
      </w:r>
      <w:r>
        <w:rPr>
          <w:rFonts w:eastAsia="Amiri" w:cs="Amiri" w:ascii="Amiri" w:hAnsi="Amiri"/>
          <w:color w:val="111111"/>
          <w:sz w:val="28"/>
          <w:szCs w:val="28"/>
          <w:rtl w:val="true"/>
          <w:lang w:bidi="ar-SA"/>
        </w:rPr>
        <w:t xml:space="preserve">)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أيضا لا خلاف في تناول الأمر بالغسل لما ذكرناه </w:t>
      </w:r>
      <w:r>
        <w:rPr>
          <w:rStyle w:val="FootnoteAnchor"/>
          <w:rtl w:val="true"/>
        </w:rPr>
        <w:footnoteReference w:id="77"/>
      </w:r>
      <w:r>
        <w:rPr>
          <w:rFonts w:ascii="Amiri" w:hAnsi="Amiri" w:eastAsia="Amiri" w:cs="Amiri"/>
          <w:color w:val="111111"/>
          <w:sz w:val="28"/>
          <w:sz w:val="28"/>
          <w:szCs w:val="28"/>
          <w:rtl w:val="true"/>
          <w:lang w:bidi="ar-SA"/>
        </w:rPr>
        <w:t xml:space="preserve">،فيكون ما عداه منفيّا </w:t>
      </w:r>
      <w:r>
        <w:rPr>
          <w:rStyle w:val="FootnoteAnchor"/>
          <w:rtl w:val="true"/>
        </w:rPr>
        <w:footnoteReference w:id="78"/>
      </w:r>
      <w:r>
        <w:rPr>
          <w:rFonts w:ascii="Amiri" w:hAnsi="Amiri" w:eastAsia="Amiri" w:cs="Amiri"/>
          <w:color w:val="111111"/>
          <w:sz w:val="28"/>
          <w:sz w:val="28"/>
          <w:szCs w:val="28"/>
          <w:rtl w:val="true"/>
          <w:lang w:bidi="ar-SA"/>
        </w:rPr>
        <w:t>بالأصل السّالم عن معارضة 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احتجّ الشّافعيّ </w:t>
      </w:r>
      <w:r>
        <w:rPr>
          <w:rStyle w:val="FootnoteAnchor"/>
          <w:rtl w:val="true"/>
        </w:rPr>
        <w:footnoteReference w:id="79"/>
      </w:r>
      <w:r>
        <w:rPr>
          <w:rFonts w:ascii="Amiri" w:hAnsi="Amiri" w:eastAsia="Amiri" w:cs="Amiri"/>
          <w:color w:val="111111"/>
          <w:sz w:val="28"/>
          <w:sz w:val="28"/>
          <w:szCs w:val="28"/>
          <w:rtl w:val="true"/>
          <w:lang w:bidi="ar-SA"/>
        </w:rPr>
        <w:t xml:space="preserve">،و أبو حنيفة </w:t>
      </w:r>
      <w:r>
        <w:rPr>
          <w:rStyle w:val="FootnoteAnchor"/>
          <w:rtl w:val="true"/>
        </w:rPr>
        <w:footnoteReference w:id="80"/>
      </w:r>
      <w:r>
        <w:rPr>
          <w:rFonts w:ascii="IRNazanin" w:hAnsi="IRNazanin" w:eastAsia="IRNazanin"/>
          <w:color w:val="111111"/>
          <w:sz w:val="28"/>
          <w:sz w:val="28"/>
          <w:szCs w:val="28"/>
          <w:rtl w:val="true"/>
          <w:lang w:bidi="fa-IR"/>
        </w:rPr>
        <w:t xml:space="preserve">،و أحمد بالإجماع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احتجّ الزّهريّ </w:t>
      </w:r>
      <w:r>
        <w:rPr>
          <w:rStyle w:val="FootnoteAnchor"/>
          <w:rtl w:val="true"/>
        </w:rPr>
        <w:footnoteReference w:id="82"/>
      </w:r>
      <w:r>
        <w:rPr>
          <w:rFonts w:ascii="Amiri" w:hAnsi="Amiri" w:eastAsia="Amiri" w:cs="Amiri"/>
          <w:color w:val="111111"/>
          <w:sz w:val="28"/>
          <w:sz w:val="28"/>
          <w:szCs w:val="28"/>
          <w:rtl w:val="true"/>
          <w:lang w:bidi="ar-SA"/>
        </w:rPr>
        <w:t>بما رواه مسلم،عن النّبيّ صلّى اللّه عليه و آله انّه سجد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سجد وجهي للّذي خلقه و شقّ سمعه و بصره</w:t>
      </w:r>
      <w:r>
        <w:rPr>
          <w:rFonts w:eastAsia="Amiri" w:cs="Amiri" w:ascii="Amiri" w:hAnsi="Amiri"/>
          <w:color w:val="111111"/>
          <w:sz w:val="28"/>
          <w:szCs w:val="28"/>
          <w:rtl w:val="true"/>
          <w:lang w:bidi="ar-SA"/>
        </w:rPr>
        <w:t xml:space="preserve">) </w:t>
      </w:r>
      <w:r>
        <w:rPr>
          <w:rStyle w:val="FootnoteAnchor"/>
          <w:rtl w:val="true"/>
        </w:rPr>
        <w:footnoteReference w:id="83"/>
      </w:r>
      <w:r>
        <w:rPr>
          <w:rFonts w:ascii="Amiri" w:hAnsi="Amiri" w:eastAsia="Amiri" w:cs="Amiri"/>
          <w:color w:val="111111"/>
          <w:sz w:val="28"/>
          <w:sz w:val="28"/>
          <w:szCs w:val="28"/>
          <w:rtl w:val="true"/>
          <w:lang w:bidi="ar-SA"/>
        </w:rPr>
        <w:t>أضاف السّمع إليه كالبصر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 عن الأوّل بالمنع من الإجماع مع وقوع الخلاف،و كيف يتحقّق ذلك و أهل البيت عليهم السّلام ردّوا هذا القول،و مالك،و أبو يوسف،و الزّهريّ و غيرهم</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 الثّاني بأنّ الإضافة يكفي فيها مجرّد ملابسة ما،و هي حاصلة هنا و هي المجاورة،و لم ينقل أحد أنّ الأذنين مغسولتان بل نقلوا مسحهما،فيكون ما ذكره </w:t>
      </w:r>
      <w:bookmarkStart w:id="88" w:name="pg12669_112815"/>
    </w:p>
    <w:p>
      <w:pPr>
        <w:pStyle w:val="BookText"/>
        <w:rPr/>
      </w:pPr>
      <w:bookmarkEnd w:id="88"/>
      <w:r>
        <w:rPr>
          <w:rFonts w:ascii="Amiri" w:hAnsi="Amiri" w:eastAsia="Amiri" w:cs="Amiri"/>
          <w:color w:val="111111"/>
          <w:sz w:val="28"/>
          <w:sz w:val="28"/>
          <w:szCs w:val="28"/>
          <w:rtl w:val="true"/>
          <w:lang w:bidi="ar-SA"/>
        </w:rPr>
        <w:t>مدفوعا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انّه معارض بما رواه الجمهور،عن النّبيّ صلّى اللّه عليه و آله انّه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الأذنان من الرّأس</w:t>
      </w:r>
      <w:r>
        <w:rPr>
          <w:rFonts w:eastAsia="IRNazanin" w:cs="IRNazanin"/>
          <w:color w:val="111111"/>
          <w:sz w:val="28"/>
          <w:szCs w:val="28"/>
          <w:rtl w:val="true"/>
          <w:lang w:bidi="fa-IR"/>
        </w:rPr>
        <w:t xml:space="preserve">) </w:t>
      </w:r>
      <w:r>
        <w:rPr>
          <w:rStyle w:val="FootnoteAnchor"/>
          <w:rtl w:val="true"/>
        </w:rPr>
        <w:footnoteReference w:id="84"/>
      </w:r>
      <w:r>
        <w:rPr>
          <w:rFonts w:ascii="Amiri" w:hAnsi="Amiri" w:eastAsia="Amiri" w:cs="Amiri"/>
          <w:color w:val="111111"/>
          <w:sz w:val="28"/>
          <w:sz w:val="28"/>
          <w:szCs w:val="28"/>
          <w:rtl w:val="true"/>
          <w:lang w:bidi="ar-SA"/>
        </w:rPr>
        <w:t>و يبطل قول من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الصّدغ من الوجه،ما رواه الجمهور، عن الرّبيع بنت معوذ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رأيت رسول اللّه صلّى اللّه عليه و آله توضّأ فمسح رأسه و مسح ما أقبل منه و ما أدبر و صدغيه و أذنيه مرّة واحدة </w:t>
      </w:r>
      <w:r>
        <w:rPr>
          <w:rStyle w:val="FootnoteAnchor"/>
          <w:rtl w:val="true"/>
        </w:rPr>
        <w:footnoteReference w:id="85"/>
      </w:r>
      <w:r>
        <w:rPr>
          <w:rFonts w:ascii="Amiri" w:hAnsi="Amiri" w:eastAsia="Amiri" w:cs="Amiri"/>
          <w:color w:val="111111"/>
          <w:sz w:val="28"/>
          <w:sz w:val="28"/>
          <w:szCs w:val="28"/>
          <w:rtl w:val="true"/>
          <w:lang w:bidi="ar-SA"/>
        </w:rPr>
        <w:t>فمسحه مع الرّأس و لم ينقل انّه غسله مع الوجه فبطل كونه من الوجه</w:t>
      </w:r>
      <w:r>
        <w:rPr>
          <w:rFonts w:eastAsia="Amiri" w:cs="Amiri" w:ascii="Amiri" w:hAnsi="Amiri"/>
          <w:color w:val="111111"/>
          <w:sz w:val="28"/>
          <w:szCs w:val="28"/>
          <w:rtl w:val="true"/>
          <w:lang w:bidi="ar-SA"/>
        </w:rPr>
        <w:t>.</w:t>
      </w:r>
    </w:p>
    <w:p>
      <w:pPr>
        <w:pStyle w:val="Heading6"/>
        <w:numPr>
          <w:ilvl w:val="5"/>
          <w:numId w:val="1"/>
        </w:numPr>
        <w:rPr/>
      </w:pPr>
      <w:bookmarkStart w:id="89" w:name="__RefHeading___Toc795197_222507752"/>
      <w:bookmarkStart w:id="90" w:name="_Toc38"/>
      <w:bookmarkEnd w:id="89"/>
      <w:r>
        <w:rPr>
          <w:rtl w:val="true"/>
        </w:rPr>
        <w:t>فروع</w:t>
      </w:r>
      <w:r>
        <w:rPr>
          <w:rtl w:val="true"/>
        </w:rPr>
        <w:t>:</w:t>
      </w:r>
      <w:bookmarkEnd w:id="90"/>
    </w:p>
    <w:p>
      <w:pPr>
        <w:pStyle w:val="Heading6"/>
        <w:numPr>
          <w:ilvl w:val="5"/>
          <w:numId w:val="1"/>
        </w:numPr>
        <w:rPr/>
      </w:pPr>
      <w:bookmarkStart w:id="91" w:name="__RefHeading___Toc795199_222507752"/>
      <w:bookmarkStart w:id="92" w:name="_Toc39"/>
      <w:bookmarkEnd w:id="91"/>
      <w:r>
        <w:rPr>
          <w:rtl w:val="true"/>
        </w:rPr>
        <w:t>الأوّل</w:t>
      </w:r>
      <w:r>
        <w:rPr>
          <w:rtl w:val="true"/>
        </w:rPr>
        <w:t>:</w:t>
      </w:r>
      <w:r>
        <w:rPr>
          <w:rtl w:val="true"/>
        </w:rPr>
        <w:t>لا اعتبار بمن تفضل يداه عن المعتاد أو تقصر أو يبلغ وجهه حدّا في الكبر</w:t>
      </w:r>
      <w:bookmarkEnd w:id="92"/>
    </w:p>
    <w:p>
      <w:pPr>
        <w:pStyle w:val="BookText"/>
        <w:rPr/>
      </w:pPr>
      <w:r>
        <w:rPr>
          <w:rFonts w:ascii="Amiri" w:hAnsi="Amiri" w:eastAsia="Amiri" w:cs="Amiri"/>
          <w:color w:val="111111"/>
          <w:sz w:val="28"/>
          <w:sz w:val="28"/>
          <w:szCs w:val="28"/>
          <w:rtl w:val="true"/>
          <w:lang w:bidi="ar-SA"/>
        </w:rPr>
        <w:t>يخرج به عن المعتاد أو في الصغر كذلك،</w:t>
      </w:r>
    </w:p>
    <w:p>
      <w:pPr>
        <w:pStyle w:val="BookText"/>
        <w:rPr/>
      </w:pPr>
      <w:r>
        <w:rPr>
          <w:rFonts w:ascii="Amiri" w:hAnsi="Amiri" w:eastAsia="Amiri" w:cs="Amiri"/>
          <w:color w:val="111111"/>
          <w:sz w:val="28"/>
          <w:sz w:val="28"/>
          <w:szCs w:val="28"/>
          <w:rtl w:val="true"/>
          <w:lang w:bidi="ar-SA"/>
        </w:rPr>
        <w:t>و لا اعتبار أيضا بالأصلع الّذي ينحسر شعره عن مقدّم رأسه،و لا الأنزع،و لا بالأغمّ الّذي ينزل شعره إلى الوجه،بل يجب على كلّ واحد من هؤلاء الرّجوع إلى مستوي الخلقة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قول أكثر أهل العلم عملا بقوله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فَاغْسِلُوا وُجُوهَكُمْ </w:t>
      </w:r>
      <w:r>
        <w:rPr>
          <w:rStyle w:val="FootnoteAnchor"/>
          <w:rtl w:val="true"/>
        </w:rPr>
        <w:footnoteReference w:id="86"/>
      </w:r>
      <w:r>
        <w:rPr>
          <w:rFonts w:ascii="Amiri" w:hAnsi="Amiri" w:eastAsia="Amiri" w:cs="Amiri"/>
          <w:color w:val="111111"/>
          <w:sz w:val="28"/>
          <w:sz w:val="28"/>
          <w:szCs w:val="28"/>
          <w:rtl w:val="true"/>
          <w:lang w:bidi="ar-SA"/>
        </w:rPr>
        <w:t>و هذا خطاب يتوجّه إلى الغالب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الشّافعيّ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الغمم إن استوعب جميع الجبهة وجب إيصال الماء إليه،و إن لم يستوعب فوجهان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93" w:name="__RefHeading___Toc795201_222507752"/>
      <w:bookmarkStart w:id="94" w:name="_Toc40"/>
      <w:bookmarkEnd w:id="93"/>
      <w:r>
        <w:rPr>
          <w:rtl w:val="true"/>
        </w:rPr>
        <w:t>الثّاني</w:t>
      </w:r>
      <w:r>
        <w:rPr>
          <w:rtl w:val="true"/>
        </w:rPr>
        <w:t>:</w:t>
      </w:r>
      <w:r>
        <w:rPr>
          <w:rtl w:val="true"/>
        </w:rPr>
        <w:t>لا يجب غسل ما خرج عن ما حدّدناه</w:t>
      </w:r>
      <w:r>
        <w:rPr>
          <w:rtl w:val="true"/>
        </w:rPr>
        <w:t>.</w:t>
      </w:r>
      <w:r>
        <w:rPr>
          <w:rtl w:val="true"/>
        </w:rPr>
        <w:t>و لا يستحبّ كالعذار</w:t>
      </w:r>
      <w:bookmarkEnd w:id="94"/>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هو النّابت على العظم الناتئ الّذي هو سمت الصّماخ،و ما انحطّ عنه إلى وتد الاذن،و ما بينه و بين الاذن من البياض لا على الأمرد و لا على الملتحي،و به قال مالك </w:t>
      </w:r>
      <w:r>
        <w:rPr>
          <w:rStyle w:val="FootnoteAnchor"/>
          <w:rtl w:val="true"/>
        </w:rPr>
        <w:footnoteReference w:id="8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الشّافعيّ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يجب </w:t>
      </w:r>
      <w:bookmarkStart w:id="95" w:name="pg12669_112816"/>
    </w:p>
    <w:p>
      <w:pPr>
        <w:pStyle w:val="BookText"/>
        <w:rPr/>
      </w:pPr>
      <w:bookmarkEnd w:id="95"/>
      <w:r>
        <w:rPr>
          <w:rFonts w:ascii="Amiri" w:hAnsi="Amiri" w:eastAsia="Amiri" w:cs="Amiri"/>
          <w:color w:val="111111"/>
          <w:sz w:val="28"/>
          <w:sz w:val="28"/>
          <w:szCs w:val="28"/>
          <w:rtl w:val="true"/>
          <w:lang w:bidi="ar-SA"/>
        </w:rPr>
        <w:t xml:space="preserve">غسله عليهما </w:t>
      </w:r>
      <w:r>
        <w:rPr>
          <w:rStyle w:val="FootnoteAnchor"/>
          <w:rtl w:val="true"/>
        </w:rPr>
        <w:footnoteReference w:id="8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أبو يوسف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يجب على الأمرد خاصّة </w:t>
      </w:r>
      <w:r>
        <w:rPr>
          <w:rStyle w:val="FootnoteAnchor"/>
          <w:rtl w:val="true"/>
        </w:rPr>
        <w:footnoteReference w:id="9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العارض و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نزل عن حدّ العذار و هو النّابت على اللّحيين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الصّدغ و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الشّعر الّذي بعد انتهاء العذار المحاذي لرأس الاذن و نزل عن رأسها قليلا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النّزعتان و 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انحسر عنه الشّعر من الرّأس متصاعدا في جانبي الرّأس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التّحذيف و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الشّعر الدّاخل في الوجه ما بين انتهاء العذار و النّزعة المتّصل شعر الرّأس،لأنّ التّكليف بهذه شرعيّ و لا شرع يدلّ على التّكليف بها فلا تكليف</w:t>
      </w:r>
      <w:r>
        <w:rPr>
          <w:rFonts w:eastAsia="Amiri" w:cs="Amiri" w:ascii="Amiri" w:hAnsi="Amiri"/>
          <w:color w:val="111111"/>
          <w:sz w:val="28"/>
          <w:szCs w:val="28"/>
          <w:rtl w:val="true"/>
          <w:lang w:bidi="ar-SA"/>
        </w:rPr>
        <w:t>.</w:t>
      </w:r>
    </w:p>
    <w:p>
      <w:pPr>
        <w:pStyle w:val="Heading6"/>
        <w:numPr>
          <w:ilvl w:val="5"/>
          <w:numId w:val="1"/>
        </w:numPr>
        <w:rPr/>
      </w:pPr>
      <w:bookmarkStart w:id="96" w:name="__RefHeading___Toc795203_222507752"/>
      <w:bookmarkStart w:id="97" w:name="_Toc41"/>
      <w:bookmarkEnd w:id="96"/>
      <w:r>
        <w:rPr>
          <w:rtl w:val="true"/>
        </w:rPr>
        <w:t>الثّالث</w:t>
      </w:r>
      <w:r>
        <w:rPr>
          <w:rtl w:val="true"/>
        </w:rPr>
        <w:t>:</w:t>
      </w:r>
      <w:r>
        <w:rPr>
          <w:rtl w:val="true"/>
        </w:rPr>
        <w:t>لا يلزم تخليل شعر اللّحية،و لا الشّارب،و لا العنفقة،و لا الأهداب</w:t>
      </w:r>
      <w:bookmarkEnd w:id="97"/>
    </w:p>
    <w:p>
      <w:pPr>
        <w:pStyle w:val="BookText"/>
        <w:rPr/>
      </w:pPr>
      <w:r>
        <w:rPr>
          <w:rFonts w:ascii="Amiri" w:hAnsi="Amiri" w:eastAsia="Amiri" w:cs="Amiri"/>
          <w:color w:val="111111"/>
          <w:sz w:val="28"/>
          <w:sz w:val="28"/>
          <w:szCs w:val="28"/>
          <w:rtl w:val="true"/>
          <w:lang w:bidi="ar-SA"/>
        </w:rPr>
        <w:t>سواء كانت كثيفة أو خفيفة،و لا يستحبّ أيضا،بل الواجب إن فقد الشّعر غسل هذه المواضع،و إن وجد فإمرار الماء على ظاهر الشّعر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ابن الجنيد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متى خرجت اللّحية و لم تكثر فعلى المتوضّئ غسل الوجه حتّى يستيقن وصول الماء إلى بشرته،لأنّها لم تستر مواضعها </w:t>
      </w:r>
      <w:r>
        <w:rPr>
          <w:rStyle w:val="FootnoteAnchor"/>
          <w:rtl w:val="true"/>
        </w:rPr>
        <w:footnoteReference w:id="91"/>
      </w:r>
      <w:r>
        <w:rPr>
          <w:rFonts w:ascii="Amiri" w:hAnsi="Amiri" w:eastAsia="Amiri" w:cs="Amiri"/>
          <w:color w:val="111111"/>
          <w:sz w:val="28"/>
          <w:sz w:val="28"/>
          <w:szCs w:val="28"/>
          <w:rtl w:val="true"/>
          <w:lang w:bidi="ar-SA"/>
        </w:rPr>
        <w:t xml:space="preserve">،و هو قول الشّافعيّ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اتّفقوا على استحباب التّخليل إلاّ أبا ثور،فإنّه قال بوجوب إيصال الماء إلى بشرة الوجه و إن كانت كثيفة </w:t>
      </w:r>
      <w:r>
        <w:rPr>
          <w:rStyle w:val="FootnoteAnchor"/>
          <w:rtl w:val="true"/>
        </w:rPr>
        <w:footnoteReference w:id="9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قول المزني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رواه الجمهور من وصف وضوء رسول اللّه صلّى اللّه عليه و آله انّه غسل وجهه ثلاثا،ثمَّ غسل يديه </w:t>
      </w:r>
      <w:r>
        <w:rPr>
          <w:rStyle w:val="FootnoteAnchor"/>
          <w:rtl w:val="true"/>
        </w:rPr>
        <w:footnoteReference w:id="95"/>
      </w:r>
      <w:r>
        <w:rPr>
          <w:rFonts w:ascii="Amiri" w:hAnsi="Amiri" w:eastAsia="Amiri" w:cs="Amiri"/>
          <w:color w:val="111111"/>
          <w:sz w:val="28"/>
          <w:sz w:val="28"/>
          <w:szCs w:val="28"/>
          <w:rtl w:val="true"/>
          <w:lang w:bidi="ar-SA"/>
        </w:rPr>
        <w:t>و لم يذكر التّخليل فيكون منفيّا</w:t>
      </w:r>
      <w:r>
        <w:rPr>
          <w:rFonts w:eastAsia="Amiri" w:cs="Amiri" w:ascii="Amiri" w:hAnsi="Amiri"/>
          <w:color w:val="111111"/>
          <w:sz w:val="28"/>
          <w:szCs w:val="28"/>
          <w:rtl w:val="true"/>
          <w:lang w:bidi="ar-SA"/>
        </w:rPr>
        <w:t xml:space="preserve">. </w:t>
      </w:r>
      <w:bookmarkStart w:id="98" w:name="pg12669_112817"/>
    </w:p>
    <w:p>
      <w:pPr>
        <w:pStyle w:val="BookText"/>
        <w:rPr/>
      </w:pPr>
      <w:bookmarkEnd w:id="98"/>
      <w:r>
        <w:rPr>
          <w:rFonts w:ascii="Amiri" w:hAnsi="Amiri" w:eastAsia="Amiri" w:cs="Amiri"/>
          <w:color w:val="111111"/>
          <w:sz w:val="28"/>
          <w:sz w:val="28"/>
          <w:szCs w:val="28"/>
          <w:rtl w:val="true"/>
          <w:lang w:bidi="ar-SA"/>
        </w:rPr>
        <w:t>و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روى ابن عبّاس،عن النّبيّ صلّى اللّه عليه و آله انّه توضّأ فغرف غرفة غسل بها وجهه </w:t>
      </w:r>
      <w:r>
        <w:rPr>
          <w:rStyle w:val="FootnoteAnchor"/>
          <w:rtl w:val="true"/>
        </w:rPr>
        <w:footnoteReference w:id="96"/>
      </w:r>
      <w:r>
        <w:rPr>
          <w:rFonts w:ascii="Amiri" w:hAnsi="Amiri" w:eastAsia="Amiri" w:cs="Amiri"/>
          <w:color w:val="111111"/>
          <w:sz w:val="28"/>
          <w:sz w:val="28"/>
          <w:szCs w:val="28"/>
          <w:rtl w:val="true"/>
          <w:lang w:bidi="ar-SA"/>
        </w:rPr>
        <w:t xml:space="preserve">،و من المستحيل إمكان غسل الوجه و إيصال الماء إلى ما تحت الشّعر بكفّ واحد و بالخصوص مع وضوء النّبيّ صلّى اللّه عليه و آله بأنّه كثيف اللّحية كبيرها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الوجه مأخوذ من المواجهة،و ذلك غير صادق على ما تحت الشّعر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لأنّه شعر يستر ما تحته بالعادة،فوجب انتقال الفرض إليه قياسا على الرّأس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طريق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 في الصّحيح،عن زرارة،عن أبي جعفر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أرأيت ما كان تحت الشّعر؟قال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كلّما أحاط به الشّعر فليس على العباد أن يغسلوه و لا يبحثوا عنه و لكن يجري عليه الماء</w:t>
      </w:r>
      <w:r>
        <w:rPr>
          <w:rFonts w:eastAsia="Amiri" w:cs="Amiri" w:ascii="Amiri" w:hAnsi="Amiri"/>
          <w:color w:val="111111"/>
          <w:sz w:val="28"/>
          <w:szCs w:val="28"/>
          <w:rtl w:val="true"/>
          <w:lang w:bidi="ar-SA"/>
        </w:rPr>
        <w:t xml:space="preserve">) </w:t>
      </w:r>
      <w:r>
        <w:rPr>
          <w:rStyle w:val="FootnoteAnchor"/>
          <w:rtl w:val="true"/>
        </w:rPr>
        <w:footnoteReference w:id="9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رواه ابن بابويه أيضا في الصّحيح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الشّيخ في الصّحيح،عن محمّد بن مسلم،عن أحدهما عليهما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سألته عن الرّجل يتوضّأ أ يبطن لحيته؟قال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روى،عن زرارة،عن أبي جعفر عليه السّلام انّه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عليك أن تغسل ما ظهر</w:t>
      </w:r>
      <w:r>
        <w:rPr>
          <w:rFonts w:eastAsia="Amiri" w:cs="Amiri" w:ascii="Amiri" w:hAnsi="Amiri"/>
          <w:color w:val="111111"/>
          <w:sz w:val="28"/>
          <w:szCs w:val="28"/>
          <w:rtl w:val="true"/>
          <w:lang w:bidi="ar-SA"/>
        </w:rPr>
        <w:t xml:space="preserve">) </w:t>
      </w:r>
      <w:r>
        <w:rPr>
          <w:rStyle w:val="FootnoteAnchor"/>
          <w:rtl w:val="true"/>
        </w:rPr>
        <w:footnoteReference w:id="101"/>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تفيد الحصر</w:t>
      </w:r>
      <w:r>
        <w:rPr>
          <w:rFonts w:eastAsia="Amiri" w:cs="Amiri" w:ascii="Amiri" w:hAnsi="Amiri"/>
          <w:color w:val="111111"/>
          <w:sz w:val="28"/>
          <w:szCs w:val="28"/>
          <w:rtl w:val="true"/>
          <w:lang w:bidi="ar-SA"/>
        </w:rPr>
        <w:t>.</w:t>
      </w:r>
    </w:p>
    <w:p>
      <w:pPr>
        <w:pStyle w:val="Heading6"/>
        <w:numPr>
          <w:ilvl w:val="5"/>
          <w:numId w:val="1"/>
        </w:numPr>
        <w:rPr/>
      </w:pPr>
      <w:bookmarkStart w:id="99" w:name="__RefHeading___Toc795205_222507752"/>
      <w:bookmarkStart w:id="100" w:name="_Toc42"/>
      <w:bookmarkEnd w:id="99"/>
      <w:r>
        <w:rPr>
          <w:rtl w:val="true"/>
        </w:rPr>
        <w:t>تذنيب</w:t>
      </w:r>
      <w:r>
        <w:rPr>
          <w:rtl w:val="true"/>
        </w:rPr>
        <w:t>:</w:t>
      </w:r>
      <w:r>
        <w:rPr>
          <w:rtl w:val="true"/>
        </w:rPr>
        <w:t>لو نبت للمرأة لحية،كان حكمها ذلك</w:t>
      </w:r>
      <w:bookmarkEnd w:id="100"/>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 ذكرناه </w:t>
      </w:r>
      <w:r>
        <w:rPr>
          <w:rStyle w:val="FootnoteAnchor"/>
          <w:rtl w:val="true"/>
        </w:rPr>
        <w:footnoteReference w:id="102"/>
      </w:r>
      <w:r>
        <w:rPr>
          <w:rFonts w:ascii="IRNazanin" w:hAnsi="IRNazanin" w:eastAsia="IRNazanin"/>
          <w:color w:val="111111"/>
          <w:sz w:val="28"/>
          <w:sz w:val="28"/>
          <w:szCs w:val="28"/>
          <w:rtl w:val="true"/>
          <w:lang w:bidi="fa-IR"/>
        </w:rPr>
        <w:t xml:space="preserve">،و لأنّه شعر ساتر لما </w:t>
      </w:r>
      <w:bookmarkStart w:id="101" w:name="pg12669_112818"/>
    </w:p>
    <w:p>
      <w:pPr>
        <w:pStyle w:val="BookText"/>
        <w:rPr/>
      </w:pPr>
      <w:bookmarkEnd w:id="101"/>
      <w:r>
        <w:rPr>
          <w:rFonts w:ascii="Amiri" w:hAnsi="Amiri" w:eastAsia="Amiri" w:cs="Amiri"/>
          <w:color w:val="111111"/>
          <w:sz w:val="28"/>
          <w:sz w:val="28"/>
          <w:szCs w:val="28"/>
          <w:rtl w:val="true"/>
          <w:lang w:bidi="ar-SA"/>
        </w:rPr>
        <w:t xml:space="preserve">تحته،فأشبه لحية الرّجل،سواء كانت خفيفة،أو كثيفة،خلافا للشّافعيّ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02" w:name="__RefHeading___Toc795207_222507752"/>
      <w:bookmarkStart w:id="103" w:name="_Toc43"/>
      <w:bookmarkEnd w:id="102"/>
      <w:r>
        <w:rPr>
          <w:rtl w:val="true"/>
        </w:rPr>
        <w:t>الرّابع</w:t>
      </w:r>
      <w:r>
        <w:rPr>
          <w:rtl w:val="true"/>
        </w:rPr>
        <w:t>:</w:t>
      </w:r>
      <w:r>
        <w:rPr>
          <w:rtl w:val="true"/>
        </w:rPr>
        <w:t>لا يجب غسل ما استرسل من اللّحية طولا و عرضا</w:t>
      </w:r>
      <w:r>
        <w:rPr>
          <w:rtl w:val="true"/>
        </w:rPr>
        <w:t>.</w:t>
      </w:r>
      <w:bookmarkEnd w:id="103"/>
    </w:p>
    <w:p>
      <w:pPr>
        <w:pStyle w:val="BookText"/>
        <w:rPr/>
      </w:pPr>
      <w:r>
        <w:rPr>
          <w:rFonts w:ascii="Amiri" w:hAnsi="Amiri" w:eastAsia="Amiri" w:cs="Amiri"/>
          <w:color w:val="111111"/>
          <w:sz w:val="28"/>
          <w:sz w:val="28"/>
          <w:szCs w:val="28"/>
          <w:rtl w:val="true"/>
          <w:lang w:bidi="ar-SA"/>
        </w:rPr>
        <w:t xml:space="preserve">و هو قول أبي حنيفة </w:t>
      </w:r>
      <w:r>
        <w:rPr>
          <w:rStyle w:val="FootnoteAnchor"/>
          <w:rtl w:val="true"/>
        </w:rPr>
        <w:footnoteReference w:id="104"/>
      </w:r>
      <w:r>
        <w:rPr>
          <w:rFonts w:ascii="Amiri" w:hAnsi="Amiri" w:eastAsia="Amiri" w:cs="Amiri"/>
          <w:color w:val="111111"/>
          <w:sz w:val="28"/>
          <w:sz w:val="28"/>
          <w:szCs w:val="28"/>
          <w:rtl w:val="true"/>
          <w:lang w:bidi="ar-SA"/>
        </w:rPr>
        <w:t xml:space="preserve">،و الشّافعيّ في أحد قوليه </w:t>
      </w:r>
      <w:r>
        <w:rPr>
          <w:rStyle w:val="FootnoteAnchor"/>
          <w:rtl w:val="true"/>
        </w:rPr>
        <w:footnoteReference w:id="105"/>
      </w:r>
      <w:r>
        <w:rPr>
          <w:rFonts w:ascii="Amiri" w:hAnsi="Amiri" w:eastAsia="Amiri" w:cs="Amiri"/>
          <w:color w:val="111111"/>
          <w:sz w:val="28"/>
          <w:sz w:val="28"/>
          <w:szCs w:val="28"/>
          <w:rtl w:val="true"/>
          <w:lang w:bidi="ar-SA"/>
        </w:rPr>
        <w:t>،و في القول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يجب </w:t>
      </w:r>
      <w:r>
        <w:rPr>
          <w:rStyle w:val="FootnoteAnchor"/>
          <w:rtl w:val="true"/>
        </w:rPr>
        <w:footnoteReference w:id="106"/>
      </w:r>
      <w:r>
        <w:rPr>
          <w:rFonts w:ascii="Amiri" w:hAnsi="Amiri" w:eastAsia="Amiri" w:cs="Amiri"/>
          <w:color w:val="111111"/>
          <w:sz w:val="28"/>
          <w:sz w:val="28"/>
          <w:szCs w:val="28"/>
          <w:rtl w:val="true"/>
          <w:lang w:bidi="ar-SA"/>
        </w:rPr>
        <w:t xml:space="preserve">،و به قال مالك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أحمد روايتان </w:t>
      </w:r>
      <w:r>
        <w:rPr>
          <w:rStyle w:val="FootnoteAnchor"/>
          <w:rtl w:val="true"/>
        </w:rPr>
        <w:footnoteReference w:id="10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نقل عن أبي حنيفة،أيضا انّ اللّحية النّابتة في محلّ الفرض لا يجب غسلها إذا كانت كثيفة،لأنّ الوجه اسم للبشرة الّتي بها تحصل المواجهة،و الشّعر ليس ببشرة </w:t>
      </w:r>
      <w:r>
        <w:rPr>
          <w:rStyle w:val="FootnoteAnchor"/>
          <w:rtl w:val="true"/>
        </w:rPr>
        <w:footnoteReference w:id="109"/>
      </w:r>
      <w:r>
        <w:rPr>
          <w:rFonts w:ascii="Amiri" w:hAnsi="Amiri" w:eastAsia="Amiri" w:cs="Amiri"/>
          <w:color w:val="111111"/>
          <w:sz w:val="28"/>
          <w:sz w:val="28"/>
          <w:szCs w:val="28"/>
          <w:rtl w:val="true"/>
          <w:lang w:bidi="ar-SA"/>
        </w:rPr>
        <w:t xml:space="preserve">،و ما تحته لا تحصل به المواجهة </w:t>
      </w:r>
      <w:r>
        <w:rPr>
          <w:rStyle w:val="FootnoteAnchor"/>
          <w:rtl w:val="true"/>
        </w:rPr>
        <w:footnoteReference w:id="110"/>
      </w:r>
      <w:r>
        <w:rPr>
          <w:rFonts w:ascii="Amiri" w:hAnsi="Amiri" w:eastAsia="Amiri" w:cs="Amiri"/>
          <w:color w:val="111111"/>
          <w:sz w:val="28"/>
          <w:sz w:val="28"/>
          <w:szCs w:val="28"/>
          <w:rtl w:val="true"/>
          <w:lang w:bidi="ar-SA"/>
        </w:rPr>
        <w:t xml:space="preserve">،و هو أيضا مرويّ عن أبي يوسف </w:t>
      </w:r>
      <w:r>
        <w:rPr>
          <w:rStyle w:val="FootnoteAnchor"/>
          <w:rtl w:val="true"/>
        </w:rPr>
        <w:footnoteReference w:id="11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لكنّ الأظهر من مذهب أبي حنيفة،انّ عليه غسل الرّبع من اللّحية، قياسا على مسح الرّأس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انّها ليست من الوجه،و لأنّه شعر خارج عن محلّ الفرض،فأشبه ما لو نزل من شعر الرّأس عنه كالذّؤابتين</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احتجّ </w:t>
      </w:r>
      <w:r>
        <w:rPr>
          <w:rStyle w:val="FootnoteAnchor"/>
          <w:rtl w:val="true"/>
        </w:rPr>
        <w:footnoteReference w:id="113"/>
      </w:r>
      <w:r>
        <w:rPr>
          <w:rFonts w:ascii="Amiri" w:hAnsi="Amiri" w:eastAsia="Amiri" w:cs="Amiri"/>
          <w:color w:val="111111"/>
          <w:sz w:val="28"/>
          <w:sz w:val="28"/>
          <w:szCs w:val="28"/>
          <w:rtl w:val="true"/>
          <w:lang w:bidi="ar-SA"/>
        </w:rPr>
        <w:t xml:space="preserve">الموجبون،بأنّها تسمّى في الشّرع وجها،لما روي انّ النّبيّ صلّى اللّه عليه </w:t>
      </w:r>
      <w:bookmarkStart w:id="104" w:name="pg12669_112819"/>
    </w:p>
    <w:p>
      <w:pPr>
        <w:pStyle w:val="BookText"/>
        <w:rPr/>
      </w:pPr>
      <w:bookmarkEnd w:id="104"/>
      <w:r>
        <w:rPr>
          <w:rFonts w:ascii="Amiri" w:hAnsi="Amiri" w:eastAsia="Amiri" w:cs="Amiri"/>
          <w:color w:val="111111"/>
          <w:sz w:val="28"/>
          <w:sz w:val="28"/>
          <w:szCs w:val="28"/>
          <w:rtl w:val="true"/>
          <w:lang w:bidi="ar-SA"/>
        </w:rPr>
        <w:t>و آله رأى رجلا غطّى لحيته في الصّلاة،فقال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اكشف وجهك فإنّ اللّحية من الوجه</w:t>
      </w:r>
      <w:r>
        <w:rPr>
          <w:rFonts w:eastAsia="Amiri" w:cs="Amiri" w:ascii="Amiri" w:hAnsi="Amiri"/>
          <w:color w:val="111111"/>
          <w:sz w:val="28"/>
          <w:szCs w:val="28"/>
          <w:rtl w:val="true"/>
          <w:lang w:bidi="ar-SA"/>
        </w:rPr>
        <w:t xml:space="preserve">) </w:t>
      </w:r>
      <w:r>
        <w:rPr>
          <w:rStyle w:val="FootnoteAnchor"/>
          <w:rtl w:val="true"/>
        </w:rPr>
        <w:footnoteReference w:id="114"/>
      </w:r>
      <w:r>
        <w:rPr>
          <w:rFonts w:ascii="Amiri" w:hAnsi="Amiri" w:eastAsia="Amiri" w:cs="Amiri"/>
          <w:color w:val="111111"/>
          <w:sz w:val="28"/>
          <w:sz w:val="28"/>
          <w:szCs w:val="28"/>
          <w:rtl w:val="true"/>
          <w:lang w:bidi="ar-SA"/>
        </w:rPr>
        <w:t>و عرفا،و لهذا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 وجهه،أي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لحيته،و لأنّه شعر نابت على موضع مغسول،فيوصل إليه الماء،كالشّارب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 عن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 ذلك الرّجل غطّى النّابت في محلّ الفرض لا السّاقط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بأنّه مجاز في الاستعمال،و لهذا فإنّه لا يطّرد،فلا 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طال وجهه أو عرض أو قصر وجهه لمن حصلت </w:t>
      </w:r>
      <w:r>
        <w:rPr>
          <w:rStyle w:val="FootnoteAnchor"/>
          <w:rtl w:val="true"/>
        </w:rPr>
        <w:footnoteReference w:id="115"/>
      </w:r>
      <w:r>
        <w:rPr>
          <w:rFonts w:ascii="Amiri" w:hAnsi="Amiri" w:eastAsia="Amiri" w:cs="Amiri"/>
          <w:color w:val="111111"/>
          <w:sz w:val="28"/>
          <w:sz w:val="28"/>
          <w:szCs w:val="28"/>
          <w:rtl w:val="true"/>
          <w:lang w:bidi="ar-SA"/>
        </w:rPr>
        <w:t>هذه الأوصاف للحيته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الحكم مضاف إلى المختصّ،و هو انّه شعر غير ساقط عن العضو المفروض،و إلاّ لثبت في محلّ النّقض و هو المسترسل من الرّأس</w:t>
      </w:r>
      <w:r>
        <w:rPr>
          <w:rFonts w:eastAsia="Amiri" w:cs="Amiri" w:ascii="Amiri" w:hAnsi="Amiri"/>
          <w:color w:val="111111"/>
          <w:sz w:val="28"/>
          <w:szCs w:val="28"/>
          <w:rtl w:val="true"/>
          <w:lang w:bidi="ar-SA"/>
        </w:rPr>
        <w:t>.</w:t>
      </w:r>
    </w:p>
    <w:p>
      <w:pPr>
        <w:pStyle w:val="Heading6"/>
        <w:numPr>
          <w:ilvl w:val="5"/>
          <w:numId w:val="1"/>
        </w:numPr>
        <w:rPr/>
      </w:pPr>
      <w:bookmarkStart w:id="105" w:name="__RefHeading___Toc795209_222507752"/>
      <w:bookmarkStart w:id="106" w:name="_Toc44"/>
      <w:bookmarkEnd w:id="105"/>
      <w:r>
        <w:rPr>
          <w:rtl w:val="true"/>
        </w:rPr>
        <w:t>الخامس</w:t>
      </w:r>
      <w:r>
        <w:rPr>
          <w:rtl w:val="true"/>
        </w:rPr>
        <w:t>:</w:t>
      </w:r>
      <w:r>
        <w:rPr>
          <w:rtl w:val="true"/>
        </w:rPr>
        <w:t>الأذنان ليسا من الوجه،</w:t>
      </w:r>
      <w:bookmarkEnd w:id="106"/>
    </w:p>
    <w:p>
      <w:pPr>
        <w:pStyle w:val="BookText"/>
        <w:rPr/>
      </w:pPr>
      <w:r>
        <w:rPr>
          <w:rFonts w:ascii="Amiri" w:hAnsi="Amiri" w:eastAsia="Amiri" w:cs="Amiri"/>
          <w:color w:val="111111"/>
          <w:sz w:val="28"/>
          <w:sz w:val="28"/>
          <w:szCs w:val="28"/>
          <w:rtl w:val="true"/>
          <w:lang w:bidi="ar-SA"/>
        </w:rPr>
        <w:t>فلا يجب غسلهما و لا يستحبّ،و لا يجب مسحهما ما أقبل منهما و ما أدبر،و لا يجوزان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الجمهور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يمسح الأذنان </w:t>
      </w:r>
      <w:r>
        <w:rPr>
          <w:rStyle w:val="FootnoteAnchor"/>
          <w:rtl w:val="true"/>
        </w:rPr>
        <w:footnoteReference w:id="11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الزّهريّ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هما من الوجه يغسلان معه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الشّعبيّ،و الحسن البصريّ،و إسحاق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يغسل ما أقبل و يمسح ما أدبر </w:t>
      </w:r>
      <w:r>
        <w:rPr>
          <w:rStyle w:val="FootnoteAnchor"/>
          <w:rtl w:val="true"/>
        </w:rPr>
        <w:footnoteReference w:id="11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اختلف الشّافعيّ و أبو حنيفة،فقال الشّافعيّ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المستحبّ استئناف ماء جديد لهما </w:t>
      </w:r>
      <w:r>
        <w:rPr>
          <w:rStyle w:val="FootnoteAnchor"/>
          <w:rtl w:val="true"/>
        </w:rPr>
        <w:footnoteReference w:id="119"/>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قال أبو حنيفة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يمسحهما بماء الرّأس </w:t>
      </w:r>
      <w:r>
        <w:rPr>
          <w:rStyle w:val="FootnoteAnchor"/>
          <w:rtl w:val="true"/>
        </w:rPr>
        <w:footnoteReference w:id="12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اتّفق أهل العلم على انّ مسحهما غير واجب إلاّ ما يحكى عن إسحاق بن راهويه من إيجاب مسحهما </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تكليف،فيتوقّف على الشّرح و لم يثبت،فاعتقاد فعله بدعة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رويناه،عن زرارة،عن أبي جعفر عليه السّلام في حدّ الوجه </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ما رويناه عنهم عليهم السّلام من صفة وضوء رسول اللّه صلّى اللّه عليه و آله </w:t>
      </w:r>
      <w:r>
        <w:rPr>
          <w:rStyle w:val="FootnoteAnchor"/>
          <w:rtl w:val="true"/>
        </w:rPr>
        <w:footnoteReference w:id="123"/>
      </w:r>
      <w:r>
        <w:rPr>
          <w:rFonts w:ascii="Amiri" w:hAnsi="Amiri" w:eastAsia="Amiri" w:cs="Amiri"/>
          <w:color w:val="111111"/>
          <w:sz w:val="28"/>
          <w:sz w:val="28"/>
          <w:szCs w:val="28"/>
          <w:rtl w:val="true"/>
          <w:lang w:bidi="ar-SA"/>
        </w:rPr>
        <w:t xml:space="preserve">، و صفة وضوء أمير المؤمنين عليه السّلام </w:t>
      </w:r>
      <w:r>
        <w:rPr>
          <w:rStyle w:val="FootnoteAnchor"/>
          <w:rtl w:val="true"/>
        </w:rPr>
        <w:footnoteReference w:id="124"/>
      </w:r>
      <w:r>
        <w:rPr>
          <w:rFonts w:ascii="Amiri" w:hAnsi="Amiri" w:eastAsia="Amiri" w:cs="Amiri"/>
          <w:color w:val="111111"/>
          <w:sz w:val="28"/>
          <w:sz w:val="28"/>
          <w:szCs w:val="28"/>
          <w:rtl w:val="true"/>
          <w:lang w:bidi="ar-SA"/>
        </w:rPr>
        <w:t>،و لم يمسحا الأذنين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رواه الشّيخ،عن زرارة،قال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جعفر عليه السّلام انّ أناسا يقولون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بطن الأذنين من الوجه،و ظهرهما من الرّأس؟فقال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عليهما غسل و لا مسح</w:t>
      </w:r>
      <w:r>
        <w:rPr>
          <w:rFonts w:eastAsia="Amiri" w:cs="Amiri" w:ascii="Amiri" w:hAnsi="Amiri"/>
          <w:color w:val="111111"/>
          <w:sz w:val="28"/>
          <w:szCs w:val="28"/>
          <w:rtl w:val="true"/>
          <w:lang w:bidi="ar-SA"/>
        </w:rPr>
        <w:t xml:space="preserve">) </w:t>
      </w:r>
      <w:r>
        <w:rPr>
          <w:rStyle w:val="FootnoteAnchor"/>
          <w:rtl w:val="true"/>
        </w:rPr>
        <w:footnoteReference w:id="125"/>
      </w:r>
      <w:r>
        <w:rPr>
          <w:rFonts w:ascii="Amiri" w:hAnsi="Amiri" w:eastAsia="Amiri" w:cs="Amiri"/>
          <w:color w:val="111111"/>
          <w:sz w:val="28"/>
          <w:sz w:val="28"/>
          <w:szCs w:val="28"/>
          <w:rtl w:val="true"/>
          <w:lang w:bidi="ar-SA"/>
        </w:rPr>
        <w:t xml:space="preserve">و في طريقها ابن فضّال و ابن بكير،و فيهما قول </w:t>
      </w:r>
      <w:r>
        <w:rPr>
          <w:rStyle w:val="FootnoteAnchor"/>
          <w:rtl w:val="true"/>
        </w:rPr>
        <w:footnoteReference w:id="126"/>
      </w:r>
      <w:r>
        <w:rPr>
          <w:rFonts w:ascii="Amiri" w:hAnsi="Amiri" w:eastAsia="Amiri" w:cs="Amiri"/>
          <w:color w:val="111111"/>
          <w:sz w:val="28"/>
          <w:sz w:val="28"/>
          <w:szCs w:val="28"/>
          <w:rtl w:val="true"/>
          <w:lang w:bidi="ar-SA"/>
        </w:rPr>
        <w:t>،إلاّ انّ إجماع الأصحاب يؤيّد العمل بها،و اعتضادها بالأخبار الأخر</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احتجّوا </w:t>
      </w:r>
      <w:r>
        <w:rPr>
          <w:rStyle w:val="FootnoteAnchor"/>
          <w:rtl w:val="true"/>
        </w:rPr>
        <w:footnoteReference w:id="127"/>
      </w:r>
      <w:r>
        <w:rPr>
          <w:rFonts w:ascii="Amiri" w:hAnsi="Amiri" w:eastAsia="Amiri" w:cs="Amiri"/>
          <w:color w:val="111111"/>
          <w:sz w:val="28"/>
          <w:sz w:val="28"/>
          <w:szCs w:val="28"/>
          <w:rtl w:val="true"/>
          <w:lang w:bidi="ar-SA"/>
        </w:rPr>
        <w:t xml:space="preserve">بما رواه ابن عبّاس،عن النّبيّ صلّى اللّه عليه و آله انّه مسح رأسه و أذنيه بماء واحد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 بما </w:t>
      </w:r>
      <w:r>
        <w:rPr>
          <w:rStyle w:val="FootnoteAnchor"/>
          <w:rtl w:val="true"/>
        </w:rPr>
        <w:footnoteReference w:id="129"/>
      </w:r>
      <w:r>
        <w:rPr>
          <w:rFonts w:ascii="Amiri" w:hAnsi="Amiri" w:eastAsia="Amiri" w:cs="Amiri"/>
          <w:color w:val="111111"/>
          <w:sz w:val="28"/>
          <w:sz w:val="28"/>
          <w:szCs w:val="28"/>
          <w:rtl w:val="true"/>
          <w:lang w:bidi="ar-SA"/>
        </w:rPr>
        <w:t>روي،عنه عليه السّلام انّه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الأذنان من الرّأس</w:t>
      </w:r>
      <w:r>
        <w:rPr>
          <w:rFonts w:eastAsia="Amiri" w:cs="Amiri" w:ascii="Amiri" w:hAnsi="Amiri"/>
          <w:color w:val="111111"/>
          <w:sz w:val="28"/>
          <w:szCs w:val="28"/>
          <w:rtl w:val="true"/>
          <w:lang w:bidi="ar-SA"/>
        </w:rPr>
        <w:t xml:space="preserve">) </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الجواب عن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مدفوع عند الشّافعيّ،و لو كان صحيحا لما خفي عنه، على انّه حكاية فعل و فيه ضعف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الثّاني بالمنع منه،فإنّ سليمان بن حرب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ليس من كلام النّبيّ صلّى اللّه عليه و آله،و إنّما هو من كلام أبي أمامة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راوي الخبر </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حمّاد بن زيد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أدري هو من قول النّبيّ صلّى اللّه عليه و آله،أو من قول أبي أمامة </w:t>
      </w:r>
      <w:r>
        <w:rPr>
          <w:rStyle w:val="FootnoteAnchor"/>
          <w:rtl w:val="true"/>
        </w:rPr>
        <w:footnoteReference w:id="132"/>
      </w:r>
      <w:r>
        <w:rPr>
          <w:rFonts w:ascii="Amiri" w:hAnsi="Amiri" w:eastAsia="Amiri" w:cs="Amiri"/>
          <w:color w:val="111111"/>
          <w:sz w:val="28"/>
          <w:sz w:val="28"/>
          <w:szCs w:val="28"/>
          <w:rtl w:val="true"/>
          <w:lang w:bidi="ar-SA"/>
        </w:rPr>
        <w:t xml:space="preserve">،على انّ أصحاب الحديث قد ضعّفوه،فإنّ راويه شهر بن </w:t>
      </w:r>
    </w:p>
    <w:p>
      <w:pPr>
        <w:pStyle w:val="BookText"/>
        <w:rPr/>
      </w:pPr>
      <w:r>
        <w:rPr>
          <w:rFonts w:ascii="Amiri" w:hAnsi="Amiri" w:eastAsia="Amiri" w:cs="Amiri"/>
          <w:color w:val="111111"/>
          <w:sz w:val="28"/>
          <w:sz w:val="28"/>
          <w:szCs w:val="28"/>
          <w:rtl w:val="true"/>
          <w:lang w:bidi="ar-SA"/>
        </w:rPr>
        <w:t>حوشب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شعبة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شهرا رافق رجلا من أهل الشّام فخانه </w:t>
      </w:r>
      <w:r>
        <w:rPr>
          <w:rStyle w:val="FootnoteAnchor"/>
          <w:rtl w:val="true"/>
        </w:rPr>
        <w:footnoteReference w:id="13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انّ كونهما من الرّأس لا يدلّ على وجوب مسحهما و لا استحبابه،لما سنبيّن من اختصاص المسح بالمقدّم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روى الشّيخ،عن عليّ بن رئاب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الأذنان من الرّأس؟قال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مسحت رأسي مسحت اذني؟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لأنّا نقول هذا الحديث مردود بالإجماع على خلافه،و بأنّه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يحمل على التّقيّة</w:t>
      </w:r>
      <w:r>
        <w:rPr>
          <w:rFonts w:eastAsia="Amiri" w:cs="Amiri" w:ascii="Amiri" w:hAnsi="Amiri"/>
          <w:color w:val="111111"/>
          <w:sz w:val="28"/>
          <w:szCs w:val="28"/>
          <w:rtl w:val="true"/>
          <w:lang w:bidi="ar-SA"/>
        </w:rPr>
        <w:t xml:space="preserve">) </w:t>
      </w:r>
      <w:r>
        <w:rPr>
          <w:rStyle w:val="FootnoteAnchor"/>
          <w:rtl w:val="true"/>
        </w:rPr>
        <w:footnoteReference w:id="135"/>
      </w:r>
      <w:r>
        <w:rPr>
          <w:rFonts w:ascii="Amiri" w:hAnsi="Amiri" w:eastAsia="Amiri" w:cs="Amiri"/>
          <w:color w:val="111111"/>
          <w:sz w:val="28"/>
          <w:sz w:val="28"/>
          <w:szCs w:val="28"/>
          <w:rtl w:val="true"/>
          <w:lang w:bidi="ar-SA"/>
        </w:rPr>
        <w:t>،و رواية يونس،و هو مشترك بين الموثّق كابن عبد الرّحمن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ابن </w:t>
      </w:r>
      <w:bookmarkStart w:id="107" w:name="pg12669_112823"/>
    </w:p>
    <w:p>
      <w:pPr>
        <w:pStyle w:val="BookText"/>
        <w:rPr/>
      </w:pPr>
      <w:bookmarkEnd w:id="107"/>
      <w:r>
        <w:rPr>
          <w:rFonts w:ascii="IRNazanin" w:hAnsi="IRNazanin" w:eastAsia="IRNazanin"/>
          <w:color w:val="111111"/>
          <w:sz w:val="28"/>
          <w:sz w:val="28"/>
          <w:szCs w:val="28"/>
          <w:rtl w:val="true"/>
          <w:lang w:bidi="fa-IR"/>
        </w:rPr>
        <w:t xml:space="preserve">رباط </w:t>
      </w:r>
      <w:r>
        <w:rPr>
          <w:rStyle w:val="FootnoteAnchor"/>
          <w:rtl w:val="true"/>
        </w:rPr>
        <w:footnoteReference w:id="136"/>
      </w:r>
      <w:r>
        <w:rPr>
          <w:rFonts w:ascii="Amiri" w:hAnsi="Amiri" w:eastAsia="Amiri" w:cs="Amiri"/>
          <w:color w:val="111111"/>
          <w:sz w:val="28"/>
          <w:sz w:val="28"/>
          <w:szCs w:val="28"/>
          <w:rtl w:val="true"/>
          <w:lang w:bidi="ar-SA"/>
        </w:rPr>
        <w:t xml:space="preserve">،و المضعّف كابن ظبيان </w:t>
      </w:r>
      <w:r>
        <w:rPr>
          <w:rStyle w:val="FootnoteAnchor"/>
          <w:rtl w:val="true"/>
        </w:rPr>
        <w:footnoteReference w:id="137"/>
      </w:r>
      <w:r>
        <w:rPr>
          <w:rFonts w:ascii="Amiri" w:hAnsi="Amiri" w:eastAsia="Amiri" w:cs="Amiri"/>
          <w:color w:val="111111"/>
          <w:sz w:val="28"/>
          <w:sz w:val="28"/>
          <w:szCs w:val="28"/>
          <w:rtl w:val="true"/>
          <w:lang w:bidi="ar-SA"/>
        </w:rPr>
        <w:t>فلا حجّة فيه</w:t>
      </w:r>
      <w:r>
        <w:rPr>
          <w:rFonts w:eastAsia="Amiri" w:cs="Amiri" w:ascii="Amiri" w:hAnsi="Amiri"/>
          <w:color w:val="111111"/>
          <w:sz w:val="28"/>
          <w:szCs w:val="28"/>
          <w:rtl w:val="true"/>
          <w:lang w:bidi="ar-SA"/>
        </w:rPr>
        <w:t>.</w:t>
      </w:r>
    </w:p>
    <w:p>
      <w:pPr>
        <w:pStyle w:val="Heading6"/>
        <w:numPr>
          <w:ilvl w:val="5"/>
          <w:numId w:val="1"/>
        </w:numPr>
        <w:rPr/>
      </w:pPr>
      <w:bookmarkStart w:id="108" w:name="__RefHeading___Toc795211_222507752"/>
      <w:bookmarkStart w:id="109" w:name="_Toc45"/>
      <w:bookmarkEnd w:id="108"/>
      <w:r>
        <w:rPr>
          <w:rtl w:val="true"/>
        </w:rPr>
        <w:t>السّادس</w:t>
      </w:r>
      <w:r>
        <w:rPr>
          <w:rtl w:val="true"/>
        </w:rPr>
        <w:t>:</w:t>
      </w:r>
      <w:r>
        <w:rPr>
          <w:rtl w:val="true"/>
        </w:rPr>
        <w:t>روى الشّيخ في حديث مرسل،عن الصّادق عليه السّلام،قال</w:t>
      </w:r>
      <w:r>
        <w:rPr>
          <w:rtl w:val="true"/>
        </w:rPr>
        <w:t>:(</w:t>
      </w:r>
      <w:r>
        <w:rPr>
          <w:rtl w:val="true"/>
        </w:rPr>
        <w:t>إذا</w:t>
      </w:r>
      <w:bookmarkEnd w:id="109"/>
    </w:p>
    <w:p>
      <w:pPr>
        <w:pStyle w:val="BookText"/>
        <w:rPr/>
      </w:pPr>
      <w:r>
        <w:rPr>
          <w:rFonts w:ascii="Amiri" w:hAnsi="Amiri" w:eastAsia="Amiri" w:cs="Amiri"/>
          <w:color w:val="111111"/>
          <w:sz w:val="28"/>
          <w:sz w:val="28"/>
          <w:szCs w:val="28"/>
          <w:rtl w:val="true"/>
          <w:lang w:bidi="ar-SA"/>
        </w:rPr>
        <w:t>توضّأ الرّجل فليصفق وجهه بالماء</w:t>
      </w:r>
    </w:p>
    <w:p>
      <w:pPr>
        <w:pStyle w:val="BookText"/>
        <w:rPr/>
      </w:pPr>
      <w:r>
        <w:rPr>
          <w:rFonts w:ascii="Amiri" w:hAnsi="Amiri" w:eastAsia="Amiri" w:cs="Amiri"/>
          <w:color w:val="111111"/>
          <w:sz w:val="28"/>
          <w:sz w:val="28"/>
          <w:szCs w:val="28"/>
          <w:rtl w:val="true"/>
          <w:lang w:bidi="ar-SA"/>
        </w:rPr>
        <w:t>فإنّه إن كان ناعسا فزع و استيقظ،و إن كان البرد فزع و لم يجد البرد</w:t>
      </w:r>
      <w:r>
        <w:rPr>
          <w:rFonts w:eastAsia="Amiri" w:cs="Amiri" w:ascii="Amiri" w:hAnsi="Amiri"/>
          <w:color w:val="111111"/>
          <w:sz w:val="28"/>
          <w:szCs w:val="28"/>
          <w:rtl w:val="true"/>
          <w:lang w:bidi="ar-SA"/>
        </w:rPr>
        <w:t xml:space="preserve">) </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ذكر في حديث ضعيف،عن السّكوني،عن جعفر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تضربوا وجوهكم بالماء إذا توضّأتم و لكن شنّوا الماء شنّا</w:t>
      </w:r>
      <w:r>
        <w:rPr>
          <w:rFonts w:eastAsia="Amiri" w:cs="Amiri" w:ascii="Amiri" w:hAnsi="Amiri"/>
          <w:color w:val="111111"/>
          <w:sz w:val="28"/>
          <w:szCs w:val="28"/>
          <w:rtl w:val="true"/>
          <w:lang w:bidi="ar-SA"/>
        </w:rPr>
        <w:t xml:space="preserve">) </w:t>
      </w:r>
      <w:r>
        <w:rPr>
          <w:rStyle w:val="FootnoteAnchor"/>
          <w:rtl w:val="true"/>
        </w:rPr>
        <w:footnoteReference w:id="139"/>
      </w:r>
      <w:r>
        <w:rPr>
          <w:rFonts w:ascii="Amiri" w:hAnsi="Amiri" w:eastAsia="Amiri" w:cs="Amiri"/>
          <w:color w:val="111111"/>
          <w:sz w:val="28"/>
          <w:sz w:val="28"/>
          <w:szCs w:val="28"/>
          <w:rtl w:val="true"/>
          <w:lang w:bidi="ar-SA"/>
        </w:rPr>
        <w:t xml:space="preserve">و السّن </w:t>
      </w:r>
      <w:r>
        <w:rPr>
          <w:rStyle w:val="FootnoteAnchor"/>
          <w:rtl w:val="true"/>
        </w:rPr>
        <w:footnoteReference w:id="14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السّيل،و جمع بينهما بأنّ الأوّل محمول على إباحته و لا يجب خلافه،و الثّاني محمول على أولويّة غيره فلا ينافي</w:t>
      </w:r>
      <w:r>
        <w:rPr>
          <w:rFonts w:eastAsia="Amiri" w:cs="Amiri" w:ascii="Amiri" w:hAnsi="Amiri"/>
          <w:color w:val="111111"/>
          <w:sz w:val="28"/>
          <w:szCs w:val="28"/>
          <w:rtl w:val="true"/>
          <w:lang w:bidi="ar-SA"/>
        </w:rPr>
        <w:t>.</w:t>
      </w:r>
    </w:p>
    <w:p>
      <w:pPr>
        <w:pStyle w:val="Heading6"/>
        <w:numPr>
          <w:ilvl w:val="5"/>
          <w:numId w:val="1"/>
        </w:numPr>
        <w:rPr/>
      </w:pPr>
      <w:bookmarkStart w:id="110" w:name="__RefHeading___Toc795213_222507752"/>
      <w:bookmarkStart w:id="111" w:name="_Toc46"/>
      <w:bookmarkEnd w:id="110"/>
      <w:r>
        <w:rPr>
          <w:rtl w:val="true"/>
        </w:rPr>
        <w:t>السّابع</w:t>
      </w:r>
      <w:r>
        <w:rPr>
          <w:rtl w:val="true"/>
        </w:rPr>
        <w:t>:</w:t>
      </w:r>
      <w:r>
        <w:rPr>
          <w:rtl w:val="true"/>
        </w:rPr>
        <w:t>يستحبّ إسباغ ماء الوجه</w:t>
      </w:r>
      <w:bookmarkEnd w:id="111"/>
    </w:p>
    <w:p>
      <w:pPr>
        <w:pStyle w:val="BookText"/>
        <w:rPr/>
      </w:pPr>
      <w:r>
        <w:rPr>
          <w:rFonts w:ascii="Amiri" w:hAnsi="Amiri" w:eastAsia="Amiri" w:cs="Amiri"/>
          <w:color w:val="111111"/>
          <w:sz w:val="28"/>
          <w:sz w:val="28"/>
          <w:szCs w:val="28"/>
          <w:rtl w:val="true"/>
          <w:lang w:bidi="ar-SA"/>
        </w:rPr>
        <w:t xml:space="preserve">لأنّ فيه غضونا </w:t>
      </w:r>
      <w:r>
        <w:rPr>
          <w:rStyle w:val="FootnoteAnchor"/>
          <w:rtl w:val="true"/>
        </w:rPr>
        <w:footnoteReference w:id="141"/>
      </w:r>
      <w:r>
        <w:rPr>
          <w:rFonts w:ascii="Amiri" w:hAnsi="Amiri" w:eastAsia="Amiri" w:cs="Amiri"/>
          <w:color w:val="111111"/>
          <w:sz w:val="28"/>
          <w:sz w:val="28"/>
          <w:szCs w:val="28"/>
          <w:rtl w:val="true"/>
          <w:lang w:bidi="ar-SA"/>
        </w:rPr>
        <w:t>،و مع الكثرة يحصل اليقين بوصول الماء إلى الجميع</w:t>
      </w:r>
      <w:r>
        <w:rPr>
          <w:rFonts w:eastAsia="Amiri" w:cs="Amiri" w:ascii="Amiri" w:hAnsi="Amiri"/>
          <w:color w:val="111111"/>
          <w:sz w:val="28"/>
          <w:szCs w:val="28"/>
          <w:rtl w:val="true"/>
          <w:lang w:bidi="ar-SA"/>
        </w:rPr>
        <w:t>.</w:t>
      </w:r>
    </w:p>
    <w:p>
      <w:pPr>
        <w:pStyle w:val="Heading6"/>
        <w:numPr>
          <w:ilvl w:val="5"/>
          <w:numId w:val="1"/>
        </w:numPr>
        <w:rPr/>
      </w:pPr>
      <w:bookmarkStart w:id="112" w:name="__RefHeading___Toc795215_222507752"/>
      <w:bookmarkStart w:id="113" w:name="_Toc47"/>
      <w:bookmarkEnd w:id="112"/>
      <w:r>
        <w:rPr>
          <w:rtl w:val="true"/>
        </w:rPr>
        <w:t>الثّامن</w:t>
      </w:r>
      <w:r>
        <w:rPr>
          <w:rtl w:val="true"/>
        </w:rPr>
        <w:t>:</w:t>
      </w:r>
      <w:r>
        <w:rPr>
          <w:rtl w:val="true"/>
        </w:rPr>
        <w:t>لو غسل منكوسا،قال الشّيخ</w:t>
      </w:r>
      <w:r>
        <w:rPr>
          <w:rtl w:val="true"/>
        </w:rPr>
        <w:t>:</w:t>
      </w:r>
      <w:r>
        <w:rPr>
          <w:rtl w:val="true"/>
        </w:rPr>
        <w:t xml:space="preserve">لا يجزيه </w:t>
      </w:r>
      <w:r>
        <w:rPr>
          <w:rtl w:val="true"/>
        </w:rPr>
        <w:t>.</w:t>
      </w:r>
      <w:bookmarkEnd w:id="113"/>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خلافا للمرتضى مع انّه </w:t>
      </w:r>
      <w:bookmarkStart w:id="114" w:name="pg12669_112824"/>
    </w:p>
    <w:p>
      <w:pPr>
        <w:pStyle w:val="BookText"/>
        <w:rPr/>
      </w:pPr>
      <w:bookmarkEnd w:id="114"/>
      <w:r>
        <w:rPr>
          <w:rFonts w:ascii="Amiri" w:hAnsi="Amiri" w:eastAsia="Amiri" w:cs="Amiri"/>
          <w:color w:val="111111"/>
          <w:sz w:val="28"/>
          <w:sz w:val="28"/>
          <w:szCs w:val="28"/>
          <w:rtl w:val="true"/>
          <w:lang w:bidi="ar-SA"/>
        </w:rPr>
        <w:t xml:space="preserve">كرهه </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 في الصّحيح،عن زرارة بن أعين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حكى لنا أبو جعفر عليه السّلام وضوء رسول اللّه صلّى اللّه عليه و آله،فدعا بقدح من ماء،فأدخل يده اليمنى فأخذ كفّا من ماء،فأسدلها على وجهه من أعلى الوجه </w:t>
      </w:r>
      <w:r>
        <w:rPr>
          <w:rStyle w:val="FootnoteAnchor"/>
          <w:rtl w:val="true"/>
        </w:rPr>
        <w:footnoteReference w:id="14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فعله إذا كان بيانا للمجمل وجب اتّباعه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نقل عنه عليه السّلام حين أكمل وضوءه انّه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وضوء لا يقبل اللّه الصّلاة إلاّ به</w:t>
      </w:r>
      <w:r>
        <w:rPr>
          <w:rFonts w:eastAsia="Amiri" w:cs="Amiri" w:ascii="Amiri" w:hAnsi="Amiri"/>
          <w:color w:val="111111"/>
          <w:sz w:val="28"/>
          <w:szCs w:val="28"/>
          <w:rtl w:val="true"/>
          <w:lang w:bidi="ar-SA"/>
        </w:rPr>
        <w:t xml:space="preserve">)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شكّ انّه عليه السّلام توضّأ بيانا،فإن كان قد ابتدأ بأسفل الوجه لزم وجوبه و لا قائل به،و يكون قد فعل المكروه فإنّه وافق على الكراهية و هو منزّه عنه،و إن كان قد غسل من أعلاه وجب اتّباعه</w:t>
      </w:r>
      <w:r>
        <w:rPr>
          <w:rFonts w:eastAsia="Amiri" w:cs="Amiri" w:ascii="Amiri" w:hAnsi="Amiri"/>
          <w:color w:val="111111"/>
          <w:sz w:val="28"/>
          <w:szCs w:val="28"/>
          <w:rtl w:val="true"/>
          <w:lang w:bidi="ar-SA"/>
        </w:rPr>
        <w:t>.</w:t>
      </w:r>
    </w:p>
    <w:p>
      <w:pPr>
        <w:pStyle w:val="Heading6"/>
        <w:numPr>
          <w:ilvl w:val="5"/>
          <w:numId w:val="1"/>
        </w:numPr>
        <w:rPr/>
      </w:pPr>
      <w:bookmarkStart w:id="115" w:name="__RefHeading___Toc795217_222507752"/>
      <w:bookmarkStart w:id="116" w:name="_Toc48"/>
      <w:bookmarkEnd w:id="115"/>
      <w:r>
        <w:rPr>
          <w:rtl w:val="true"/>
        </w:rPr>
        <w:t>التّاسع</w:t>
      </w:r>
      <w:r>
        <w:rPr>
          <w:rtl w:val="true"/>
        </w:rPr>
        <w:t>:</w:t>
      </w:r>
      <w:r>
        <w:rPr>
          <w:rtl w:val="true"/>
        </w:rPr>
        <w:t>قال الشّيخ في الخلاف</w:t>
      </w:r>
      <w:r>
        <w:rPr>
          <w:rtl w:val="true"/>
        </w:rPr>
        <w:t>:</w:t>
      </w:r>
      <w:r>
        <w:rPr>
          <w:rtl w:val="true"/>
        </w:rPr>
        <w:t>لا يستحبّ فتح العين عند الوضوء،</w:t>
      </w:r>
      <w:bookmarkEnd w:id="116"/>
    </w:p>
    <w:p>
      <w:pPr>
        <w:pStyle w:val="BookText"/>
        <w:rPr/>
      </w:pPr>
      <w:r>
        <w:rPr>
          <w:rFonts w:ascii="Amiri" w:hAnsi="Amiri" w:eastAsia="Amiri" w:cs="Amiri"/>
          <w:color w:val="111111"/>
          <w:sz w:val="28"/>
          <w:sz w:val="28"/>
          <w:szCs w:val="28"/>
          <w:rtl w:val="true"/>
          <w:lang w:bidi="ar-SA"/>
        </w:rPr>
        <w:t xml:space="preserve">و احتجّ بإجماع الفرقة و بالأصل </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ابن بابويه،عن رسول اللّه صلّى اللّه عليه و آله انّه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افتحوا عيونكم عند الوضوء لعلّها لا ترى نار جهنّم</w:t>
      </w:r>
      <w:r>
        <w:rPr>
          <w:rFonts w:eastAsia="Amiri" w:cs="Amiri" w:ascii="Amiri" w:hAnsi="Amiri"/>
          <w:color w:val="111111"/>
          <w:sz w:val="28"/>
          <w:szCs w:val="28"/>
          <w:rtl w:val="true"/>
          <w:lang w:bidi="ar-SA"/>
        </w:rPr>
        <w:t xml:space="preserve">) </w:t>
      </w:r>
      <w:r>
        <w:rPr>
          <w:rStyle w:val="FootnoteAnchor"/>
          <w:rtl w:val="true"/>
        </w:rPr>
        <w:footnoteReference w:id="147"/>
      </w:r>
      <w:r>
        <w:rPr>
          <w:rFonts w:ascii="Amiri" w:hAnsi="Amiri" w:eastAsia="Amiri" w:cs="Amiri"/>
          <w:color w:val="111111"/>
          <w:sz w:val="28"/>
          <w:sz w:val="28"/>
          <w:szCs w:val="28"/>
          <w:rtl w:val="true"/>
          <w:lang w:bidi="ar-SA"/>
        </w:rPr>
        <w:t>و هذا يعطي الاستحباب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أحد قوليّ الشّافعيّ </w:t>
      </w:r>
      <w:r>
        <w:rPr>
          <w:rStyle w:val="FootnoteAnchor"/>
          <w:rtl w:val="true"/>
        </w:rPr>
        <w:footnoteReference w:id="148"/>
      </w:r>
      <w:r>
        <w:rPr>
          <w:rFonts w:ascii="IRNazanin" w:hAnsi="IRNazanin" w:eastAsia="IRNazanin"/>
          <w:color w:val="111111"/>
          <w:sz w:val="28"/>
          <w:sz w:val="28"/>
          <w:szCs w:val="28"/>
          <w:rtl w:val="true"/>
          <w:lang w:bidi="fa-IR"/>
        </w:rPr>
        <w:t xml:space="preserve">،لأنّ ابن عمر فعله </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فعل ابن عمر ليس حجّة،مع انّهم نقلوا وضوء رسول اللّه صلّى اللّه </w:t>
      </w:r>
      <w:bookmarkStart w:id="117" w:name="pg12669_112825"/>
    </w:p>
    <w:p>
      <w:pPr>
        <w:pStyle w:val="BookText"/>
        <w:rPr/>
      </w:pPr>
      <w:bookmarkEnd w:id="117"/>
      <w:r>
        <w:rPr>
          <w:rFonts w:ascii="Amiri" w:hAnsi="Amiri" w:eastAsia="Amiri" w:cs="Amiri"/>
          <w:color w:val="111111"/>
          <w:sz w:val="28"/>
          <w:sz w:val="28"/>
          <w:szCs w:val="28"/>
          <w:rtl w:val="true"/>
          <w:lang w:bidi="ar-SA"/>
        </w:rPr>
        <w:t>عليه و آله و لم ينقل إدخال الماء إلى العينين،و لأنّ فيه ضررا،و قياسه على المضمضة و الاستنشاق ضعيف،لأنّ داخل الفم و الأنف يتغيّر،بخلاف داخل العين</w:t>
      </w:r>
      <w:r>
        <w:rPr>
          <w:rFonts w:eastAsia="Amiri" w:cs="Amiri" w:ascii="Amiri" w:hAnsi="Amiri"/>
          <w:color w:val="111111"/>
          <w:sz w:val="28"/>
          <w:szCs w:val="28"/>
          <w:rtl w:val="true"/>
          <w:lang w:bidi="ar-SA"/>
        </w:rPr>
        <w:t>.</w:t>
      </w:r>
    </w:p>
    <w:p>
      <w:pPr>
        <w:pStyle w:val="Heading6"/>
        <w:numPr>
          <w:ilvl w:val="5"/>
          <w:numId w:val="1"/>
        </w:numPr>
        <w:rPr/>
      </w:pPr>
      <w:bookmarkStart w:id="118" w:name="__RefHeading___Toc795219_222507752"/>
      <w:bookmarkStart w:id="119" w:name="_Toc49"/>
      <w:bookmarkEnd w:id="118"/>
      <w:r>
        <w:rPr>
          <w:rtl w:val="true"/>
        </w:rPr>
        <w:t>العاشر</w:t>
      </w:r>
      <w:r>
        <w:rPr>
          <w:rtl w:val="true"/>
        </w:rPr>
        <w:t>:</w:t>
      </w:r>
      <w:r>
        <w:rPr>
          <w:rtl w:val="true"/>
        </w:rPr>
        <w:t>لو غسل الشّعر النّابت على الوجه،ثمَّ زال عنه،أو انقلعت جلدة من</w:t>
      </w:r>
      <w:bookmarkEnd w:id="119"/>
    </w:p>
    <w:p>
      <w:pPr>
        <w:pStyle w:val="BookText"/>
        <w:rPr/>
      </w:pPr>
      <w:r>
        <w:rPr>
          <w:rFonts w:ascii="Amiri" w:hAnsi="Amiri" w:eastAsia="Amiri" w:cs="Amiri"/>
          <w:color w:val="111111"/>
          <w:sz w:val="28"/>
          <w:sz w:val="28"/>
          <w:szCs w:val="28"/>
          <w:rtl w:val="true"/>
          <w:lang w:bidi="ar-SA"/>
        </w:rPr>
        <w:t>يديه أو ظفره،أو قصّه،لم يؤثّر في طهارته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هو قول أكثر أهل العلم </w:t>
      </w:r>
      <w:r>
        <w:rPr>
          <w:rStyle w:val="FootnoteAnchor"/>
          <w:rtl w:val="true"/>
        </w:rPr>
        <w:footnoteReference w:id="150"/>
      </w:r>
      <w:r>
        <w:rPr>
          <w:rFonts w:ascii="Amiri" w:hAnsi="Amiri" w:eastAsia="Amiri" w:cs="Amiri"/>
          <w:color w:val="111111"/>
          <w:sz w:val="28"/>
          <w:sz w:val="28"/>
          <w:szCs w:val="28"/>
          <w:rtl w:val="true"/>
          <w:lang w:bidi="ar-SA"/>
        </w:rPr>
        <w:t>،و نقل عن ابن جرير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ظهور بشرة الوجه بعد غسل شعره يوجب غسلها </w:t>
      </w:r>
      <w:r>
        <w:rPr>
          <w:rStyle w:val="FootnoteAnchor"/>
          <w:rtl w:val="true"/>
        </w:rPr>
        <w:footnoteReference w:id="151"/>
      </w:r>
      <w:r>
        <w:rPr>
          <w:rFonts w:ascii="Amiri" w:hAnsi="Amiri" w:eastAsia="Amiri" w:cs="Amiri"/>
          <w:color w:val="111111"/>
          <w:sz w:val="28"/>
          <w:sz w:val="28"/>
          <w:szCs w:val="28"/>
          <w:rtl w:val="true"/>
          <w:lang w:bidi="ar-SA"/>
        </w:rPr>
        <w:t>،قياسا على ظهور قدم الماسح على الخفّ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أتى بالمأمور به،و لأنّه غسل ما هو أصل و هو الشّعر،بدليل انّه لو غسل البشرة دون الشّعر لم يجزه،فأشبه ما لو انكشطت جلدة من الوجه بعد غسله،و قياسه ضعيف،لأنّ الخفّين بدل مجزي عن غسل الرّجلين دونهما بخلاف الشّعر</w:t>
      </w:r>
      <w:r>
        <w:rPr>
          <w:rFonts w:eastAsia="Amiri" w:cs="Amiri" w:ascii="Amiri" w:hAnsi="Amiri"/>
          <w:color w:val="111111"/>
          <w:sz w:val="28"/>
          <w:szCs w:val="28"/>
          <w:rtl w:val="true"/>
          <w:lang w:bidi="ar-SA"/>
        </w:rPr>
        <w:t>.</w:t>
      </w:r>
    </w:p>
    <w:p>
      <w:pPr>
        <w:pStyle w:val="Heading5"/>
        <w:numPr>
          <w:ilvl w:val="4"/>
          <w:numId w:val="1"/>
        </w:numPr>
        <w:rPr/>
      </w:pPr>
      <w:bookmarkStart w:id="120" w:name="__RefHeading___Toc795221_222507752"/>
      <w:bookmarkStart w:id="121" w:name="_Toc50"/>
      <w:bookmarkEnd w:id="120"/>
      <w:r>
        <w:rPr>
          <w:rtl w:val="true"/>
        </w:rPr>
        <w:t>مسألة</w:t>
      </w:r>
      <w:r>
        <w:rPr>
          <w:rtl w:val="true"/>
        </w:rPr>
        <w:t>:</w:t>
      </w:r>
      <w:r>
        <w:rPr>
          <w:rtl w:val="true"/>
        </w:rPr>
        <w:t>و يجب غسل اليدين بالإجماع و النّصّ،</w:t>
      </w:r>
      <w:bookmarkEnd w:id="121"/>
    </w:p>
    <w:p>
      <w:pPr>
        <w:pStyle w:val="Heading6"/>
        <w:numPr>
          <w:ilvl w:val="5"/>
          <w:numId w:val="1"/>
        </w:numPr>
        <w:rPr/>
      </w:pPr>
      <w:bookmarkStart w:id="122" w:name="__RefHeading___Toc795223_222507752"/>
      <w:bookmarkStart w:id="123" w:name="_Toc51"/>
      <w:bookmarkEnd w:id="122"/>
      <w:r>
        <w:rPr>
          <w:rtl w:val="true"/>
        </w:rPr>
        <w:t>اشارة</w:t>
      </w:r>
      <w:bookmarkEnd w:id="123"/>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أكثر أهل العلم على وجوب إدخال المرفقين في الغسل </w:t>
      </w:r>
      <w:r>
        <w:rPr>
          <w:rStyle w:val="FootnoteAnchor"/>
          <w:rtl w:val="true"/>
        </w:rPr>
        <w:footnoteReference w:id="152"/>
      </w:r>
      <w:r>
        <w:rPr>
          <w:rFonts w:ascii="Amiri" w:hAnsi="Amiri" w:eastAsia="Amiri" w:cs="Amiri"/>
          <w:color w:val="111111"/>
          <w:sz w:val="28"/>
          <w:sz w:val="28"/>
          <w:szCs w:val="28"/>
          <w:rtl w:val="true"/>
          <w:lang w:bidi="ar-SA"/>
        </w:rPr>
        <w:t xml:space="preserve">،خلافا لبعض أصحاب مالك </w:t>
      </w:r>
      <w:r>
        <w:rPr>
          <w:rStyle w:val="FootnoteAnchor"/>
          <w:rtl w:val="true"/>
        </w:rPr>
        <w:footnoteReference w:id="153"/>
      </w:r>
      <w:r>
        <w:rPr>
          <w:rFonts w:ascii="IRNazanin" w:hAnsi="IRNazanin" w:eastAsia="IRNazanin"/>
          <w:color w:val="111111"/>
          <w:sz w:val="28"/>
          <w:sz w:val="28"/>
          <w:szCs w:val="28"/>
          <w:rtl w:val="true"/>
          <w:lang w:bidi="fa-IR"/>
        </w:rPr>
        <w:t>،و ابن داود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Style w:val="FootnoteAnchor"/>
          <w:rtl w:val="true"/>
        </w:rPr>
        <w:footnoteReference w:id="154"/>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زفر </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الجمهور،عن جابر،عن النّبيّ صلّى اللّه عليه و آله،قال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النّبيّ صلّى اللّه عليه و آله إذا توضّأ أدار الماء إلى مرفقيه </w:t>
      </w:r>
      <w:r>
        <w:rPr>
          <w:rStyle w:val="FootnoteAnchor"/>
          <w:rtl w:val="true"/>
        </w:rPr>
        <w:footnoteReference w:id="15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بيان للغسل المأمور به في الآية،فإنّ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تأتي بمعنى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كقوله تعالى وَ يَزِدْكُمْ قُوَّةً إِلى قُوَّتِكُمْ </w:t>
      </w:r>
      <w:r>
        <w:rPr>
          <w:rStyle w:val="FootnoteAnchor"/>
          <w:rtl w:val="true"/>
        </w:rPr>
        <w:footnoteReference w:id="157"/>
      </w:r>
      <w:r>
        <w:rPr>
          <w:rFonts w:ascii="Amiri" w:hAnsi="Amiri" w:eastAsia="Amiri" w:cs="Amiri"/>
          <w:color w:val="111111"/>
          <w:sz w:val="28"/>
          <w:sz w:val="28"/>
          <w:szCs w:val="28"/>
          <w:rtl w:val="true"/>
          <w:lang w:bidi="ar-SA"/>
        </w:rPr>
        <w:t xml:space="preserve">و قوله تعالى وَ لا تَأْكُلُوا أَمْوالَهُمْ إِلى أَمْوالِكُمْ </w:t>
      </w:r>
      <w:r>
        <w:rPr>
          <w:rStyle w:val="FootnoteAnchor"/>
          <w:rtl w:val="true"/>
        </w:rPr>
        <w:footnoteReference w:id="158"/>
      </w:r>
      <w:r>
        <w:rPr>
          <w:rFonts w:ascii="Amiri" w:hAnsi="Amiri" w:eastAsia="Amiri" w:cs="Amiri"/>
          <w:color w:val="111111"/>
          <w:sz w:val="28"/>
          <w:sz w:val="28"/>
          <w:szCs w:val="28"/>
          <w:rtl w:val="true"/>
          <w:lang w:bidi="ar-SA"/>
        </w:rPr>
        <w:t xml:space="preserve">و قوله مَنْ أَنْصارِي إِلَى اللّهِ </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طريق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الشّيخ،عن بكير و زرارة ابني أعين أنّهما سألا أبا جعفر عليه السّلام عن وضوء رسول اللّه صلّى اللّه عليه و آله،فدعا بطست أو بتور فيه ماء فغسل كفّيه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فغسل يده اليمنى من المرفق إلى الأصابع </w:t>
      </w:r>
      <w:r>
        <w:rPr>
          <w:rStyle w:val="FootnoteAnchor"/>
          <w:rtl w:val="true"/>
        </w:rPr>
        <w:footnoteReference w:id="16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وافق على انّ مبدأ الغاية داخل</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الشّيخ،عن الهيثم بن عروة التّميميّ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 اللّه عليه السّلام عن قوله تعالى فَاغْسِلُوا وُجُوهَكُمْ وَ أَيْدِيَكُمْ إِلَى الْمَرافِقِ </w:t>
      </w:r>
      <w:r>
        <w:rPr>
          <w:rStyle w:val="FootnoteAnchor"/>
          <w:rtl w:val="true"/>
        </w:rPr>
        <w:footnoteReference w:id="161"/>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هكذا تنزيلها إنّما هي فاغسلوا وجوهكم و أيديكم من المرافق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أمرّ يده من مرفقه إلى </w:t>
      </w:r>
      <w:bookmarkStart w:id="124" w:name="pg12669_112827"/>
    </w:p>
    <w:p>
      <w:pPr>
        <w:pStyle w:val="BookText"/>
        <w:rPr/>
      </w:pPr>
      <w:bookmarkEnd w:id="124"/>
      <w:r>
        <w:rPr>
          <w:rFonts w:ascii="IRNazanin" w:hAnsi="IRNazanin" w:eastAsia="IRNazanin"/>
          <w:color w:val="111111"/>
          <w:sz w:val="28"/>
          <w:sz w:val="28"/>
          <w:szCs w:val="28"/>
          <w:rtl w:val="true"/>
          <w:lang w:bidi="fa-IR"/>
        </w:rPr>
        <w:t xml:space="preserve">أصابعه </w:t>
      </w:r>
      <w:r>
        <w:rPr>
          <w:rStyle w:val="FootnoteAnchor"/>
          <w:rtl w:val="true"/>
        </w:rPr>
        <w:footnoteReference w:id="16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لأنّ الاحتياط يقتضي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احتجّ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زفر </w:t>
      </w:r>
      <w:r>
        <w:rPr>
          <w:rStyle w:val="FootnoteAnchor"/>
          <w:rtl w:val="true"/>
        </w:rPr>
        <w:footnoteReference w:id="163"/>
      </w:r>
      <w:r>
        <w:rPr>
          <w:rFonts w:ascii="Amiri" w:hAnsi="Amiri" w:eastAsia="Amiri" w:cs="Amiri"/>
          <w:color w:val="111111"/>
          <w:sz w:val="28"/>
          <w:sz w:val="28"/>
          <w:szCs w:val="28"/>
          <w:rtl w:val="true"/>
          <w:lang w:bidi="ar-SA"/>
        </w:rPr>
        <w:t xml:space="preserve">بأنّها غاية في الآية،فلا تدخل في ذي الغاية كقوله تعالى ثُمَّ أَتِمُّوا الصِّيامَ إِلَى اللَّيْلِ </w:t>
      </w:r>
      <w:r>
        <w:rPr>
          <w:rStyle w:val="FootnoteAnchor"/>
          <w:rtl w:val="true"/>
        </w:rPr>
        <w:footnoteReference w:id="164"/>
      </w:r>
      <w:r>
        <w:rPr>
          <w:rFonts w:ascii="Amiri" w:hAnsi="Amiri" w:eastAsia="Amiri" w:cs="Amiri"/>
          <w:color w:val="111111"/>
          <w:sz w:val="28"/>
          <w:sz w:val="28"/>
          <w:szCs w:val="28"/>
          <w:rtl w:val="true"/>
          <w:lang w:bidi="ar-SA"/>
        </w:rPr>
        <w:t>و هو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أوّلا،فبالمنع من كونها غاية،بل بمعنى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بيّنّاه </w:t>
      </w:r>
      <w:r>
        <w:rPr>
          <w:rStyle w:val="FootnoteAnchor"/>
          <w:rtl w:val="true"/>
        </w:rPr>
        <w:footnoteReference w:id="165"/>
      </w:r>
      <w:r>
        <w:rPr>
          <w:rFonts w:ascii="Amiri" w:hAnsi="Amiri" w:eastAsia="Amiri" w:cs="Amiri"/>
          <w:color w:val="111111"/>
          <w:sz w:val="28"/>
          <w:sz w:val="28"/>
          <w:szCs w:val="28"/>
          <w:rtl w:val="true"/>
          <w:lang w:bidi="ar-SA"/>
        </w:rPr>
        <w:t>من الاستعمال و 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ثانيا،بالمنع من كون الغاية غير داخلة،فإنّ بعضهم ذهب إلى وجوب الدّخول </w:t>
      </w:r>
      <w:r>
        <w:rPr>
          <w:rStyle w:val="FootnoteAnchor"/>
          <w:rtl w:val="true"/>
        </w:rPr>
        <w:footnoteReference w:id="166"/>
      </w:r>
      <w:r>
        <w:rPr>
          <w:rFonts w:ascii="IRNazanin" w:hAnsi="IRNazanin" w:eastAsia="IRNazanin"/>
          <w:color w:val="111111"/>
          <w:sz w:val="28"/>
          <w:sz w:val="28"/>
          <w:szCs w:val="28"/>
          <w:rtl w:val="true"/>
          <w:lang w:bidi="fa-IR"/>
        </w:rPr>
        <w:t xml:space="preserve">،و آخرون قالوا بالوقف </w:t>
      </w:r>
      <w:r>
        <w:rPr>
          <w:rStyle w:val="FootnoteAnchor"/>
          <w:rtl w:val="true"/>
        </w:rPr>
        <w:footnoteReference w:id="167"/>
      </w:r>
      <w:r>
        <w:rPr>
          <w:rFonts w:ascii="Amiri" w:hAnsi="Amiri" w:eastAsia="Amiri" w:cs="Amiri"/>
          <w:color w:val="111111"/>
          <w:sz w:val="28"/>
          <w:sz w:val="28"/>
          <w:szCs w:val="28"/>
          <w:rtl w:val="true"/>
          <w:lang w:bidi="ar-SA"/>
        </w:rPr>
        <w:t>،بأنّها تارة تدخل و اخرى لا تدخل،فكان مجملا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آخرون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الحدّ من جنس المحدود دخل،كقوله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بعتك هذا الثّوب من هذا الطّرف إلى هذا الطّرف و إلاّ فلا،كآية الصّيام </w:t>
      </w:r>
      <w:r>
        <w:rPr>
          <w:rStyle w:val="FootnoteAnchor"/>
          <w:rtl w:val="true"/>
        </w:rPr>
        <w:footnoteReference w:id="168"/>
      </w:r>
      <w:r>
        <w:rPr>
          <w:rStyle w:val="FootnoteAnchor"/>
          <w:rtl w:val="true"/>
        </w:rPr>
        <w:footnoteReference w:id="169"/>
      </w:r>
      <w:r>
        <w:rPr>
          <w:rFonts w:ascii="Amiri" w:hAnsi="Amiri" w:eastAsia="Amiri" w:cs="Amiri"/>
          <w:color w:val="111111"/>
          <w:sz w:val="28"/>
          <w:sz w:val="28"/>
          <w:szCs w:val="28"/>
          <w:rtl w:val="true"/>
          <w:lang w:bidi="ar-SA"/>
        </w:rPr>
        <w:t>،و هاهنا المرافق من جنس الأيدي</w:t>
      </w:r>
      <w:r>
        <w:rPr>
          <w:rFonts w:eastAsia="Amiri" w:cs="Amiri" w:ascii="Amiri" w:hAnsi="Amiri"/>
          <w:color w:val="111111"/>
          <w:sz w:val="28"/>
          <w:szCs w:val="28"/>
          <w:rtl w:val="true"/>
          <w:lang w:bidi="ar-SA"/>
        </w:rPr>
        <w:t>.</w:t>
      </w:r>
    </w:p>
    <w:p>
      <w:pPr>
        <w:pStyle w:val="Heading6"/>
        <w:numPr>
          <w:ilvl w:val="5"/>
          <w:numId w:val="1"/>
        </w:numPr>
        <w:rPr/>
      </w:pPr>
      <w:bookmarkStart w:id="125" w:name="__RefHeading___Toc795225_222507752"/>
      <w:bookmarkStart w:id="126" w:name="_Toc52"/>
      <w:bookmarkEnd w:id="125"/>
      <w:r>
        <w:rPr>
          <w:rtl w:val="true"/>
        </w:rPr>
        <w:t>فروع</w:t>
      </w:r>
      <w:r>
        <w:rPr>
          <w:rtl w:val="true"/>
        </w:rPr>
        <w:t>:</w:t>
      </w:r>
      <w:bookmarkEnd w:id="126"/>
    </w:p>
    <w:p>
      <w:pPr>
        <w:pStyle w:val="Heading6"/>
        <w:numPr>
          <w:ilvl w:val="5"/>
          <w:numId w:val="1"/>
        </w:numPr>
        <w:rPr/>
      </w:pPr>
      <w:bookmarkStart w:id="127" w:name="__RefHeading___Toc795227_222507752"/>
      <w:bookmarkStart w:id="128" w:name="_Toc53"/>
      <w:bookmarkEnd w:id="127"/>
      <w:r>
        <w:rPr>
          <w:rtl w:val="true"/>
        </w:rPr>
        <w:t>الأوّل</w:t>
      </w:r>
      <w:r>
        <w:rPr>
          <w:rtl w:val="true"/>
        </w:rPr>
        <w:t>:</w:t>
      </w:r>
      <w:r>
        <w:rPr>
          <w:rtl w:val="true"/>
        </w:rPr>
        <w:t>لو غسلهما مبتدئا بالمرافق أجزأ</w:t>
      </w:r>
      <w:bookmarkEnd w:id="128"/>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إجماعا بل هو 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هل هو واجب أم لا؟نصّ الشّيخ على ذلك </w:t>
      </w:r>
      <w:r>
        <w:rPr>
          <w:rStyle w:val="FootnoteAnchor"/>
          <w:rtl w:val="true"/>
        </w:rPr>
        <w:footnoteReference w:id="170"/>
      </w:r>
      <w:r>
        <w:rPr>
          <w:rFonts w:ascii="Amiri" w:hAnsi="Amiri" w:eastAsia="Amiri" w:cs="Amiri"/>
          <w:color w:val="111111"/>
          <w:sz w:val="28"/>
          <w:sz w:val="28"/>
          <w:szCs w:val="28"/>
          <w:rtl w:val="true"/>
          <w:lang w:bidi="ar-SA"/>
        </w:rPr>
        <w:t xml:space="preserve">حتّى انّه لو استقبل الشّعر لم يجزه،و قال المرتضى بالاستحباب </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 xml:space="preserve">. </w:t>
      </w:r>
      <w:bookmarkStart w:id="129" w:name="pg12669_112828"/>
    </w:p>
    <w:p>
      <w:pPr>
        <w:pStyle w:val="BookText"/>
        <w:rPr/>
      </w:pPr>
      <w:bookmarkEnd w:id="129"/>
      <w:r>
        <w:rPr>
          <w:rFonts w:ascii="Amiri" w:hAnsi="Amiri" w:eastAsia="Amiri" w:cs="Amiri"/>
          <w:color w:val="111111"/>
          <w:sz w:val="28"/>
          <w:sz w:val="28"/>
          <w:szCs w:val="28"/>
          <w:rtl w:val="true"/>
          <w:lang w:bidi="ar-SA"/>
        </w:rPr>
        <w:t>احتجّ الشّيخ بابتداء النّبيّ صلّى اللّه عليه و آله من المرفق،لما رواه عن زرارة و بكير ابني أعين أنّهما سألا أبا جعفر عليه السّلام عن وضوء رسول اللّه صلّى اللّه عليه و آله و سلّم،ثمَّ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غمس كفّه اليمنى في الماء فاغترف بها من الماء فغسل يده اليمنى من المرفق إلى الأصابع لا يرد الماء إلى المرفقين </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ما رواه الهيثم بن عروة و قد تقدّمت،و الرّواية الاولى في طريقها عثمان بن عيسى،و الثّانية في طريقها سهل بن زياد،و هما ضعيفان </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احتجّ المرتضى بأنّه أتى بالمأمور به،فيجب الإجزاء،لكنّه أتى بالكراهيّة </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للشّيخ أن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مكروها لم يفعله النّبيّ صلّى اللّه عليه و آله بيانا،فتعيّن الآخر،فيكون واجبا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نحن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بيّنّا تحريم النّكس في الوجه </w:t>
      </w:r>
      <w:r>
        <w:rPr>
          <w:rStyle w:val="FootnoteAnchor"/>
          <w:rtl w:val="true"/>
        </w:rPr>
        <w:footnoteReference w:id="175"/>
      </w:r>
      <w:r>
        <w:rPr>
          <w:rFonts w:ascii="Amiri" w:hAnsi="Amiri" w:eastAsia="Amiri" w:cs="Amiri"/>
          <w:color w:val="111111"/>
          <w:sz w:val="28"/>
          <w:sz w:val="28"/>
          <w:szCs w:val="28"/>
          <w:rtl w:val="true"/>
          <w:lang w:bidi="ar-SA"/>
        </w:rPr>
        <w:t>،فيحرم هنا، لعدم القائل بالفرق</w:t>
      </w:r>
      <w:r>
        <w:rPr>
          <w:rFonts w:eastAsia="Amiri" w:cs="Amiri" w:ascii="Amiri" w:hAnsi="Amiri"/>
          <w:color w:val="111111"/>
          <w:sz w:val="28"/>
          <w:szCs w:val="28"/>
          <w:rtl w:val="true"/>
          <w:lang w:bidi="ar-SA"/>
        </w:rPr>
        <w:t>.</w:t>
      </w:r>
    </w:p>
    <w:p>
      <w:pPr>
        <w:pStyle w:val="Heading6"/>
        <w:numPr>
          <w:ilvl w:val="5"/>
          <w:numId w:val="1"/>
        </w:numPr>
        <w:rPr/>
      </w:pPr>
      <w:bookmarkStart w:id="130" w:name="__RefHeading___Toc795229_222507752"/>
      <w:bookmarkStart w:id="131" w:name="_Toc54"/>
      <w:bookmarkEnd w:id="130"/>
      <w:r>
        <w:rPr>
          <w:rtl w:val="true"/>
        </w:rPr>
        <w:t>الثّاني</w:t>
      </w:r>
      <w:r>
        <w:rPr>
          <w:rtl w:val="true"/>
        </w:rPr>
        <w:t>:</w:t>
      </w:r>
      <w:r>
        <w:rPr>
          <w:rtl w:val="true"/>
        </w:rPr>
        <w:t>الواجب في الغسل ما يحصل به مسمّاه</w:t>
      </w:r>
      <w:bookmarkEnd w:id="131"/>
    </w:p>
    <w:p>
      <w:pPr>
        <w:pStyle w:val="BookText"/>
        <w:rPr/>
      </w:pPr>
      <w:r>
        <w:rPr>
          <w:rFonts w:ascii="Amiri" w:hAnsi="Amiri" w:eastAsia="Amiri" w:cs="Amiri"/>
          <w:color w:val="111111"/>
          <w:sz w:val="28"/>
          <w:sz w:val="28"/>
          <w:szCs w:val="28"/>
          <w:rtl w:val="true"/>
          <w:lang w:bidi="ar-SA"/>
        </w:rPr>
        <w:t>كالدّهن،بشرط بقاء التّسمية فيه،و ذلك بأن يصدق الجريان على الماء،أمّا المسح فلا،لأنّه بالأوّل يكون ممتثلا بخلاف الثّاني</w:t>
      </w:r>
      <w:r>
        <w:rPr>
          <w:rFonts w:eastAsia="Amiri" w:cs="Amiri" w:ascii="Amiri" w:hAnsi="Amiri"/>
          <w:color w:val="111111"/>
          <w:sz w:val="28"/>
          <w:szCs w:val="28"/>
          <w:rtl w:val="true"/>
          <w:lang w:bidi="ar-SA"/>
        </w:rPr>
        <w:t>.</w:t>
      </w:r>
    </w:p>
    <w:p>
      <w:pPr>
        <w:pStyle w:val="Heading6"/>
        <w:numPr>
          <w:ilvl w:val="5"/>
          <w:numId w:val="1"/>
        </w:numPr>
        <w:rPr/>
      </w:pPr>
      <w:bookmarkStart w:id="132" w:name="__RefHeading___Toc795231_222507752"/>
      <w:bookmarkStart w:id="133" w:name="_Toc55"/>
      <w:bookmarkEnd w:id="132"/>
      <w:r>
        <w:rPr>
          <w:rtl w:val="true"/>
        </w:rPr>
        <w:t>الثّالث</w:t>
      </w:r>
      <w:r>
        <w:rPr>
          <w:rtl w:val="true"/>
        </w:rPr>
        <w:t>:</w:t>
      </w:r>
      <w:r>
        <w:rPr>
          <w:rtl w:val="true"/>
        </w:rPr>
        <w:t>لو انقطعت يده من دون المرفق غسل الباقي من محلّ الفرض</w:t>
      </w:r>
      <w:r>
        <w:rPr>
          <w:rtl w:val="true"/>
        </w:rPr>
        <w:t>.</w:t>
      </w:r>
      <w:bookmarkEnd w:id="133"/>
    </w:p>
    <w:p>
      <w:pPr>
        <w:pStyle w:val="BookText"/>
        <w:rPr/>
      </w:pPr>
      <w:r>
        <w:rPr>
          <w:rFonts w:ascii="IRNazanin" w:hAnsi="IRNazanin" w:eastAsia="IRNazanin"/>
          <w:color w:val="111111"/>
          <w:sz w:val="28"/>
          <w:sz w:val="28"/>
          <w:szCs w:val="28"/>
          <w:rtl w:val="true"/>
          <w:lang w:bidi="fa-IR"/>
        </w:rPr>
        <w:t xml:space="preserve">و هو قول أهل العلم </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الشّيخ،عن رفاعة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سألته عن </w:t>
      </w:r>
      <w:bookmarkStart w:id="134" w:name="pg12669_112829"/>
    </w:p>
    <w:p>
      <w:pPr>
        <w:pStyle w:val="BookText"/>
        <w:rPr/>
      </w:pPr>
      <w:bookmarkEnd w:id="134"/>
      <w:r>
        <w:rPr>
          <w:rFonts w:ascii="Amiri" w:hAnsi="Amiri" w:eastAsia="Amiri" w:cs="Amiri"/>
          <w:color w:val="111111"/>
          <w:sz w:val="28"/>
          <w:sz w:val="28"/>
          <w:szCs w:val="28"/>
          <w:rtl w:val="true"/>
          <w:lang w:bidi="ar-SA"/>
        </w:rPr>
        <w:t>الأقطع اليد و الرّجل كيف يتوضّأ؟قال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يغسل ذلك المكان الّذي قطع منه</w:t>
      </w:r>
      <w:r>
        <w:rPr>
          <w:rFonts w:eastAsia="Amiri" w:cs="Amiri" w:ascii="Amiri" w:hAnsi="Amiri"/>
          <w:color w:val="111111"/>
          <w:sz w:val="28"/>
          <w:szCs w:val="28"/>
          <w:rtl w:val="true"/>
          <w:lang w:bidi="ar-SA"/>
        </w:rPr>
        <w:t xml:space="preserve">) </w:t>
      </w:r>
      <w:r>
        <w:rPr>
          <w:rStyle w:val="FootnoteAnchor"/>
          <w:rtl w:val="true"/>
        </w:rPr>
        <w:footnoteReference w:id="177"/>
      </w:r>
      <w:r>
        <w:rPr>
          <w:rFonts w:ascii="Amiri" w:hAnsi="Amiri" w:eastAsia="Amiri" w:cs="Amiri"/>
          <w:color w:val="111111"/>
          <w:sz w:val="28"/>
          <w:sz w:val="28"/>
          <w:szCs w:val="28"/>
          <w:rtl w:val="true"/>
          <w:lang w:bidi="ar-SA"/>
        </w:rPr>
        <w:t xml:space="preserve">و رواه ابن يعقوب في كتابه في الحسن،عن رفاعة أيضا </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الشّيخ في الحسن،عن محمّد بن مسلم،عن أبي جعفر عليه السّلام،قال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سألته عن الأقطع اليد و الرّجل؟قال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يغسلهما</w:t>
      </w:r>
      <w:r>
        <w:rPr>
          <w:rFonts w:eastAsia="Amiri" w:cs="Amiri" w:ascii="Amiri" w:hAnsi="Amiri"/>
          <w:color w:val="111111"/>
          <w:sz w:val="28"/>
          <w:szCs w:val="28"/>
          <w:rtl w:val="true"/>
          <w:lang w:bidi="ar-SA"/>
        </w:rPr>
        <w:t xml:space="preserve">) </w:t>
      </w:r>
      <w:r>
        <w:rPr>
          <w:rStyle w:val="FootnoteAnchor"/>
          <w:rtl w:val="true"/>
        </w:rPr>
        <w:footnoteReference w:id="179"/>
      </w:r>
      <w:r>
        <w:rPr>
          <w:rFonts w:ascii="Amiri" w:hAnsi="Amiri" w:eastAsia="Amiri" w:cs="Amiri"/>
          <w:color w:val="111111"/>
          <w:sz w:val="28"/>
          <w:sz w:val="28"/>
          <w:szCs w:val="28"/>
          <w:rtl w:val="true"/>
          <w:lang w:bidi="ar-SA"/>
        </w:rPr>
        <w:t>و لأنّ غسل الجميع واجب بتقدير وجوده،و ذلك يستلزم وجوب غسل كل عضو،فلا يسقط بعضه بفقدان البعض الآخر</w:t>
      </w:r>
      <w:r>
        <w:rPr>
          <w:rFonts w:eastAsia="Amiri" w:cs="Amiri" w:ascii="Amiri" w:hAnsi="Amiri"/>
          <w:color w:val="111111"/>
          <w:sz w:val="28"/>
          <w:szCs w:val="28"/>
          <w:rtl w:val="true"/>
          <w:lang w:bidi="ar-SA"/>
        </w:rPr>
        <w:t>.</w:t>
      </w:r>
    </w:p>
    <w:p>
      <w:pPr>
        <w:pStyle w:val="Heading6"/>
        <w:numPr>
          <w:ilvl w:val="5"/>
          <w:numId w:val="1"/>
        </w:numPr>
        <w:rPr/>
      </w:pPr>
      <w:bookmarkStart w:id="135" w:name="__RefHeading___Toc795233_222507752"/>
      <w:bookmarkStart w:id="136" w:name="_Toc56"/>
      <w:bookmarkEnd w:id="135"/>
      <w:r>
        <w:rPr>
          <w:rtl w:val="true"/>
        </w:rPr>
        <w:t>الرّابع</w:t>
      </w:r>
      <w:r>
        <w:rPr>
          <w:rtl w:val="true"/>
        </w:rPr>
        <w:t>:</w:t>
      </w:r>
      <w:r>
        <w:rPr>
          <w:rtl w:val="true"/>
        </w:rPr>
        <w:t>لو انقطعت يده من المرفق سقط غسلها</w:t>
      </w:r>
      <w:bookmarkEnd w:id="136"/>
    </w:p>
    <w:p>
      <w:pPr>
        <w:pStyle w:val="BookText"/>
        <w:rPr/>
      </w:pPr>
      <w:r>
        <w:rPr>
          <w:rFonts w:ascii="Amiri" w:hAnsi="Amiri" w:eastAsia="Amiri" w:cs="Amiri"/>
          <w:color w:val="111111"/>
          <w:sz w:val="28"/>
          <w:sz w:val="28"/>
          <w:szCs w:val="28"/>
          <w:rtl w:val="true"/>
          <w:lang w:bidi="ar-SA"/>
        </w:rPr>
        <w:t>،لفوات محلّ الغسل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للشّافعيّ في غسل العظم الباقي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طرف العضد وجهان،أصحّهما عنده الوجوب،لأنّ غسل العظمين المتلاقيين من العضد و المرفق واجب،فإذا زال أحدهما غسل الآخر </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نحن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وجب غسل طرف العضد توصّلا إلى غسل المرفق،و مع سقوط الأصل انتفى الوجوب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روى الشّيخ في الصّحيح،عن عليّ بن جعفر،عن أخيه موسى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رجل قطعت يده من المرفق كيف يتوضّأ؟قال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يغسل ما بقي من عضده</w:t>
      </w:r>
      <w:r>
        <w:rPr>
          <w:rFonts w:eastAsia="Amiri" w:cs="Amiri" w:ascii="Amiri" w:hAnsi="Amiri"/>
          <w:color w:val="111111"/>
          <w:sz w:val="28"/>
          <w:szCs w:val="28"/>
          <w:rtl w:val="true"/>
          <w:lang w:bidi="ar-SA"/>
        </w:rPr>
        <w:t xml:space="preserve">) </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الرّواية منافية للإجماع،فإنّ أحدا لم يوجب غسل العضد،فيحمل على الاستحباب تشبيها بالغاسل</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لو قطعت يده من فوق المرفق،سقط الغسل إجماعا،لفوات المحل،لكن </w:t>
      </w:r>
      <w:bookmarkStart w:id="137" w:name="pg12669_112830"/>
    </w:p>
    <w:p>
      <w:pPr>
        <w:pStyle w:val="BookText"/>
        <w:rPr/>
      </w:pPr>
      <w:bookmarkEnd w:id="137"/>
      <w:r>
        <w:rPr>
          <w:rFonts w:ascii="Amiri" w:hAnsi="Amiri" w:eastAsia="Amiri" w:cs="Amiri"/>
          <w:color w:val="111111"/>
          <w:sz w:val="28"/>
          <w:sz w:val="28"/>
          <w:szCs w:val="28"/>
          <w:rtl w:val="true"/>
          <w:lang w:bidi="ar-SA"/>
        </w:rPr>
        <w:t xml:space="preserve">يستحبّ غسل الباقي،لما تقدّم من الرّواية،و هو قول الشّافعيّ </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38" w:name="__RefHeading___Toc795235_222507752"/>
      <w:bookmarkStart w:id="139" w:name="_Toc57"/>
      <w:bookmarkEnd w:id="138"/>
      <w:r>
        <w:rPr>
          <w:rtl w:val="true"/>
        </w:rPr>
        <w:t>الخامس</w:t>
      </w:r>
      <w:r>
        <w:rPr>
          <w:rtl w:val="true"/>
        </w:rPr>
        <w:t>:</w:t>
      </w:r>
      <w:r>
        <w:rPr>
          <w:rtl w:val="true"/>
        </w:rPr>
        <w:t>إذا كان أقطع اليدين فوجد من يوضّئه متبرّعا،لزمه ذلك</w:t>
      </w:r>
      <w:bookmarkEnd w:id="139"/>
    </w:p>
    <w:p>
      <w:pPr>
        <w:pStyle w:val="BookText"/>
        <w:rPr/>
      </w:pPr>
      <w:r>
        <w:rPr>
          <w:rFonts w:ascii="Amiri" w:hAnsi="Amiri" w:eastAsia="Amiri" w:cs="Amiri"/>
          <w:color w:val="111111"/>
          <w:sz w:val="28"/>
          <w:sz w:val="28"/>
          <w:szCs w:val="28"/>
          <w:rtl w:val="true"/>
          <w:lang w:bidi="ar-SA"/>
        </w:rPr>
        <w:t>لتمكّنه،و إن لم يجد إلاّ بأجرة يقدر عليها،فهل يجب ذلك أم لا؟الوجه الوجوب للتمكّن أيضا،كما يلزمه شراء الماء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بعض الجمهور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يلزمه،كما لو عجز عن القيام في الصّلاة،لا يلزمه استئجار من يقيمه و يعتمد عليه </w:t>
      </w:r>
      <w:r>
        <w:rPr>
          <w:rStyle w:val="FootnoteAnchor"/>
          <w:rtl w:val="true"/>
        </w:rPr>
        <w:footnoteReference w:id="183"/>
      </w:r>
      <w:r>
        <w:rPr>
          <w:rFonts w:ascii="Amiri" w:hAnsi="Amiri" w:eastAsia="Amiri" w:cs="Amiri"/>
          <w:color w:val="111111"/>
          <w:sz w:val="28"/>
          <w:sz w:val="28"/>
          <w:szCs w:val="28"/>
          <w:rtl w:val="true"/>
          <w:lang w:bidi="ar-SA"/>
        </w:rPr>
        <w:t>،و نحن نمنع 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عجز عن الأجرة،أو لم يجد من يستأجره،صلّى على حسب حاله،كفاقد الماء و التّراب،و في وجوب إعادة الصّلاة إشكال</w:t>
      </w:r>
      <w:r>
        <w:rPr>
          <w:rFonts w:eastAsia="Amiri" w:cs="Amiri" w:ascii="Amiri" w:hAnsi="Amiri"/>
          <w:color w:val="111111"/>
          <w:sz w:val="28"/>
          <w:szCs w:val="28"/>
          <w:rtl w:val="true"/>
          <w:lang w:bidi="ar-SA"/>
        </w:rPr>
        <w:t>.</w:t>
      </w:r>
    </w:p>
    <w:p>
      <w:pPr>
        <w:pStyle w:val="Heading6"/>
        <w:numPr>
          <w:ilvl w:val="5"/>
          <w:numId w:val="1"/>
        </w:numPr>
        <w:rPr/>
      </w:pPr>
      <w:bookmarkStart w:id="140" w:name="__RefHeading___Toc795237_222507752"/>
      <w:bookmarkStart w:id="141" w:name="_Toc58"/>
      <w:bookmarkEnd w:id="140"/>
      <w:r>
        <w:rPr>
          <w:rtl w:val="true"/>
        </w:rPr>
        <w:t>السّادس</w:t>
      </w:r>
      <w:r>
        <w:rPr>
          <w:rtl w:val="true"/>
        </w:rPr>
        <w:t>:</w:t>
      </w:r>
      <w:r>
        <w:rPr>
          <w:rtl w:val="true"/>
        </w:rPr>
        <w:t>لو خلق له يد زائدة،أو إصبع،أو لحم نابت،أو جلد منبسط في محلّ</w:t>
      </w:r>
      <w:bookmarkEnd w:id="141"/>
    </w:p>
    <w:p>
      <w:pPr>
        <w:pStyle w:val="BookText"/>
        <w:rPr/>
      </w:pPr>
      <w:r>
        <w:rPr>
          <w:rFonts w:ascii="IRNazanin" w:hAnsi="IRNazanin" w:eastAsia="IRNazanin"/>
          <w:color w:val="111111"/>
          <w:sz w:val="28"/>
          <w:sz w:val="28"/>
          <w:szCs w:val="28"/>
          <w:rtl w:val="true"/>
          <w:lang w:bidi="fa-IR"/>
        </w:rPr>
        <w:t>الفرض،وجب غسله</w:t>
      </w:r>
    </w:p>
    <w:p>
      <w:pPr>
        <w:pStyle w:val="BookText"/>
        <w:rPr/>
      </w:pPr>
      <w:r>
        <w:rPr>
          <w:rFonts w:ascii="Amiri" w:hAnsi="Amiri" w:eastAsia="Amiri" w:cs="Amiri"/>
          <w:color w:val="111111"/>
          <w:sz w:val="28"/>
          <w:sz w:val="28"/>
          <w:szCs w:val="28"/>
          <w:rtl w:val="true"/>
          <w:lang w:bidi="ar-SA"/>
        </w:rPr>
        <w:t xml:space="preserve">لأنّه كالجزء منه،فأشبه الثّؤلول </w:t>
      </w:r>
      <w:r>
        <w:rPr>
          <w:rStyle w:val="FootnoteAnchor"/>
          <w:rtl w:val="true"/>
        </w:rPr>
        <w:footnoteReference w:id="18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كانت فوق المرفق كالعضد،و المرفق لم يجب غسلها،سواء كانت طويلة أو قصيرة،لأنّها خرجت عن محلّ الفرض،فأشبهت شعر الرّأس إذا نزل عن الوجه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الشّافعيّ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كان بعضها يحاذي محلّ الفرض غسل المحاذي منه </w:t>
      </w:r>
      <w:r>
        <w:rPr>
          <w:rStyle w:val="FootnoteAnchor"/>
          <w:rtl w:val="true"/>
        </w:rPr>
        <w:footnoteReference w:id="185"/>
      </w:r>
      <w:r>
        <w:rPr>
          <w:rFonts w:ascii="Amiri" w:hAnsi="Amiri" w:eastAsia="Amiri" w:cs="Amiri"/>
          <w:color w:val="111111"/>
          <w:sz w:val="28"/>
          <w:sz w:val="28"/>
          <w:szCs w:val="28"/>
          <w:rtl w:val="true"/>
          <w:lang w:bidi="ar-SA"/>
        </w:rPr>
        <w:t>،و ليس بشيء</w:t>
      </w:r>
      <w:r>
        <w:rPr>
          <w:rFonts w:eastAsia="Amiri" w:cs="Amiri" w:ascii="Amiri" w:hAnsi="Amiri"/>
          <w:color w:val="111111"/>
          <w:sz w:val="28"/>
          <w:szCs w:val="28"/>
          <w:rtl w:val="true"/>
          <w:lang w:bidi="ar-SA"/>
        </w:rPr>
        <w:t>.</w:t>
      </w:r>
    </w:p>
    <w:p>
      <w:pPr>
        <w:pStyle w:val="Heading6"/>
        <w:numPr>
          <w:ilvl w:val="5"/>
          <w:numId w:val="1"/>
        </w:numPr>
        <w:rPr/>
      </w:pPr>
      <w:bookmarkStart w:id="142" w:name="__RefHeading___Toc795239_222507752"/>
      <w:bookmarkStart w:id="143" w:name="_Toc59"/>
      <w:bookmarkEnd w:id="142"/>
      <w:r>
        <w:rPr>
          <w:rtl w:val="true"/>
        </w:rPr>
        <w:t>السّابع</w:t>
      </w:r>
      <w:r>
        <w:rPr>
          <w:rtl w:val="true"/>
        </w:rPr>
        <w:t>:</w:t>
      </w:r>
      <w:r>
        <w:rPr>
          <w:rtl w:val="true"/>
        </w:rPr>
        <w:t>لو لم يعلم اليد الزّائدة من الأصليّة،وجب غسلهما</w:t>
      </w:r>
      <w:bookmarkEnd w:id="143"/>
    </w:p>
    <w:p>
      <w:pPr>
        <w:pStyle w:val="BookText"/>
        <w:rPr/>
      </w:pPr>
      <w:r>
        <w:rPr>
          <w:rFonts w:ascii="Amiri" w:hAnsi="Amiri" w:eastAsia="Amiri" w:cs="Amiri"/>
          <w:color w:val="111111"/>
          <w:sz w:val="28"/>
          <w:sz w:val="28"/>
          <w:szCs w:val="28"/>
          <w:rtl w:val="true"/>
          <w:lang w:bidi="ar-SA"/>
        </w:rPr>
        <w:t xml:space="preserve">جميعا،لأنّ غسل إحداهما متعيّن </w:t>
      </w:r>
      <w:r>
        <w:rPr>
          <w:rStyle w:val="FootnoteAnchor"/>
          <w:rtl w:val="true"/>
        </w:rPr>
        <w:footnoteReference w:id="186"/>
      </w:r>
      <w:r>
        <w:rPr>
          <w:rFonts w:ascii="Amiri" w:hAnsi="Amiri" w:eastAsia="Amiri" w:cs="Amiri"/>
          <w:color w:val="111111"/>
          <w:sz w:val="28"/>
          <w:sz w:val="28"/>
          <w:szCs w:val="28"/>
          <w:rtl w:val="true"/>
          <w:lang w:bidi="ar-SA"/>
        </w:rPr>
        <w:t xml:space="preserve">،و تخصيص إحداهما به ترجيح من غير مرجّح،فوجب الجميع،كما لو تنجّست إحدى يديه،و لم يعلم </w:t>
      </w:r>
      <w:r>
        <w:rPr>
          <w:rStyle w:val="FootnoteAnchor"/>
          <w:rtl w:val="true"/>
        </w:rPr>
        <w:footnoteReference w:id="187"/>
      </w:r>
      <w:r>
        <w:rPr>
          <w:rFonts w:ascii="Amiri" w:hAnsi="Amiri" w:eastAsia="Amiri" w:cs="Amiri"/>
          <w:color w:val="111111"/>
          <w:sz w:val="28"/>
          <w:sz w:val="28"/>
          <w:szCs w:val="28"/>
          <w:rtl w:val="true"/>
          <w:lang w:bidi="ar-SA"/>
        </w:rPr>
        <w:t>بعينها</w:t>
      </w:r>
      <w:r>
        <w:rPr>
          <w:rFonts w:eastAsia="Amiri" w:cs="Amiri" w:ascii="Amiri" w:hAnsi="Amiri"/>
          <w:color w:val="111111"/>
          <w:sz w:val="28"/>
          <w:szCs w:val="28"/>
          <w:rtl w:val="true"/>
          <w:lang w:bidi="ar-SA"/>
        </w:rPr>
        <w:t>.</w:t>
      </w:r>
    </w:p>
    <w:p>
      <w:pPr>
        <w:pStyle w:val="Heading6"/>
        <w:numPr>
          <w:ilvl w:val="5"/>
          <w:numId w:val="1"/>
        </w:numPr>
        <w:rPr/>
      </w:pPr>
      <w:bookmarkStart w:id="144" w:name="__RefHeading___Toc795241_222507752"/>
      <w:bookmarkStart w:id="145" w:name="_Toc60"/>
      <w:bookmarkEnd w:id="144"/>
      <w:r>
        <w:rPr>
          <w:rtl w:val="true"/>
        </w:rPr>
        <w:t>الثّامن</w:t>
      </w:r>
      <w:r>
        <w:rPr>
          <w:rtl w:val="true"/>
        </w:rPr>
        <w:t>:</w:t>
      </w:r>
      <w:r>
        <w:rPr>
          <w:rtl w:val="true"/>
        </w:rPr>
        <w:t>لو انقلعت جلدة من غير محلّ الفرض حتّى تدلّت من محلّ الفرض وجب</w:t>
      </w:r>
      <w:bookmarkEnd w:id="145"/>
    </w:p>
    <w:p>
      <w:pPr>
        <w:pStyle w:val="BookText"/>
        <w:rPr/>
      </w:pPr>
      <w:r>
        <w:rPr>
          <w:rFonts w:ascii="IRNazanin" w:hAnsi="IRNazanin" w:eastAsia="IRNazanin"/>
          <w:color w:val="111111"/>
          <w:sz w:val="28"/>
          <w:sz w:val="28"/>
          <w:szCs w:val="28"/>
          <w:rtl w:val="true"/>
          <w:lang w:bidi="fa-IR"/>
        </w:rPr>
        <w:t>غسلها</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،لأنّ أصلها في محلّ الفرض فأشبهت الإصبع الزّائدة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انقلعت من محلّ </w:t>
      </w:r>
      <w:bookmarkStart w:id="146" w:name="pg12669_112831"/>
    </w:p>
    <w:p>
      <w:pPr>
        <w:pStyle w:val="BookText"/>
        <w:rPr/>
      </w:pPr>
      <w:bookmarkEnd w:id="146"/>
      <w:r>
        <w:rPr>
          <w:rFonts w:ascii="Amiri" w:hAnsi="Amiri" w:eastAsia="Amiri" w:cs="Amiri"/>
          <w:color w:val="111111"/>
          <w:sz w:val="28"/>
          <w:sz w:val="28"/>
          <w:szCs w:val="28"/>
          <w:rtl w:val="true"/>
          <w:lang w:bidi="ar-SA"/>
        </w:rPr>
        <w:t>الفرض،فتدلّت من غير محلّ الفرض،لم يجب غسلها،قصيرة كانت أو طويلة بلا خلاف،لأنّها في غير محلّ الفرض،كما لا تغسل الإصبع النّابتة في غير محلّه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انقلعت من أحد المحلّين،فالتحم رأسها في الآخر،و بقي وسطها متجافيا،صار حكمها حكم النّابت في المحلّين،يجب غسل ما حاذى محلّ الفرض من ظاهرها و باطنها،و غسل ما تحتها من محلّ الفرض</w:t>
      </w:r>
      <w:r>
        <w:rPr>
          <w:rFonts w:eastAsia="Amiri" w:cs="Amiri" w:ascii="Amiri" w:hAnsi="Amiri"/>
          <w:color w:val="111111"/>
          <w:sz w:val="28"/>
          <w:szCs w:val="28"/>
          <w:rtl w:val="true"/>
          <w:lang w:bidi="ar-SA"/>
        </w:rPr>
        <w:t>.</w:t>
      </w:r>
    </w:p>
    <w:p>
      <w:pPr>
        <w:pStyle w:val="Heading6"/>
        <w:numPr>
          <w:ilvl w:val="5"/>
          <w:numId w:val="1"/>
        </w:numPr>
        <w:rPr/>
      </w:pPr>
      <w:bookmarkStart w:id="147" w:name="__RefHeading___Toc795243_222507752"/>
      <w:bookmarkStart w:id="148" w:name="_Toc61"/>
      <w:bookmarkEnd w:id="147"/>
      <w:r>
        <w:rPr>
          <w:rtl w:val="true"/>
        </w:rPr>
        <w:t>التّاسع</w:t>
      </w:r>
      <w:r>
        <w:rPr>
          <w:rtl w:val="true"/>
        </w:rPr>
        <w:t>:</w:t>
      </w:r>
      <w:r>
        <w:rPr>
          <w:rtl w:val="true"/>
        </w:rPr>
        <w:t>لو قطعت يده من دون المرفق بعد الطّهارة،لم يجب غسل ما ظهر منها،</w:t>
      </w:r>
      <w:bookmarkEnd w:id="148"/>
    </w:p>
    <w:p>
      <w:pPr>
        <w:pStyle w:val="BookText"/>
        <w:rPr/>
      </w:pPr>
      <w:r>
        <w:rPr>
          <w:rFonts w:ascii="Amiri" w:hAnsi="Amiri" w:eastAsia="Amiri" w:cs="Amiri"/>
          <w:color w:val="111111"/>
          <w:sz w:val="28"/>
          <w:sz w:val="28"/>
          <w:szCs w:val="28"/>
          <w:rtl w:val="true"/>
          <w:lang w:bidi="ar-SA"/>
        </w:rPr>
        <w:t>لأنّ الطّهارة لم تتعلّق بموضع القطع،و إنّما كانت متعلّقة بما كان ظاهرا من اليد و قد غسله</w:t>
      </w:r>
      <w:r>
        <w:rPr>
          <w:rFonts w:eastAsia="Amiri" w:cs="Amiri" w:ascii="Amiri" w:hAnsi="Amiri"/>
          <w:color w:val="111111"/>
          <w:sz w:val="28"/>
          <w:szCs w:val="28"/>
          <w:rtl w:val="true"/>
          <w:lang w:bidi="ar-SA"/>
        </w:rPr>
        <w:t>.</w:t>
      </w:r>
    </w:p>
    <w:p>
      <w:pPr>
        <w:pStyle w:val="Heading6"/>
        <w:numPr>
          <w:ilvl w:val="5"/>
          <w:numId w:val="1"/>
        </w:numPr>
        <w:rPr/>
      </w:pPr>
      <w:bookmarkStart w:id="149" w:name="__RefHeading___Toc795245_222507752"/>
      <w:bookmarkStart w:id="150" w:name="_Toc62"/>
      <w:bookmarkEnd w:id="149"/>
      <w:r>
        <w:rPr>
          <w:rtl w:val="true"/>
        </w:rPr>
        <w:t>العاشر</w:t>
      </w:r>
      <w:r>
        <w:rPr>
          <w:rtl w:val="true"/>
        </w:rPr>
        <w:t>:</w:t>
      </w:r>
      <w:r>
        <w:rPr>
          <w:rtl w:val="true"/>
        </w:rPr>
        <w:t>لو طالت أظفاره حتّى خرجت عن سمت يده،احتمل وجوب غسلها</w:t>
      </w:r>
      <w:bookmarkEnd w:id="150"/>
    </w:p>
    <w:p>
      <w:pPr>
        <w:pStyle w:val="BookText"/>
        <w:rPr/>
      </w:pPr>
      <w:r>
        <w:rPr>
          <w:rFonts w:ascii="Amiri" w:hAnsi="Amiri" w:eastAsia="Amiri" w:cs="Amiri"/>
          <w:color w:val="111111"/>
          <w:sz w:val="28"/>
          <w:sz w:val="28"/>
          <w:szCs w:val="28"/>
          <w:rtl w:val="true"/>
          <w:lang w:bidi="ar-SA"/>
        </w:rPr>
        <w:t xml:space="preserve">لأنّه نادر،و عدمه،كاللّحية،و للشافعيّة الوجهان </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51" w:name="__RefHeading___Toc795247_222507752"/>
      <w:bookmarkStart w:id="152" w:name="_Toc63"/>
      <w:bookmarkEnd w:id="151"/>
      <w:r>
        <w:rPr>
          <w:rtl w:val="true"/>
        </w:rPr>
        <w:t>الحادي عشر</w:t>
      </w:r>
      <w:r>
        <w:rPr>
          <w:rtl w:val="true"/>
        </w:rPr>
        <w:t>:</w:t>
      </w:r>
      <w:r>
        <w:rPr>
          <w:rtl w:val="true"/>
        </w:rPr>
        <w:t>الوسخ تحت الظّفر المانع من وصول الماء إلى ما تحته،هل يجب</w:t>
      </w:r>
      <w:bookmarkEnd w:id="152"/>
    </w:p>
    <w:p>
      <w:pPr>
        <w:pStyle w:val="BookText"/>
        <w:rPr/>
      </w:pPr>
      <w:r>
        <w:rPr>
          <w:rFonts w:ascii="Amiri" w:hAnsi="Amiri" w:eastAsia="Amiri" w:cs="Amiri"/>
          <w:color w:val="111111"/>
          <w:sz w:val="28"/>
          <w:sz w:val="28"/>
          <w:szCs w:val="28"/>
          <w:rtl w:val="true"/>
          <w:lang w:bidi="ar-SA"/>
        </w:rPr>
        <w:t>إزالته مع عدم الضّرر؟فيه إشكال</w:t>
      </w:r>
    </w:p>
    <w:p>
      <w:pPr>
        <w:pStyle w:val="BookText"/>
        <w:rPr/>
      </w:pPr>
      <w:r>
        <w:rPr>
          <w:rFonts w:ascii="Amiri" w:hAnsi="Amiri" w:eastAsia="Amiri" w:cs="Amiri"/>
          <w:color w:val="111111"/>
          <w:sz w:val="28"/>
          <w:sz w:val="28"/>
          <w:szCs w:val="28"/>
          <w:rtl w:val="true"/>
          <w:lang w:bidi="ar-SA"/>
        </w:rPr>
        <w:t>،فإنّ لقائل أن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حائل عمّا يجب غسله، و يمكن إزالته من غير مشقّة فيجب،كالشّمع </w:t>
      </w:r>
      <w:r>
        <w:rPr>
          <w:rStyle w:val="FootnoteAnchor"/>
          <w:rtl w:val="true"/>
        </w:rPr>
        <w:footnoteReference w:id="18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يمكن أن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ساتر عادة فكان يجب على النّبي صلّى اللّه عليه و آله بيانه،و لمّا لم يبيّن دلّ على عدم الوجوب،و لأنّه يستر عادة،فأشبه ما يستره الشّعر من الوجه،و الأقرب الأوّل</w:t>
      </w:r>
      <w:r>
        <w:rPr>
          <w:rFonts w:eastAsia="Amiri" w:cs="Amiri" w:ascii="Amiri" w:hAnsi="Amiri"/>
          <w:color w:val="111111"/>
          <w:sz w:val="28"/>
          <w:szCs w:val="28"/>
          <w:rtl w:val="true"/>
          <w:lang w:bidi="ar-SA"/>
        </w:rPr>
        <w:t>.</w:t>
      </w:r>
    </w:p>
    <w:p>
      <w:pPr>
        <w:pStyle w:val="Heading6"/>
        <w:numPr>
          <w:ilvl w:val="5"/>
          <w:numId w:val="1"/>
        </w:numPr>
        <w:rPr/>
      </w:pPr>
      <w:bookmarkStart w:id="153" w:name="__RefHeading___Toc795249_222507752"/>
      <w:bookmarkStart w:id="154" w:name="_Toc64"/>
      <w:bookmarkEnd w:id="153"/>
      <w:r>
        <w:rPr>
          <w:rtl w:val="true"/>
        </w:rPr>
        <w:t>الثّاني عشر</w:t>
      </w:r>
      <w:r>
        <w:rPr>
          <w:rtl w:val="true"/>
        </w:rPr>
        <w:t>:</w:t>
      </w:r>
      <w:r>
        <w:rPr>
          <w:rtl w:val="true"/>
        </w:rPr>
        <w:t>ذو الرّأسين و اليدين يغسل أعضاءه مطلقا</w:t>
      </w:r>
      <w:bookmarkEnd w:id="154"/>
    </w:p>
    <w:p>
      <w:pPr>
        <w:pStyle w:val="BookText"/>
        <w:rPr/>
      </w:pPr>
      <w:r>
        <w:rPr>
          <w:rFonts w:ascii="Amiri" w:hAnsi="Amiri" w:eastAsia="Amiri" w:cs="Amiri"/>
          <w:color w:val="111111"/>
          <w:sz w:val="28"/>
          <w:sz w:val="28"/>
          <w:szCs w:val="28"/>
          <w:rtl w:val="true"/>
          <w:lang w:bidi="ar-SA"/>
        </w:rPr>
        <w:t>،لأنّ كلّ واحد من الوجهين يسمّى وجها،سواء علمت الزّيادة أولا،و سواء حكم الشّارع بوحدته أو بكثرته</w:t>
      </w:r>
      <w:r>
        <w:rPr>
          <w:rFonts w:eastAsia="Amiri" w:cs="Amiri" w:ascii="Amiri" w:hAnsi="Amiri"/>
          <w:color w:val="111111"/>
          <w:sz w:val="28"/>
          <w:szCs w:val="28"/>
          <w:rtl w:val="true"/>
          <w:lang w:bidi="ar-SA"/>
        </w:rPr>
        <w:t>.</w:t>
      </w:r>
    </w:p>
    <w:p>
      <w:pPr>
        <w:pStyle w:val="Heading6"/>
        <w:numPr>
          <w:ilvl w:val="5"/>
          <w:numId w:val="1"/>
        </w:numPr>
        <w:rPr/>
      </w:pPr>
      <w:bookmarkStart w:id="155" w:name="__RefHeading___Toc795251_222507752"/>
      <w:bookmarkStart w:id="156" w:name="_Toc65"/>
      <w:bookmarkEnd w:id="155"/>
      <w:r>
        <w:rPr>
          <w:rtl w:val="true"/>
        </w:rPr>
        <w:t>(</w:t>
      </w:r>
      <w:r>
        <w:rPr>
          <w:rtl w:val="true"/>
        </w:rPr>
        <w:t>أصل</w:t>
      </w:r>
      <w:r>
        <w:rPr>
          <w:rtl w:val="true"/>
        </w:rPr>
        <w:t>:</w:t>
      </w:r>
      <w:r>
        <w:rPr>
          <w:rtl w:val="true"/>
        </w:rPr>
        <w:t>الباء إذا أدخلت على فعل متعدّ بنفسه أفادت التّبعيض</w:t>
      </w:r>
      <w:bookmarkEnd w:id="156"/>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بالنّقل،أو لأنّا نعلم الفرق بين قولنا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مسحت يدي بالمنديل،و مسحت المنديل،في إفادة الأوّل </w:t>
      </w:r>
      <w:bookmarkStart w:id="157" w:name="pg12669_112832"/>
    </w:p>
    <w:p>
      <w:pPr>
        <w:pStyle w:val="BookText"/>
        <w:rPr/>
      </w:pPr>
      <w:bookmarkEnd w:id="157"/>
      <w:r>
        <w:rPr>
          <w:rFonts w:ascii="Amiri" w:hAnsi="Amiri" w:eastAsia="Amiri" w:cs="Amiri"/>
          <w:color w:val="111111"/>
          <w:sz w:val="28"/>
          <w:sz w:val="28"/>
          <w:szCs w:val="28"/>
          <w:rtl w:val="true"/>
          <w:lang w:bidi="ar-SA"/>
        </w:rPr>
        <w:t>التّبعيض من دون الثّاني،و لأنّه لو لم يفد التّبعيض لم يكن مفهما،لأنّ الإلصاق إنّما يفيده إذا لم يتعدّ الفعل بنفسه،و قول ابن جنّي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الباء لم تفد التّبعيض في لغة العرب،باطل،بالنّقل عن كثير من أهل اللّغة انّها تفيد </w:t>
      </w:r>
      <w:r>
        <w:rPr>
          <w:rStyle w:val="FootnoteAnchor"/>
          <w:rtl w:val="true"/>
        </w:rPr>
        <w:footnoteReference w:id="190"/>
      </w:r>
      <w:r>
        <w:rPr>
          <w:rFonts w:ascii="Amiri" w:hAnsi="Amiri" w:eastAsia="Amiri" w:cs="Amiri"/>
          <w:color w:val="111111"/>
          <w:sz w:val="28"/>
          <w:sz w:val="28"/>
          <w:szCs w:val="28"/>
          <w:rtl w:val="true"/>
          <w:lang w:bidi="ar-SA"/>
        </w:rPr>
        <w:t>،و شهادة الإثبات مقدّمة</w:t>
      </w:r>
      <w:r>
        <w:rPr>
          <w:rFonts w:eastAsia="Amiri" w:cs="Amiri" w:ascii="Amiri" w:hAnsi="Amiri"/>
          <w:color w:val="111111"/>
          <w:sz w:val="28"/>
          <w:szCs w:val="28"/>
          <w:rtl w:val="true"/>
          <w:lang w:bidi="ar-SA"/>
        </w:rPr>
        <w:t xml:space="preserve">) </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8" w:name="__RefHeading___Toc795253_222507752"/>
      <w:bookmarkStart w:id="159" w:name="_Toc66"/>
      <w:bookmarkEnd w:id="158"/>
      <w:r>
        <w:rPr>
          <w:rtl w:val="true"/>
        </w:rPr>
        <w:t>مسألة</w:t>
      </w:r>
      <w:r>
        <w:rPr>
          <w:rtl w:val="true"/>
        </w:rPr>
        <w:t>:</w:t>
      </w:r>
      <w:r>
        <w:rPr>
          <w:rtl w:val="true"/>
        </w:rPr>
        <w:t>و يجب مسح الرّأس بالنّصّ و الإجماع،</w:t>
      </w:r>
      <w:bookmarkEnd w:id="159"/>
    </w:p>
    <w:p>
      <w:pPr>
        <w:pStyle w:val="Heading6"/>
        <w:numPr>
          <w:ilvl w:val="5"/>
          <w:numId w:val="1"/>
        </w:numPr>
        <w:rPr/>
      </w:pPr>
      <w:bookmarkStart w:id="160" w:name="__RefHeading___Toc795255_222507752"/>
      <w:bookmarkStart w:id="161" w:name="_Toc67"/>
      <w:bookmarkEnd w:id="160"/>
      <w:r>
        <w:rPr>
          <w:rtl w:val="true"/>
        </w:rPr>
        <w:t>اشارة</w:t>
      </w:r>
      <w:bookmarkEnd w:id="161"/>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اختلفوا في قدر الواجب منه،فقال مالك </w:t>
      </w:r>
      <w:r>
        <w:rPr>
          <w:rStyle w:val="FootnoteAnchor"/>
          <w:rtl w:val="true"/>
        </w:rPr>
        <w:footnoteReference w:id="192"/>
      </w:r>
      <w:r>
        <w:rPr>
          <w:rFonts w:ascii="Amiri" w:hAnsi="Amiri" w:eastAsia="Amiri" w:cs="Amiri"/>
          <w:color w:val="111111"/>
          <w:sz w:val="28"/>
          <w:sz w:val="28"/>
          <w:szCs w:val="28"/>
          <w:rtl w:val="true"/>
          <w:lang w:bidi="ar-SA"/>
        </w:rPr>
        <w:t>،و أحمد في أحد قوليه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يجب مسح الجميع </w:t>
      </w:r>
      <w:r>
        <w:rPr>
          <w:rStyle w:val="FootnoteAnchor"/>
          <w:rtl w:val="true"/>
        </w:rPr>
        <w:footnoteReference w:id="19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علماؤنا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الواجب مسح البعض </w:t>
      </w:r>
      <w:r>
        <w:rPr>
          <w:rStyle w:val="FootnoteAnchor"/>
          <w:rtl w:val="true"/>
        </w:rPr>
        <w:footnoteReference w:id="19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مذهب الحسن،و الثّوريّ،و الأوزاعيّ </w:t>
      </w:r>
      <w:r>
        <w:rPr>
          <w:rStyle w:val="FootnoteAnchor"/>
          <w:rtl w:val="true"/>
        </w:rPr>
        <w:footnoteReference w:id="195"/>
      </w:r>
      <w:r>
        <w:rPr>
          <w:rFonts w:ascii="Amiri" w:hAnsi="Amiri" w:eastAsia="Amiri" w:cs="Amiri"/>
          <w:color w:val="111111"/>
          <w:sz w:val="28"/>
          <w:sz w:val="28"/>
          <w:szCs w:val="28"/>
          <w:rtl w:val="true"/>
          <w:lang w:bidi="ar-SA"/>
        </w:rPr>
        <w:t xml:space="preserve">،و الشّافعي </w:t>
      </w:r>
      <w:r>
        <w:rPr>
          <w:rStyle w:val="FootnoteAnchor"/>
          <w:rtl w:val="true"/>
        </w:rPr>
        <w:footnoteReference w:id="196"/>
      </w:r>
      <w:r>
        <w:rPr>
          <w:rFonts w:ascii="Amiri" w:hAnsi="Amiri" w:eastAsia="Amiri" w:cs="Amiri"/>
          <w:color w:val="111111"/>
          <w:sz w:val="28"/>
          <w:sz w:val="28"/>
          <w:szCs w:val="28"/>
          <w:rtl w:val="true"/>
          <w:lang w:bidi="ar-SA"/>
        </w:rPr>
        <w:t xml:space="preserve">،و أبي حنيفة </w:t>
      </w:r>
      <w:r>
        <w:rPr>
          <w:rStyle w:val="FootnoteAnchor"/>
          <w:rtl w:val="true"/>
        </w:rPr>
        <w:footnoteReference w:id="19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فصّل أحمد في القول الآخر،فأوجب الاستيعاب في حقّ الرّجل دون </w:t>
      </w:r>
    </w:p>
    <w:p>
      <w:pPr>
        <w:pStyle w:val="BookText"/>
        <w:rPr/>
      </w:pPr>
      <w:r>
        <w:rPr>
          <w:rFonts w:ascii="Amiri" w:hAnsi="Amiri" w:eastAsia="Amiri" w:cs="Amiri"/>
          <w:color w:val="111111"/>
          <w:sz w:val="28"/>
          <w:sz w:val="28"/>
          <w:szCs w:val="28"/>
          <w:rtl w:val="true"/>
          <w:lang w:bidi="ar-SA"/>
        </w:rPr>
        <w:t xml:space="preserve">المرأة </w:t>
      </w:r>
      <w:r>
        <w:rPr>
          <w:rStyle w:val="FootnoteAnchor"/>
          <w:rtl w:val="true"/>
        </w:rPr>
        <w:footnoteReference w:id="198"/>
      </w:r>
      <w:r>
        <w:rPr>
          <w:rFonts w:ascii="Amiri" w:hAnsi="Amiri" w:eastAsia="Amiri" w:cs="Amiri"/>
          <w:color w:val="111111"/>
          <w:sz w:val="28"/>
          <w:sz w:val="28"/>
          <w:szCs w:val="28"/>
          <w:rtl w:val="true"/>
          <w:lang w:bidi="ar-SA"/>
        </w:rPr>
        <w:t>،و حكي عن محمّد 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مسلمة</w:t>
      </w:r>
      <w:r>
        <w:rPr>
          <w:rFonts w:eastAsia="Amiri" w:cs="Amiri" w:ascii="Amiri" w:hAnsi="Amiri"/>
          <w:color w:val="111111"/>
          <w:sz w:val="28"/>
          <w:szCs w:val="28"/>
          <w:rtl w:val="true"/>
          <w:lang w:bidi="ar-SA"/>
        </w:rPr>
        <w:t xml:space="preserve">] </w:t>
      </w:r>
      <w:r>
        <w:rPr>
          <w:rStyle w:val="FootnoteAnchor"/>
          <w:rtl w:val="true"/>
        </w:rPr>
        <w:footnoteReference w:id="199"/>
      </w:r>
      <w:r>
        <w:rPr>
          <w:rFonts w:ascii="Amiri" w:hAnsi="Amiri" w:eastAsia="Amiri" w:cs="Amiri"/>
          <w:color w:val="111111"/>
          <w:sz w:val="28"/>
          <w:sz w:val="28"/>
          <w:szCs w:val="28"/>
          <w:rtl w:val="true"/>
          <w:lang w:bidi="ar-SA"/>
        </w:rPr>
        <w:t xml:space="preserve">من أصحاب مالك،انّه إن ترك قدر الثّلث جاز </w:t>
      </w:r>
      <w:r>
        <w:rPr>
          <w:rStyle w:val="FootnoteAnchor"/>
          <w:rtl w:val="true"/>
        </w:rPr>
        <w:footnoteReference w:id="200"/>
      </w:r>
      <w:r>
        <w:rPr>
          <w:rFonts w:ascii="Amiri" w:hAnsi="Amiri" w:eastAsia="Amiri" w:cs="Amiri"/>
          <w:color w:val="111111"/>
          <w:sz w:val="28"/>
          <w:sz w:val="28"/>
          <w:szCs w:val="28"/>
          <w:rtl w:val="true"/>
          <w:lang w:bidi="ar-SA"/>
        </w:rPr>
        <w:t>،و قال غيره من 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ترك يسيرا بغير قصد جاز </w:t>
      </w:r>
      <w:r>
        <w:rPr>
          <w:rStyle w:val="FootnoteAnchor"/>
          <w:rtl w:val="true"/>
        </w:rPr>
        <w:footnoteReference w:id="201"/>
      </w:r>
      <w:r>
        <w:rPr>
          <w:rFonts w:ascii="Amiri" w:hAnsi="Amiri" w:eastAsia="Amiri" w:cs="Amiri"/>
          <w:color w:val="111111"/>
          <w:sz w:val="28"/>
          <w:sz w:val="28"/>
          <w:szCs w:val="28"/>
          <w:rtl w:val="true"/>
          <w:lang w:bidi="ar-SA"/>
        </w:rPr>
        <w:t>،و حكي عن المزني انّه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يجب مسح جميعه </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تعالى وَ امْسَحُوا بِرُؤُسِكُمْ </w:t>
      </w:r>
      <w:r>
        <w:rPr>
          <w:rStyle w:val="FootnoteAnchor"/>
          <w:rtl w:val="true"/>
        </w:rPr>
        <w:footnoteReference w:id="203"/>
      </w:r>
      <w:r>
        <w:rPr>
          <w:rFonts w:ascii="Amiri" w:hAnsi="Amiri" w:eastAsia="Amiri" w:cs="Amiri"/>
          <w:color w:val="111111"/>
          <w:sz w:val="28"/>
          <w:sz w:val="28"/>
          <w:szCs w:val="28"/>
          <w:rtl w:val="true"/>
          <w:lang w:bidi="ar-SA"/>
        </w:rPr>
        <w:t>و قد بيّنّا انّ الباء للتّبعيض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رواه الجمهور،عن المغيرة بن شعبة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النّبيّ صلّى اللّه عليه و آله مسح بناصيته </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رواه سعيد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عثمان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مسح مقدّم رأسه بيده مرّة واحدة لم </w:t>
      </w:r>
    </w:p>
    <w:p>
      <w:pPr>
        <w:pStyle w:val="BookText"/>
        <w:rPr/>
      </w:pPr>
      <w:r>
        <w:rPr>
          <w:rFonts w:ascii="Amiri" w:hAnsi="Amiri" w:eastAsia="Amiri" w:cs="Amiri"/>
          <w:color w:val="111111"/>
          <w:sz w:val="28"/>
          <w:sz w:val="28"/>
          <w:szCs w:val="28"/>
          <w:rtl w:val="true"/>
          <w:lang w:bidi="ar-SA"/>
        </w:rPr>
        <w:t xml:space="preserve">يستأنف له ماء جديدا حين حكى وضوء رسول اللّه صلّى اللّه عليه و آله </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ما رواه أنس بن مالك انّ رسول اللّه صلّى اللّه عليه و آله،توضّأ فرفع مقدّم عمامته و أدخل يده تحتها فمسح مقدّم رأسه و لم ينقض العمامة </w:t>
      </w:r>
      <w:r>
        <w:rPr>
          <w:rStyle w:val="FootnoteAnchor"/>
          <w:rtl w:val="true"/>
        </w:rPr>
        <w:footnoteReference w:id="20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شكّ انّ مسح جميع الرّأس لا يتمّ مع رفع المقدّم</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طريق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 في الصّحيح،عن زرارة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تخبرني من أين علمت و قلت انّ المسح ببعض الرّأس و بعض الرّجلين؟فضحك،ثمَّ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زرارة،قاله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نزل به الكتاب من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اللّه تعالى</w:t>
      </w:r>
      <w:r>
        <w:rPr>
          <w:rFonts w:eastAsia="Amiri" w:cs="Amiri" w:ascii="Amiri" w:hAnsi="Amiri"/>
          <w:color w:val="111111"/>
          <w:sz w:val="28"/>
          <w:szCs w:val="28"/>
          <w:rtl w:val="true"/>
          <w:lang w:bidi="ar-SA"/>
        </w:rPr>
        <w:t xml:space="preserve">] </w:t>
      </w:r>
      <w:r>
        <w:rPr>
          <w:rStyle w:val="FootnoteAnchor"/>
          <w:rtl w:val="true"/>
        </w:rPr>
        <w:footnoteReference w:id="207"/>
      </w:r>
      <w:r>
        <w:rPr>
          <w:rFonts w:ascii="Amiri" w:hAnsi="Amiri" w:eastAsia="Amiri" w:cs="Amiri"/>
          <w:color w:val="111111"/>
          <w:sz w:val="28"/>
          <w:sz w:val="28"/>
          <w:szCs w:val="28"/>
          <w:rtl w:val="true"/>
          <w:lang w:bidi="ar-SA"/>
        </w:rPr>
        <w:t>يقول فَاغْسِلُوا وُجُوهَكُمْ فعرفنا انّ الوجه كلّه ينبغي أن يغسل،ثمَّ قال وَ أَيْدِيَكُمْ إِلَى الْمَرافِقِ ثمَّ فصّل بين الكلامين، فقال وَ امْسَحُوا بِرُؤُسِكُمْ فعرفنا حين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برؤسكم،انّ المسح ببعض الرّأس لمكان الباء،ثمَّ وصل الرّجلين بالرّأس كما وصل اليدين بالوجه،فقال وَ أَرْجُلَكُمْ إِلَى الْكَعْبَيْنِ فعرفنا حين وصلهما بالرّأس انّ المسح على بعضها،ثمَّ فسّر ذلك رسول اللّه صلّى اللّه عليه و آله للنّاس فضيّعوه،ثمَّ قال فَلَمْ تَجِدُوا ماءً فَتَيَمَّمُوا صَعِيداً طَيِّباً فَامْسَحُوا بِوُجُوهِكُمْ وَ أَيْدِيكُمْ فلمّا وضع الوضوء عمّن لم يجد الماء أثبت بعض الغسل مسحا،لأنّه قال بِوُجُوهِكُمْ وَ أَيْدِيكُمْ ثمَّ وصل بها وَ أَيْدِيَكُمْ ثمَّ قال مِنْهُ أي من ذلك التّيمّم،لأنّه علم انّ ذلك أجمع لا يجري على الوجه،لأنّه يعلق من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الصّعيد</w:t>
      </w:r>
      <w:r>
        <w:rPr>
          <w:rFonts w:eastAsia="Amiri" w:cs="Amiri" w:ascii="Amiri" w:hAnsi="Amiri"/>
          <w:color w:val="111111"/>
          <w:sz w:val="28"/>
          <w:szCs w:val="28"/>
          <w:rtl w:val="true"/>
          <w:lang w:bidi="ar-SA"/>
        </w:rPr>
        <w:t xml:space="preserve">] </w:t>
      </w:r>
      <w:r>
        <w:rPr>
          <w:rStyle w:val="FootnoteAnchor"/>
          <w:rtl w:val="true"/>
        </w:rPr>
        <w:footnoteReference w:id="208"/>
      </w:r>
      <w:r>
        <w:rPr>
          <w:rFonts w:ascii="IRNazanin" w:hAnsi="IRNazanin" w:eastAsia="IRNazanin"/>
          <w:color w:val="111111"/>
          <w:sz w:val="28"/>
          <w:sz w:val="28"/>
          <w:szCs w:val="28"/>
          <w:rtl w:val="true"/>
          <w:lang w:bidi="fa-IR"/>
        </w:rPr>
        <w:t xml:space="preserve">ببعض </w:t>
      </w:r>
    </w:p>
    <w:p>
      <w:pPr>
        <w:pStyle w:val="BookText"/>
        <w:rPr/>
      </w:pPr>
      <w:r>
        <w:rPr>
          <w:rFonts w:ascii="Amiri" w:hAnsi="Amiri" w:eastAsia="Amiri" w:cs="Amiri"/>
          <w:color w:val="111111"/>
          <w:sz w:val="28"/>
          <w:sz w:val="28"/>
          <w:szCs w:val="28"/>
          <w:rtl w:val="true"/>
          <w:lang w:bidi="ar-SA"/>
        </w:rPr>
        <w:t xml:space="preserve">الكفّ،و لا يعلق ببعضها،ثمَّ قال ما يُرِيدُ اللّهُ لِيَجْعَلَ عَلَيْكُمْ مِنْ حَرَجٍ </w:t>
      </w:r>
      <w:r>
        <w:rPr>
          <w:rStyle w:val="FootnoteAnchor"/>
          <w:rtl w:val="true"/>
        </w:rPr>
        <w:footnoteReference w:id="209"/>
      </w:r>
      <w:r>
        <w:rPr>
          <w:rFonts w:ascii="Amiri" w:hAnsi="Amiri" w:eastAsia="Amiri" w:cs="Amiri"/>
          <w:color w:val="111111"/>
          <w:sz w:val="28"/>
          <w:sz w:val="28"/>
          <w:szCs w:val="28"/>
          <w:rtl w:val="true"/>
          <w:lang w:bidi="ar-SA"/>
        </w:rPr>
        <w:t>و الحرج الضّيق</w:t>
      </w:r>
      <w:r>
        <w:rPr>
          <w:rFonts w:eastAsia="Amiri" w:cs="Amiri" w:ascii="Amiri" w:hAnsi="Amiri"/>
          <w:color w:val="111111"/>
          <w:sz w:val="28"/>
          <w:szCs w:val="28"/>
          <w:rtl w:val="true"/>
          <w:lang w:bidi="ar-SA"/>
        </w:rPr>
        <w:t xml:space="preserve">) </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رواه في الصّحيح،عن محمّد بن مسلم،عن أبي عبد اللّه عليه السّلام،قال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مسح الرّأس على مقدّمه</w:t>
      </w:r>
      <w:r>
        <w:rPr>
          <w:rFonts w:eastAsia="Amiri" w:cs="Amiri" w:ascii="Amiri" w:hAnsi="Amiri"/>
          <w:color w:val="111111"/>
          <w:sz w:val="28"/>
          <w:szCs w:val="28"/>
          <w:rtl w:val="true"/>
          <w:lang w:bidi="ar-SA"/>
        </w:rPr>
        <w:t xml:space="preserve">) </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ما رواه،عن معمّر بن عمر </w:t>
      </w:r>
      <w:r>
        <w:rPr>
          <w:rStyle w:val="FootnoteAnchor"/>
          <w:rtl w:val="true"/>
        </w:rPr>
        <w:footnoteReference w:id="212"/>
      </w:r>
      <w:r>
        <w:rPr>
          <w:rFonts w:ascii="Amiri" w:hAnsi="Amiri" w:eastAsia="Amiri" w:cs="Amiri"/>
          <w:color w:val="111111"/>
          <w:sz w:val="28"/>
          <w:sz w:val="28"/>
          <w:szCs w:val="28"/>
          <w:rtl w:val="true"/>
          <w:lang w:bidi="ar-SA"/>
        </w:rPr>
        <w:t>،عن أبي جعفر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يجزي من مسح الرّأس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موضع</w:t>
      </w:r>
      <w:r>
        <w:rPr>
          <w:rFonts w:eastAsia="Amiri" w:cs="Amiri" w:ascii="Amiri" w:hAnsi="Amiri"/>
          <w:color w:val="111111"/>
          <w:sz w:val="28"/>
          <w:szCs w:val="28"/>
          <w:rtl w:val="true"/>
          <w:lang w:bidi="ar-SA"/>
        </w:rPr>
        <w:t xml:space="preserve">] </w:t>
      </w:r>
      <w:r>
        <w:rPr>
          <w:rStyle w:val="FootnoteAnchor"/>
          <w:rtl w:val="true"/>
        </w:rPr>
        <w:footnoteReference w:id="213"/>
      </w:r>
      <w:r>
        <w:rPr>
          <w:rFonts w:ascii="Amiri" w:hAnsi="Amiri" w:eastAsia="Amiri" w:cs="Amiri"/>
          <w:color w:val="111111"/>
          <w:sz w:val="28"/>
          <w:sz w:val="28"/>
          <w:szCs w:val="28"/>
          <w:rtl w:val="true"/>
          <w:lang w:bidi="ar-SA"/>
        </w:rPr>
        <w:t>ثلاث أصابع،و كذلك الرّجل</w:t>
      </w:r>
      <w:r>
        <w:rPr>
          <w:rFonts w:eastAsia="Amiri" w:cs="Amiri" w:ascii="Amiri" w:hAnsi="Amiri"/>
          <w:color w:val="111111"/>
          <w:sz w:val="28"/>
          <w:szCs w:val="28"/>
          <w:rtl w:val="true"/>
          <w:lang w:bidi="ar-SA"/>
        </w:rPr>
        <w:t xml:space="preserve">) </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ابن يعقوب في الحسن،عن زرارة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المرأة يجزيها من مسح الرّأس أن تمسح مقدّمه قدر ثلاث أصابع و لا تلقى عنها خمارها</w:t>
      </w:r>
      <w:r>
        <w:rPr>
          <w:rFonts w:eastAsia="Amiri" w:cs="Amiri" w:ascii="Amiri" w:hAnsi="Amiri"/>
          <w:color w:val="111111"/>
          <w:sz w:val="28"/>
          <w:szCs w:val="28"/>
          <w:rtl w:val="true"/>
          <w:lang w:bidi="ar-SA"/>
        </w:rPr>
        <w:t xml:space="preserve">) </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رواه،عن الحسين </w:t>
      </w:r>
      <w:r>
        <w:rPr>
          <w:rStyle w:val="FootnoteAnchor"/>
          <w:rtl w:val="true"/>
        </w:rPr>
        <w:footnoteReference w:id="21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رجل توضّأ و هو </w:t>
      </w:r>
    </w:p>
    <w:p>
      <w:pPr>
        <w:pStyle w:val="BookText"/>
        <w:rPr/>
      </w:pPr>
      <w:r>
        <w:rPr>
          <w:rFonts w:ascii="Amiri" w:hAnsi="Amiri" w:eastAsia="Amiri" w:cs="Amiri"/>
          <w:color w:val="111111"/>
          <w:sz w:val="28"/>
          <w:sz w:val="28"/>
          <w:szCs w:val="28"/>
          <w:rtl w:val="true"/>
          <w:lang w:bidi="ar-SA"/>
        </w:rPr>
        <w:t>معتمّ،فثقل عليه نزع العمامة لمكان البرد؟فقال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يدخل إصبعه</w:t>
      </w:r>
      <w:r>
        <w:rPr>
          <w:rFonts w:eastAsia="Amiri" w:cs="Amiri" w:ascii="Amiri" w:hAnsi="Amiri"/>
          <w:color w:val="111111"/>
          <w:sz w:val="28"/>
          <w:szCs w:val="28"/>
          <w:rtl w:val="true"/>
          <w:lang w:bidi="ar-SA"/>
        </w:rPr>
        <w:t xml:space="preserve">) </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الأصل براءة الذّمّة،و من مسح بعض رأسه يصدق عليه أنّه قد مسح برأسه،كما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مسحت برأس اليتيم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مسح يسقط في التّيمّم،فوجب أن لا يستحقّ الاستيعاب،كالمسح على الخفّين عندهم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يجب الاستيعاب في المسح،كما لا يجب استيعاب الحلق في التّحلّل، و الجامع،ما اشتركا </w:t>
      </w:r>
      <w:r>
        <w:rPr>
          <w:rStyle w:val="FootnoteAnchor"/>
          <w:rtl w:val="true"/>
        </w:rPr>
        <w:footnoteReference w:id="218"/>
      </w:r>
      <w:r>
        <w:rPr>
          <w:rFonts w:ascii="Amiri" w:hAnsi="Amiri" w:eastAsia="Amiri" w:cs="Amiri"/>
          <w:color w:val="111111"/>
          <w:sz w:val="28"/>
          <w:sz w:val="28"/>
          <w:szCs w:val="28"/>
          <w:rtl w:val="true"/>
          <w:lang w:bidi="ar-SA"/>
        </w:rPr>
        <w:t>فيه من كون كلّ واحد منهما حكما مختصّا بالرّأس على وجه العبادة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احتجّوا </w:t>
      </w:r>
      <w:r>
        <w:rPr>
          <w:rStyle w:val="FootnoteAnchor"/>
          <w:rtl w:val="true"/>
        </w:rPr>
        <w:footnoteReference w:id="219"/>
      </w:r>
      <w:r>
        <w:rPr>
          <w:rFonts w:ascii="IRNazanin" w:hAnsi="IRNazanin" w:eastAsia="IRNazanin"/>
          <w:color w:val="111111"/>
          <w:sz w:val="28"/>
          <w:sz w:val="28"/>
          <w:szCs w:val="28"/>
          <w:rtl w:val="true"/>
          <w:lang w:bidi="fa-IR"/>
        </w:rPr>
        <w:t xml:space="preserve">بما رووه </w:t>
      </w:r>
      <w:r>
        <w:rPr>
          <w:rStyle w:val="FootnoteAnchor"/>
          <w:rtl w:val="true"/>
        </w:rPr>
        <w:footnoteReference w:id="220"/>
      </w:r>
      <w:r>
        <w:rPr>
          <w:rFonts w:ascii="Amiri" w:hAnsi="Amiri" w:eastAsia="Amiri" w:cs="Amiri"/>
          <w:color w:val="111111"/>
          <w:sz w:val="28"/>
          <w:sz w:val="28"/>
          <w:szCs w:val="28"/>
          <w:rtl w:val="true"/>
          <w:lang w:bidi="ar-SA"/>
        </w:rPr>
        <w:t xml:space="preserve">،عنه عليه السّلام من أنّه توضّأ فمسح رأسه كلّه </w:t>
      </w:r>
      <w:r>
        <w:rPr>
          <w:rStyle w:val="FootnoteAnchor"/>
          <w:rtl w:val="true"/>
        </w:rPr>
        <w:footnoteReference w:id="221"/>
      </w:r>
      <w:r>
        <w:rPr>
          <w:rFonts w:ascii="Amiri" w:hAnsi="Amiri" w:eastAsia="Amiri" w:cs="Amiri"/>
          <w:color w:val="111111"/>
          <w:sz w:val="28"/>
          <w:sz w:val="28"/>
          <w:szCs w:val="28"/>
          <w:rtl w:val="true"/>
          <w:lang w:bidi="ar-SA"/>
        </w:rPr>
        <w:t>،و لأنّه لمّا كان كلّ جزء من الرّأس محلاّ للفرض،علم تعلّقه بالجميع،قياسا على سائر الأعضاء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 عن الأوّل،بالمنع من صحّته،فإنّ أهل البيت عليهم السّلام أجمعوا على ردّه،و ردّه الشّافعي،و أبو حنيفة،فلو كان صحيحا لما ردّوه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يحمل على غير الوجوب،جمعا بينه و بين ما نقلوه عنه عليه السّلام من ترك مسح البعض،و لا يمكن أن يقال انّه ترك بعض الواجب </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 الثّاني،بالمنع من ثبوت العلّة في الفرع،فإنّ عندنا المسح مختصّ بالمقدّم على </w:t>
      </w:r>
      <w:bookmarkStart w:id="162" w:name="pg12669_112837"/>
    </w:p>
    <w:p>
      <w:pPr>
        <w:pStyle w:val="BookText"/>
        <w:rPr/>
      </w:pPr>
      <w:bookmarkEnd w:id="162"/>
      <w:r>
        <w:rPr>
          <w:rFonts w:ascii="Amiri" w:hAnsi="Amiri" w:eastAsia="Amiri" w:cs="Amiri"/>
          <w:color w:val="111111"/>
          <w:sz w:val="28"/>
          <w:sz w:val="28"/>
          <w:szCs w:val="28"/>
          <w:rtl w:val="true"/>
          <w:lang w:bidi="ar-SA"/>
        </w:rPr>
        <w:t>ما يأتي،و مع هذا فإنّه ينتقض بالمسح على الخفّين،فإنّ كلّ جزء من الخفّ محلّ الفرض،ثمَّ لا يتعلّق الفرض بالجميع،و كذا بخصال الكفّارة المخيّرة</w:t>
      </w:r>
      <w:r>
        <w:rPr>
          <w:rFonts w:eastAsia="Amiri" w:cs="Amiri" w:ascii="Amiri" w:hAnsi="Amiri"/>
          <w:color w:val="111111"/>
          <w:sz w:val="28"/>
          <w:szCs w:val="28"/>
          <w:rtl w:val="true"/>
          <w:lang w:bidi="ar-SA"/>
        </w:rPr>
        <w:t>.</w:t>
      </w:r>
    </w:p>
    <w:p>
      <w:pPr>
        <w:pStyle w:val="Heading6"/>
        <w:numPr>
          <w:ilvl w:val="5"/>
          <w:numId w:val="1"/>
        </w:numPr>
        <w:rPr/>
      </w:pPr>
      <w:bookmarkStart w:id="163" w:name="__RefHeading___Toc795257_222507752"/>
      <w:bookmarkStart w:id="164" w:name="_Toc68"/>
      <w:bookmarkEnd w:id="163"/>
      <w:r>
        <w:rPr>
          <w:rtl w:val="true"/>
        </w:rPr>
        <w:t>أصل</w:t>
      </w:r>
      <w:r>
        <w:rPr>
          <w:rtl w:val="true"/>
        </w:rPr>
        <w:t>:</w:t>
      </w:r>
      <w:r>
        <w:rPr>
          <w:rtl w:val="true"/>
        </w:rPr>
        <w:t>الأمر بالماهيّة الكلّيّة لا يقتضي الأمر بشيء من جزئيّاتها على التّعيين،</w:t>
      </w:r>
      <w:bookmarkEnd w:id="164"/>
    </w:p>
    <w:p>
      <w:pPr>
        <w:pStyle w:val="BookText"/>
        <w:rPr/>
      </w:pPr>
      <w:r>
        <w:rPr>
          <w:rFonts w:ascii="Amiri" w:hAnsi="Amiri" w:eastAsia="Amiri" w:cs="Amiri"/>
          <w:color w:val="111111"/>
          <w:sz w:val="28"/>
          <w:sz w:val="28"/>
          <w:szCs w:val="28"/>
          <w:rtl w:val="true"/>
          <w:lang w:bidi="ar-SA"/>
        </w:rPr>
        <w:t>لأنّ الماهيّة الكلّيّة صادقة على تلك الجزئيّات،و ليس كلّ واحد منها صادقا على الآخر،فما به الاشتراك غير ما ليس به الاشتراك،فالأمر بالماهيّة الكلّيّة الّتي بها الاشتراك،لا يكون أمرا بما به يمتاز كلّ واحد من الجزئيّات،لا بالذّات و لا بالاستلزام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نعم،يكون أمرا بواحد منها لا بعينه لاستحالة تحصيل الكلّي إلاّ في أحد جزئيّاته</w:t>
      </w:r>
      <w:r>
        <w:rPr>
          <w:rFonts w:eastAsia="Amiri" w:cs="Amiri" w:ascii="Amiri" w:hAnsi="Amiri"/>
          <w:color w:val="111111"/>
          <w:sz w:val="28"/>
          <w:szCs w:val="28"/>
          <w:rtl w:val="true"/>
          <w:lang w:bidi="ar-SA"/>
        </w:rPr>
        <w:t>.</w:t>
      </w:r>
    </w:p>
    <w:p>
      <w:pPr>
        <w:pStyle w:val="Heading6"/>
        <w:numPr>
          <w:ilvl w:val="5"/>
          <w:numId w:val="1"/>
        </w:numPr>
        <w:rPr/>
      </w:pPr>
      <w:bookmarkStart w:id="165" w:name="__RefHeading___Toc795259_222507752"/>
      <w:bookmarkStart w:id="166" w:name="_Toc69"/>
      <w:bookmarkEnd w:id="165"/>
      <w:r>
        <w:rPr>
          <w:rtl w:val="true"/>
        </w:rPr>
        <w:t>فروع</w:t>
      </w:r>
      <w:r>
        <w:rPr>
          <w:rtl w:val="true"/>
        </w:rPr>
        <w:t>:</w:t>
      </w:r>
      <w:bookmarkEnd w:id="166"/>
    </w:p>
    <w:p>
      <w:pPr>
        <w:pStyle w:val="Heading6"/>
        <w:numPr>
          <w:ilvl w:val="5"/>
          <w:numId w:val="1"/>
        </w:numPr>
        <w:rPr/>
      </w:pPr>
      <w:bookmarkStart w:id="167" w:name="__RefHeading___Toc795261_222507752"/>
      <w:bookmarkStart w:id="168" w:name="_Toc70"/>
      <w:bookmarkEnd w:id="167"/>
      <w:r>
        <w:rPr>
          <w:rtl w:val="true"/>
        </w:rPr>
        <w:t>الأوّل</w:t>
      </w:r>
      <w:r>
        <w:rPr>
          <w:rtl w:val="true"/>
        </w:rPr>
        <w:t>:</w:t>
      </w:r>
      <w:r>
        <w:rPr>
          <w:rtl w:val="true"/>
        </w:rPr>
        <w:t>الحقّ عندي انّ الواجب من مسح الرّأس لا يتقدّر بقدر في الرّجل و المرأة،</w:t>
      </w:r>
      <w:bookmarkEnd w:id="168"/>
    </w:p>
    <w:p>
      <w:pPr>
        <w:pStyle w:val="BookText"/>
        <w:rPr/>
      </w:pPr>
      <w:r>
        <w:rPr>
          <w:rFonts w:ascii="Amiri" w:hAnsi="Amiri" w:eastAsia="Amiri" w:cs="Amiri"/>
          <w:color w:val="111111"/>
          <w:sz w:val="28"/>
          <w:sz w:val="28"/>
          <w:szCs w:val="28"/>
          <w:rtl w:val="true"/>
          <w:lang w:bidi="ar-SA"/>
        </w:rPr>
        <w:t xml:space="preserve">بل يكفي فيه أقلّ ما يصدق عليه الاسم،و به قال الشّيخ في المبسوط </w:t>
      </w:r>
      <w:r>
        <w:rPr>
          <w:rStyle w:val="FootnoteAnchor"/>
          <w:rtl w:val="true"/>
        </w:rPr>
        <w:footnoteReference w:id="22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نعم،الأفضل ما يكون مقداره ثلاث أصابع مضمومة،و به قال السّيّد المرتضى في المصباح،و قال في الخلاف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يجب مقدار ثلاث أصابع </w:t>
      </w:r>
      <w:r>
        <w:rPr>
          <w:rStyle w:val="FootnoteAnchor"/>
          <w:rtl w:val="true"/>
        </w:rPr>
        <w:footnoteReference w:id="22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اختيار ابن بابويه </w:t>
      </w:r>
      <w:r>
        <w:rPr>
          <w:rStyle w:val="FootnoteAnchor"/>
          <w:rtl w:val="true"/>
        </w:rPr>
        <w:footnoteReference w:id="225"/>
      </w:r>
      <w:r>
        <w:rPr>
          <w:rFonts w:ascii="Amiri" w:hAnsi="Amiri" w:eastAsia="Amiri" w:cs="Amiri"/>
          <w:color w:val="111111"/>
          <w:sz w:val="28"/>
          <w:sz w:val="28"/>
          <w:szCs w:val="28"/>
          <w:rtl w:val="true"/>
          <w:lang w:bidi="ar-SA"/>
        </w:rPr>
        <w:t>،و أبي حنيفة في إحدى الرّوايتين عنه،و في الرّواية الأخرى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يجزي مسح ربعه لا غير </w:t>
      </w:r>
      <w:r>
        <w:rPr>
          <w:rStyle w:val="FootnoteAnchor"/>
          <w:rtl w:val="true"/>
        </w:rPr>
        <w:footnoteReference w:id="22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الشّافعيّ</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يجزي ما يقع عليه الاسم،و أقلّه ثلاث شعرات </w:t>
      </w:r>
      <w:r>
        <w:rPr>
          <w:rStyle w:val="FootnoteAnchor"/>
          <w:rtl w:val="true"/>
        </w:rPr>
        <w:footnoteReference w:id="22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حكي عنه انّه لو مسح شعرة واحدة </w:t>
      </w:r>
    </w:p>
    <w:p>
      <w:pPr>
        <w:pStyle w:val="BookText"/>
        <w:rPr/>
      </w:pPr>
      <w:r>
        <w:rPr>
          <w:rFonts w:ascii="IRNazanin" w:hAnsi="IRNazanin" w:eastAsia="IRNazanin"/>
          <w:color w:val="111111"/>
          <w:sz w:val="28"/>
          <w:sz w:val="28"/>
          <w:szCs w:val="28"/>
          <w:rtl w:val="true"/>
          <w:lang w:bidi="fa-IR"/>
        </w:rPr>
        <w:t xml:space="preserve">أجزأه </w:t>
      </w:r>
      <w:r>
        <w:rPr>
          <w:rStyle w:val="FootnoteAnchor"/>
          <w:rtl w:val="true"/>
        </w:rPr>
        <w:footnoteReference w:id="22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ذهب بعض الحنابلة إلى انّ قدر الواجب هو النّاصية </w:t>
      </w:r>
      <w:r>
        <w:rPr>
          <w:rStyle w:val="FootnoteAnchor"/>
          <w:rtl w:val="true"/>
        </w:rPr>
        <w:footnoteReference w:id="229"/>
      </w:r>
      <w:r>
        <w:rPr>
          <w:rFonts w:ascii="Amiri" w:hAnsi="Amiri" w:eastAsia="Amiri" w:cs="Amiri"/>
          <w:color w:val="111111"/>
          <w:sz w:val="28"/>
          <w:sz w:val="28"/>
          <w:szCs w:val="28"/>
          <w:rtl w:val="true"/>
          <w:lang w:bidi="ar-SA"/>
        </w:rPr>
        <w:t xml:space="preserve">،و هو رواية عن أبي حنيفة </w:t>
      </w:r>
      <w:r>
        <w:rPr>
          <w:rStyle w:val="FootnoteAnchor"/>
          <w:rtl w:val="true"/>
        </w:rPr>
        <w:footnoteReference w:id="230"/>
      </w:r>
      <w:r>
        <w:rPr>
          <w:rFonts w:ascii="Amiri" w:hAnsi="Amiri" w:eastAsia="Amiri" w:cs="Amiri"/>
          <w:color w:val="111111"/>
          <w:sz w:val="28"/>
          <w:sz w:val="28"/>
          <w:szCs w:val="28"/>
          <w:rtl w:val="true"/>
          <w:lang w:bidi="ar-SA"/>
        </w:rPr>
        <w:t xml:space="preserve">،و حكي عن أحمد انّه لا يجزي إلاّ مسح أكثره </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تعالى وَ امْسَحُوا بِرُؤُسِكُمْ و المراد البعض الكلّي الصّادق على الكثير و القليل،و الأمر بالكلّي لا يكون أمرا بشيء من جزئيّاته على التّعيين،فأيّها أوقع أجزأه، و لا حدّ له شرعا،فيقتصر بالإجزاء على أقلّ ما يتناوله الاسم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رواه الشّيخ في الصّحيح،عن زرارة و بكير ابني أعين أنّهما سألا أبا جعفر عليه السّلام عن وضوء رسول اللّه صلّى اللّه عليه و آله إلى أن انتهيا إلى قوله تعالى وَ امْسَحُوا بِرُؤُسِكُمْ وَ أَرْجُلَكُمْ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فإذا مسح بشيء من رأسه أو بشيء من قدميه </w:t>
      </w:r>
      <w:r>
        <w:rPr>
          <w:rStyle w:val="FootnoteAnchor"/>
          <w:rtl w:val="true"/>
        </w:rPr>
        <w:footnoteReference w:id="232"/>
      </w:r>
      <w:r>
        <w:rPr>
          <w:rFonts w:ascii="Amiri" w:hAnsi="Amiri" w:eastAsia="Amiri" w:cs="Amiri"/>
          <w:color w:val="111111"/>
          <w:sz w:val="28"/>
          <w:sz w:val="28"/>
          <w:szCs w:val="28"/>
          <w:rtl w:val="true"/>
          <w:lang w:bidi="ar-SA"/>
        </w:rPr>
        <w:t>ما بين الكعبين إلى آخر أطراف الأصابع،فقد أجزأه</w:t>
      </w:r>
      <w:r>
        <w:rPr>
          <w:rFonts w:eastAsia="Amiri" w:cs="Amiri" w:ascii="Amiri" w:hAnsi="Amiri"/>
          <w:color w:val="111111"/>
          <w:sz w:val="28"/>
          <w:szCs w:val="28"/>
          <w:rtl w:val="true"/>
          <w:lang w:bidi="ar-SA"/>
        </w:rPr>
        <w:t xml:space="preserve">) </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الشّيخ،عن حمّاد بن عيسى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بإسناد صحيح،عن بعض أصحابه،عن أحدهما عليهما السّلام في الرّجل يتوضّأ و عليه العمامة؟قال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يرفع العمامة قدر ما يدخل إصبعه فيمسح على مقدّم رأسه</w:t>
      </w:r>
      <w:r>
        <w:rPr>
          <w:rFonts w:eastAsia="Amiri" w:cs="Amiri" w:ascii="Amiri" w:hAnsi="Amiri"/>
          <w:color w:val="111111"/>
          <w:sz w:val="28"/>
          <w:szCs w:val="28"/>
          <w:rtl w:val="true"/>
          <w:lang w:bidi="ar-SA"/>
        </w:rPr>
        <w:t xml:space="preserve">) </w:t>
      </w:r>
      <w:r>
        <w:rPr>
          <w:rStyle w:val="FootnoteAnchor"/>
          <w:rtl w:val="true"/>
        </w:rPr>
        <w:footnoteReference w:id="234"/>
      </w:r>
      <w:r>
        <w:rPr>
          <w:rFonts w:ascii="Amiri" w:hAnsi="Amiri" w:eastAsia="Amiri" w:cs="Amiri"/>
          <w:color w:val="111111"/>
          <w:sz w:val="28"/>
          <w:sz w:val="28"/>
          <w:szCs w:val="28"/>
          <w:rtl w:val="true"/>
          <w:lang w:bidi="ar-SA"/>
        </w:rPr>
        <w:t xml:space="preserve">و هذا الحديث و إن كان مرسلا إلاّ انّ الأصل </w:t>
      </w:r>
    </w:p>
    <w:p>
      <w:pPr>
        <w:pStyle w:val="BookText"/>
        <w:rPr/>
      </w:pPr>
      <w:r>
        <w:rPr>
          <w:rFonts w:ascii="Amiri" w:hAnsi="Amiri" w:eastAsia="Amiri" w:cs="Amiri"/>
          <w:color w:val="111111"/>
          <w:sz w:val="28"/>
          <w:sz w:val="28"/>
          <w:szCs w:val="28"/>
          <w:rtl w:val="true"/>
          <w:lang w:bidi="ar-SA"/>
        </w:rPr>
        <w:t>يعضده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انّ ابن يعقوب رواه في كتابه،عن حمّاد،عن الحسين،عن أبي عبد اللّه عليه السّلام </w:t>
      </w:r>
      <w:r>
        <w:rPr>
          <w:rStyle w:val="FootnoteAnchor"/>
          <w:rtl w:val="true"/>
        </w:rPr>
        <w:footnoteReference w:id="235"/>
      </w:r>
      <w:r>
        <w:rPr>
          <w:rFonts w:ascii="Amiri" w:hAnsi="Amiri" w:eastAsia="Amiri" w:cs="Amiri"/>
          <w:color w:val="111111"/>
          <w:sz w:val="28"/>
          <w:sz w:val="28"/>
          <w:szCs w:val="28"/>
          <w:rtl w:val="true"/>
          <w:lang w:bidi="ar-SA"/>
        </w:rPr>
        <w:t>،و رواه السّيّد المرتضى في الخلاف،عن حمّاد،عن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الحاصل انّ حمّاد أرسله تارة،و أسنده أخرى،فيكون حكمه حكم الرّوايتين، فيعمل بالمسند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انّهما روايتان في واقعة واحدة،فيقع التّعارض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ليسا في واقعة،لأنّ الرّواية الأولى عن أحدهما عليهما السّلام، فيحتمل انّه أبو جعفر الباقر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انّهما لو كانا واحدا،لجاز سماعه من ثقة تارة،و منه عليه السّلام أخرى،فإنّ باتّحاد المرويّ عنه،لا يحصل اتّحاد الواقعة،على انّ السّيّد المرتضى روى عن حمّاد،انّه سأل أبا عبد اللّه عليه السّلام،فكيف يقع الاتّحاد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يعارض هذه الأدلّة ما رواه الشّيخ في الصّحيح،عن زرارة،عن أبي جعفر عليه السّلام انّه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المرأة يجزيها من مسح الرّأس أن تمسح مقدّمه قدر ثلاث أصابع و لا تلقى عنها خمارها</w:t>
      </w:r>
      <w:r>
        <w:rPr>
          <w:rFonts w:eastAsia="Amiri" w:cs="Amiri" w:ascii="Amiri" w:hAnsi="Amiri"/>
          <w:color w:val="111111"/>
          <w:sz w:val="28"/>
          <w:szCs w:val="28"/>
          <w:rtl w:val="true"/>
          <w:lang w:bidi="ar-SA"/>
        </w:rPr>
        <w:t xml:space="preserve">) </w:t>
      </w:r>
      <w:r>
        <w:rPr>
          <w:rStyle w:val="FootnoteAnchor"/>
          <w:rtl w:val="true"/>
        </w:rPr>
        <w:footnoteReference w:id="236"/>
      </w:r>
      <w:r>
        <w:rPr>
          <w:rFonts w:ascii="Amiri" w:hAnsi="Amiri" w:eastAsia="Amiri" w:cs="Amiri"/>
          <w:color w:val="111111"/>
          <w:sz w:val="28"/>
          <w:sz w:val="28"/>
          <w:szCs w:val="28"/>
          <w:rtl w:val="true"/>
          <w:lang w:bidi="ar-SA"/>
        </w:rPr>
        <w:t>و الإجزاء إنّما يفهم في أقلّ الواجب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نسلّم انّه إنّما يفهم في أقلّ الواجب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نعم،لا شكّ انّه الأغلب</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انّه يحتمل عود الإجزاء إلى عدم إلقاء الخمار،و هو الأولى،لما رواه الشيخ،عن عبد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الحسين بن زيد بن عليّ بن الحسين بن عليّ بن أبي طالب عليهم السّلام،عن أبيه،عن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تمسح المرأة بالرّأس كما يمسح الرّجال، إنّما المرأة إذا أصبحت مسحت رأسها و تضع الخمار عنها،فإذا كان الظّهر و العصر </w:t>
      </w:r>
      <w:bookmarkStart w:id="169" w:name="pg12669_112840"/>
    </w:p>
    <w:p>
      <w:pPr>
        <w:pStyle w:val="BookText"/>
        <w:rPr/>
      </w:pPr>
      <w:bookmarkEnd w:id="169"/>
      <w:r>
        <w:rPr>
          <w:rFonts w:ascii="Amiri" w:hAnsi="Amiri" w:eastAsia="Amiri" w:cs="Amiri"/>
          <w:color w:val="111111"/>
          <w:sz w:val="28"/>
          <w:sz w:val="28"/>
          <w:szCs w:val="28"/>
          <w:rtl w:val="true"/>
          <w:lang w:bidi="ar-SA"/>
        </w:rPr>
        <w:t>و المغرب و العشاء تمسح بناصيتها</w:t>
      </w:r>
      <w:r>
        <w:rPr>
          <w:rFonts w:eastAsia="Amiri" w:cs="Amiri" w:ascii="Amiri" w:hAnsi="Amiri"/>
          <w:color w:val="111111"/>
          <w:sz w:val="28"/>
          <w:szCs w:val="28"/>
          <w:rtl w:val="true"/>
          <w:lang w:bidi="ar-SA"/>
        </w:rPr>
        <w:t xml:space="preserve">) </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احتجّ أبو حنيفة بأنّ المسح أمر مقصود،و الأمر به أمر باستعمال الآلة الّتي هي اليد،فكأنّها مذكورة دلالة،و الاقتضاء لا عموم له،فيثبت </w:t>
      </w:r>
      <w:r>
        <w:rPr>
          <w:rStyle w:val="FootnoteAnchor"/>
          <w:rtl w:val="true"/>
        </w:rPr>
        <w:footnoteReference w:id="238"/>
      </w:r>
      <w:r>
        <w:rPr>
          <w:rFonts w:ascii="Amiri" w:hAnsi="Amiri" w:eastAsia="Amiri" w:cs="Amiri"/>
          <w:color w:val="111111"/>
          <w:sz w:val="28"/>
          <w:sz w:val="28"/>
          <w:szCs w:val="28"/>
          <w:rtl w:val="true"/>
          <w:lang w:bidi="ar-SA"/>
        </w:rPr>
        <w:t xml:space="preserve">بقدر ما يدفع به الضّرورة و هو الأدنى،و ثلاث أصابع اليد أدنى الآلة،لأنّه يقوم مقام كلّ اليد،لأنّه أكثر اليد إلاّ انّه دون كلّه،فيصير مأمورا باستعمال هذا القدر ضرورة </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نسلّم أنّ الآلة هي اليد بل بعضها،سلّمنا،لكن لا نسلّم انّ أدنى اليد ثلاث أصابع،و كيف يصحّ منه ذلك و من مذهبه انّه لو مسح بإصبع واحدة ثلاث مرّات باستئناف ماء مقدار ثلاث أصابع أجزأه،فليس المعتبر حينئذ الآلة بل قدر الممسوح،فسقط ما قاله بالكلّيّة</w:t>
      </w:r>
      <w:r>
        <w:rPr>
          <w:rFonts w:eastAsia="Amiri" w:cs="Amiri" w:ascii="Amiri" w:hAnsi="Amiri"/>
          <w:color w:val="111111"/>
          <w:sz w:val="28"/>
          <w:szCs w:val="28"/>
          <w:rtl w:val="true"/>
          <w:lang w:bidi="ar-SA"/>
        </w:rPr>
        <w:t>.</w:t>
      </w:r>
    </w:p>
    <w:p>
      <w:pPr>
        <w:pStyle w:val="Heading6"/>
        <w:numPr>
          <w:ilvl w:val="5"/>
          <w:numId w:val="1"/>
        </w:numPr>
        <w:rPr/>
      </w:pPr>
      <w:bookmarkStart w:id="170" w:name="__RefHeading___Toc795263_222507752"/>
      <w:bookmarkStart w:id="171" w:name="_Toc71"/>
      <w:bookmarkEnd w:id="170"/>
      <w:r>
        <w:rPr>
          <w:rtl w:val="true"/>
        </w:rPr>
        <w:t>الثّاني</w:t>
      </w:r>
      <w:r>
        <w:rPr>
          <w:rtl w:val="true"/>
        </w:rPr>
        <w:t>:</w:t>
      </w:r>
      <w:r>
        <w:rPr>
          <w:rtl w:val="true"/>
        </w:rPr>
        <w:t>القائلون بالاكتفاء بالأقلّ اختلفوا</w:t>
      </w:r>
      <w:bookmarkEnd w:id="171"/>
    </w:p>
    <w:p>
      <w:pPr>
        <w:pStyle w:val="BookText"/>
        <w:rPr/>
      </w:pPr>
      <w:r>
        <w:rPr>
          <w:rFonts w:ascii="Amiri" w:hAnsi="Amiri" w:eastAsia="Amiri" w:cs="Amiri"/>
          <w:color w:val="111111"/>
          <w:sz w:val="28"/>
          <w:sz w:val="28"/>
          <w:szCs w:val="28"/>
          <w:rtl w:val="true"/>
          <w:lang w:bidi="ar-SA"/>
        </w:rPr>
        <w:t>،فذهب قوم إلى انّ القدر الزّائد عليه يوصف بالوجوب،و المحقّقون منعوا من ذلك،فإنّ الواجب هو الذي لا يجوز تركه،و هذه الزّيادة يجوز تركها،فلا تكون واجبة</w:t>
      </w:r>
      <w:r>
        <w:rPr>
          <w:rFonts w:eastAsia="Amiri" w:cs="Amiri" w:ascii="Amiri" w:hAnsi="Amiri"/>
          <w:color w:val="111111"/>
          <w:sz w:val="28"/>
          <w:szCs w:val="28"/>
          <w:rtl w:val="true"/>
          <w:lang w:bidi="ar-SA"/>
        </w:rPr>
        <w:t>.</w:t>
      </w:r>
    </w:p>
    <w:p>
      <w:pPr>
        <w:pStyle w:val="Heading6"/>
        <w:numPr>
          <w:ilvl w:val="5"/>
          <w:numId w:val="1"/>
        </w:numPr>
        <w:rPr/>
      </w:pPr>
      <w:bookmarkStart w:id="172" w:name="__RefHeading___Toc795265_222507752"/>
      <w:bookmarkStart w:id="173" w:name="_Toc72"/>
      <w:bookmarkEnd w:id="172"/>
      <w:r>
        <w:rPr>
          <w:rtl w:val="true"/>
        </w:rPr>
        <w:t>الثّالث</w:t>
      </w:r>
      <w:r>
        <w:rPr>
          <w:rtl w:val="true"/>
        </w:rPr>
        <w:t>:</w:t>
      </w:r>
      <w:r>
        <w:rPr>
          <w:rtl w:val="true"/>
        </w:rPr>
        <w:t>المسح عندنا مختصّ بالمقدّم،</w:t>
      </w:r>
      <w:bookmarkEnd w:id="173"/>
    </w:p>
    <w:p>
      <w:pPr>
        <w:pStyle w:val="BookText"/>
        <w:rPr/>
      </w:pPr>
      <w:r>
        <w:rPr>
          <w:rFonts w:ascii="IRNazanin" w:hAnsi="IRNazanin" w:eastAsia="IRNazanin"/>
          <w:color w:val="111111"/>
          <w:sz w:val="28"/>
          <w:sz w:val="28"/>
          <w:szCs w:val="28"/>
          <w:rtl w:val="true"/>
          <w:lang w:bidi="fa-IR"/>
        </w:rPr>
        <w:t xml:space="preserve">خلافا للجمهور </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رواه من حديث المغيرة بن شعبة و عثمان في اختصاص مسح رسول اللّه صلّى اللّه عليه و آله بالمقدّم </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طريق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 في الصّحيح،عن محمّد بن مسلم،عن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مسح الرّأس على مقدّمه</w:t>
      </w:r>
      <w:r>
        <w:rPr>
          <w:rFonts w:eastAsia="Amiri" w:cs="Amiri" w:ascii="Amiri" w:hAnsi="Amiri"/>
          <w:color w:val="111111"/>
          <w:sz w:val="28"/>
          <w:szCs w:val="28"/>
          <w:rtl w:val="true"/>
          <w:lang w:bidi="ar-SA"/>
        </w:rPr>
        <w:t xml:space="preserve">) </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 xml:space="preserve">. </w:t>
      </w:r>
      <w:bookmarkStart w:id="174" w:name="pg12669_112841"/>
    </w:p>
    <w:p>
      <w:pPr>
        <w:pStyle w:val="BookText"/>
        <w:rPr/>
      </w:pPr>
      <w:bookmarkEnd w:id="174"/>
      <w:r>
        <w:rPr>
          <w:rFonts w:ascii="Amiri" w:hAnsi="Amiri" w:eastAsia="Amiri" w:cs="Amiri"/>
          <w:color w:val="111111"/>
          <w:sz w:val="28"/>
          <w:sz w:val="28"/>
          <w:szCs w:val="28"/>
          <w:rtl w:val="true"/>
          <w:lang w:bidi="ar-SA"/>
        </w:rPr>
        <w:t>و لا يعارض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الشّيخ،عن الحسين بن عبد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الرّجل يمسح رأسه من خلفه و عليه عمامة بإصبعه أ يجزيه؟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Style w:val="FootnoteAnchor"/>
          <w:rtl w:val="true"/>
        </w:rPr>
        <w:footnoteReference w:id="243"/>
      </w:r>
      <w:r>
        <w:rPr>
          <w:rFonts w:ascii="Amiri" w:hAnsi="Amiri" w:eastAsia="Amiri" w:cs="Amiri"/>
          <w:color w:val="111111"/>
          <w:sz w:val="28"/>
          <w:sz w:val="28"/>
          <w:szCs w:val="28"/>
          <w:rtl w:val="true"/>
          <w:lang w:bidi="ar-SA"/>
        </w:rPr>
        <w:t>لوجهين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الرّاوي لا يحضرنا الآن حال ثقته و عدمها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لا يمتنع أن يدخل الرّجل إصبعه من خلفه و يمسح المقدّم،و يمكن أن يخرج ذلك مخرج التّقيّة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يعضد ما ذكرناه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الشّيخ،عن محمّد بن مسلم،قال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امسح على مقدّمه</w:t>
      </w:r>
      <w:r>
        <w:rPr>
          <w:rFonts w:eastAsia="Amiri" w:cs="Amiri" w:ascii="Amiri" w:hAnsi="Amiri"/>
          <w:color w:val="111111"/>
          <w:sz w:val="28"/>
          <w:szCs w:val="28"/>
          <w:rtl w:val="true"/>
          <w:lang w:bidi="ar-SA"/>
        </w:rPr>
        <w:t xml:space="preserve">) </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75" w:name="__RefHeading___Toc795267_222507752"/>
      <w:bookmarkStart w:id="176" w:name="_Toc73"/>
      <w:bookmarkEnd w:id="175"/>
      <w:r>
        <w:rPr>
          <w:rtl w:val="true"/>
        </w:rPr>
        <w:t>الرّابع</w:t>
      </w:r>
      <w:r>
        <w:rPr>
          <w:rtl w:val="true"/>
        </w:rPr>
        <w:t>:</w:t>
      </w:r>
      <w:r>
        <w:rPr>
          <w:rtl w:val="true"/>
        </w:rPr>
        <w:t>يجوز المسح على المقدّم مقبلا و مدبرا</w:t>
      </w:r>
      <w:bookmarkEnd w:id="17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مذهب الشّيخ في المبسوط،و قال في الخلاف بالتّحريم </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امتثل الأمر بالمسح،فوجب الإجزاء</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رواه الشّيخ في الصّحيح،عن حمّاد بن عثمان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 عبد اللّه عليه السّلام، </w:t>
      </w:r>
      <w:bookmarkStart w:id="177" w:name="pg12669_112842"/>
    </w:p>
    <w:p>
      <w:pPr>
        <w:pStyle w:val="BookText"/>
        <w:rPr/>
      </w:pPr>
      <w:bookmarkEnd w:id="177"/>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أن يمسح الوضوء مقبلا و مدبرا</w:t>
      </w:r>
      <w:r>
        <w:rPr>
          <w:rFonts w:eastAsia="Amiri" w:cs="Amiri" w:ascii="Amiri" w:hAnsi="Amiri"/>
          <w:color w:val="111111"/>
          <w:sz w:val="28"/>
          <w:szCs w:val="28"/>
          <w:rtl w:val="true"/>
          <w:lang w:bidi="ar-SA"/>
        </w:rPr>
        <w:t xml:space="preserve">) </w:t>
      </w:r>
      <w:r>
        <w:rPr>
          <w:rStyle w:val="FootnoteAnchor"/>
          <w:rtl w:val="true"/>
        </w:rPr>
        <w:footnoteReference w:id="246"/>
      </w:r>
      <w:r>
        <w:rPr>
          <w:rFonts w:ascii="Amiri" w:hAnsi="Amiri" w:eastAsia="Amiri" w:cs="Amiri"/>
          <w:color w:val="111111"/>
          <w:sz w:val="28"/>
          <w:sz w:val="28"/>
          <w:szCs w:val="28"/>
          <w:rtl w:val="true"/>
          <w:lang w:bidi="ar-SA"/>
        </w:rPr>
        <w:t>و لأنّ أبا جعفر عليه السّلام لمّا حكى وضوء رسول اللّه صلّى اللّه عليه و آله،ذكر البدأة بالمرفقين لما كان واجبا،و أهمل كيفيّة المسح و بل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مسح رأسه و قدميه</w:t>
      </w:r>
      <w:r>
        <w:rPr>
          <w:rFonts w:eastAsia="Amiri" w:cs="Amiri" w:ascii="Amiri" w:hAnsi="Amiri"/>
          <w:color w:val="111111"/>
          <w:sz w:val="28"/>
          <w:szCs w:val="28"/>
          <w:rtl w:val="true"/>
          <w:lang w:bidi="ar-SA"/>
        </w:rPr>
        <w:t xml:space="preserve">) </w:t>
      </w:r>
      <w:r>
        <w:rPr>
          <w:rStyle w:val="FootnoteAnchor"/>
          <w:rtl w:val="true"/>
        </w:rPr>
        <w:footnoteReference w:id="247"/>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 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مسح ببقيّة ما بقي في يديه رأسه و رجليه</w:t>
      </w:r>
      <w:r>
        <w:rPr>
          <w:rFonts w:eastAsia="Amiri" w:cs="Amiri" w:ascii="Amiri" w:hAnsi="Amiri"/>
          <w:color w:val="111111"/>
          <w:sz w:val="28"/>
          <w:szCs w:val="28"/>
          <w:rtl w:val="true"/>
          <w:lang w:bidi="ar-SA"/>
        </w:rPr>
        <w:t xml:space="preserve">) </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لو كان استقبال الشّعر حراما لوجب بيانه،لأنّ تأخير البيان عن وقت الحاجة لا يجوز</w:t>
      </w:r>
      <w:r>
        <w:rPr>
          <w:rFonts w:eastAsia="Amiri" w:cs="Amiri" w:ascii="Amiri" w:hAnsi="Amiri"/>
          <w:color w:val="111111"/>
          <w:sz w:val="28"/>
          <w:szCs w:val="28"/>
          <w:rtl w:val="true"/>
          <w:lang w:bidi="ar-SA"/>
        </w:rPr>
        <w:t>.</w:t>
      </w:r>
    </w:p>
    <w:p>
      <w:pPr>
        <w:pStyle w:val="Heading6"/>
        <w:numPr>
          <w:ilvl w:val="5"/>
          <w:numId w:val="1"/>
        </w:numPr>
        <w:rPr/>
      </w:pPr>
      <w:bookmarkStart w:id="178" w:name="__RefHeading___Toc795269_222507752"/>
      <w:bookmarkStart w:id="179" w:name="_Toc74"/>
      <w:bookmarkEnd w:id="178"/>
      <w:r>
        <w:rPr>
          <w:rtl w:val="true"/>
        </w:rPr>
        <w:t>الخامس</w:t>
      </w:r>
      <w:r>
        <w:rPr>
          <w:rtl w:val="true"/>
        </w:rPr>
        <w:t>:</w:t>
      </w:r>
      <w:r>
        <w:rPr>
          <w:rtl w:val="true"/>
        </w:rPr>
        <w:t>يجوز المسح على البشرة و على شعرها</w:t>
      </w:r>
      <w:bookmarkEnd w:id="179"/>
    </w:p>
    <w:p>
      <w:pPr>
        <w:pStyle w:val="BookText"/>
        <w:rPr/>
      </w:pPr>
      <w:r>
        <w:rPr>
          <w:rFonts w:ascii="Amiri" w:hAnsi="Amiri" w:eastAsia="Amiri" w:cs="Amiri"/>
          <w:color w:val="111111"/>
          <w:sz w:val="28"/>
          <w:sz w:val="28"/>
          <w:szCs w:val="28"/>
          <w:rtl w:val="true"/>
          <w:lang w:bidi="ar-SA"/>
        </w:rPr>
        <w:t xml:space="preserve">،خلافا لبعض الجمهور،حيث ذهب إلى وجوب المسح على الشّعر </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تعالى وَ امْسَحُوا بِرُؤُسِكُمْ </w:t>
      </w:r>
      <w:r>
        <w:rPr>
          <w:rStyle w:val="FootnoteAnchor"/>
          <w:rtl w:val="true"/>
        </w:rPr>
        <w:footnoteReference w:id="251"/>
      </w:r>
      <w:r>
        <w:rPr>
          <w:rFonts w:ascii="Amiri" w:hAnsi="Amiri" w:eastAsia="Amiri" w:cs="Amiri"/>
          <w:color w:val="111111"/>
          <w:sz w:val="28"/>
          <w:sz w:val="28"/>
          <w:szCs w:val="28"/>
          <w:rtl w:val="true"/>
          <w:lang w:bidi="ar-SA"/>
        </w:rPr>
        <w:t>و هو يتناول البشرة حقيقة،و إنّما صيّر إلى الشّعر لمحلّ الضرورة،فعلى تقدير التّوصّل وجب الإجزاء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احتجّ المخالف بأنّ الفرض قد انتقل إلى الشعر،كما انتقل في غسل اللّحية، فكما لم يجزئه هناك غسل الباطن فكذا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اعتبرنا الظّاهر في اللّحية،لانتقال اسم الوجه إليه،و زواله عن البشرة،بخلاف الرّأس الّذي اسمه لازم مع ستره بالشّعر فافترقا</w:t>
      </w:r>
      <w:r>
        <w:rPr>
          <w:rFonts w:eastAsia="Amiri" w:cs="Amiri" w:ascii="Amiri" w:hAnsi="Amiri"/>
          <w:color w:val="111111"/>
          <w:sz w:val="28"/>
          <w:szCs w:val="28"/>
          <w:rtl w:val="true"/>
          <w:lang w:bidi="ar-SA"/>
        </w:rPr>
        <w:t>.</w:t>
      </w:r>
    </w:p>
    <w:p>
      <w:pPr>
        <w:pStyle w:val="Heading6"/>
        <w:numPr>
          <w:ilvl w:val="5"/>
          <w:numId w:val="1"/>
        </w:numPr>
        <w:rPr/>
      </w:pPr>
      <w:bookmarkStart w:id="180" w:name="__RefHeading___Toc795271_222507752"/>
      <w:bookmarkStart w:id="181" w:name="_Toc75"/>
      <w:bookmarkEnd w:id="180"/>
      <w:r>
        <w:rPr>
          <w:rtl w:val="true"/>
        </w:rPr>
        <w:t>السّادس</w:t>
      </w:r>
      <w:r>
        <w:rPr>
          <w:rtl w:val="true"/>
        </w:rPr>
        <w:t>:</w:t>
      </w:r>
      <w:r>
        <w:rPr>
          <w:rtl w:val="true"/>
        </w:rPr>
        <w:t>لا يجوز المسح على حائل غير الشّعر</w:t>
      </w:r>
      <w:bookmarkEnd w:id="181"/>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كالعمامة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مذهب علمائنا </w:t>
      </w:r>
    </w:p>
    <w:p>
      <w:pPr>
        <w:pStyle w:val="BookText"/>
        <w:rPr/>
      </w:pPr>
      <w:r>
        <w:rPr>
          <w:rFonts w:ascii="Amiri" w:hAnsi="Amiri" w:eastAsia="Amiri" w:cs="Amiri"/>
          <w:color w:val="111111"/>
          <w:sz w:val="28"/>
          <w:sz w:val="28"/>
          <w:szCs w:val="28"/>
          <w:rtl w:val="true"/>
          <w:lang w:bidi="ar-SA"/>
        </w:rPr>
        <w:t xml:space="preserve">أجمع،و به قال الشّافعيّ </w:t>
      </w:r>
      <w:r>
        <w:rPr>
          <w:rStyle w:val="FootnoteAnchor"/>
          <w:rtl w:val="true"/>
        </w:rPr>
        <w:footnoteReference w:id="252"/>
      </w:r>
      <w:r>
        <w:rPr>
          <w:rFonts w:ascii="Amiri" w:hAnsi="Amiri" w:eastAsia="Amiri" w:cs="Amiri"/>
          <w:color w:val="111111"/>
          <w:sz w:val="28"/>
          <w:sz w:val="28"/>
          <w:szCs w:val="28"/>
          <w:rtl w:val="true"/>
          <w:lang w:bidi="ar-SA"/>
        </w:rPr>
        <w:t xml:space="preserve">،و مالك </w:t>
      </w:r>
      <w:r>
        <w:rPr>
          <w:rStyle w:val="FootnoteAnchor"/>
          <w:rtl w:val="true"/>
        </w:rPr>
        <w:footnoteReference w:id="253"/>
      </w:r>
      <w:r>
        <w:rPr>
          <w:rFonts w:ascii="Amiri" w:hAnsi="Amiri" w:eastAsia="Amiri" w:cs="Amiri"/>
          <w:color w:val="111111"/>
          <w:sz w:val="28"/>
          <w:sz w:val="28"/>
          <w:szCs w:val="28"/>
          <w:rtl w:val="true"/>
          <w:lang w:bidi="ar-SA"/>
        </w:rPr>
        <w:t xml:space="preserve">،و أبو حنيفة </w:t>
      </w:r>
      <w:r>
        <w:rPr>
          <w:rStyle w:val="FootnoteAnchor"/>
          <w:rtl w:val="true"/>
        </w:rPr>
        <w:footnoteReference w:id="25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الثّوريّ، و الأوزاعيّ </w:t>
      </w:r>
      <w:r>
        <w:rPr>
          <w:rStyle w:val="FootnoteAnchor"/>
          <w:rtl w:val="true"/>
        </w:rPr>
        <w:footnoteReference w:id="255"/>
      </w:r>
      <w:r>
        <w:rPr>
          <w:rFonts w:ascii="IRNazanin" w:hAnsi="IRNazanin" w:eastAsia="IRNazanin"/>
          <w:color w:val="111111"/>
          <w:sz w:val="28"/>
          <w:sz w:val="28"/>
          <w:szCs w:val="28"/>
          <w:rtl w:val="true"/>
          <w:lang w:bidi="fa-IR"/>
        </w:rPr>
        <w:t xml:space="preserve">،و أحمد </w:t>
      </w:r>
      <w:r>
        <w:rPr>
          <w:rStyle w:val="FootnoteAnchor"/>
          <w:rtl w:val="true"/>
        </w:rPr>
        <w:footnoteReference w:id="256"/>
      </w:r>
      <w:r>
        <w:rPr>
          <w:rFonts w:ascii="Amiri" w:hAnsi="Amiri" w:eastAsia="Amiri" w:cs="Amiri"/>
          <w:color w:val="111111"/>
          <w:sz w:val="28"/>
          <w:sz w:val="28"/>
          <w:szCs w:val="28"/>
          <w:rtl w:val="true"/>
          <w:lang w:bidi="ar-SA"/>
        </w:rPr>
        <w:t>،و داود،و إسحاق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يجوز ذلك </w:t>
      </w:r>
      <w:r>
        <w:rPr>
          <w:rStyle w:val="FootnoteAnchor"/>
          <w:rtl w:val="true"/>
        </w:rPr>
        <w:footnoteReference w:id="257"/>
      </w:r>
      <w:r>
        <w:rPr>
          <w:rFonts w:ascii="Amiri" w:hAnsi="Amiri" w:eastAsia="Amiri" w:cs="Amiri"/>
          <w:color w:val="111111"/>
          <w:sz w:val="28"/>
          <w:sz w:val="28"/>
          <w:szCs w:val="28"/>
          <w:rtl w:val="true"/>
          <w:lang w:bidi="ar-SA"/>
        </w:rPr>
        <w:t>،إلاّ انّ أحمد،و الأوزاعيّ 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يجوز إذا لبسها على طهارة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بعض أصحاب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يجوز ذلك إذا كانت تحت الحنك </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تعالى وَ امْسَحُوا بِرُؤُسِكُمْ و الباء إمّا للإلصاق أو للتّبعيض،و على كلا التّقديرين يجب المسح على البشرة ما لم تكن ضرورة مانعة كالشّعر</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رواه الجمهور من صفة وضوء رسول اللّه صلّى اللّه عليه و آله انّه مسح برأسه </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 xml:space="preserve">. </w:t>
      </w:r>
      <w:bookmarkStart w:id="182" w:name="pg12669_112844"/>
    </w:p>
    <w:p>
      <w:pPr>
        <w:pStyle w:val="BookText"/>
        <w:rPr/>
      </w:pPr>
      <w:bookmarkEnd w:id="182"/>
      <w:r>
        <w:rPr>
          <w:rFonts w:ascii="Amiri" w:hAnsi="Amiri" w:eastAsia="Amiri" w:cs="Amiri"/>
          <w:color w:val="111111"/>
          <w:sz w:val="28"/>
          <w:sz w:val="28"/>
          <w:szCs w:val="28"/>
          <w:rtl w:val="true"/>
          <w:lang w:bidi="ar-SA"/>
        </w:rPr>
        <w:t>و روى الشّيخ،عن حمّاد،عن الحسين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رجل توضّأ و هو معتمّ فثقل عليه نزع العمامة لمكان البرد؟فقال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ليدخل إصبعه</w:t>
      </w:r>
      <w:r>
        <w:rPr>
          <w:rFonts w:eastAsia="Amiri" w:cs="Amiri" w:ascii="Amiri" w:hAnsi="Amiri"/>
          <w:color w:val="111111"/>
          <w:sz w:val="28"/>
          <w:szCs w:val="28"/>
          <w:rtl w:val="true"/>
          <w:lang w:bidi="ar-SA"/>
        </w:rPr>
        <w:t xml:space="preserve">» </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83" w:name="__RefHeading___Toc795273_222507752"/>
      <w:bookmarkStart w:id="184" w:name="_Toc76"/>
      <w:bookmarkEnd w:id="183"/>
      <w:r>
        <w:rPr>
          <w:rtl w:val="true"/>
        </w:rPr>
        <w:t>تذنيب</w:t>
      </w:r>
      <w:r>
        <w:rPr>
          <w:rtl w:val="true"/>
        </w:rPr>
        <w:t>:</w:t>
      </w:r>
      <w:r>
        <w:rPr>
          <w:rtl w:val="true"/>
        </w:rPr>
        <w:t>لا فرق بين أن يكون الحائل ثخينا يمنع من وصول ماء المسح إلى الرّأس،أو</w:t>
      </w:r>
      <w:bookmarkEnd w:id="184"/>
    </w:p>
    <w:p>
      <w:pPr>
        <w:pStyle w:val="BookText"/>
        <w:rPr/>
      </w:pPr>
      <w:r>
        <w:rPr>
          <w:rFonts w:ascii="Amiri" w:hAnsi="Amiri" w:eastAsia="Amiri" w:cs="Amiri"/>
          <w:color w:val="111111"/>
          <w:sz w:val="28"/>
          <w:sz w:val="28"/>
          <w:szCs w:val="28"/>
          <w:rtl w:val="true"/>
          <w:lang w:bidi="ar-SA"/>
        </w:rPr>
        <w:t>يكون رقيقا</w:t>
      </w:r>
    </w:p>
    <w:p>
      <w:pPr>
        <w:pStyle w:val="BookText"/>
        <w:rPr/>
      </w:pPr>
      <w:r>
        <w:rPr>
          <w:rFonts w:ascii="Amiri" w:hAnsi="Amiri" w:eastAsia="Amiri" w:cs="Amiri"/>
          <w:color w:val="111111"/>
          <w:sz w:val="28"/>
          <w:sz w:val="28"/>
          <w:szCs w:val="28"/>
          <w:rtl w:val="true"/>
          <w:lang w:bidi="ar-SA"/>
        </w:rPr>
        <w:t>لا يمنع،عملا بالآية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أبو حنيفة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w:t>
      </w:r>
      <w:r>
        <w:rPr>
          <w:rStyle w:val="FootnoteAnchor"/>
          <w:rtl w:val="true"/>
        </w:rPr>
        <w:footnoteReference w:id="261"/>
      </w:r>
      <w:r>
        <w:rPr>
          <w:rFonts w:ascii="Amiri" w:hAnsi="Amiri" w:eastAsia="Amiri" w:cs="Amiri"/>
          <w:color w:val="111111"/>
          <w:sz w:val="28"/>
          <w:sz w:val="28"/>
          <w:szCs w:val="28"/>
          <w:rtl w:val="true"/>
          <w:lang w:bidi="ar-SA"/>
        </w:rPr>
        <w:t xml:space="preserve">كان رقيقا ينفذ الماء منه و يبلغ ربع الرّأس أجزأه </w:t>
      </w:r>
      <w:r>
        <w:rPr>
          <w:rStyle w:val="FootnoteAnchor"/>
          <w:rtl w:val="true"/>
        </w:rPr>
        <w:footnoteReference w:id="262"/>
      </w:r>
      <w:r>
        <w:rPr>
          <w:rFonts w:ascii="IRNazanin" w:hAnsi="IRNazanin" w:eastAsia="IRNazanin"/>
          <w:color w:val="111111"/>
          <w:sz w:val="28"/>
          <w:sz w:val="28"/>
          <w:szCs w:val="28"/>
          <w:rtl w:val="true"/>
          <w:lang w:bidi="fa-IR"/>
        </w:rPr>
        <w:t>،و هذا بناء على أصله من استئناف الماء</w:t>
      </w:r>
      <w:r>
        <w:rPr>
          <w:rFonts w:eastAsia="IRNazanin" w:cs="IRNazanin"/>
          <w:color w:val="111111"/>
          <w:sz w:val="28"/>
          <w:szCs w:val="28"/>
          <w:rtl w:val="true"/>
          <w:lang w:bidi="fa-IR"/>
        </w:rPr>
        <w:t>.</w:t>
      </w:r>
    </w:p>
    <w:p>
      <w:pPr>
        <w:pStyle w:val="Heading6"/>
        <w:numPr>
          <w:ilvl w:val="5"/>
          <w:numId w:val="1"/>
        </w:numPr>
        <w:rPr/>
      </w:pPr>
      <w:bookmarkStart w:id="185" w:name="__RefHeading___Toc795275_222507752"/>
      <w:bookmarkStart w:id="186" w:name="_Toc77"/>
      <w:bookmarkEnd w:id="185"/>
      <w:r>
        <w:rPr>
          <w:rtl w:val="true"/>
        </w:rPr>
        <w:t>السّابع</w:t>
      </w:r>
      <w:r>
        <w:rPr>
          <w:rtl w:val="true"/>
        </w:rPr>
        <w:t>:</w:t>
      </w:r>
      <w:r>
        <w:rPr>
          <w:rtl w:val="true"/>
        </w:rPr>
        <w:t>يستحبّ أن تضع المرأة القناع،</w:t>
      </w:r>
      <w:bookmarkEnd w:id="186"/>
    </w:p>
    <w:p>
      <w:pPr>
        <w:pStyle w:val="BookText"/>
        <w:rPr/>
      </w:pPr>
      <w:r>
        <w:rPr>
          <w:rFonts w:ascii="Amiri" w:hAnsi="Amiri" w:eastAsia="Amiri" w:cs="Amiri"/>
          <w:color w:val="111111"/>
          <w:sz w:val="28"/>
          <w:sz w:val="28"/>
          <w:szCs w:val="28"/>
          <w:rtl w:val="true"/>
          <w:lang w:bidi="ar-SA"/>
        </w:rPr>
        <w:t xml:space="preserve">و يتأكّد في المغرب و الصّبح،لما رواه الشّيخ،عن أبي عبد اللّه عليه السّلام،و قد تقدّم في حديث عبد اللّه بن الحسين بن زيد </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87" w:name="__RefHeading___Toc795277_222507752"/>
      <w:bookmarkStart w:id="188" w:name="_Toc78"/>
      <w:bookmarkEnd w:id="187"/>
      <w:r>
        <w:rPr>
          <w:rtl w:val="true"/>
        </w:rPr>
        <w:t>الثّامن</w:t>
      </w:r>
      <w:r>
        <w:rPr>
          <w:rtl w:val="true"/>
        </w:rPr>
        <w:t>:</w:t>
      </w:r>
      <w:r>
        <w:rPr>
          <w:rtl w:val="true"/>
        </w:rPr>
        <w:t>لا يمسح على الجمّة و لا على ما يجمع على مقدّم الرأس من غير شعر</w:t>
      </w:r>
      <w:bookmarkEnd w:id="188"/>
    </w:p>
    <w:p>
      <w:pPr>
        <w:pStyle w:val="BookText"/>
        <w:rPr/>
      </w:pPr>
      <w:r>
        <w:rPr>
          <w:rFonts w:ascii="Amiri" w:hAnsi="Amiri" w:eastAsia="Amiri" w:cs="Amiri"/>
          <w:color w:val="111111"/>
          <w:sz w:val="28"/>
          <w:sz w:val="28"/>
          <w:szCs w:val="28"/>
          <w:rtl w:val="true"/>
          <w:lang w:bidi="ar-SA"/>
        </w:rPr>
        <w:t>المقدّم</w:t>
      </w:r>
    </w:p>
    <w:p>
      <w:pPr>
        <w:pStyle w:val="BookText"/>
        <w:rPr/>
      </w:pPr>
      <w:r>
        <w:rPr>
          <w:rStyle w:val="FootnoteAnchor"/>
          <w:rtl w:val="true"/>
        </w:rPr>
        <w:footnoteReference w:id="2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حائل غير ضروريّ،فأشبه العمامة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خضب رأسه بما يستره،أو طيّنه بساتر،لم يجز المسح على الخضاب و الطّين، لأنّه لم يمسح على محلّ الفرض،فأشبه المسح على العمامة</w:t>
      </w:r>
      <w:r>
        <w:rPr>
          <w:rFonts w:eastAsia="Amiri" w:cs="Amiri" w:ascii="Amiri" w:hAnsi="Amiri"/>
          <w:color w:val="111111"/>
          <w:sz w:val="28"/>
          <w:szCs w:val="28"/>
          <w:rtl w:val="true"/>
          <w:lang w:bidi="ar-SA"/>
        </w:rPr>
        <w:t>.</w:t>
      </w:r>
    </w:p>
    <w:p>
      <w:pPr>
        <w:pStyle w:val="Heading6"/>
        <w:numPr>
          <w:ilvl w:val="5"/>
          <w:numId w:val="1"/>
        </w:numPr>
        <w:rPr/>
      </w:pPr>
      <w:bookmarkStart w:id="189" w:name="__RefHeading___Toc795279_222507752"/>
      <w:bookmarkStart w:id="190" w:name="_Toc79"/>
      <w:bookmarkEnd w:id="189"/>
      <w:r>
        <w:rPr>
          <w:rtl w:val="true"/>
        </w:rPr>
        <w:t>التّاسع</w:t>
      </w:r>
      <w:r>
        <w:rPr>
          <w:rtl w:val="true"/>
        </w:rPr>
        <w:t>:</w:t>
      </w:r>
      <w:r>
        <w:rPr>
          <w:rtl w:val="true"/>
        </w:rPr>
        <w:t>لو كان على رأسه جمّة فأدخل يده تحتها و مسح على رأسه،أجزأه،</w:t>
      </w:r>
      <w:bookmarkEnd w:id="190"/>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لحصول الامتثال بالمسح على الرّأس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نقل الشّيخ،عن الشّافعيّ عدم الجواز </w:t>
      </w:r>
      <w:r>
        <w:rPr>
          <w:rStyle w:val="FootnoteAnchor"/>
          <w:rtl w:val="true"/>
        </w:rPr>
        <w:footnoteReference w:id="265"/>
      </w:r>
      <w:r>
        <w:rPr>
          <w:rFonts w:ascii="Amiri" w:hAnsi="Amiri" w:eastAsia="Amiri" w:cs="Amiri"/>
          <w:color w:val="111111"/>
          <w:sz w:val="28"/>
          <w:sz w:val="28"/>
          <w:szCs w:val="28"/>
          <w:rtl w:val="true"/>
          <w:lang w:bidi="ar-SA"/>
        </w:rPr>
        <w:t>،و هو ضعيف</w:t>
      </w:r>
      <w:r>
        <w:rPr>
          <w:rFonts w:eastAsia="Amiri" w:cs="Amiri" w:ascii="Amiri" w:hAnsi="Amiri"/>
          <w:color w:val="111111"/>
          <w:sz w:val="28"/>
          <w:szCs w:val="28"/>
          <w:rtl w:val="true"/>
          <w:lang w:bidi="ar-SA"/>
        </w:rPr>
        <w:t xml:space="preserve">. </w:t>
      </w:r>
      <w:bookmarkStart w:id="191" w:name="pg12669_112845"/>
    </w:p>
    <w:p>
      <w:pPr>
        <w:pStyle w:val="Heading6"/>
        <w:numPr>
          <w:ilvl w:val="5"/>
          <w:numId w:val="1"/>
        </w:numPr>
        <w:rPr/>
      </w:pPr>
      <w:bookmarkStart w:id="192" w:name="__RefHeading___Toc795281_222507752"/>
      <w:bookmarkStart w:id="193" w:name="_Toc80"/>
      <w:bookmarkEnd w:id="191"/>
      <w:bookmarkEnd w:id="192"/>
      <w:r>
        <w:rPr>
          <w:rtl w:val="true"/>
        </w:rPr>
        <w:t>العاشر</w:t>
      </w:r>
      <w:r>
        <w:rPr>
          <w:rtl w:val="true"/>
        </w:rPr>
        <w:t>:</w:t>
      </w:r>
      <w:r>
        <w:rPr>
          <w:rtl w:val="true"/>
        </w:rPr>
        <w:t>يجب المسح في الرّأس و الرّجلين ببقيّة البلل</w:t>
      </w:r>
      <w:bookmarkEnd w:id="193"/>
    </w:p>
    <w:p>
      <w:pPr>
        <w:pStyle w:val="BookText"/>
        <w:rPr/>
      </w:pPr>
      <w:r>
        <w:rPr>
          <w:rFonts w:ascii="Amiri" w:hAnsi="Amiri" w:eastAsia="Amiri" w:cs="Amiri"/>
          <w:color w:val="111111"/>
          <w:sz w:val="28"/>
          <w:sz w:val="28"/>
          <w:szCs w:val="28"/>
          <w:rtl w:val="true"/>
          <w:lang w:bidi="ar-SA"/>
        </w:rPr>
        <w:t xml:space="preserve">،و لا يجوز الاستئناف، و أوجب الجمهور الاستئناف </w:t>
      </w:r>
      <w:r>
        <w:rPr>
          <w:rStyle w:val="FootnoteAnchor"/>
          <w:rtl w:val="true"/>
        </w:rPr>
        <w:footnoteReference w:id="266"/>
      </w:r>
      <w:r>
        <w:rPr>
          <w:rFonts w:ascii="Amiri" w:hAnsi="Amiri" w:eastAsia="Amiri" w:cs="Amiri"/>
          <w:color w:val="111111"/>
          <w:sz w:val="28"/>
          <w:sz w:val="28"/>
          <w:szCs w:val="28"/>
          <w:rtl w:val="true"/>
          <w:lang w:bidi="ar-SA"/>
        </w:rPr>
        <w:t xml:space="preserve">إلاّ مالكا </w:t>
      </w:r>
      <w:r>
        <w:rPr>
          <w:rStyle w:val="FootnoteAnchor"/>
          <w:rtl w:val="true"/>
        </w:rPr>
        <w:footnoteReference w:id="267"/>
      </w:r>
      <w:r>
        <w:rPr>
          <w:rFonts w:ascii="Amiri" w:hAnsi="Amiri" w:eastAsia="Amiri" w:cs="Amiri"/>
          <w:color w:val="111111"/>
          <w:sz w:val="28"/>
          <w:sz w:val="28"/>
          <w:szCs w:val="28"/>
          <w:rtl w:val="true"/>
          <w:lang w:bidi="ar-SA"/>
        </w:rPr>
        <w:t xml:space="preserve">،فإنّه أجاز المسح بالبقيّة،و هو منقول عن الحسن،و عروة،و الأوزاعي </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الجمهور،عن عثمان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مسح رسول اللّه صلّى اللّه عليه و آله مقدّم رأسه بيده مرّة واحدة و لم يستأنف له ماء جديدا </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طريق الخاصّة،ما رواه الشّيخ في الصّحيح،عن زرارة بن أعين،قال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حكى لنا أبو جعفر عليه السّلام وضوء رسول اللّه صلّى اللّه عليه و آله 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مسح ببقيّة ما بقي في يديه رأسه و رجليه و لم يعدها في الإناء</w:t>
      </w:r>
      <w:r>
        <w:rPr>
          <w:rFonts w:eastAsia="Amiri" w:cs="Amiri" w:ascii="Amiri" w:hAnsi="Amiri"/>
          <w:color w:val="111111"/>
          <w:sz w:val="28"/>
          <w:szCs w:val="28"/>
          <w:rtl w:val="true"/>
          <w:lang w:bidi="ar-SA"/>
        </w:rPr>
        <w:t xml:space="preserve">) </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روى،عن بكير و زرارة أيضا،عن أبي جعفر عليه السّلام صفة وضوء رسول اللّه صلّى اللّه عليه و آله 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مسح رأسه و قدميه إلى الكعبين بفضل كفّيه،لم يجدّد ماء</w:t>
      </w:r>
      <w:r>
        <w:rPr>
          <w:rFonts w:eastAsia="Amiri" w:cs="Amiri" w:ascii="Amiri" w:hAnsi="Amiri"/>
          <w:color w:val="111111"/>
          <w:sz w:val="28"/>
          <w:szCs w:val="28"/>
          <w:rtl w:val="true"/>
          <w:lang w:bidi="ar-SA"/>
        </w:rPr>
        <w:t xml:space="preserve">) </w:t>
      </w:r>
      <w:r>
        <w:rPr>
          <w:rStyle w:val="FootnoteAnchor"/>
          <w:rtl w:val="true"/>
        </w:rPr>
        <w:footnoteReference w:id="27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فعله عليه السّلام بيان للمجمل،فيكون واجبا</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الشّيخ في الصّحيح،عن أبي عبيدة الحذّاء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وضّأت أبا جعفر عليه السّلام بجمع و قد بال و ناولته ماء فاستنجى،ثمَّ صببت عليه كفّا فغسل به وجهه، و كفّا غسل به ذراعه الأيمن،و كفّا غسل به ذراعه الأيسر،ثمَّ مسح بفضل اليد رأسه </w:t>
      </w:r>
      <w:bookmarkStart w:id="194" w:name="pg12669_112846"/>
    </w:p>
    <w:p>
      <w:pPr>
        <w:pStyle w:val="BookText"/>
        <w:rPr/>
      </w:pPr>
      <w:bookmarkEnd w:id="194"/>
      <w:r>
        <w:rPr>
          <w:rFonts w:ascii="Amiri" w:hAnsi="Amiri" w:eastAsia="Amiri" w:cs="Amiri"/>
          <w:color w:val="111111"/>
          <w:sz w:val="28"/>
          <w:sz w:val="28"/>
          <w:szCs w:val="28"/>
          <w:rtl w:val="true"/>
          <w:lang w:bidi="ar-SA"/>
        </w:rPr>
        <w:t xml:space="preserve">و رجليه </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ابن الجنيد من أصحابنا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كان بيد المتطهّر نداوة يستبقيها من غسل يده، مسح بيمينه رأسه و رجله اليمنى،و بيده اليسرى رجله اليسرى،و إن لم يستبق ذلك أخذ ماء جديدا لرأسه و رجليه </w:t>
      </w:r>
      <w:r>
        <w:rPr>
          <w:rStyle w:val="FootnoteAnchor"/>
          <w:rtl w:val="true"/>
        </w:rPr>
        <w:footnoteReference w:id="27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ذلك ظاهر في جواز الاستئناف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احتجّ بما رواه معمّر بن خلاد،قال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الحسن عليه السّلام أ يجزي الرّجل أن يمسح قدميه بفضل رأسه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برأسه 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بماء جديد؟فقال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برأسه، 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رواه الشّيخ في الصّحيح </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بما رواه في الصّحيح،عن أبي بصير،قال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مسح الرّأس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أمسح بما في يدي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الندى</w:t>
      </w:r>
      <w:r>
        <w:rPr>
          <w:rFonts w:eastAsia="Amiri" w:cs="Amiri" w:ascii="Amiri" w:hAnsi="Amiri"/>
          <w:color w:val="111111"/>
          <w:sz w:val="28"/>
          <w:szCs w:val="28"/>
          <w:rtl w:val="true"/>
          <w:lang w:bidi="ar-SA"/>
        </w:rPr>
        <w:t xml:space="preserve">] </w:t>
      </w:r>
      <w:r>
        <w:rPr>
          <w:rStyle w:val="FootnoteAnchor"/>
          <w:rtl w:val="true"/>
        </w:rPr>
        <w:footnoteReference w:id="275"/>
      </w:r>
      <w:r>
        <w:rPr>
          <w:rFonts w:ascii="Amiri" w:hAnsi="Amiri" w:eastAsia="Amiri" w:cs="Amiri"/>
          <w:color w:val="111111"/>
          <w:sz w:val="28"/>
          <w:sz w:val="28"/>
          <w:szCs w:val="28"/>
          <w:rtl w:val="true"/>
          <w:lang w:bidi="ar-SA"/>
        </w:rPr>
        <w:t>رأسي؟قال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بل تضع يدك في الماء،ثمَّ تمسح</w:t>
      </w:r>
      <w:r>
        <w:rPr>
          <w:rFonts w:eastAsia="Amiri" w:cs="Amiri" w:ascii="Amiri" w:hAnsi="Amiri"/>
          <w:color w:val="111111"/>
          <w:sz w:val="28"/>
          <w:szCs w:val="28"/>
          <w:rtl w:val="true"/>
          <w:lang w:bidi="ar-SA"/>
        </w:rPr>
        <w:t xml:space="preserve">) </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هذان محمولان على التّقيّة،و معارضان بالأحاديث المتقدّمة </w:t>
      </w:r>
      <w:r>
        <w:rPr>
          <w:rStyle w:val="FootnoteAnchor"/>
          <w:rtl w:val="true"/>
        </w:rPr>
        <w:footnoteReference w:id="277"/>
      </w:r>
      <w:r>
        <w:rPr>
          <w:rFonts w:ascii="Amiri" w:hAnsi="Amiri" w:eastAsia="Amiri" w:cs="Amiri"/>
          <w:color w:val="111111"/>
          <w:sz w:val="28"/>
          <w:sz w:val="28"/>
          <w:szCs w:val="28"/>
          <w:rtl w:val="true"/>
          <w:lang w:bidi="ar-SA"/>
        </w:rPr>
        <w:t>، و بوجوب الموالاة المستدعية لعدم الاستئناف،بخلاف غسل اليدين الّذي لا يمكن إلاّ به و بالاحتياط</w:t>
      </w:r>
      <w:r>
        <w:rPr>
          <w:rFonts w:eastAsia="Amiri" w:cs="Amiri" w:ascii="Amiri" w:hAnsi="Amiri"/>
          <w:color w:val="111111"/>
          <w:sz w:val="28"/>
          <w:szCs w:val="28"/>
          <w:rtl w:val="true"/>
          <w:lang w:bidi="ar-SA"/>
        </w:rPr>
        <w:t>.</w:t>
      </w:r>
    </w:p>
    <w:p>
      <w:pPr>
        <w:pStyle w:val="Heading6"/>
        <w:numPr>
          <w:ilvl w:val="5"/>
          <w:numId w:val="1"/>
        </w:numPr>
        <w:rPr/>
      </w:pPr>
      <w:bookmarkStart w:id="195" w:name="__RefHeading___Toc795283_222507752"/>
      <w:bookmarkStart w:id="196" w:name="_Toc81"/>
      <w:bookmarkEnd w:id="195"/>
      <w:r>
        <w:rPr>
          <w:rtl w:val="true"/>
        </w:rPr>
        <w:t>الحادي عشر</w:t>
      </w:r>
      <w:r>
        <w:rPr>
          <w:rtl w:val="true"/>
        </w:rPr>
        <w:t>:</w:t>
      </w:r>
      <w:r>
        <w:rPr>
          <w:rtl w:val="true"/>
        </w:rPr>
        <w:t>لو غسل موضع المسح لم يجزئه</w:t>
      </w:r>
      <w:r>
        <w:rPr>
          <w:rtl w:val="true"/>
        </w:rPr>
        <w:t>.</w:t>
      </w:r>
      <w:bookmarkEnd w:id="196"/>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قال علماؤنا أجمع،و قال </w:t>
      </w:r>
      <w:bookmarkStart w:id="197" w:name="pg12669_112847"/>
    </w:p>
    <w:p>
      <w:pPr>
        <w:pStyle w:val="BookText"/>
        <w:rPr/>
      </w:pPr>
      <w:bookmarkEnd w:id="197"/>
      <w:r>
        <w:rPr>
          <w:rFonts w:ascii="Amiri" w:hAnsi="Amiri" w:eastAsia="Amiri" w:cs="Amiri"/>
          <w:color w:val="111111"/>
          <w:sz w:val="28"/>
          <w:sz w:val="28"/>
          <w:szCs w:val="28"/>
          <w:rtl w:val="true"/>
          <w:lang w:bidi="ar-SA"/>
        </w:rPr>
        <w:t xml:space="preserve">الشّافعي بالجواز </w:t>
      </w:r>
      <w:r>
        <w:rPr>
          <w:rStyle w:val="FootnoteAnchor"/>
          <w:rtl w:val="true"/>
        </w:rPr>
        <w:footnoteReference w:id="278"/>
      </w:r>
      <w:r>
        <w:rPr>
          <w:rFonts w:ascii="Amiri" w:hAnsi="Amiri" w:eastAsia="Amiri" w:cs="Amiri"/>
          <w:color w:val="111111"/>
          <w:sz w:val="28"/>
          <w:sz w:val="28"/>
          <w:szCs w:val="28"/>
          <w:rtl w:val="true"/>
          <w:lang w:bidi="ar-SA"/>
        </w:rPr>
        <w:t xml:space="preserve">،و هو أحد قولي أحمد </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الواجب المسح،فلا يجزي ما غايره كالغسل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رواه الجمهور في صفة وضوء رسول اللّه صلّى اللّه عليه و آله انّه مسح و أمر بالمسح </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طريق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 في الصّحيح،عن زرارة،عن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أنّك توضّأت فجعلت مسح الرّجلين غسلا،ثمَّ أضمرت انّ ذلك من المفروض لم يكن بوضوء</w:t>
      </w:r>
      <w:r>
        <w:rPr>
          <w:rFonts w:eastAsia="Amiri" w:cs="Amiri" w:ascii="Amiri" w:hAnsi="Amiri"/>
          <w:color w:val="111111"/>
          <w:sz w:val="28"/>
          <w:szCs w:val="28"/>
          <w:rtl w:val="true"/>
          <w:lang w:bidi="ar-SA"/>
        </w:rPr>
        <w:t xml:space="preserve">) </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رواه،عن محمّد بن مروان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يأتي على الرّجل ستّون و سبعون سنة ما قبل اللّه منه 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كيف ذلك؟قال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يغسل ما أمر اللّه بمسحه</w:t>
      </w:r>
      <w:r>
        <w:rPr>
          <w:rFonts w:eastAsia="Amiri" w:cs="Amiri" w:ascii="Amiri" w:hAnsi="Amiri"/>
          <w:color w:val="111111"/>
          <w:sz w:val="28"/>
          <w:szCs w:val="28"/>
          <w:rtl w:val="true"/>
          <w:lang w:bidi="ar-SA"/>
        </w:rPr>
        <w:t xml:space="preserve">) </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98" w:name="__RefHeading___Toc795285_222507752"/>
      <w:bookmarkStart w:id="199" w:name="_Toc82"/>
      <w:bookmarkEnd w:id="198"/>
      <w:r>
        <w:rPr>
          <w:rtl w:val="true"/>
        </w:rPr>
        <w:t>الثّاني عشر</w:t>
      </w:r>
      <w:r>
        <w:rPr>
          <w:rtl w:val="true"/>
        </w:rPr>
        <w:t>:</w:t>
      </w:r>
      <w:r>
        <w:rPr>
          <w:rtl w:val="true"/>
        </w:rPr>
        <w:t>لو ذكر انّه لم يمسح،مسح ببقيّة النّداوة</w:t>
      </w:r>
      <w:bookmarkEnd w:id="199"/>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لم يبق في يديه، أخذ من لحيته و أشفار عينيه و حاجبيه و مسح،و لو لم يبق أعاد،لما رواه الشّيخ،عن زرارة،عن أبي عبد اللّه عليه السّلام،في الرّجل ينسى مسح رأسه حتّى يدخل في الصّلاة؟قال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كان في لحيته بلل بقدر ما يمسح رأسه و رجليه فليفعل ذلك </w:t>
      </w:r>
      <w:bookmarkStart w:id="200" w:name="pg12669_112848"/>
    </w:p>
    <w:p>
      <w:pPr>
        <w:pStyle w:val="BookText"/>
        <w:rPr/>
      </w:pPr>
      <w:bookmarkEnd w:id="200"/>
      <w:r>
        <w:rPr>
          <w:rFonts w:ascii="Amiri" w:hAnsi="Amiri" w:eastAsia="Amiri" w:cs="Amiri"/>
          <w:color w:val="111111"/>
          <w:sz w:val="28"/>
          <w:sz w:val="28"/>
          <w:szCs w:val="28"/>
          <w:rtl w:val="true"/>
          <w:lang w:bidi="ar-SA"/>
        </w:rPr>
        <w:t>و ليصلّ</w:t>
      </w:r>
      <w:r>
        <w:rPr>
          <w:rFonts w:eastAsia="Amiri" w:cs="Amiri" w:ascii="Amiri" w:hAnsi="Amiri"/>
          <w:color w:val="111111"/>
          <w:sz w:val="28"/>
          <w:szCs w:val="28"/>
          <w:rtl w:val="true"/>
          <w:lang w:bidi="ar-SA"/>
        </w:rPr>
        <w:t xml:space="preserve">) </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في الحسن،عن الحلبي،عن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يكفيك من مسح رأسك أن تأخذ من لحيتك بللها إذا نسيت أن تمسح رأسك فتمسح به مقدّم رأسك</w:t>
      </w:r>
      <w:r>
        <w:rPr>
          <w:rFonts w:eastAsia="Amiri" w:cs="Amiri" w:ascii="Amiri" w:hAnsi="Amiri"/>
          <w:color w:val="111111"/>
          <w:sz w:val="28"/>
          <w:szCs w:val="28"/>
          <w:rtl w:val="true"/>
          <w:lang w:bidi="ar-SA"/>
        </w:rPr>
        <w:t xml:space="preserve">) </w:t>
      </w:r>
      <w:r>
        <w:rPr>
          <w:rStyle w:val="FootnoteAnchor"/>
          <w:rtl w:val="true"/>
        </w:rPr>
        <w:footnoteReference w:id="284"/>
      </w:r>
      <w:r>
        <w:rPr>
          <w:rFonts w:ascii="Amiri" w:hAnsi="Amiri" w:eastAsia="Amiri" w:cs="Amiri"/>
          <w:color w:val="111111"/>
          <w:sz w:val="28"/>
          <w:sz w:val="28"/>
          <w:szCs w:val="28"/>
          <w:rtl w:val="true"/>
          <w:lang w:bidi="ar-SA"/>
        </w:rPr>
        <w:t>قاله في الذّاكر للتّرك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في الصّحيح،عن زرارة،عن أبي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شككت في مسح رأسك فأصبت في لحيتك بللا فامسح بها عليه و على ظهر قدميك</w:t>
      </w:r>
      <w:r>
        <w:rPr>
          <w:rFonts w:eastAsia="Amiri" w:cs="Amiri" w:ascii="Amiri" w:hAnsi="Amiri"/>
          <w:color w:val="111111"/>
          <w:sz w:val="28"/>
          <w:szCs w:val="28"/>
          <w:rtl w:val="true"/>
          <w:lang w:bidi="ar-SA"/>
        </w:rPr>
        <w:t xml:space="preserve">) </w:t>
      </w:r>
      <w:r>
        <w:rPr>
          <w:rStyle w:val="FootnoteAnchor"/>
          <w:rtl w:val="true"/>
        </w:rPr>
        <w:footnoteReference w:id="285"/>
      </w:r>
      <w:r>
        <w:rPr>
          <w:rFonts w:ascii="Amiri" w:hAnsi="Amiri" w:eastAsia="Amiri" w:cs="Amiri"/>
          <w:color w:val="111111"/>
          <w:sz w:val="28"/>
          <w:sz w:val="28"/>
          <w:szCs w:val="28"/>
          <w:rtl w:val="true"/>
          <w:lang w:bidi="ar-SA"/>
        </w:rPr>
        <w:t>و لأنّه ماء الوضوء،فأشبه ما لو كان على اليد،إذ الاعتبار بالبقيّة لا بمحلّها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فرق بين أن يكون ذلك البلل بقيّة الغسلة الأولى أو الثّانية،لأنّ كلّ واحد منهما ماء الوضوء</w:t>
      </w:r>
      <w:r>
        <w:rPr>
          <w:rFonts w:eastAsia="Amiri" w:cs="Amiri" w:ascii="Amiri" w:hAnsi="Amiri"/>
          <w:color w:val="111111"/>
          <w:sz w:val="28"/>
          <w:szCs w:val="28"/>
          <w:rtl w:val="true"/>
          <w:lang w:bidi="ar-SA"/>
        </w:rPr>
        <w:t>.</w:t>
      </w:r>
    </w:p>
    <w:p>
      <w:pPr>
        <w:pStyle w:val="Heading6"/>
        <w:numPr>
          <w:ilvl w:val="5"/>
          <w:numId w:val="1"/>
        </w:numPr>
        <w:rPr/>
      </w:pPr>
      <w:bookmarkStart w:id="201" w:name="__RefHeading___Toc795287_222507752"/>
      <w:bookmarkStart w:id="202" w:name="_Toc83"/>
      <w:bookmarkEnd w:id="201"/>
      <w:r>
        <w:rPr>
          <w:rtl w:val="true"/>
        </w:rPr>
        <w:t>الثّالث عشر</w:t>
      </w:r>
      <w:r>
        <w:rPr>
          <w:rtl w:val="true"/>
        </w:rPr>
        <w:t>:</w:t>
      </w:r>
      <w:r>
        <w:rPr>
          <w:rtl w:val="true"/>
        </w:rPr>
        <w:t>لو مسح رأسه بخرقة مبلولة أو خشبة،لم يجزئه</w:t>
      </w:r>
      <w:bookmarkEnd w:id="202"/>
    </w:p>
    <w:p>
      <w:pPr>
        <w:pStyle w:val="BookText"/>
        <w:rPr/>
      </w:pPr>
      <w:r>
        <w:rPr>
          <w:rFonts w:ascii="Amiri" w:hAnsi="Amiri" w:eastAsia="Amiri" w:cs="Amiri"/>
          <w:color w:val="111111"/>
          <w:sz w:val="28"/>
          <w:sz w:val="28"/>
          <w:szCs w:val="28"/>
          <w:rtl w:val="true"/>
          <w:lang w:bidi="ar-SA"/>
        </w:rPr>
        <w:t>عندنا قولا واحدا، لأنّه ماء جديد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القائلون بجواز الاستيناف اختلفوا،فذهب بعضهم إلى الجواز،لأنّه فعل المأمور به،و آخرون منعوا </w:t>
      </w:r>
      <w:r>
        <w:rPr>
          <w:rStyle w:val="FootnoteAnchor"/>
          <w:rtl w:val="true"/>
        </w:rPr>
        <w:footnoteReference w:id="286"/>
      </w:r>
      <w:r>
        <w:rPr>
          <w:rFonts w:ascii="Amiri" w:hAnsi="Amiri" w:eastAsia="Amiri" w:cs="Amiri"/>
          <w:color w:val="111111"/>
          <w:sz w:val="28"/>
          <w:sz w:val="28"/>
          <w:szCs w:val="28"/>
          <w:rtl w:val="true"/>
          <w:lang w:bidi="ar-SA"/>
        </w:rPr>
        <w:t>،و هو الأصحّ،لأنّ النّبيّ صلّى اللّه عليه و آله مسح بيده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وضع على رأسه خرقة مبلولة،فابتلّ بها رأسه،أو وضع خرقة،ثمَّ بلّها حتّى ابتلّ شعره،لم يجزئه قولا واحدا،لأنّ ذلك ليس بمسح و لا غسل</w:t>
      </w:r>
      <w:r>
        <w:rPr>
          <w:rFonts w:eastAsia="Amiri" w:cs="Amiri" w:ascii="Amiri" w:hAnsi="Amiri"/>
          <w:color w:val="111111"/>
          <w:sz w:val="28"/>
          <w:szCs w:val="28"/>
          <w:rtl w:val="true"/>
          <w:lang w:bidi="ar-SA"/>
        </w:rPr>
        <w:t>.</w:t>
      </w:r>
    </w:p>
    <w:p>
      <w:pPr>
        <w:pStyle w:val="Heading6"/>
        <w:numPr>
          <w:ilvl w:val="5"/>
          <w:numId w:val="1"/>
        </w:numPr>
        <w:rPr/>
      </w:pPr>
      <w:bookmarkStart w:id="203" w:name="__RefHeading___Toc795289_222507752"/>
      <w:bookmarkStart w:id="204" w:name="_Toc84"/>
      <w:bookmarkEnd w:id="203"/>
      <w:r>
        <w:rPr>
          <w:rtl w:val="true"/>
        </w:rPr>
        <w:t>الرّابع عشر</w:t>
      </w:r>
      <w:r>
        <w:rPr>
          <w:rtl w:val="true"/>
        </w:rPr>
        <w:t>:</w:t>
      </w:r>
      <w:r>
        <w:rPr>
          <w:rtl w:val="true"/>
        </w:rPr>
        <w:t>إن مسح بإصبع واحدة،أو إصبعين أجزأه</w:t>
      </w:r>
      <w:bookmarkEnd w:id="204"/>
    </w:p>
    <w:p>
      <w:pPr>
        <w:pStyle w:val="BookText"/>
        <w:rPr/>
      </w:pPr>
      <w:r>
        <w:rPr>
          <w:rFonts w:ascii="IRNazanin" w:hAnsi="IRNazanin" w:eastAsia="IRNazanin"/>
          <w:color w:val="111111"/>
          <w:sz w:val="28"/>
          <w:sz w:val="28"/>
          <w:szCs w:val="28"/>
          <w:rtl w:val="true"/>
          <w:lang w:bidi="fa-IR"/>
        </w:rPr>
        <w:t>عندنا،لأنّ الاعتبار بأقلّ الاسم</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من قال من أصحابنا بوجوب ثلاث أصابع،فإنّه لا يجزئه إلاّ إذا مسح بها ما </w:t>
      </w:r>
      <w:bookmarkStart w:id="205" w:name="pg12669_112849"/>
    </w:p>
    <w:p>
      <w:pPr>
        <w:pStyle w:val="BookText"/>
        <w:rPr/>
      </w:pPr>
      <w:bookmarkEnd w:id="205"/>
      <w:r>
        <w:rPr>
          <w:rFonts w:ascii="Amiri" w:hAnsi="Amiri" w:eastAsia="Amiri" w:cs="Amiri"/>
          <w:color w:val="111111"/>
          <w:sz w:val="28"/>
          <w:sz w:val="28"/>
          <w:szCs w:val="28"/>
          <w:rtl w:val="true"/>
          <w:lang w:bidi="ar-SA"/>
        </w:rPr>
        <w:t xml:space="preserve">يجب مسحه </w:t>
      </w:r>
      <w:r>
        <w:rPr>
          <w:rStyle w:val="FootnoteAnchor"/>
          <w:rtl w:val="true"/>
        </w:rPr>
        <w:footnoteReference w:id="287"/>
      </w:r>
      <w:r>
        <w:rPr>
          <w:rFonts w:ascii="Amiri" w:hAnsi="Amiri" w:eastAsia="Amiri" w:cs="Amiri"/>
          <w:color w:val="111111"/>
          <w:sz w:val="28"/>
          <w:sz w:val="28"/>
          <w:szCs w:val="28"/>
          <w:rtl w:val="true"/>
          <w:lang w:bidi="ar-SA"/>
        </w:rPr>
        <w:t>،فالأولى على قولهم الإجزاء،لأنّ السّيّد احتجّ بما رواه معمّر بن عمر، عن أبي جعفر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يجزي من مسح الرّأس موضع ثلاث أصابع</w:t>
      </w:r>
      <w:r>
        <w:rPr>
          <w:rFonts w:eastAsia="Amiri" w:cs="Amiri" w:ascii="Amiri" w:hAnsi="Amiri"/>
          <w:color w:val="111111"/>
          <w:sz w:val="28"/>
          <w:szCs w:val="28"/>
          <w:rtl w:val="true"/>
          <w:lang w:bidi="ar-SA"/>
        </w:rPr>
        <w:t xml:space="preserve">) </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أمّا الجمهور الموجبون لمقدار </w:t>
      </w:r>
      <w:r>
        <w:rPr>
          <w:rStyle w:val="FootnoteAnchor"/>
          <w:rtl w:val="true"/>
        </w:rPr>
        <w:footnoteReference w:id="289"/>
      </w:r>
      <w:r>
        <w:rPr>
          <w:rFonts w:ascii="IRNazanin" w:hAnsi="IRNazanin" w:eastAsia="IRNazanin"/>
          <w:color w:val="111111"/>
          <w:sz w:val="28"/>
          <w:sz w:val="28"/>
          <w:szCs w:val="28"/>
          <w:rtl w:val="true"/>
          <w:lang w:bidi="fa-IR"/>
        </w:rPr>
        <w:t xml:space="preserve">ثلاث أصابع،فقد اختلفوا هاهنا،فقال زفر بالجواز </w:t>
      </w:r>
      <w:r>
        <w:rPr>
          <w:rStyle w:val="FootnoteAnchor"/>
          <w:rtl w:val="true"/>
        </w:rPr>
        <w:footnoteReference w:id="29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يجوز </w:t>
      </w:r>
      <w:r>
        <w:rPr>
          <w:rStyle w:val="FootnoteAnchor"/>
          <w:rtl w:val="true"/>
        </w:rPr>
        <w:footnoteReference w:id="29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كان الواجب عنده مسح جميع الرّأس إذا استوعبه </w:t>
      </w:r>
      <w:r>
        <w:rPr>
          <w:rStyle w:val="FootnoteAnchor"/>
          <w:rtl w:val="true"/>
        </w:rPr>
        <w:footnoteReference w:id="292"/>
      </w:r>
      <w:r>
        <w:rPr>
          <w:rFonts w:ascii="Amiri" w:hAnsi="Amiri" w:eastAsia="Amiri" w:cs="Amiri"/>
          <w:color w:val="111111"/>
          <w:sz w:val="28"/>
          <w:sz w:val="28"/>
          <w:szCs w:val="28"/>
          <w:rtl w:val="true"/>
          <w:lang w:bidi="ar-SA"/>
        </w:rPr>
        <w:t>بالإصبع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أبو حنيفة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يجوز </w:t>
      </w:r>
      <w:r>
        <w:rPr>
          <w:rStyle w:val="FootnoteAnchor"/>
          <w:rtl w:val="true"/>
        </w:rPr>
        <w:footnoteReference w:id="29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الخلاف ينشأ من كون المستعمل طهورا أم لا</w:t>
      </w:r>
      <w:r>
        <w:rPr>
          <w:rFonts w:eastAsia="Amiri" w:cs="Amiri" w:ascii="Amiri" w:hAnsi="Amiri"/>
          <w:color w:val="111111"/>
          <w:sz w:val="28"/>
          <w:szCs w:val="28"/>
          <w:rtl w:val="true"/>
          <w:lang w:bidi="ar-SA"/>
        </w:rPr>
        <w:t>.</w:t>
      </w:r>
    </w:p>
    <w:p>
      <w:pPr>
        <w:pStyle w:val="Heading6"/>
        <w:numPr>
          <w:ilvl w:val="5"/>
          <w:numId w:val="1"/>
        </w:numPr>
        <w:rPr/>
      </w:pPr>
      <w:bookmarkStart w:id="206" w:name="__RefHeading___Toc795291_222507752"/>
      <w:bookmarkStart w:id="207" w:name="_Toc85"/>
      <w:bookmarkEnd w:id="206"/>
      <w:r>
        <w:rPr>
          <w:rtl w:val="true"/>
        </w:rPr>
        <w:t>الخامس عشر</w:t>
      </w:r>
      <w:r>
        <w:rPr>
          <w:rtl w:val="true"/>
        </w:rPr>
        <w:t>:</w:t>
      </w:r>
      <w:r>
        <w:rPr>
          <w:rtl w:val="true"/>
        </w:rPr>
        <w:t>مسح جميع الرّأس غير مستحبّ و لا مسح الأذنين،</w:t>
      </w:r>
      <w:bookmarkEnd w:id="207"/>
    </w:p>
    <w:p>
      <w:pPr>
        <w:pStyle w:val="BookText"/>
        <w:rPr/>
      </w:pPr>
      <w:r>
        <w:rPr>
          <w:rFonts w:ascii="Amiri" w:hAnsi="Amiri" w:eastAsia="Amiri" w:cs="Amiri"/>
          <w:color w:val="111111"/>
          <w:sz w:val="28"/>
          <w:sz w:val="28"/>
          <w:szCs w:val="28"/>
          <w:rtl w:val="true"/>
          <w:lang w:bidi="ar-SA"/>
        </w:rPr>
        <w:t xml:space="preserve">خلافا للشّافعيّ </w:t>
      </w:r>
      <w:r>
        <w:rPr>
          <w:rStyle w:val="FootnoteAnchor"/>
          <w:rtl w:val="true"/>
        </w:rPr>
        <w:footnoteReference w:id="294"/>
      </w:r>
      <w:r>
        <w:rPr>
          <w:rFonts w:ascii="Amiri" w:hAnsi="Amiri" w:eastAsia="Amiri" w:cs="Amiri"/>
          <w:color w:val="111111"/>
          <w:sz w:val="28"/>
          <w:sz w:val="28"/>
          <w:szCs w:val="28"/>
          <w:rtl w:val="true"/>
          <w:lang w:bidi="ar-SA"/>
        </w:rPr>
        <w:t xml:space="preserve">لأنّ عثمان نقل في وضوء رسول اللّه صلّى اللّه عليه و آله كيفيّة المسح،و لم ينقل مسح الجميع بل المقدّم </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طريق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وصفه أبو جعفر عليه السّلام من وضوء رسول اللّه صلّى اللّه عليه و آله </w:t>
      </w:r>
      <w:r>
        <w:rPr>
          <w:rStyle w:val="FootnoteAnchor"/>
          <w:rtl w:val="true"/>
        </w:rPr>
        <w:footnoteReference w:id="296"/>
      </w:r>
      <w:r>
        <w:rPr>
          <w:rFonts w:ascii="Amiri" w:hAnsi="Amiri" w:eastAsia="Amiri" w:cs="Amiri"/>
          <w:color w:val="111111"/>
          <w:sz w:val="28"/>
          <w:sz w:val="28"/>
          <w:szCs w:val="28"/>
          <w:rtl w:val="true"/>
          <w:lang w:bidi="ar-SA"/>
        </w:rPr>
        <w:t>،فإذا لم يفعله كان غير موظّف شرعا،فلا اعتداد به</w:t>
      </w:r>
      <w:r>
        <w:rPr>
          <w:rFonts w:eastAsia="Amiri" w:cs="Amiri" w:ascii="Amiri" w:hAnsi="Amiri"/>
          <w:color w:val="111111"/>
          <w:sz w:val="28"/>
          <w:szCs w:val="28"/>
          <w:rtl w:val="true"/>
          <w:lang w:bidi="ar-SA"/>
        </w:rPr>
        <w:t xml:space="preserve">. </w:t>
      </w:r>
      <w:bookmarkStart w:id="208" w:name="pg12669_112850"/>
    </w:p>
    <w:p>
      <w:pPr>
        <w:pStyle w:val="Heading6"/>
        <w:numPr>
          <w:ilvl w:val="5"/>
          <w:numId w:val="1"/>
        </w:numPr>
        <w:rPr/>
      </w:pPr>
      <w:bookmarkStart w:id="209" w:name="__RefHeading___Toc795293_222507752"/>
      <w:bookmarkStart w:id="210" w:name="_Toc86"/>
      <w:bookmarkEnd w:id="208"/>
      <w:bookmarkEnd w:id="209"/>
      <w:r>
        <w:rPr>
          <w:rtl w:val="true"/>
        </w:rPr>
        <w:t>السّادس عشر</w:t>
      </w:r>
      <w:r>
        <w:rPr>
          <w:rtl w:val="true"/>
        </w:rPr>
        <w:t>:</w:t>
      </w:r>
      <w:r>
        <w:rPr>
          <w:rtl w:val="true"/>
        </w:rPr>
        <w:t>لو أصاب رأسه من ماء المطر لم يجزئه</w:t>
      </w:r>
      <w:bookmarkEnd w:id="210"/>
    </w:p>
    <w:p>
      <w:pPr>
        <w:pStyle w:val="BookText"/>
        <w:rPr/>
      </w:pPr>
      <w:r>
        <w:rPr>
          <w:rFonts w:ascii="Amiri" w:hAnsi="Amiri" w:eastAsia="Amiri" w:cs="Amiri"/>
          <w:color w:val="111111"/>
          <w:sz w:val="28"/>
          <w:sz w:val="28"/>
          <w:szCs w:val="28"/>
          <w:rtl w:val="true"/>
          <w:lang w:bidi="ar-SA"/>
        </w:rPr>
        <w:t>لأنّه ماء مستأنف،و الشّرط استعمال الماء الباقي من نداوة الوضوء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أبو حنيفة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أصاب مقدار ثلاث أصابع أجزأه،مسحه باليد أو لم يمسحه </w:t>
      </w:r>
      <w:r>
        <w:rPr>
          <w:rStyle w:val="FootnoteAnchor"/>
          <w:rtl w:val="true"/>
        </w:rPr>
        <w:footnoteReference w:id="29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ضعيف لما قلناه،و لو سلّمنا </w:t>
      </w:r>
      <w:r>
        <w:rPr>
          <w:rStyle w:val="FootnoteAnchor"/>
          <w:rtl w:val="true"/>
        </w:rPr>
        <w:footnoteReference w:id="298"/>
      </w:r>
      <w:r>
        <w:rPr>
          <w:rFonts w:ascii="Amiri" w:hAnsi="Amiri" w:eastAsia="Amiri" w:cs="Amiri"/>
          <w:color w:val="111111"/>
          <w:sz w:val="28"/>
          <w:sz w:val="28"/>
          <w:szCs w:val="28"/>
          <w:rtl w:val="true"/>
          <w:lang w:bidi="ar-SA"/>
        </w:rPr>
        <w:t>لكنّ الواجب المسح و لم يحصل</w:t>
      </w:r>
      <w:r>
        <w:rPr>
          <w:rFonts w:eastAsia="Amiri" w:cs="Amiri" w:ascii="Amiri" w:hAnsi="Amiri"/>
          <w:color w:val="111111"/>
          <w:sz w:val="28"/>
          <w:szCs w:val="28"/>
          <w:rtl w:val="true"/>
          <w:lang w:bidi="ar-SA"/>
        </w:rPr>
        <w:t>.</w:t>
      </w:r>
    </w:p>
    <w:p>
      <w:pPr>
        <w:pStyle w:val="Heading6"/>
        <w:numPr>
          <w:ilvl w:val="5"/>
          <w:numId w:val="1"/>
        </w:numPr>
        <w:rPr/>
      </w:pPr>
      <w:bookmarkStart w:id="211" w:name="__RefHeading___Toc795295_222507752"/>
      <w:bookmarkStart w:id="212" w:name="_Toc87"/>
      <w:bookmarkEnd w:id="211"/>
      <w:r>
        <w:rPr>
          <w:rtl w:val="true"/>
        </w:rPr>
        <w:t>السابع عشر</w:t>
      </w:r>
      <w:r>
        <w:rPr>
          <w:rtl w:val="true"/>
        </w:rPr>
        <w:t>:</w:t>
      </w:r>
      <w:r>
        <w:rPr>
          <w:rtl w:val="true"/>
        </w:rPr>
        <w:t>لا يستحبّ مسح العنق،و لو اعتقده كان بدعة</w:t>
      </w:r>
      <w:r>
        <w:rPr>
          <w:rtl w:val="true"/>
        </w:rPr>
        <w:t>.</w:t>
      </w:r>
      <w:bookmarkEnd w:id="212"/>
    </w:p>
    <w:p>
      <w:pPr>
        <w:pStyle w:val="BookText"/>
        <w:rPr/>
      </w:pPr>
      <w:r>
        <w:rPr>
          <w:rFonts w:ascii="Amiri" w:hAnsi="Amiri" w:eastAsia="Amiri" w:cs="Amiri"/>
          <w:color w:val="111111"/>
          <w:sz w:val="28"/>
          <w:sz w:val="28"/>
          <w:szCs w:val="28"/>
          <w:rtl w:val="true"/>
          <w:lang w:bidi="ar-SA"/>
        </w:rPr>
        <w:t>قال شارح الطّحاويّ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عند أصحابنا المتقدّمين فيه رواية،قال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الفقيه أبي جعفر الهندوانيّ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يمسح على العنق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الشّافعي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يستحبّ المسح على الرّقبة </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الجمهور،عن عثمان في صفة وضوء رسول اللّه صلّى اللّه عليه و آله، و لم يذكر فيه العنق و لا الرّقبة،و رووه أيضا عنه عليه السّلام و قال عقيب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زاد أو نقص فقد تعدّى</w:t>
      </w:r>
      <w:r>
        <w:rPr>
          <w:rFonts w:eastAsia="Amiri" w:cs="Amiri" w:ascii="Amiri" w:hAnsi="Amiri"/>
          <w:color w:val="111111"/>
          <w:sz w:val="28"/>
          <w:szCs w:val="28"/>
          <w:rtl w:val="true"/>
          <w:lang w:bidi="ar-SA"/>
        </w:rPr>
        <w:t xml:space="preserve">) </w:t>
      </w:r>
      <w:r>
        <w:rPr>
          <w:rStyle w:val="FootnoteAnchor"/>
          <w:rtl w:val="true"/>
        </w:rPr>
        <w:footnoteReference w:id="300"/>
      </w:r>
      <w:r>
        <w:rPr>
          <w:rFonts w:ascii="Amiri" w:hAnsi="Amiri" w:eastAsia="Amiri" w:cs="Amiri"/>
          <w:color w:val="111111"/>
          <w:sz w:val="28"/>
          <w:sz w:val="28"/>
          <w:szCs w:val="28"/>
          <w:rtl w:val="true"/>
          <w:lang w:bidi="ar-SA"/>
        </w:rPr>
        <w:t>عقيب وضوئه ثلاثا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بالتّعدّي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التّجاوز عن محالّ الوضوء و أمكنته لا العدد،لأنّ نقص العدد جائز اتّفاقا،فإنّ الواجب مرّة واحدة</w:t>
      </w:r>
      <w:r>
        <w:rPr>
          <w:rFonts w:eastAsia="Amiri" w:cs="Amiri" w:ascii="Amiri" w:hAnsi="Amiri"/>
          <w:color w:val="111111"/>
          <w:sz w:val="28"/>
          <w:szCs w:val="28"/>
          <w:rtl w:val="true"/>
          <w:lang w:bidi="ar-SA"/>
        </w:rPr>
        <w:t>.</w:t>
      </w:r>
    </w:p>
    <w:p>
      <w:pPr>
        <w:pStyle w:val="Heading6"/>
        <w:numPr>
          <w:ilvl w:val="5"/>
          <w:numId w:val="1"/>
        </w:numPr>
        <w:rPr/>
      </w:pPr>
      <w:bookmarkStart w:id="213" w:name="__RefHeading___Toc795297_222507752"/>
      <w:bookmarkStart w:id="214" w:name="_Toc88"/>
      <w:bookmarkEnd w:id="213"/>
      <w:r>
        <w:rPr>
          <w:rtl w:val="true"/>
        </w:rPr>
        <w:t>الثّامن عشر</w:t>
      </w:r>
      <w:r>
        <w:rPr>
          <w:rtl w:val="true"/>
        </w:rPr>
        <w:t>:</w:t>
      </w:r>
      <w:r>
        <w:rPr>
          <w:rtl w:val="true"/>
        </w:rPr>
        <w:t>لا يجوز المسح على الأذنين</w:t>
      </w:r>
      <w:bookmarkEnd w:id="214"/>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ذهب إليه علماؤنا أجمع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الشّافعيّ</w:t>
      </w:r>
      <w:r>
        <w:rPr>
          <w:rFonts w:eastAsia="Amiri" w:cs="Amiri" w:ascii="Amiri" w:hAnsi="Amiri"/>
          <w:color w:val="111111"/>
          <w:sz w:val="28"/>
          <w:szCs w:val="28"/>
          <w:rtl w:val="true"/>
          <w:lang w:bidi="ar-SA"/>
        </w:rPr>
        <w:t xml:space="preserve">: </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حكم الأذنين منفرد عن الرّأس و الوجه،فيأخذ لهما ماء جديدا يمسح به ظاهرهما و باطنهما </w:t>
      </w:r>
      <w:r>
        <w:rPr>
          <w:rStyle w:val="FootnoteAnchor"/>
          <w:rtl w:val="true"/>
        </w:rPr>
        <w:footnoteReference w:id="301"/>
      </w:r>
      <w:r>
        <w:rPr>
          <w:rFonts w:ascii="Amiri" w:hAnsi="Amiri" w:eastAsia="Amiri" w:cs="Amiri"/>
          <w:color w:val="111111"/>
          <w:sz w:val="28"/>
          <w:sz w:val="28"/>
          <w:szCs w:val="28"/>
          <w:rtl w:val="true"/>
          <w:lang w:bidi="ar-SA"/>
        </w:rPr>
        <w:t xml:space="preserve">،و حكى ذلك عن ابن عمر،و به قال أبو ثور </w:t>
      </w:r>
      <w:r>
        <w:rPr>
          <w:rStyle w:val="FootnoteAnchor"/>
          <w:rtl w:val="true"/>
        </w:rPr>
        <w:footnoteReference w:id="30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مالك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هما من الرّأس،و يستحب أن يأخذ لهما ماء جديدا </w:t>
      </w:r>
      <w:r>
        <w:rPr>
          <w:rStyle w:val="FootnoteAnchor"/>
          <w:rtl w:val="true"/>
        </w:rPr>
        <w:footnoteReference w:id="303"/>
      </w:r>
      <w:r>
        <w:rPr>
          <w:rFonts w:ascii="Amiri" w:hAnsi="Amiri" w:eastAsia="Amiri" w:cs="Amiri"/>
          <w:color w:val="111111"/>
          <w:sz w:val="28"/>
          <w:sz w:val="28"/>
          <w:szCs w:val="28"/>
          <w:rtl w:val="true"/>
          <w:lang w:bidi="ar-SA"/>
        </w:rPr>
        <w:t>،و قال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هما من الرّأس،و يجب مسحهما </w:t>
      </w:r>
      <w:r>
        <w:rPr>
          <w:rStyle w:val="FootnoteAnchor"/>
          <w:rtl w:val="true"/>
        </w:rPr>
        <w:footnoteReference w:id="304"/>
      </w:r>
      <w:r>
        <w:rPr>
          <w:rFonts w:ascii="Amiri" w:hAnsi="Amiri" w:eastAsia="Amiri" w:cs="Amiri"/>
          <w:color w:val="111111"/>
          <w:sz w:val="28"/>
          <w:sz w:val="28"/>
          <w:szCs w:val="28"/>
          <w:rtl w:val="true"/>
          <w:lang w:bidi="ar-SA"/>
        </w:rPr>
        <w:t xml:space="preserve">على الرّواية التي توجب استيعاب الرّأس </w:t>
      </w:r>
      <w:r>
        <w:rPr>
          <w:rStyle w:val="FootnoteAnchor"/>
          <w:rtl w:val="true"/>
        </w:rPr>
        <w:footnoteReference w:id="305"/>
      </w:r>
      <w:r>
        <w:rPr>
          <w:rFonts w:ascii="Amiri" w:hAnsi="Amiri" w:eastAsia="Amiri" w:cs="Amiri"/>
          <w:color w:val="111111"/>
          <w:sz w:val="28"/>
          <w:sz w:val="28"/>
          <w:szCs w:val="28"/>
          <w:rtl w:val="true"/>
          <w:lang w:bidi="ar-SA"/>
        </w:rPr>
        <w:t xml:space="preserve">،و يجزي أن يمسحهما بماء الرّأس،و روى الجمهور،عن عبد اللّه بن عبّاس انّهما من الرّأس يمسحان بماء الرّأس </w:t>
      </w:r>
      <w:r>
        <w:rPr>
          <w:rStyle w:val="FootnoteAnchor"/>
          <w:rtl w:val="true"/>
        </w:rPr>
        <w:footnoteReference w:id="30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به قال عطاء،و الحسن البصريّ </w:t>
      </w:r>
      <w:r>
        <w:rPr>
          <w:rStyle w:val="FootnoteAnchor"/>
          <w:rtl w:val="true"/>
        </w:rPr>
        <w:footnoteReference w:id="307"/>
      </w:r>
      <w:r>
        <w:rPr>
          <w:rFonts w:ascii="Amiri" w:hAnsi="Amiri" w:eastAsia="Amiri" w:cs="Amiri"/>
          <w:color w:val="111111"/>
          <w:sz w:val="28"/>
          <w:sz w:val="28"/>
          <w:szCs w:val="28"/>
          <w:rtl w:val="true"/>
          <w:lang w:bidi="ar-SA"/>
        </w:rPr>
        <w:t>،و من الفقهاء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الأوزاعي </w:t>
      </w:r>
      <w:r>
        <w:rPr>
          <w:rStyle w:val="FootnoteAnchor"/>
          <w:rtl w:val="true"/>
        </w:rPr>
        <w:footnoteReference w:id="308"/>
      </w:r>
      <w:r>
        <w:rPr>
          <w:rFonts w:ascii="Amiri" w:hAnsi="Amiri" w:eastAsia="Amiri" w:cs="Amiri"/>
          <w:color w:val="111111"/>
          <w:sz w:val="28"/>
          <w:sz w:val="28"/>
          <w:szCs w:val="28"/>
          <w:rtl w:val="true"/>
          <w:lang w:bidi="ar-SA"/>
        </w:rPr>
        <w:t xml:space="preserve">،و أبو حنيفة،و أصحابه </w:t>
      </w:r>
      <w:r>
        <w:rPr>
          <w:rStyle w:val="FootnoteAnchor"/>
          <w:rtl w:val="true"/>
        </w:rPr>
        <w:footnoteReference w:id="30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الزّهريّ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هما من الوجه </w:t>
      </w:r>
      <w:r>
        <w:rPr>
          <w:rStyle w:val="FootnoteAnchor"/>
          <w:rtl w:val="true"/>
        </w:rPr>
        <w:footnoteReference w:id="31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ذهب الشّعبيّ،و الحسن بن صالح بن حيّ إلى انّه يغسل ما أقبل و يمسح ما أدبر منهما مع الرّأس </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 xml:space="preserve">. </w:t>
      </w:r>
      <w:bookmarkStart w:id="215" w:name="pg12669_112852"/>
    </w:p>
    <w:p>
      <w:pPr>
        <w:pStyle w:val="BookText"/>
        <w:rPr/>
      </w:pPr>
      <w:bookmarkEnd w:id="215"/>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رواه الجمهور في حديث عثمان حيث نقل صفة وضوء رسول اللّه صلّى اللّه عليه و آله،و لم ينقلهما </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طريق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روي عنهما عليهما السّلام من صفة وضوء رسول اللّه صلّى اللّه عليه و آله،و لم يذكر الأذنين </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رواه زرارة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جعفر عليه السّلام انّ أناسا يقولون انّ الأذنين من الوجه،و ظهرهما من الرّأس،فقال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عليهما غسل و لا مسح</w:t>
      </w:r>
      <w:r>
        <w:rPr>
          <w:rFonts w:eastAsia="Amiri" w:cs="Amiri" w:ascii="Amiri" w:hAnsi="Amiri"/>
          <w:color w:val="111111"/>
          <w:sz w:val="28"/>
          <w:szCs w:val="28"/>
          <w:rtl w:val="true"/>
          <w:lang w:bidi="ar-SA"/>
        </w:rPr>
        <w:t xml:space="preserve">) </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16" w:name="__RefHeading___Toc795299_222507752"/>
      <w:bookmarkStart w:id="217" w:name="_Toc89"/>
      <w:bookmarkEnd w:id="216"/>
      <w:r>
        <w:rPr>
          <w:rtl w:val="true"/>
        </w:rPr>
        <w:t>التّاسع عشر</w:t>
      </w:r>
      <w:r>
        <w:rPr>
          <w:rtl w:val="true"/>
        </w:rPr>
        <w:t>:</w:t>
      </w:r>
      <w:r>
        <w:rPr>
          <w:rtl w:val="true"/>
        </w:rPr>
        <w:t>لو وضع يده المبتلّة على موضع المسح و رفعها لم يجزئه</w:t>
      </w:r>
      <w:bookmarkEnd w:id="217"/>
    </w:p>
    <w:p>
      <w:pPr>
        <w:pStyle w:val="BookText"/>
        <w:rPr/>
      </w:pPr>
      <w:r>
        <w:rPr>
          <w:rFonts w:ascii="Amiri" w:hAnsi="Amiri" w:eastAsia="Amiri" w:cs="Amiri"/>
          <w:color w:val="111111"/>
          <w:sz w:val="28"/>
          <w:sz w:val="28"/>
          <w:szCs w:val="28"/>
          <w:rtl w:val="true"/>
          <w:lang w:bidi="ar-SA"/>
        </w:rPr>
        <w:t xml:space="preserve">لأنّه لم يأت بالواجب و هو المسح و هو أحد وجهي الشّافعي </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لو مسح بيده على شعر جعد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كالزّنج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كان يخرج بالمدّ عن محلّ الفرض لم يجزئه</w:t>
      </w:r>
      <w:r>
        <w:rPr>
          <w:rFonts w:eastAsia="Amiri" w:cs="Amiri" w:ascii="Amiri" w:hAnsi="Amiri"/>
          <w:color w:val="111111"/>
          <w:sz w:val="28"/>
          <w:szCs w:val="28"/>
          <w:rtl w:val="true"/>
          <w:lang w:bidi="ar-SA"/>
        </w:rPr>
        <w:t>.</w:t>
      </w:r>
    </w:p>
    <w:p>
      <w:pPr>
        <w:pStyle w:val="Heading5"/>
        <w:numPr>
          <w:ilvl w:val="4"/>
          <w:numId w:val="1"/>
        </w:numPr>
        <w:rPr/>
      </w:pPr>
      <w:bookmarkStart w:id="218" w:name="__RefHeading___Toc795301_222507752"/>
      <w:bookmarkStart w:id="219" w:name="_Toc90"/>
      <w:bookmarkEnd w:id="218"/>
      <w:r>
        <w:rPr>
          <w:rtl w:val="true"/>
        </w:rPr>
        <w:t>مسألة</w:t>
      </w:r>
      <w:r>
        <w:rPr>
          <w:rtl w:val="true"/>
        </w:rPr>
        <w:t>:</w:t>
      </w:r>
      <w:r>
        <w:rPr>
          <w:rtl w:val="true"/>
        </w:rPr>
        <w:t>قال علماؤنا</w:t>
      </w:r>
      <w:r>
        <w:rPr>
          <w:rtl w:val="true"/>
        </w:rPr>
        <w:t>:</w:t>
      </w:r>
      <w:r>
        <w:rPr>
          <w:rtl w:val="true"/>
        </w:rPr>
        <w:t>الواجب مسح الرّجلين إلى الكعبين</w:t>
      </w:r>
      <w:r>
        <w:rPr>
          <w:rtl w:val="true"/>
        </w:rPr>
        <w:t>.</w:t>
      </w:r>
      <w:bookmarkEnd w:id="219"/>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هو قول عبد اللّه بن عبّاس </w:t>
      </w:r>
      <w:r>
        <w:rPr>
          <w:rStyle w:val="FootnoteAnchor"/>
          <w:rtl w:val="true"/>
        </w:rPr>
        <w:footnoteReference w:id="316"/>
      </w:r>
      <w:r>
        <w:rPr>
          <w:rFonts w:ascii="Amiri" w:hAnsi="Amiri" w:eastAsia="Amiri" w:cs="Amiri"/>
          <w:color w:val="111111"/>
          <w:sz w:val="28"/>
          <w:sz w:val="28"/>
          <w:szCs w:val="28"/>
          <w:rtl w:val="true"/>
          <w:lang w:bidi="ar-SA"/>
        </w:rPr>
        <w:t xml:space="preserve">من الصّحابة،و قول عليّ عليه السّلام </w:t>
      </w:r>
      <w:r>
        <w:rPr>
          <w:rStyle w:val="FootnoteAnchor"/>
          <w:rtl w:val="true"/>
        </w:rPr>
        <w:footnoteReference w:id="31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أنس بن مالك روى عنه أنّه ذكر له قول الحجّاج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اغسلوا القدمين ظاهرهما و باطنهما و خلّلوا بين الأصابع فإنّه </w:t>
      </w:r>
    </w:p>
    <w:p>
      <w:pPr>
        <w:pStyle w:val="BookText"/>
        <w:rPr/>
      </w:pPr>
      <w:r>
        <w:rPr>
          <w:rFonts w:ascii="Amiri" w:hAnsi="Amiri" w:eastAsia="Amiri" w:cs="Amiri"/>
          <w:color w:val="111111"/>
          <w:sz w:val="28"/>
          <w:sz w:val="28"/>
          <w:szCs w:val="28"/>
          <w:rtl w:val="true"/>
          <w:lang w:bidi="ar-SA"/>
        </w:rPr>
        <w:t>ليس شيء من ابن آدم أقرب من الخبث من قدميه،فقال أنس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صدق اللّه و كذب الحجّاج و تلا قوله فَاغْسِلُوا وُجُوهَكُمْ وَ أَيْدِيَكُمْ إِلَى الْمَرافِقِ وَ امْسَحُوا بِرُؤُسِكُمْ وَ أَرْجُلَكُمْ إِلَى الْكَعْبَيْنِ </w:t>
      </w:r>
      <w:r>
        <w:rPr>
          <w:rStyle w:val="FootnoteAnchor"/>
          <w:rtl w:val="true"/>
        </w:rPr>
        <w:footnoteReference w:id="318"/>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الشّعبي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الوضوء مغسولان و ممسوحان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به قال أبو العالية،و عكرمة </w:t>
      </w:r>
      <w:r>
        <w:rPr>
          <w:rStyle w:val="FootnoteAnchor"/>
          <w:rtl w:val="true"/>
        </w:rPr>
        <w:footnoteReference w:id="320"/>
      </w:r>
      <w:r>
        <w:rPr>
          <w:rFonts w:ascii="Amiri" w:hAnsi="Amiri" w:eastAsia="Amiri" w:cs="Amiri"/>
          <w:color w:val="111111"/>
          <w:sz w:val="28"/>
          <w:sz w:val="28"/>
          <w:szCs w:val="28"/>
          <w:rtl w:val="true"/>
          <w:lang w:bidi="ar-SA"/>
        </w:rPr>
        <w:t>، و قال أبو الحسن البصريّ،و ابن جرير الطّبريّ،و أبو عليّ الجبائيّ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بالتّخيير بين المسح و الغسل </w:t>
      </w:r>
      <w:r>
        <w:rPr>
          <w:rStyle w:val="FootnoteAnchor"/>
          <w:rtl w:val="true"/>
        </w:rPr>
        <w:footnoteReference w:id="32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الفقهاء الأربعة و باقي الجمهور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الواجب الغسل دون المسح </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يجب الغسل و المسح معا </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وجوه</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تعالى وَ امْسَحُوا بِرُؤُسِكُمْ وَ أَرْجُلَكُمْ بالجرّ في قراءة ابن كثير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أبي عمرو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حمزة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رواية أبي بكر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عاصم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Style w:val="FootnoteAnchor"/>
          <w:rtl w:val="true"/>
        </w:rPr>
        <w:footnoteReference w:id="32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ذلك لا يصحّ إلاّ مع العطف على المجرور و هو الرّؤوس،فيجب المشاركة في الحكم،لاتّفاق أهل اللّغة على انّ الواو مشتركة في الإعراب و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الجرّ لا يقتضي العطف على المجرور،لجواز العطف على الأيدي و الجرّ بالمجاورة،فإنّه قد جاء في كلام العرب الجرّ على المجاورة كثيرا كقولهم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جحر ضبّ خرب،و الخرب صفة الجحر </w:t>
      </w:r>
      <w:r>
        <w:rPr>
          <w:rStyle w:val="FootnoteAnchor"/>
          <w:rtl w:val="true"/>
        </w:rPr>
        <w:footnoteReference w:id="325"/>
      </w:r>
      <w:r>
        <w:rPr>
          <w:rFonts w:ascii="IRNazanin" w:hAnsi="IRNazanin" w:eastAsia="IRNazanin"/>
          <w:color w:val="111111"/>
          <w:sz w:val="28"/>
          <w:sz w:val="28"/>
          <w:szCs w:val="28"/>
          <w:rtl w:val="true"/>
          <w:lang w:bidi="fa-IR"/>
        </w:rPr>
        <w:t>المرفوع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كأنّ ثبيرا في عرانين و بله كبير أناس في بجاد مزمّل</w:t>
      </w:r>
    </w:p>
    <w:p>
      <w:pPr>
        <w:pStyle w:val="BookText"/>
        <w:rPr/>
      </w:pPr>
      <w:r>
        <w:rPr>
          <w:rFonts w:ascii="Amiri" w:hAnsi="Amiri" w:eastAsia="Amiri" w:cs="Amiri"/>
          <w:color w:val="111111"/>
          <w:sz w:val="28"/>
          <w:sz w:val="28"/>
          <w:szCs w:val="28"/>
          <w:rtl w:val="true"/>
          <w:lang w:bidi="ar-SA"/>
        </w:rPr>
        <w:t>و المزّمل من صفات الكبير لا البجاد</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لأنّا نقول هذا باطل من وجوه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أمّا 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فلأنّ أهل العربيّة نصّوا على انّ الأعراب بالمجاورة لا يقاس عليه،و إذا خرج إلى هذا الحدّ في الشّذوذ،استحال حمل كلام اللّه تعالى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فلأنّ الأخفش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لم يرد الإعراب بالمجاورة في كتاب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فكيف يصحّ حمله عليه مع إنكار مثل هذا الرّجل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ثالثا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فلأنّ الإعراب بالمجاورة إنّما يسوغ في موضع يزول فيه الاشتباه،كما في المثل و البيت،أمّا في مثل هذه الآية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رابعا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فلأنّ المجاورة إنّما تصحّ مع عدم حرف العطف،كما في المثال و البيت،أمّا مع وجوده فلا</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قوله تعالى وَ حُورٌ عِينٌ </w:t>
      </w:r>
      <w:r>
        <w:rPr>
          <w:rStyle w:val="FootnoteAnchor"/>
          <w:rtl w:val="true"/>
        </w:rPr>
        <w:footnoteReference w:id="326"/>
      </w:r>
      <w:r>
        <w:rPr>
          <w:rFonts w:ascii="Amiri" w:hAnsi="Amiri" w:eastAsia="Amiri" w:cs="Amiri"/>
          <w:color w:val="111111"/>
          <w:sz w:val="28"/>
          <w:sz w:val="28"/>
          <w:szCs w:val="28"/>
          <w:rtl w:val="true"/>
          <w:lang w:bidi="ar-SA"/>
        </w:rPr>
        <w:t>على قراءة من قرأ بالجرّ ليس من هذا الباب،قال أبو عليّ الفارسي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كتابه الحجّة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عطف على قوله أُولئِكَ الْمُقَرَّبُونَ فِي جَنّاتِ النَّعِيمِ </w:t>
      </w:r>
      <w:r>
        <w:rPr>
          <w:rStyle w:val="FootnoteAnchor"/>
          <w:rtl w:val="true"/>
        </w:rPr>
        <w:footnoteReference w:id="327"/>
      </w:r>
      <w:r>
        <w:rPr>
          <w:rFonts w:ascii="Amiri" w:hAnsi="Amiri" w:eastAsia="Amiri" w:cs="Amiri"/>
          <w:color w:val="111111"/>
          <w:sz w:val="28"/>
          <w:sz w:val="28"/>
          <w:szCs w:val="28"/>
          <w:rtl w:val="true"/>
          <w:lang w:bidi="ar-SA"/>
        </w:rPr>
        <w:t>و يكون قد حذف المضاف،و تقديره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أولئك في جنّات النّعيم و في مقارنة حور عين أو في معاشرة حور عين </w:t>
      </w:r>
      <w:r>
        <w:rPr>
          <w:rStyle w:val="FootnoteAnchor"/>
          <w:rtl w:val="true"/>
        </w:rPr>
        <w:footnoteReference w:id="32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هذا الوجه حسن على انّ أكثر القرّاء قرؤا </w:t>
      </w:r>
    </w:p>
    <w:p>
      <w:pPr>
        <w:pStyle w:val="BookText"/>
        <w:rPr/>
      </w:pPr>
      <w:r>
        <w:rPr>
          <w:rFonts w:ascii="Amiri" w:hAnsi="Amiri" w:eastAsia="Amiri" w:cs="Amiri"/>
          <w:color w:val="111111"/>
          <w:sz w:val="28"/>
          <w:sz w:val="28"/>
          <w:szCs w:val="28"/>
          <w:rtl w:val="true"/>
          <w:lang w:bidi="ar-SA"/>
        </w:rPr>
        <w:t xml:space="preserve">بالرّفع </w:t>
      </w:r>
      <w:r>
        <w:rPr>
          <w:rStyle w:val="FootnoteAnchor"/>
          <w:rtl w:val="true"/>
        </w:rPr>
        <w:footnoteReference w:id="329"/>
      </w:r>
      <w:r>
        <w:rPr>
          <w:rFonts w:ascii="Amiri" w:hAnsi="Amiri" w:eastAsia="Amiri" w:cs="Amiri"/>
          <w:color w:val="111111"/>
          <w:sz w:val="28"/>
          <w:sz w:val="28"/>
          <w:szCs w:val="28"/>
          <w:rtl w:val="true"/>
          <w:lang w:bidi="ar-SA"/>
        </w:rPr>
        <w:t>،و لم يقرأه بالجرّ غير حمزة و الكسائيّ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قرئ بالنّصب و ذلك يقتضي العطف على الأيدي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نسلّم انّ النّصب يوجب العطف على الأيدي،بل كما يجوز العطف عليها يجوز العطف على محلّ الرّؤس،و العطف على الموضع مشهور عند أهل اللّغة، فإن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العطف على اللّفظ أولى،قلت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نسلّم الأولويّة،سلّمنا،لكن يعارضها أولويّتان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إحداهما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القرب،و هو معتبر في اللّغة فإنّهم اتّفقوا على انّ 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ضربت فضلي سعدى،انّ الأقرب فاعل،و لو عطفت بشرى </w:t>
      </w:r>
      <w:r>
        <w:rPr>
          <w:rStyle w:val="FootnoteAnchor"/>
          <w:rtl w:val="true"/>
        </w:rPr>
        <w:footnoteReference w:id="331"/>
      </w:r>
      <w:r>
        <w:rPr>
          <w:rFonts w:ascii="Amiri" w:hAnsi="Amiri" w:eastAsia="Amiri" w:cs="Amiri"/>
          <w:color w:val="111111"/>
          <w:sz w:val="28"/>
          <w:sz w:val="28"/>
          <w:szCs w:val="28"/>
          <w:rtl w:val="true"/>
          <w:lang w:bidi="ar-SA"/>
        </w:rPr>
        <w:t>أيضا،لكان عطفا على المفعول للقرب،و كذلك جعلوا أقرب الفعلين إلى المعمول عاملا بخلاف الأبعد،و ذلك معلوم من لغتهم،و مع العطف على لفظ الأيدي تفوت هذه الأولويّة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من المستقبح في لغة العرب الانتقال من حكم قبل تمامه إلى حكم آخر غير مشارك له و لا مناسب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انّا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العطف هاهنا على لفظ الأيدي ممتنع،لأنّ معه تبطل قراءة الجرّ،للتّنافي بينهما،و مع العطف على الموضع يحصل الجمع،فيجب المصير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العجائب،ترجيح الغسل لقراءة النّصب مع عدم دلالتها و إمكان حملها على أمر سائغ على المسح المستفاد من قراءة الجرّ،و حمل الجرّ على أمر ممتنع</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الجمهور،عن أوس بن أبي أوس الثّقفيّ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رأى النّبيّ صلّى </w:t>
      </w:r>
    </w:p>
    <w:p>
      <w:pPr>
        <w:pStyle w:val="BookText"/>
        <w:rPr/>
      </w:pPr>
      <w:r>
        <w:rPr>
          <w:rFonts w:ascii="Amiri" w:hAnsi="Amiri" w:eastAsia="Amiri" w:cs="Amiri"/>
          <w:color w:val="111111"/>
          <w:sz w:val="28"/>
          <w:sz w:val="28"/>
          <w:szCs w:val="28"/>
          <w:rtl w:val="true"/>
          <w:lang w:bidi="ar-SA"/>
        </w:rPr>
        <w:t xml:space="preserve">اللّه عليه و آله أتى كظامة قوم بالطّائف فتوضّأ و مسح على قدميه </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ما رووه،عن ابن عبّاس انّه وصف وضوء رسول اللّه صلّى اللّه عليه و آله فمسح على رجليه </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ما رووه،عن أمير المؤمنين عليه السّلام و ابن عبّاس،عن النّبيّ صلّى اللّه عليه و آله انّه توضّأ و مسح على قدميه و نعليه </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رووه،عن الصّحابة كعليّ عليه السّلام فإنّه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نزل القرآن إلاّ بالمسح</w:t>
      </w:r>
      <w:r>
        <w:rPr>
          <w:rFonts w:eastAsia="Amiri" w:cs="Amiri" w:ascii="Amiri" w:hAnsi="Amiri"/>
          <w:color w:val="111111"/>
          <w:sz w:val="28"/>
          <w:szCs w:val="28"/>
          <w:rtl w:val="true"/>
          <w:lang w:bidi="ar-SA"/>
        </w:rPr>
        <w:t xml:space="preserve">) </w:t>
      </w:r>
      <w:r>
        <w:rPr>
          <w:rStyle w:val="FootnoteAnchor"/>
          <w:rtl w:val="true"/>
        </w:rPr>
        <w:footnoteReference w:id="335"/>
      </w:r>
      <w:r>
        <w:rPr>
          <w:rFonts w:ascii="Amiri" w:hAnsi="Amiri" w:eastAsia="Amiri" w:cs="Amiri"/>
          <w:color w:val="111111"/>
          <w:sz w:val="28"/>
          <w:sz w:val="28"/>
          <w:szCs w:val="28"/>
          <w:rtl w:val="true"/>
          <w:lang w:bidi="ar-SA"/>
        </w:rPr>
        <w:t>و ابن عبّاس،فإنّه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كتاب اللّه المسح،و يأبى النّاس إلاّ الغسل </w:t>
      </w:r>
      <w:r>
        <w:rPr>
          <w:rStyle w:val="FootnoteAnchor"/>
          <w:rtl w:val="true"/>
        </w:rPr>
        <w:footnoteReference w:id="336"/>
      </w:r>
      <w:r>
        <w:rPr>
          <w:rFonts w:ascii="Amiri" w:hAnsi="Amiri" w:eastAsia="Amiri" w:cs="Amiri"/>
          <w:color w:val="111111"/>
          <w:sz w:val="28"/>
          <w:sz w:val="28"/>
          <w:szCs w:val="28"/>
          <w:rtl w:val="true"/>
          <w:lang w:bidi="ar-SA"/>
        </w:rPr>
        <w:t>و غير ذلك من الأخبار الدّالّة على عمل الصّحابة بالمسح،و عملهم حجّة</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الخاصة،روى الشّيخ في الصّحيح،عن زرارة،عن أبي جعفر عليه السّلام في حكاية وضوء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مسح ببقيّة 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يديه رأسه و رجليه و لم يعدها في الإناء </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روى في الصّحيح،عن أبي عبيدة الحذّاء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 جعفر عليه السّلام ثمَّ مسح بفضلة اليد رأسه و رجليه </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رواه في الصّحيح،عن زرارة،عن أبي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وصل الرّجلين بالرّأس كما وصل اليدين بالوجه،فقال وَ أَرْجُلَكُمْ إِلَى الْكَعْبَيْنِ </w:t>
      </w:r>
      <w:r>
        <w:rPr>
          <w:rStyle w:val="FootnoteAnchor"/>
          <w:rtl w:val="true"/>
        </w:rPr>
        <w:footnoteReference w:id="339"/>
      </w:r>
      <w:r>
        <w:rPr>
          <w:rFonts w:ascii="Amiri" w:hAnsi="Amiri" w:eastAsia="Amiri" w:cs="Amiri"/>
          <w:color w:val="111111"/>
          <w:sz w:val="28"/>
          <w:sz w:val="28"/>
          <w:szCs w:val="28"/>
          <w:rtl w:val="true"/>
          <w:lang w:bidi="ar-SA"/>
        </w:rPr>
        <w:t>فعرفنا انّ المسح على بعضها،ثمَّ فسّر ذلك رسول اللّه صلّى اللّه عليه و آله للنّاس فضيّعوه</w:t>
      </w:r>
      <w:r>
        <w:rPr>
          <w:rFonts w:eastAsia="Amiri" w:cs="Amiri" w:ascii="Amiri" w:hAnsi="Amiri"/>
          <w:color w:val="111111"/>
          <w:sz w:val="28"/>
          <w:szCs w:val="28"/>
          <w:rtl w:val="true"/>
          <w:lang w:bidi="ar-SA"/>
        </w:rPr>
        <w:t xml:space="preserve">) </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رواه،عن سالم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غالب ابني </w:t>
      </w:r>
      <w:r>
        <w:rPr>
          <w:rStyle w:val="FootnoteAnchor"/>
          <w:rtl w:val="true"/>
        </w:rPr>
        <w:footnoteReference w:id="341"/>
      </w:r>
      <w:r>
        <w:rPr>
          <w:rFonts w:ascii="Amiri" w:hAnsi="Amiri" w:eastAsia="Amiri" w:cs="Amiri"/>
          <w:color w:val="111111"/>
          <w:sz w:val="28"/>
          <w:sz w:val="28"/>
          <w:szCs w:val="28"/>
          <w:rtl w:val="true"/>
          <w:lang w:bidi="ar-SA"/>
        </w:rPr>
        <w:t>هذيل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جعفر عليه السّلام عن المسح على الرّجلين؟فقال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الّذي نزل به جبرئيل عليه السّلام</w:t>
      </w:r>
      <w:r>
        <w:rPr>
          <w:rFonts w:eastAsia="Amiri" w:cs="Amiri" w:ascii="Amiri" w:hAnsi="Amiri"/>
          <w:color w:val="111111"/>
          <w:sz w:val="28"/>
          <w:szCs w:val="28"/>
          <w:rtl w:val="true"/>
          <w:lang w:bidi="ar-SA"/>
        </w:rPr>
        <w:t xml:space="preserve">) </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روى في الصّحيح،عن أحمد بن محمّد،قال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الحسن عليه السّلام عن المسح على القدمين كيف هو؟فوضع كفّه على الأصابع،ثمَّ مسحها إلى الكعبين </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رواه في الحسن،عن أيّوب بن نوح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كتبت إلى أبي الحسن عليه السّلام أسأله عن المسح على القدمين؟فقال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الوضوء بالمسح و لا يجب فيه إلاّ ذلك و من غسل فلا بأس</w:t>
      </w:r>
      <w:r>
        <w:rPr>
          <w:rFonts w:eastAsia="Amiri" w:cs="Amiri" w:ascii="Amiri" w:hAnsi="Amiri"/>
          <w:color w:val="111111"/>
          <w:sz w:val="28"/>
          <w:szCs w:val="28"/>
          <w:rtl w:val="true"/>
          <w:lang w:bidi="ar-SA"/>
        </w:rPr>
        <w:t xml:space="preserve">) </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ينافي قولكم،لأنّ الغسل عندكم غير مجز بل الواجب المسح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غسل فلا بأس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أشار بذلك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غسل للتّنظيف،لأنّه يحتمل ذلك،فيحمل عليه جمعا بين الأدلّة،و لأنّ 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يجب إلاّ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استثناء لنفي الوجوب،فيثبت الوجوب و معه يثبت البأس بالغسل فيحمل على ما قلناه،و إلاّ لزم التّناقض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في الصّحيح،عن محمّد بن مسلم،عن أحدهما عليهما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المسح على الرّجلين؟فقال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xml:space="preserve">) </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يدلّ على التّخيير،لأنّ رفع البأس يفهم منه تجويز المخالفة</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نمنع ذلك،فإنّ نفي البأس أعمّ من ثبوت البأس في نقيضه و نفيه،و لا </w:t>
      </w:r>
    </w:p>
    <w:p>
      <w:pPr>
        <w:pStyle w:val="BookText"/>
        <w:rPr/>
      </w:pPr>
      <w:r>
        <w:rPr>
          <w:rFonts w:ascii="Amiri" w:hAnsi="Amiri" w:eastAsia="Amiri" w:cs="Amiri"/>
          <w:color w:val="111111"/>
          <w:sz w:val="28"/>
          <w:sz w:val="28"/>
          <w:szCs w:val="28"/>
          <w:rtl w:val="true"/>
          <w:lang w:bidi="ar-SA"/>
        </w:rPr>
        <w:t>دلالة للعام على الخاص بإحدى الدّلالات الثّلاث،على انّ دلالة المفهوم إنّما تكون حجة على تقدير عدم المنافي للمنطوق،فإنّه أقوى منه،و المنافي موجود،و هو ما قدّمناه من الأحاديث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روى،عن محمّد بن مروان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يأتي على الرّجل ستّون و سبعون سنة ما قبل اللّه منه 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كيف ذلك؟قال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يغسل ما أمر اللّه بمسحه</w:t>
      </w:r>
      <w:r>
        <w:rPr>
          <w:rFonts w:eastAsia="Amiri" w:cs="Amiri" w:ascii="Amiri" w:hAnsi="Amiri"/>
          <w:color w:val="111111"/>
          <w:sz w:val="28"/>
          <w:szCs w:val="28"/>
          <w:rtl w:val="true"/>
          <w:lang w:bidi="ar-SA"/>
        </w:rPr>
        <w:t xml:space="preserve">) </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عضو من أعضاء الطّهارة يسقط في التيمّم،فيكون فرضه المسح كالرّأس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استدلّ المخالفون </w:t>
      </w:r>
      <w:r>
        <w:rPr>
          <w:rStyle w:val="FootnoteAnchor"/>
          <w:rtl w:val="true"/>
        </w:rPr>
        <w:footnoteReference w:id="347"/>
      </w:r>
      <w:r>
        <w:rPr>
          <w:rFonts w:ascii="Amiri" w:hAnsi="Amiri" w:eastAsia="Amiri" w:cs="Amiri"/>
          <w:color w:val="111111"/>
          <w:sz w:val="28"/>
          <w:sz w:val="28"/>
          <w:szCs w:val="28"/>
          <w:rtl w:val="true"/>
          <w:lang w:bidi="ar-SA"/>
        </w:rPr>
        <w:t>بما رووه،عن النّبيّ صلّى اللّه عليه و آله،انّه توضّأ فغسل رجليه،ثمَّ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وضوء لا يقبل اللّه الصّلاة إلاّ به</w:t>
      </w:r>
      <w:r>
        <w:rPr>
          <w:rFonts w:eastAsia="Amiri" w:cs="Amiri" w:ascii="Amiri" w:hAnsi="Amiri"/>
          <w:color w:val="111111"/>
          <w:sz w:val="28"/>
          <w:szCs w:val="28"/>
          <w:rtl w:val="true"/>
          <w:lang w:bidi="ar-SA"/>
        </w:rPr>
        <w:t xml:space="preserve">) </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رواه أبو هريرة و عائشة أنّه صلّى اللّه عليه و آله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 للأعقاب من النّار</w:t>
      </w:r>
      <w:r>
        <w:rPr>
          <w:rFonts w:eastAsia="Amiri" w:cs="Amiri" w:ascii="Amiri" w:hAnsi="Amiri"/>
          <w:color w:val="111111"/>
          <w:sz w:val="28"/>
          <w:szCs w:val="28"/>
          <w:rtl w:val="true"/>
          <w:lang w:bidi="ar-SA"/>
        </w:rPr>
        <w:t xml:space="preserve">) </w:t>
      </w:r>
      <w:r>
        <w:rPr>
          <w:rStyle w:val="FootnoteAnchor"/>
          <w:rtl w:val="true"/>
        </w:rPr>
        <w:footnoteReference w:id="349"/>
      </w:r>
      <w:r>
        <w:rPr>
          <w:rFonts w:ascii="Amiri" w:hAnsi="Amiri" w:eastAsia="Amiri" w:cs="Amiri"/>
          <w:color w:val="111111"/>
          <w:sz w:val="28"/>
          <w:sz w:val="28"/>
          <w:szCs w:val="28"/>
          <w:rtl w:val="true"/>
          <w:lang w:bidi="ar-SA"/>
        </w:rPr>
        <w:t xml:space="preserve">توعّد على ترك غسل العقب </w:t>
      </w:r>
      <w:r>
        <w:rPr>
          <w:rStyle w:val="FootnoteAnchor"/>
          <w:rtl w:val="true"/>
        </w:rPr>
        <w:footnoteReference w:id="350"/>
      </w:r>
      <w:r>
        <w:rPr>
          <w:rFonts w:ascii="Amiri" w:hAnsi="Amiri" w:eastAsia="Amiri" w:cs="Amiri"/>
          <w:color w:val="111111"/>
          <w:sz w:val="28"/>
          <w:sz w:val="28"/>
          <w:szCs w:val="28"/>
          <w:rtl w:val="true"/>
          <w:lang w:bidi="ar-SA"/>
        </w:rPr>
        <w:t>،فلو جاز تركه لكان التوعّد عليه قبيحا</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عاصم بن لقيط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كيف الوضوء يا رسول اللّه؟ </w:t>
      </w:r>
      <w:bookmarkStart w:id="220" w:name="pg12669_112861"/>
    </w:p>
    <w:p>
      <w:pPr>
        <w:pStyle w:val="BookText"/>
        <w:rPr/>
      </w:pPr>
      <w:bookmarkEnd w:id="220"/>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أسبغ الوضوء و خلّل بين الأصابع</w:t>
      </w:r>
      <w:r>
        <w:rPr>
          <w:rFonts w:eastAsia="Amiri" w:cs="Amiri" w:ascii="Amiri" w:hAnsi="Amiri"/>
          <w:color w:val="111111"/>
          <w:sz w:val="28"/>
          <w:szCs w:val="28"/>
          <w:rtl w:val="true"/>
          <w:lang w:bidi="ar-SA"/>
        </w:rPr>
        <w:t xml:space="preserve">) </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الجواب عن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يحتمل أن يكون عليه السّلام فعل ذلك بعد مسحهما، و لم يرو الرّاوي المسح للنّسيان،أو لالتباس الفعل عليه و تقارب </w:t>
      </w:r>
      <w:r>
        <w:rPr>
          <w:rStyle w:val="FootnoteAnchor"/>
          <w:rtl w:val="true"/>
        </w:rPr>
        <w:footnoteReference w:id="352"/>
      </w:r>
      <w:r>
        <w:rPr>
          <w:rFonts w:ascii="IRNazanin" w:hAnsi="IRNazanin" w:eastAsia="IRNazanin"/>
          <w:color w:val="111111"/>
          <w:sz w:val="28"/>
          <w:sz w:val="28"/>
          <w:szCs w:val="28"/>
          <w:rtl w:val="true"/>
          <w:lang w:bidi="fa-IR"/>
        </w:rPr>
        <w:t xml:space="preserve">زمانه،أو لتوهّمه </w:t>
      </w:r>
      <w:r>
        <w:rPr>
          <w:rStyle w:val="FootnoteAnchor"/>
          <w:rtl w:val="true"/>
        </w:rPr>
        <w:footnoteReference w:id="353"/>
      </w:r>
      <w:r>
        <w:rPr>
          <w:rFonts w:ascii="Amiri" w:hAnsi="Amiri" w:eastAsia="Amiri" w:cs="Amiri"/>
          <w:color w:val="111111"/>
          <w:sz w:val="28"/>
          <w:sz w:val="28"/>
          <w:szCs w:val="28"/>
          <w:rtl w:val="true"/>
          <w:lang w:bidi="ar-SA"/>
        </w:rPr>
        <w:t>انّ ذكر الغسل يغني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قد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أجلاف </w:t>
      </w:r>
      <w:r>
        <w:rPr>
          <w:rStyle w:val="FootnoteAnchor"/>
          <w:rtl w:val="true"/>
        </w:rPr>
        <w:footnoteReference w:id="354"/>
      </w:r>
      <w:r>
        <w:rPr>
          <w:rFonts w:ascii="Amiri" w:hAnsi="Amiri" w:eastAsia="Amiri" w:cs="Amiri"/>
          <w:color w:val="111111"/>
          <w:sz w:val="28"/>
          <w:sz w:val="28"/>
          <w:szCs w:val="28"/>
          <w:rtl w:val="true"/>
          <w:lang w:bidi="ar-SA"/>
        </w:rPr>
        <w:t xml:space="preserve">الأعراب كانوا يبولون و هم قيام فيترشّش </w:t>
      </w:r>
      <w:r>
        <w:rPr>
          <w:rStyle w:val="FootnoteAnchor"/>
          <w:rtl w:val="true"/>
        </w:rPr>
        <w:footnoteReference w:id="355"/>
      </w:r>
      <w:r>
        <w:rPr>
          <w:rFonts w:ascii="Amiri" w:hAnsi="Amiri" w:eastAsia="Amiri" w:cs="Amiri"/>
          <w:color w:val="111111"/>
          <w:sz w:val="28"/>
          <w:sz w:val="28"/>
          <w:szCs w:val="28"/>
          <w:rtl w:val="true"/>
          <w:lang w:bidi="ar-SA"/>
        </w:rPr>
        <w:t xml:space="preserve">البول على أعقابهم و أرجلهم،فلا يغسلونها،و يدخلون المسجد للصّلاة، فتوعّد النّبيّ صلّى اللّه عليه و آله،لأجل ذلك </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إسباغ الوضوء لا يستلزم جواز الغسل،فإنّا نحن نقول به في تكريره و إكثار الماء فيه،و استقصاء الغسل و الأمر بالتّخليل بين الأصابع لا يدلّ على انّها أصابع الأرجل</w:t>
      </w:r>
      <w:r>
        <w:rPr>
          <w:rFonts w:eastAsia="Amiri" w:cs="Amiri" w:ascii="Amiri" w:hAnsi="Amiri"/>
          <w:color w:val="111111"/>
          <w:sz w:val="28"/>
          <w:szCs w:val="28"/>
          <w:rtl w:val="true"/>
          <w:lang w:bidi="ar-SA"/>
        </w:rPr>
        <w:t>.</w:t>
      </w:r>
    </w:p>
    <w:p>
      <w:pPr>
        <w:pStyle w:val="Heading5"/>
        <w:numPr>
          <w:ilvl w:val="4"/>
          <w:numId w:val="1"/>
        </w:numPr>
        <w:rPr/>
      </w:pPr>
      <w:bookmarkStart w:id="221" w:name="__RefHeading___Toc795303_222507752"/>
      <w:bookmarkStart w:id="222" w:name="_Toc91"/>
      <w:bookmarkEnd w:id="221"/>
      <w:r>
        <w:rPr>
          <w:rtl w:val="true"/>
        </w:rPr>
        <w:t>مسألة</w:t>
      </w:r>
      <w:r>
        <w:rPr>
          <w:rtl w:val="true"/>
        </w:rPr>
        <w:t>:</w:t>
      </w:r>
      <w:r>
        <w:rPr>
          <w:rtl w:val="true"/>
        </w:rPr>
        <w:t>لا يجب استيعاب الرّجلين بالمسح،</w:t>
      </w:r>
      <w:bookmarkEnd w:id="222"/>
    </w:p>
    <w:p>
      <w:pPr>
        <w:pStyle w:val="BookText"/>
        <w:rPr/>
      </w:pPr>
      <w:r>
        <w:rPr>
          <w:rFonts w:ascii="Amiri" w:hAnsi="Amiri" w:eastAsia="Amiri" w:cs="Amiri"/>
          <w:color w:val="111111"/>
          <w:sz w:val="28"/>
          <w:sz w:val="28"/>
          <w:szCs w:val="28"/>
          <w:rtl w:val="true"/>
          <w:lang w:bidi="ar-SA"/>
        </w:rPr>
        <w:t>بل الواجب من رؤوس الأصابع إلى الكعبين و لو بإصبع واحدة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مذهب علمائنا أجمع</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تعالى عطف الأرجل على الرّؤس بالواو،فوجب التّشريك عملا بمقتضى العطف،و في المعطوف عليه ثبت الحكم في بعضه فكذا المعطوف،خصوصا و قد قرئ </w:t>
      </w:r>
    </w:p>
    <w:p>
      <w:pPr>
        <w:pStyle w:val="BookText"/>
        <w:rPr/>
      </w:pPr>
      <w:r>
        <w:rPr>
          <w:rFonts w:ascii="Amiri" w:hAnsi="Amiri" w:eastAsia="Amiri" w:cs="Amiri"/>
          <w:color w:val="111111"/>
          <w:sz w:val="28"/>
          <w:sz w:val="28"/>
          <w:szCs w:val="28"/>
          <w:rtl w:val="true"/>
          <w:lang w:bidi="ar-SA"/>
        </w:rPr>
        <w:t xml:space="preserve">بالجرّ </w:t>
      </w:r>
      <w:r>
        <w:rPr>
          <w:rStyle w:val="FootnoteAnchor"/>
          <w:rtl w:val="true"/>
        </w:rPr>
        <w:footnoteReference w:id="357"/>
      </w:r>
      <w:r>
        <w:rPr>
          <w:rFonts w:ascii="Amiri" w:hAnsi="Amiri" w:eastAsia="Amiri" w:cs="Amiri"/>
          <w:color w:val="111111"/>
          <w:sz w:val="28"/>
          <w:sz w:val="28"/>
          <w:szCs w:val="28"/>
          <w:rtl w:val="true"/>
          <w:lang w:bidi="ar-SA"/>
        </w:rPr>
        <w:t>المقتضي لتكرير العامل تقديرا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فقد قرئ بالنّصب </w:t>
      </w:r>
      <w:r>
        <w:rPr>
          <w:rStyle w:val="FootnoteAnchor"/>
          <w:rtl w:val="true"/>
        </w:rPr>
        <w:footnoteReference w:id="358"/>
      </w:r>
      <w:r>
        <w:rPr>
          <w:rFonts w:ascii="Amiri" w:hAnsi="Amiri" w:eastAsia="Amiri" w:cs="Amiri"/>
          <w:color w:val="111111"/>
          <w:sz w:val="28"/>
          <w:sz w:val="28"/>
          <w:szCs w:val="28"/>
          <w:rtl w:val="true"/>
          <w:lang w:bidi="ar-SA"/>
        </w:rPr>
        <w:t>،و ذلك يقتضي العطف على المحلّ فلا يكون مبعّضا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منافاة بينهما،لأنّ التّبعيض لمّا ثبت في الجرّ وجب تقديره في النّصب و إلاّ لتنافت القراءتان،و تقدير عامل الجرّ مع النّصب غير ممتنع،بخلاف ثبوت الجرّ مع عدم تقديره،و لأنّه بفعل البعض يكون ممتثلا لصدق اسم المسح فيه،فيثبت الإجزاء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رواه الشّيخ في الصّحيح،عن زرارة و بكير،عن أبي جعفر عليه السّلام في صفة وضوء رسول اللّه صلّى اللّه عليه و آله،قال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مسح بشيء من رأسه أو من رجليه قدميه ما بين الكعبين إلى أطراف الأصابع،فقد أجزأه</w:t>
      </w:r>
      <w:r>
        <w:rPr>
          <w:rFonts w:eastAsia="Amiri" w:cs="Amiri" w:ascii="Amiri" w:hAnsi="Amiri"/>
          <w:color w:val="111111"/>
          <w:sz w:val="28"/>
          <w:szCs w:val="28"/>
          <w:rtl w:val="true"/>
          <w:lang w:bidi="ar-SA"/>
        </w:rPr>
        <w:t xml:space="preserve">) </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يعارض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 في الصّحيح،عن أبي الحسن الرّضا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المسح على القدمين كيف هو؟فوضع كفّه على الأصابع فمسحها إلى الكعبين إلى ظاهر القدم،فقلت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فداك،لو انّ رجلا قال بإصبعين من أصابعه؟فقال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لا،إلاّ بكفّه</w:t>
      </w:r>
      <w:r>
        <w:rPr>
          <w:rFonts w:eastAsia="Amiri" w:cs="Amiri" w:ascii="Amiri" w:hAnsi="Amiri"/>
          <w:color w:val="111111"/>
          <w:sz w:val="28"/>
          <w:szCs w:val="28"/>
          <w:rtl w:val="true"/>
          <w:lang w:bidi="ar-SA"/>
        </w:rPr>
        <w:t xml:space="preserve">) </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رواه سماعة بن مهران،عن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توضّأت فامسح قدميك ظاهرهما و باطنهما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فوضع يده على الكعب،و ضرب الأخرى على باطن قدميه،ثمَّ مسحهما إلى الأصابع </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 xml:space="preserve">. </w:t>
      </w:r>
      <w:bookmarkStart w:id="223" w:name="pg12669_112863"/>
    </w:p>
    <w:p>
      <w:pPr>
        <w:pStyle w:val="BookText"/>
        <w:rPr/>
      </w:pPr>
      <w:bookmarkEnd w:id="223"/>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الأوّل فمحمول على الاستحباب،إذ لا ريب في استحباب المسح بأكثر من الإصبع،فيحمل عليه جمعا بين الأدلّة،و النّفي هاهنا كما في 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صلاة لجار المسجد إلاّ في المسجد</w:t>
      </w:r>
      <w:r>
        <w:rPr>
          <w:rFonts w:eastAsia="Amiri" w:cs="Amiri" w:ascii="Amiri" w:hAnsi="Amiri"/>
          <w:color w:val="111111"/>
          <w:sz w:val="28"/>
          <w:szCs w:val="28"/>
          <w:rtl w:val="true"/>
          <w:lang w:bidi="ar-SA"/>
        </w:rPr>
        <w:t xml:space="preserve">) </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 تعويل عليه،إذ الرّواة له فطحيّة </w:t>
      </w:r>
      <w:r>
        <w:rPr>
          <w:rStyle w:val="FootnoteAnchor"/>
          <w:rtl w:val="true"/>
        </w:rPr>
        <w:footnoteReference w:id="363"/>
      </w:r>
      <w:r>
        <w:rPr>
          <w:rFonts w:ascii="Amiri" w:hAnsi="Amiri" w:eastAsia="Amiri" w:cs="Amiri"/>
          <w:color w:val="111111"/>
          <w:sz w:val="28"/>
          <w:sz w:val="28"/>
          <w:szCs w:val="28"/>
          <w:rtl w:val="true"/>
          <w:lang w:bidi="ar-SA"/>
        </w:rPr>
        <w:t>،فسقط بالكلّيّة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وجب استيعاب المسح،لزم خرق الإجماع،لأنّ النّاس قائلان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من أوجب المسح و لم يوجب الاستيعاب،و منهم من لم يوجبه فقال بالاستيعاب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قلنا بوجوب الاستيعاب مع وجوب المسح،كان ذلك خرقا للإجماع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انّ المحقّقين من الأصوليّين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القول الثّالث إنّما يكون باطلا إذا تضمّن إبطال ما أجمعوا عليه،كحرمان الجدّ مع الأخ،قال بعضهم بالمقاسمة،و الآخرون بحرمان الأخ،أمّا إذا لم يتضمّن فلا،و هاهنا من قبيل القسم الأوّل،فإنّ القائل بالغسل و المسح اتّفقوا على نفي وجوب مسح الجميع،فالقول بوجوبه قول ببطلان المتّفق عليه</w:t>
      </w:r>
      <w:r>
        <w:rPr>
          <w:rFonts w:eastAsia="Amiri" w:cs="Amiri" w:ascii="Amiri" w:hAnsi="Amiri"/>
          <w:color w:val="111111"/>
          <w:sz w:val="28"/>
          <w:szCs w:val="28"/>
          <w:rtl w:val="true"/>
          <w:lang w:bidi="ar-SA"/>
        </w:rPr>
        <w:t>.</w:t>
      </w:r>
    </w:p>
    <w:p>
      <w:pPr>
        <w:pStyle w:val="Heading5"/>
        <w:numPr>
          <w:ilvl w:val="4"/>
          <w:numId w:val="1"/>
        </w:numPr>
        <w:rPr/>
      </w:pPr>
      <w:bookmarkStart w:id="224" w:name="__RefHeading___Toc795305_222507752"/>
      <w:bookmarkStart w:id="225" w:name="_Toc92"/>
      <w:bookmarkEnd w:id="224"/>
      <w:r>
        <w:rPr>
          <w:rtl w:val="true"/>
        </w:rPr>
        <w:t>مسألة</w:t>
      </w:r>
      <w:r>
        <w:rPr>
          <w:rtl w:val="true"/>
        </w:rPr>
        <w:t>:</w:t>
      </w:r>
      <w:r>
        <w:rPr>
          <w:rtl w:val="true"/>
        </w:rPr>
        <w:t>ذهب علماؤنا إلى انّ الكعبين هما العظمان النّاتئان في وسط القدم</w:t>
      </w:r>
      <w:bookmarkEnd w:id="225"/>
    </w:p>
    <w:p>
      <w:pPr>
        <w:pStyle w:val="Heading6"/>
        <w:numPr>
          <w:ilvl w:val="5"/>
          <w:numId w:val="1"/>
        </w:numPr>
        <w:rPr/>
      </w:pPr>
      <w:bookmarkStart w:id="226" w:name="__RefHeading___Toc795307_222507752"/>
      <w:bookmarkStart w:id="227" w:name="_Toc93"/>
      <w:bookmarkEnd w:id="226"/>
      <w:r>
        <w:rPr>
          <w:rtl w:val="true"/>
        </w:rPr>
        <w:t>اشارة</w:t>
      </w:r>
      <w:bookmarkEnd w:id="227"/>
    </w:p>
    <w:p>
      <w:pPr>
        <w:pStyle w:val="BookText"/>
        <w:rPr/>
      </w:pPr>
      <w:r>
        <w:rPr>
          <w:rFonts w:ascii="Amiri" w:hAnsi="Amiri" w:eastAsia="Amiri" w:cs="Amiri"/>
          <w:color w:val="111111"/>
          <w:sz w:val="28"/>
          <w:sz w:val="28"/>
          <w:szCs w:val="28"/>
          <w:rtl w:val="true"/>
          <w:lang w:bidi="ar-SA"/>
        </w:rPr>
        <w:t xml:space="preserve">و هما معقدا الشّراك،و به قال محمّد بن الحسن من الجمهور </w:t>
      </w:r>
      <w:r>
        <w:rPr>
          <w:rStyle w:val="FootnoteAnchor"/>
          <w:rtl w:val="true"/>
        </w:rPr>
        <w:footnoteReference w:id="36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خالف الباقون فيه،و قالوا</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الكعبين هما النّاتئان في جانبي السّاق </w:t>
      </w:r>
      <w:r>
        <w:rPr>
          <w:rStyle w:val="FootnoteAnchor"/>
          <w:rtl w:val="true"/>
        </w:rPr>
        <w:footnoteReference w:id="365"/>
      </w:r>
      <w:r>
        <w:rPr>
          <w:rFonts w:ascii="Amiri" w:hAnsi="Amiri" w:eastAsia="Amiri" w:cs="Amiri"/>
          <w:color w:val="111111"/>
          <w:sz w:val="28"/>
          <w:sz w:val="28"/>
          <w:szCs w:val="28"/>
          <w:rtl w:val="true"/>
          <w:lang w:bidi="ar-SA"/>
        </w:rPr>
        <w:t xml:space="preserve">،و هما المسمّيان بالظّنابيب </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تعالى إِلَى الْكَعْبَيْنِ </w:t>
      </w:r>
      <w:r>
        <w:rPr>
          <w:rStyle w:val="FootnoteAnchor"/>
          <w:rtl w:val="true"/>
        </w:rPr>
        <w:footnoteReference w:id="367"/>
      </w:r>
      <w:r>
        <w:rPr>
          <w:rFonts w:ascii="Amiri" w:hAnsi="Amiri" w:eastAsia="Amiri" w:cs="Amiri"/>
          <w:color w:val="111111"/>
          <w:sz w:val="28"/>
          <w:sz w:val="28"/>
          <w:szCs w:val="28"/>
          <w:rtl w:val="true"/>
          <w:lang w:bidi="ar-SA"/>
        </w:rPr>
        <w:t xml:space="preserve">فدلّ </w:t>
      </w:r>
      <w:r>
        <w:rPr>
          <w:rStyle w:val="FootnoteAnchor"/>
          <w:rtl w:val="true"/>
        </w:rPr>
        <w:footnoteReference w:id="368"/>
      </w:r>
      <w:r>
        <w:rPr>
          <w:rFonts w:ascii="Amiri" w:hAnsi="Amiri" w:eastAsia="Amiri" w:cs="Amiri"/>
          <w:color w:val="111111"/>
          <w:sz w:val="28"/>
          <w:sz w:val="28"/>
          <w:szCs w:val="28"/>
          <w:rtl w:val="true"/>
          <w:lang w:bidi="ar-SA"/>
        </w:rPr>
        <w:t>على انّ في الرّجلين كعبين لا 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أراد ما ذكروه لكانت كعاب الرّجل أربعة،فإنّ لكلّ قدم كعبين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 في الصّحيح،عن زرارة و بكير ابني أعين،عن أبي جعفر عليه السّلام في وضوء رسول اللّه صلّى اللّه عليه و آله إلى قوله،قلنا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أصلحك اللّه،فأين الكعبان؟قال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 هنا يعني المفصل دون عظم السّاق</w:t>
      </w:r>
      <w:r>
        <w:rPr>
          <w:rFonts w:eastAsia="Amiri" w:cs="Amiri" w:ascii="Amiri" w:hAnsi="Amiri"/>
          <w:color w:val="111111"/>
          <w:sz w:val="28"/>
          <w:szCs w:val="28"/>
          <w:rtl w:val="true"/>
          <w:lang w:bidi="ar-SA"/>
        </w:rPr>
        <w:t xml:space="preserve">) </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ما رواه،عن ميسر </w:t>
      </w:r>
      <w:r>
        <w:rPr>
          <w:rStyle w:val="FootnoteAnchor"/>
          <w:rtl w:val="true"/>
        </w:rPr>
        <w:footnoteReference w:id="370"/>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جعفر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الوضوء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وصف الكعب في ظهر القدم </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رواه،عن ميسر،عن أبي جعفر عليه السّلام في صفة وضوء رسول اللّه صلّى اللّه عليه و آله،ثمَّ وضع يده على ظهر القدم،ثمَّ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هو الكعب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أومأ بيده </w:t>
      </w:r>
    </w:p>
    <w:p>
      <w:pPr>
        <w:pStyle w:val="BookText"/>
        <w:rPr/>
      </w:pPr>
      <w:r>
        <w:rPr>
          <w:rFonts w:ascii="Amiri" w:hAnsi="Amiri" w:eastAsia="Amiri" w:cs="Amiri"/>
          <w:color w:val="111111"/>
          <w:sz w:val="28"/>
          <w:sz w:val="28"/>
          <w:szCs w:val="28"/>
          <w:rtl w:val="true"/>
          <w:lang w:bidi="ar-SA"/>
        </w:rPr>
        <w:t>إلى أسفل العرقوب،ثمَّ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هذا هو الظّنبوب</w:t>
      </w:r>
      <w:r>
        <w:rPr>
          <w:rFonts w:eastAsia="Amiri" w:cs="Amiri" w:ascii="Amiri" w:hAnsi="Amiri"/>
          <w:color w:val="111111"/>
          <w:sz w:val="28"/>
          <w:szCs w:val="28"/>
          <w:rtl w:val="true"/>
          <w:lang w:bidi="ar-SA"/>
        </w:rPr>
        <w:t xml:space="preserve">) </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التّمسّك بالإجماع،فنقول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 بوجوب المسح مع انّ الكعب غير ما ذكرناه منفيّ بالإجماع،أمّا عندنا فلثبوت الأمرين،و أمّا عند الخصم فلانتفائهما معا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احتجّ المخالف </w:t>
      </w:r>
      <w:r>
        <w:rPr>
          <w:rStyle w:val="FootnoteAnchor"/>
          <w:rtl w:val="true"/>
        </w:rPr>
        <w:footnoteReference w:id="373"/>
      </w:r>
      <w:r>
        <w:rPr>
          <w:rFonts w:ascii="Amiri" w:hAnsi="Amiri" w:eastAsia="Amiri" w:cs="Amiri"/>
          <w:color w:val="111111"/>
          <w:sz w:val="28"/>
          <w:sz w:val="28"/>
          <w:szCs w:val="28"/>
          <w:rtl w:val="true"/>
          <w:lang w:bidi="ar-SA"/>
        </w:rPr>
        <w:t xml:space="preserve">بقوله تعالى وَ أَرْجُلَكُمْ إِلَى الْكَعْبَيْنِ </w:t>
      </w:r>
      <w:r>
        <w:rPr>
          <w:rStyle w:val="FootnoteAnchor"/>
          <w:rtl w:val="true"/>
        </w:rPr>
        <w:footnoteReference w:id="374"/>
      </w:r>
      <w:r>
        <w:rPr>
          <w:rFonts w:ascii="Amiri" w:hAnsi="Amiri" w:eastAsia="Amiri" w:cs="Amiri"/>
          <w:color w:val="111111"/>
          <w:sz w:val="28"/>
          <w:sz w:val="28"/>
          <w:szCs w:val="28"/>
          <w:rtl w:val="true"/>
          <w:lang w:bidi="ar-SA"/>
        </w:rPr>
        <w:t>أراد كلّ رِجل تغسل إلى الكعبين،إذ لو أراد جمع كعاب الأرجل،لقال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الكعاب كالمرافق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روى أنس انّ رسول اللّه صلّى اللّه عليه و آله،كان في سوق ذي المجاز عليه جبّة حمراء و هو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النّاس قولوا لا إله إلاّ اللّه تفلحوا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رجل يتبعه يرميه بالحجارة حتّى أدمى عرقوبيه و كعبيه فقيل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هو؟فقال </w:t>
      </w:r>
      <w:r>
        <w:rPr>
          <w:rStyle w:val="FootnoteAnchor"/>
          <w:rtl w:val="true"/>
        </w:rPr>
        <w:footnoteReference w:id="37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عمّه أبو لهب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دلّ على انّ الكعب في جانب القدم،لأنّ الرّمية إذا كانت من وراء المرميّ لم تصب ظهر قدمه </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رواه النّعمان بن بشير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لتسوّنّ صفوفكم أو ليخالفنّ </w:t>
      </w:r>
      <w:bookmarkStart w:id="228" w:name="pg12669_112866"/>
    </w:p>
    <w:p>
      <w:pPr>
        <w:pStyle w:val="BookText"/>
        <w:rPr/>
      </w:pPr>
      <w:bookmarkEnd w:id="228"/>
      <w:r>
        <w:rPr>
          <w:rFonts w:ascii="Amiri" w:hAnsi="Amiri" w:eastAsia="Amiri" w:cs="Amiri"/>
          <w:color w:val="111111"/>
          <w:sz w:val="28"/>
          <w:sz w:val="28"/>
          <w:szCs w:val="28"/>
          <w:rtl w:val="true"/>
          <w:lang w:bidi="ar-SA"/>
        </w:rPr>
        <w:t>اللّه بين قلوبكم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فلقد رأيت الرّجل منّا يلصق كعبه بكعب صاحبه و منكبه بمنكبه </w:t>
      </w:r>
      <w:r>
        <w:rPr>
          <w:rStyle w:val="FootnoteAnchor"/>
          <w:rtl w:val="true"/>
        </w:rPr>
        <w:footnoteReference w:id="378"/>
      </w:r>
      <w:r>
        <w:rPr>
          <w:rFonts w:ascii="Amiri" w:hAnsi="Amiri" w:eastAsia="Amiri" w:cs="Amiri"/>
          <w:color w:val="111111"/>
          <w:sz w:val="28"/>
          <w:sz w:val="28"/>
          <w:szCs w:val="28"/>
          <w:rtl w:val="true"/>
          <w:lang w:bidi="ar-SA"/>
        </w:rPr>
        <w:t>،فدلّ على انّ الكعب في جانب القدم،لامتناع الإلصاق في ظهره،و لأنّ أبا عبيدة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الكعب هو الّذي في أصل القدم ينتهي السّاق إليه بمنزلة كعاب القنا </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الجواب عن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تعالى عنى رجلي كلّ واحد من المتطهّرين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معلوم قطعا انّ في كلّ رجلين كعبين،و هذا أولى،فإنّ التّكليف يتناول الرّجلين معا،فصرف الخطاب إلى المتعلّق بهما أشبه،و لا استبعاد في الجمع بالقياس إلى الجمع،و في التّشبيه بالقياس الى المكلّف،فالأوّل كالمرافق،و الثّاني كالكعبين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لا استبعاد في إصابة الرّامي ظهر قدمه،فإنّه ربّما كان مع تولّيه عنه،كأن يقبل أحيانا عليه،فيقبل إليه،فيصيب المرمي ظهر قدمه </w:t>
      </w:r>
      <w:r>
        <w:rPr>
          <w:rStyle w:val="FootnoteAnchor"/>
          <w:rtl w:val="true"/>
        </w:rPr>
        <w:footnoteReference w:id="380"/>
      </w:r>
      <w:r>
        <w:rPr>
          <w:rFonts w:ascii="Amiri" w:hAnsi="Amiri" w:eastAsia="Amiri" w:cs="Amiri"/>
          <w:color w:val="111111"/>
          <w:sz w:val="28"/>
          <w:sz w:val="28"/>
          <w:szCs w:val="28"/>
          <w:rtl w:val="true"/>
          <w:lang w:bidi="ar-SA"/>
        </w:rPr>
        <w:t>،فإنّه ليس في الخبر أكثر من الاتّباع،و قد يتّبع من يقبل بوجهه تارة و يعرض اخرى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الثّالث،و 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انّهما دالاّن على تسمية غير ما ذكرناه بالكعب،و لا منافاة،و يجوز أن يكون ما ذكره النّعمان و أبو عبيدة مذهبا،فما نقلناه عن الباقر عليه السّلام أولى</w:t>
      </w:r>
      <w:r>
        <w:rPr>
          <w:rFonts w:eastAsia="Amiri" w:cs="Amiri" w:ascii="Amiri" w:hAnsi="Amiri"/>
          <w:color w:val="111111"/>
          <w:sz w:val="28"/>
          <w:szCs w:val="28"/>
          <w:rtl w:val="true"/>
          <w:lang w:bidi="ar-SA"/>
        </w:rPr>
        <w:t>.</w:t>
      </w:r>
    </w:p>
    <w:p>
      <w:pPr>
        <w:pStyle w:val="Heading6"/>
        <w:numPr>
          <w:ilvl w:val="5"/>
          <w:numId w:val="1"/>
        </w:numPr>
        <w:rPr/>
      </w:pPr>
      <w:bookmarkStart w:id="229" w:name="__RefHeading___Toc795309_222507752"/>
      <w:bookmarkStart w:id="230" w:name="_Toc94"/>
      <w:bookmarkEnd w:id="229"/>
      <w:r>
        <w:rPr>
          <w:rtl w:val="true"/>
        </w:rPr>
        <w:t>فروع</w:t>
      </w:r>
      <w:r>
        <w:rPr>
          <w:rtl w:val="true"/>
        </w:rPr>
        <w:t>:</w:t>
      </w:r>
      <w:bookmarkEnd w:id="230"/>
    </w:p>
    <w:p>
      <w:pPr>
        <w:pStyle w:val="Heading6"/>
        <w:numPr>
          <w:ilvl w:val="5"/>
          <w:numId w:val="1"/>
        </w:numPr>
        <w:rPr/>
      </w:pPr>
      <w:bookmarkStart w:id="231" w:name="__RefHeading___Toc795311_222507752"/>
      <w:bookmarkStart w:id="232" w:name="_Toc95"/>
      <w:bookmarkEnd w:id="231"/>
      <w:r>
        <w:rPr>
          <w:rtl w:val="true"/>
        </w:rPr>
        <w:t>الأوّل</w:t>
      </w:r>
      <w:r>
        <w:rPr>
          <w:rtl w:val="true"/>
        </w:rPr>
        <w:t>:</w:t>
      </w:r>
      <w:r>
        <w:rPr>
          <w:rtl w:val="true"/>
        </w:rPr>
        <w:t>قد تشتبه عبارة علمائنا على بعض من لا مزيد تحصيل له في معنى</w:t>
      </w:r>
      <w:bookmarkEnd w:id="232"/>
    </w:p>
    <w:p>
      <w:pPr>
        <w:pStyle w:val="BookText"/>
        <w:rPr/>
      </w:pPr>
      <w:r>
        <w:rPr>
          <w:rFonts w:ascii="Amiri" w:hAnsi="Amiri" w:eastAsia="Amiri" w:cs="Amiri"/>
          <w:color w:val="111111"/>
          <w:sz w:val="28"/>
          <w:sz w:val="28"/>
          <w:szCs w:val="28"/>
          <w:rtl w:val="true"/>
          <w:lang w:bidi="ar-SA"/>
        </w:rPr>
        <w:t>الكعب،</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الضّابط فيه،ما رواه زرارة في الصّحيح،عن الباقر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قلنا أصلحك </w:t>
      </w:r>
      <w:bookmarkStart w:id="233" w:name="pg12669_112867"/>
    </w:p>
    <w:p>
      <w:pPr>
        <w:pStyle w:val="BookText"/>
        <w:rPr/>
      </w:pPr>
      <w:bookmarkEnd w:id="233"/>
      <w:r>
        <w:rPr>
          <w:rFonts w:ascii="Amiri" w:hAnsi="Amiri" w:eastAsia="Amiri" w:cs="Amiri"/>
          <w:color w:val="111111"/>
          <w:sz w:val="28"/>
          <w:sz w:val="28"/>
          <w:szCs w:val="28"/>
          <w:rtl w:val="true"/>
          <w:lang w:bidi="ar-SA"/>
        </w:rPr>
        <w:t>اللّه،فأين الكعبان؟قال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 هنا،يعني المفصل دون عظم السّاق</w:t>
      </w:r>
      <w:r>
        <w:rPr>
          <w:rFonts w:eastAsia="Amiri" w:cs="Amiri" w:ascii="Amiri" w:hAnsi="Amiri"/>
          <w:color w:val="111111"/>
          <w:sz w:val="28"/>
          <w:szCs w:val="28"/>
          <w:rtl w:val="true"/>
          <w:lang w:bidi="ar-SA"/>
        </w:rPr>
        <w:t xml:space="preserve">) </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34" w:name="__RefHeading___Toc795313_222507752"/>
      <w:bookmarkStart w:id="235" w:name="_Toc96"/>
      <w:bookmarkEnd w:id="234"/>
      <w:r>
        <w:rPr>
          <w:rtl w:val="true"/>
        </w:rPr>
        <w:t>الثّاني</w:t>
      </w:r>
      <w:r>
        <w:rPr>
          <w:rtl w:val="true"/>
        </w:rPr>
        <w:t>:</w:t>
      </w:r>
      <w:r>
        <w:rPr>
          <w:rtl w:val="true"/>
        </w:rPr>
        <w:t>يجوز المسح مقبلا و مدبرا</w:t>
      </w:r>
      <w:r>
        <w:rPr>
          <w:rtl w:val="true"/>
        </w:rPr>
        <w:t>.</w:t>
      </w:r>
      <w:bookmarkEnd w:id="235"/>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قد امتثل الأمر بالمسح،و لما رواه الشّيخ في الصّحيح،عن حمّاد بن عثمان،عن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بمسح القدمين مقبلا و مدبرا</w:t>
      </w:r>
      <w:r>
        <w:rPr>
          <w:rFonts w:eastAsia="Amiri" w:cs="Amiri" w:ascii="Amiri" w:hAnsi="Amiri"/>
          <w:color w:val="111111"/>
          <w:sz w:val="28"/>
          <w:szCs w:val="28"/>
          <w:rtl w:val="true"/>
          <w:lang w:bidi="ar-SA"/>
        </w:rPr>
        <w:t xml:space="preserve">) </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يونس،قال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أخبرني من رأى أبا الحسن عليه السّلام بمنى يمسح ظهر قدميه من أعلى القدم إلى الكعب و من الكعب إلى أعلى القدم </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36" w:name="__RefHeading___Toc795315_222507752"/>
      <w:bookmarkStart w:id="237" w:name="_Toc97"/>
      <w:bookmarkEnd w:id="236"/>
      <w:r>
        <w:rPr>
          <w:rtl w:val="true"/>
        </w:rPr>
        <w:t>الثّالث</w:t>
      </w:r>
      <w:r>
        <w:rPr>
          <w:rtl w:val="true"/>
        </w:rPr>
        <w:t>:</w:t>
      </w:r>
      <w:r>
        <w:rPr>
          <w:rtl w:val="true"/>
        </w:rPr>
        <w:t>لا يجوز استئناف ماء جديد</w:t>
      </w:r>
      <w:bookmarkEnd w:id="237"/>
    </w:p>
    <w:p>
      <w:pPr>
        <w:pStyle w:val="BookText"/>
        <w:rPr/>
      </w:pPr>
      <w:r>
        <w:rPr>
          <w:rFonts w:ascii="IRNazanin" w:hAnsi="IRNazanin" w:eastAsia="IRNazanin"/>
          <w:color w:val="111111"/>
          <w:sz w:val="28"/>
          <w:sz w:val="28"/>
          <w:szCs w:val="28"/>
          <w:rtl w:val="true"/>
          <w:lang w:bidi="fa-IR"/>
        </w:rPr>
        <w:t xml:space="preserve">،لما قلناه </w:t>
      </w:r>
      <w:r>
        <w:rPr>
          <w:rStyle w:val="FootnoteAnchor"/>
          <w:rtl w:val="true"/>
        </w:rPr>
        <w:footnoteReference w:id="384"/>
      </w:r>
      <w:r>
        <w:rPr>
          <w:rFonts w:ascii="Amiri" w:hAnsi="Amiri" w:eastAsia="Amiri" w:cs="Amiri"/>
          <w:color w:val="111111"/>
          <w:sz w:val="28"/>
          <w:sz w:val="28"/>
          <w:szCs w:val="28"/>
          <w:rtl w:val="true"/>
          <w:lang w:bidi="ar-SA"/>
        </w:rPr>
        <w:t>في مسح الرّأس</w:t>
      </w:r>
      <w:r>
        <w:rPr>
          <w:rFonts w:eastAsia="Amiri" w:cs="Amiri" w:ascii="Amiri" w:hAnsi="Amiri"/>
          <w:color w:val="111111"/>
          <w:sz w:val="28"/>
          <w:szCs w:val="28"/>
          <w:rtl w:val="true"/>
          <w:lang w:bidi="ar-SA"/>
        </w:rPr>
        <w:t>.</w:t>
      </w:r>
    </w:p>
    <w:p>
      <w:pPr>
        <w:pStyle w:val="Heading6"/>
        <w:numPr>
          <w:ilvl w:val="5"/>
          <w:numId w:val="1"/>
        </w:numPr>
        <w:rPr/>
      </w:pPr>
      <w:bookmarkStart w:id="238" w:name="__RefHeading___Toc795317_222507752"/>
      <w:bookmarkStart w:id="239" w:name="_Toc98"/>
      <w:bookmarkEnd w:id="238"/>
      <w:r>
        <w:rPr>
          <w:rtl w:val="true"/>
        </w:rPr>
        <w:t>الرّابع</w:t>
      </w:r>
      <w:r>
        <w:rPr>
          <w:rtl w:val="true"/>
        </w:rPr>
        <w:t>:</w:t>
      </w:r>
      <w:r>
        <w:rPr>
          <w:rtl w:val="true"/>
        </w:rPr>
        <w:t>لو كان على رجليه رطوبة غير ماء الوضوء،ثمَّ مسح بباقي النّداوة على تلك</w:t>
      </w:r>
      <w:bookmarkEnd w:id="239"/>
    </w:p>
    <w:p>
      <w:pPr>
        <w:pStyle w:val="BookText"/>
        <w:rPr/>
      </w:pPr>
      <w:r>
        <w:rPr>
          <w:rFonts w:ascii="Amiri" w:hAnsi="Amiri" w:eastAsia="Amiri" w:cs="Amiri"/>
          <w:color w:val="111111"/>
          <w:sz w:val="28"/>
          <w:sz w:val="28"/>
          <w:szCs w:val="28"/>
          <w:rtl w:val="true"/>
          <w:lang w:bidi="ar-SA"/>
        </w:rPr>
        <w:t>الرّطوبة،فالوجه الإجزاء،</w:t>
      </w:r>
    </w:p>
    <w:p>
      <w:pPr>
        <w:pStyle w:val="BookText"/>
        <w:rPr/>
      </w:pPr>
      <w:r>
        <w:rPr>
          <w:rFonts w:ascii="Amiri" w:hAnsi="Amiri" w:eastAsia="Amiri" w:cs="Amiri"/>
          <w:color w:val="111111"/>
          <w:sz w:val="28"/>
          <w:sz w:val="28"/>
          <w:szCs w:val="28"/>
          <w:rtl w:val="true"/>
          <w:lang w:bidi="ar-SA"/>
        </w:rPr>
        <w:t>خلافا لوالدي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أتى بالمسح ببقيّة النّداوة و لم يستأنف للوضوء،فأجزأه عملا بالأصل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لو كان في الماء،فأخرج رجليه منه، و مسح عليهما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الجميع نظر</w:t>
      </w:r>
      <w:r>
        <w:rPr>
          <w:rFonts w:eastAsia="Amiri" w:cs="Amiri" w:ascii="Amiri" w:hAnsi="Amiri"/>
          <w:color w:val="111111"/>
          <w:sz w:val="28"/>
          <w:szCs w:val="28"/>
          <w:rtl w:val="true"/>
          <w:lang w:bidi="ar-SA"/>
        </w:rPr>
        <w:t>.</w:t>
      </w:r>
    </w:p>
    <w:p>
      <w:pPr>
        <w:pStyle w:val="Heading6"/>
        <w:numPr>
          <w:ilvl w:val="5"/>
          <w:numId w:val="1"/>
        </w:numPr>
        <w:rPr/>
      </w:pPr>
      <w:bookmarkStart w:id="240" w:name="__RefHeading___Toc795319_222507752"/>
      <w:bookmarkStart w:id="241" w:name="_Toc99"/>
      <w:bookmarkEnd w:id="240"/>
      <w:r>
        <w:rPr>
          <w:rtl w:val="true"/>
        </w:rPr>
        <w:t>الخامس</w:t>
      </w:r>
      <w:r>
        <w:rPr>
          <w:rtl w:val="true"/>
        </w:rPr>
        <w:t>:</w:t>
      </w:r>
      <w:r>
        <w:rPr>
          <w:rtl w:val="true"/>
        </w:rPr>
        <w:t>يجب الانتهاء في المسح إلى الكعب</w:t>
      </w:r>
      <w:bookmarkEnd w:id="241"/>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،لقوله تعالى إِلَى الْكَعْبَيْنِ </w:t>
      </w:r>
      <w:r>
        <w:rPr>
          <w:rStyle w:val="FootnoteAnchor"/>
          <w:rtl w:val="true"/>
        </w:rPr>
        <w:footnoteReference w:id="385"/>
      </w:r>
      <w:r>
        <w:rPr>
          <w:rFonts w:ascii="Amiri" w:hAnsi="Amiri" w:eastAsia="Amiri" w:cs="Amiri"/>
          <w:color w:val="111111"/>
          <w:sz w:val="28"/>
          <w:sz w:val="28"/>
          <w:szCs w:val="28"/>
          <w:rtl w:val="true"/>
          <w:lang w:bidi="ar-SA"/>
        </w:rPr>
        <w:t>و بدون الانتهاء لا تحصل الغاية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هل يجب إدخالهما في المسح؟قال بعض الأصحاب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w:t>
      </w:r>
      <w:r>
        <w:rPr>
          <w:rStyle w:val="FootnoteAnchor"/>
          <w:rtl w:val="true"/>
        </w:rPr>
        <w:footnoteReference w:id="386"/>
      </w:r>
      <w:r>
        <w:rPr>
          <w:rFonts w:ascii="Amiri" w:hAnsi="Amiri" w:eastAsia="Amiri" w:cs="Amiri"/>
          <w:color w:val="111111"/>
          <w:sz w:val="28"/>
          <w:sz w:val="28"/>
          <w:szCs w:val="28"/>
          <w:rtl w:val="true"/>
          <w:lang w:bidi="ar-SA"/>
        </w:rPr>
        <w:t xml:space="preserve">،لما رواه زرارة و بكير،عن أبي جعفر عليه السّلام في صفة </w:t>
      </w:r>
      <w:bookmarkStart w:id="242" w:name="pg12669_112868"/>
    </w:p>
    <w:p>
      <w:pPr>
        <w:pStyle w:val="BookText"/>
        <w:rPr/>
      </w:pPr>
      <w:bookmarkEnd w:id="242"/>
      <w:r>
        <w:rPr>
          <w:rFonts w:ascii="Amiri" w:hAnsi="Amiri" w:eastAsia="Amiri" w:cs="Amiri"/>
          <w:color w:val="111111"/>
          <w:sz w:val="28"/>
          <w:sz w:val="28"/>
          <w:szCs w:val="28"/>
          <w:rtl w:val="true"/>
          <w:lang w:bidi="ar-SA"/>
        </w:rPr>
        <w:t>وضوء رسول اللّه صلّى اللّه عليه و آله،قال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مسح بشيء من رأسه أو بشيء من قدميه ما بين الكعبين إلى آخر أطراف الأصابع،فقد أجزأه</w:t>
      </w:r>
      <w:r>
        <w:rPr>
          <w:rFonts w:eastAsia="Amiri" w:cs="Amiri" w:ascii="Amiri" w:hAnsi="Amiri"/>
          <w:color w:val="111111"/>
          <w:sz w:val="28"/>
          <w:szCs w:val="28"/>
          <w:rtl w:val="true"/>
          <w:lang w:bidi="ar-SA"/>
        </w:rPr>
        <w:t xml:space="preserve">) </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الوجه عندي الدّخول،لقوله تعالى إِلَى الْكَعْبَيْنِ ،و هذه إمّا أن تكون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قلناه في اليدين فيتعيّن الدّخول،و إمّا أن تكون غاية،فيجب دخولها،لعدم انفصالها عن ذي الغاية حسّا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المبرّد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الحدّ من جنس المحدود دخل فيه،و الكعبان من جنس الرّجلين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حجّة فيما رواه،فإنّه قد يكون ذلك مستعملا فيما يدخل فيه المبدأ،كقوله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عندي ما بين واحد إلى عشرة،فإنّه يلزم فيه دخول الواحد قطعا،و لأنّه في حالة الابتداء بهما يجب مسحهما،لرواية يونس،قال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أخبرني من رأى أبا الحسن عليه السّلام بمنى يمسح ظهر قدميه من أعلى القدم إلى الكعب و من الكعب إلى أعلى القدم </w:t>
      </w:r>
      <w:r>
        <w:rPr>
          <w:rStyle w:val="FootnoteAnchor"/>
          <w:rtl w:val="true"/>
        </w:rPr>
        <w:footnoteReference w:id="38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فوجب في الانتهاء كذلك،لعدم القائل بالفرق،و لأنّه يلزم إسقاط بعض ما يجب مسحه في إحدى الحالتين،و هو باطل اتّفاقا</w:t>
      </w:r>
      <w:r>
        <w:rPr>
          <w:rFonts w:eastAsia="Amiri" w:cs="Amiri" w:ascii="Amiri" w:hAnsi="Amiri"/>
          <w:color w:val="111111"/>
          <w:sz w:val="28"/>
          <w:szCs w:val="28"/>
          <w:rtl w:val="true"/>
          <w:lang w:bidi="ar-SA"/>
        </w:rPr>
        <w:t>.</w:t>
      </w:r>
    </w:p>
    <w:p>
      <w:pPr>
        <w:pStyle w:val="Heading6"/>
        <w:numPr>
          <w:ilvl w:val="5"/>
          <w:numId w:val="1"/>
        </w:numPr>
        <w:rPr/>
      </w:pPr>
      <w:bookmarkStart w:id="243" w:name="__RefHeading___Toc795321_222507752"/>
      <w:bookmarkStart w:id="244" w:name="_Toc100"/>
      <w:bookmarkEnd w:id="243"/>
      <w:r>
        <w:rPr>
          <w:rtl w:val="true"/>
        </w:rPr>
        <w:t>السّادس</w:t>
      </w:r>
      <w:r>
        <w:rPr>
          <w:rtl w:val="true"/>
        </w:rPr>
        <w:t>:</w:t>
      </w:r>
      <w:r>
        <w:rPr>
          <w:rtl w:val="true"/>
        </w:rPr>
        <w:t xml:space="preserve">يسقط فرض المسح عمّن قطعت قدمه </w:t>
      </w:r>
      <w:r>
        <w:rPr>
          <w:rtl w:val="true"/>
        </w:rPr>
        <w:t>.</w:t>
      </w:r>
      <w:bookmarkEnd w:id="244"/>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بقي شيء بين يدي الكعب أو الكعب مسح عليه،لأنّه قد كان يجب مسح </w:t>
      </w:r>
      <w:bookmarkStart w:id="245" w:name="pg12669_112869"/>
    </w:p>
    <w:p>
      <w:pPr>
        <w:pStyle w:val="BookText"/>
        <w:rPr/>
      </w:pPr>
      <w:bookmarkEnd w:id="245"/>
      <w:r>
        <w:rPr>
          <w:rFonts w:ascii="Amiri" w:hAnsi="Amiri" w:eastAsia="Amiri" w:cs="Amiri"/>
          <w:color w:val="111111"/>
          <w:sz w:val="28"/>
          <w:sz w:val="28"/>
          <w:szCs w:val="28"/>
          <w:rtl w:val="true"/>
          <w:lang w:bidi="ar-SA"/>
        </w:rPr>
        <w:t>الجميع فلا يسقط البعض بفوات الباقي لفوات محلّه</w:t>
      </w:r>
      <w:r>
        <w:rPr>
          <w:rFonts w:eastAsia="Amiri" w:cs="Amiri" w:ascii="Amiri" w:hAnsi="Amiri"/>
          <w:color w:val="111111"/>
          <w:sz w:val="28"/>
          <w:szCs w:val="28"/>
          <w:rtl w:val="true"/>
          <w:lang w:bidi="ar-SA"/>
        </w:rPr>
        <w:t>.</w:t>
      </w:r>
    </w:p>
    <w:p>
      <w:pPr>
        <w:pStyle w:val="Heading6"/>
        <w:numPr>
          <w:ilvl w:val="5"/>
          <w:numId w:val="1"/>
        </w:numPr>
        <w:rPr/>
      </w:pPr>
      <w:bookmarkStart w:id="246" w:name="__RefHeading___Toc795323_222507752"/>
      <w:bookmarkStart w:id="247" w:name="_Toc101"/>
      <w:bookmarkEnd w:id="246"/>
      <w:r>
        <w:rPr>
          <w:rtl w:val="true"/>
        </w:rPr>
        <w:t>السّابع</w:t>
      </w:r>
      <w:r>
        <w:rPr>
          <w:rtl w:val="true"/>
        </w:rPr>
        <w:t>:</w:t>
      </w:r>
      <w:r>
        <w:rPr>
          <w:rtl w:val="true"/>
        </w:rPr>
        <w:t>لو غسل موضع المسح لم يجز،</w:t>
      </w:r>
      <w:bookmarkEnd w:id="247"/>
    </w:p>
    <w:p>
      <w:pPr>
        <w:pStyle w:val="BookText"/>
        <w:rPr/>
      </w:pPr>
      <w:r>
        <w:rPr>
          <w:rFonts w:ascii="IRNazanin" w:hAnsi="IRNazanin" w:eastAsia="IRNazanin"/>
          <w:color w:val="111111"/>
          <w:sz w:val="28"/>
          <w:sz w:val="28"/>
          <w:szCs w:val="28"/>
          <w:rtl w:val="true"/>
          <w:lang w:bidi="fa-IR"/>
        </w:rPr>
        <w:t xml:space="preserve">لما قلناه </w:t>
      </w:r>
      <w:r>
        <w:rPr>
          <w:rStyle w:val="FootnoteAnchor"/>
          <w:rtl w:val="true"/>
        </w:rPr>
        <w:footnoteReference w:id="390"/>
      </w:r>
      <w:r>
        <w:rPr>
          <w:rFonts w:ascii="Amiri" w:hAnsi="Amiri" w:eastAsia="Amiri" w:cs="Amiri"/>
          <w:color w:val="111111"/>
          <w:sz w:val="28"/>
          <w:sz w:val="28"/>
          <w:szCs w:val="28"/>
          <w:rtl w:val="true"/>
          <w:lang w:bidi="ar-SA"/>
        </w:rPr>
        <w:t>في الرّأس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الشّيخ في الصّحيح،عن زرارة،عن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أنّك توضّأت فجعلت مسح الرّجلين غسلا،ثمَّ أضمرت انّ ذلك من المفروض،لم يكن ذلك بوضوء</w:t>
      </w:r>
      <w:r>
        <w:rPr>
          <w:rFonts w:eastAsia="Amiri" w:cs="Amiri" w:ascii="Amiri" w:hAnsi="Amiri"/>
          <w:color w:val="111111"/>
          <w:sz w:val="28"/>
          <w:szCs w:val="28"/>
          <w:rtl w:val="true"/>
          <w:lang w:bidi="ar-SA"/>
        </w:rPr>
        <w:t xml:space="preserve">) </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يعارض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عمّار،عن أبي عبد اللّه عليه السّلام في الرّجل يتوضّأ الوضوء كلّه إلاّ رجليه ثمَّ يخوض الماء بهما خوضا؟قال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أجزأه ذلك</w:t>
      </w:r>
      <w:r>
        <w:rPr>
          <w:rFonts w:eastAsia="Amiri" w:cs="Amiri" w:ascii="Amiri" w:hAnsi="Amiri"/>
          <w:color w:val="111111"/>
          <w:sz w:val="28"/>
          <w:szCs w:val="28"/>
          <w:rtl w:val="true"/>
          <w:lang w:bidi="ar-SA"/>
        </w:rPr>
        <w:t xml:space="preserve">) </w:t>
      </w:r>
      <w:r>
        <w:rPr>
          <w:rStyle w:val="FootnoteAnchor"/>
          <w:rtl w:val="true"/>
        </w:rPr>
        <w:footnoteReference w:id="393"/>
      </w:r>
      <w:r>
        <w:rPr>
          <w:rFonts w:ascii="Amiri" w:hAnsi="Amiri" w:eastAsia="Amiri" w:cs="Amiri"/>
          <w:color w:val="111111"/>
          <w:sz w:val="28"/>
          <w:sz w:val="28"/>
          <w:szCs w:val="28"/>
          <w:rtl w:val="true"/>
          <w:lang w:bidi="ar-SA"/>
        </w:rPr>
        <w:t>لأنّ رواته فطحيّة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لاحتمال أن يكون ذلك في محلّ الضّرورة كما في التّقيّة</w:t>
      </w:r>
      <w:r>
        <w:rPr>
          <w:rFonts w:eastAsia="Amiri" w:cs="Amiri" w:ascii="Amiri" w:hAnsi="Amiri"/>
          <w:color w:val="111111"/>
          <w:sz w:val="28"/>
          <w:szCs w:val="28"/>
          <w:rtl w:val="true"/>
          <w:lang w:bidi="ar-SA"/>
        </w:rPr>
        <w:t>.</w:t>
      </w:r>
    </w:p>
    <w:p>
      <w:pPr>
        <w:pStyle w:val="Heading6"/>
        <w:numPr>
          <w:ilvl w:val="5"/>
          <w:numId w:val="1"/>
        </w:numPr>
        <w:rPr/>
      </w:pPr>
      <w:bookmarkStart w:id="248" w:name="__RefHeading___Toc795325_222507752"/>
      <w:bookmarkStart w:id="249" w:name="_Toc102"/>
      <w:bookmarkEnd w:id="248"/>
      <w:r>
        <w:rPr>
          <w:rtl w:val="true"/>
        </w:rPr>
        <w:t>تذنيب</w:t>
      </w:r>
      <w:r>
        <w:rPr>
          <w:rtl w:val="true"/>
        </w:rPr>
        <w:t>:</w:t>
      </w:r>
      <w:bookmarkEnd w:id="249"/>
    </w:p>
    <w:p>
      <w:pPr>
        <w:pStyle w:val="BookText"/>
        <w:rPr/>
      </w:pPr>
      <w:r>
        <w:rPr>
          <w:rFonts w:ascii="Amiri" w:hAnsi="Amiri" w:eastAsia="Amiri" w:cs="Amiri"/>
          <w:color w:val="111111"/>
          <w:sz w:val="28"/>
          <w:sz w:val="28"/>
          <w:szCs w:val="28"/>
          <w:rtl w:val="true"/>
          <w:lang w:bidi="ar-SA"/>
        </w:rPr>
        <w:t>لو فعل ذلك للتّقيّة أو للخوف صحّ وضوؤه</w:t>
      </w:r>
    </w:p>
    <w:p>
      <w:pPr>
        <w:pStyle w:val="BookText"/>
        <w:rPr/>
      </w:pPr>
      <w:r>
        <w:rPr>
          <w:rFonts w:ascii="Amiri" w:hAnsi="Amiri" w:eastAsia="Amiri" w:cs="Amiri"/>
          <w:color w:val="111111"/>
          <w:sz w:val="28"/>
          <w:sz w:val="28"/>
          <w:szCs w:val="28"/>
          <w:rtl w:val="true"/>
          <w:lang w:bidi="ar-SA"/>
        </w:rPr>
        <w:t>،فلو زالت العلّة،هل تجب إعادة الوضوء؟ فيه نظر،و الوجه عدم الوجوب،و لو أراد التّنظيف غسلهما قبل الوضوء أو بعده</w:t>
      </w:r>
      <w:r>
        <w:rPr>
          <w:rFonts w:eastAsia="Amiri" w:cs="Amiri" w:ascii="Amiri" w:hAnsi="Amiri"/>
          <w:color w:val="111111"/>
          <w:sz w:val="28"/>
          <w:szCs w:val="28"/>
          <w:rtl w:val="true"/>
          <w:lang w:bidi="ar-SA"/>
        </w:rPr>
        <w:t>.</w:t>
      </w:r>
    </w:p>
    <w:p>
      <w:pPr>
        <w:pStyle w:val="Heading6"/>
        <w:numPr>
          <w:ilvl w:val="5"/>
          <w:numId w:val="1"/>
        </w:numPr>
        <w:rPr/>
      </w:pPr>
      <w:bookmarkStart w:id="250" w:name="__RefHeading___Toc795327_222507752"/>
      <w:bookmarkStart w:id="251" w:name="_Toc103"/>
      <w:bookmarkEnd w:id="250"/>
      <w:r>
        <w:rPr>
          <w:rtl w:val="true"/>
        </w:rPr>
        <w:t>الثّامن</w:t>
      </w:r>
      <w:r>
        <w:rPr>
          <w:rtl w:val="true"/>
        </w:rPr>
        <w:t>:</w:t>
      </w:r>
      <w:r>
        <w:rPr>
          <w:rtl w:val="true"/>
        </w:rPr>
        <w:t>لا بأس بالمسح على النّعل العربيّ</w:t>
      </w:r>
      <w:bookmarkEnd w:id="251"/>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لم يدخل يده تحت الشّراك،لأنّه لا يمنع مسح موضع الفرض،و لما رواه الشّيخ في الصّحيح،عن زرارة و بكير ابني أعين، أبي جعفر عليه السّلام انّه قال في المسح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تمسح على النّعلين،و لا تدخل يدك تحت </w:t>
      </w:r>
      <w:bookmarkStart w:id="252" w:name="pg12669_112870"/>
    </w:p>
    <w:p>
      <w:pPr>
        <w:pStyle w:val="BookText"/>
        <w:rPr/>
      </w:pPr>
      <w:bookmarkEnd w:id="252"/>
      <w:r>
        <w:rPr>
          <w:rFonts w:ascii="Amiri" w:hAnsi="Amiri" w:eastAsia="Amiri" w:cs="Amiri"/>
          <w:color w:val="111111"/>
          <w:sz w:val="28"/>
          <w:sz w:val="28"/>
          <w:szCs w:val="28"/>
          <w:rtl w:val="true"/>
          <w:lang w:bidi="ar-SA"/>
        </w:rPr>
        <w:t>الشّراك</w:t>
      </w:r>
      <w:r>
        <w:rPr>
          <w:rFonts w:eastAsia="Amiri" w:cs="Amiri" w:ascii="Amiri" w:hAnsi="Amiri"/>
          <w:color w:val="111111"/>
          <w:sz w:val="28"/>
          <w:szCs w:val="28"/>
          <w:rtl w:val="true"/>
          <w:lang w:bidi="ar-SA"/>
        </w:rPr>
        <w:t xml:space="preserve">) </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بقي هنا بحث،و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هل يجب مسح ما تحت الشّراك؟ظاهر قول الأصحاب يقتضي عدمه </w:t>
      </w:r>
      <w:r>
        <w:rPr>
          <w:rStyle w:val="FootnoteAnchor"/>
          <w:rtl w:val="true"/>
        </w:rPr>
        <w:footnoteReference w:id="395"/>
      </w:r>
      <w:r>
        <w:rPr>
          <w:rFonts w:ascii="Amiri" w:hAnsi="Amiri" w:eastAsia="Amiri" w:cs="Amiri"/>
          <w:color w:val="111111"/>
          <w:sz w:val="28"/>
          <w:sz w:val="28"/>
          <w:szCs w:val="28"/>
          <w:rtl w:val="true"/>
          <w:lang w:bidi="ar-SA"/>
        </w:rPr>
        <w:t>،و الأقرب وجوبه،لأنّ عدم إيجاب إدخال اليد تحت الشّراك لا يقتضي عدم إيجاب مسحه،لإمكانه و إن لم يدخل يده تحت الشّراك</w:t>
      </w:r>
      <w:r>
        <w:rPr>
          <w:rFonts w:eastAsia="Amiri" w:cs="Amiri" w:ascii="Amiri" w:hAnsi="Amiri"/>
          <w:color w:val="111111"/>
          <w:sz w:val="28"/>
          <w:szCs w:val="28"/>
          <w:rtl w:val="true"/>
          <w:lang w:bidi="ar-SA"/>
        </w:rPr>
        <w:t>.</w:t>
      </w:r>
    </w:p>
    <w:p>
      <w:pPr>
        <w:pStyle w:val="Heading5"/>
        <w:numPr>
          <w:ilvl w:val="4"/>
          <w:numId w:val="1"/>
        </w:numPr>
        <w:rPr/>
      </w:pPr>
      <w:bookmarkStart w:id="253" w:name="__RefHeading___Toc795329_222507752"/>
      <w:bookmarkStart w:id="254" w:name="_Toc104"/>
      <w:bookmarkEnd w:id="253"/>
      <w:r>
        <w:rPr>
          <w:rtl w:val="true"/>
        </w:rPr>
        <w:t>مسألة</w:t>
      </w:r>
      <w:r>
        <w:rPr>
          <w:rtl w:val="true"/>
        </w:rPr>
        <w:t>:</w:t>
      </w:r>
      <w:r>
        <w:rPr>
          <w:rtl w:val="true"/>
        </w:rPr>
        <w:t>لا يجوز المسح على الخفّين،و لا على الجوربين،و لا على شيء ممّا يستر ظهر</w:t>
      </w:r>
      <w:bookmarkEnd w:id="254"/>
    </w:p>
    <w:p>
      <w:pPr>
        <w:pStyle w:val="Heading6"/>
        <w:numPr>
          <w:ilvl w:val="5"/>
          <w:numId w:val="1"/>
        </w:numPr>
        <w:rPr/>
      </w:pPr>
      <w:bookmarkStart w:id="255" w:name="__RefHeading___Toc795331_222507752"/>
      <w:bookmarkStart w:id="256" w:name="_Toc105"/>
      <w:bookmarkEnd w:id="255"/>
      <w:r>
        <w:rPr>
          <w:rtl w:val="true"/>
        </w:rPr>
        <w:t>اشارة</w:t>
      </w:r>
      <w:bookmarkEnd w:id="256"/>
    </w:p>
    <w:p>
      <w:pPr>
        <w:pStyle w:val="BookText"/>
        <w:rPr/>
      </w:pPr>
      <w:r>
        <w:rPr>
          <w:rFonts w:ascii="IRNazanin" w:hAnsi="IRNazanin" w:eastAsia="IRNazanin"/>
          <w:color w:val="111111"/>
          <w:sz w:val="28"/>
          <w:sz w:val="28"/>
          <w:szCs w:val="28"/>
          <w:rtl w:val="true"/>
          <w:lang w:bidi="fa-IR"/>
        </w:rPr>
        <w:t>القدم</w:t>
      </w:r>
    </w:p>
    <w:p>
      <w:pPr>
        <w:pStyle w:val="BookText"/>
        <w:rPr/>
      </w:pPr>
      <w:r>
        <w:rPr>
          <w:rFonts w:ascii="IRNazanin" w:hAnsi="IRNazanin" w:eastAsia="IRNazanin"/>
          <w:color w:val="111111"/>
          <w:sz w:val="28"/>
          <w:sz w:val="28"/>
          <w:szCs w:val="28"/>
          <w:rtl w:val="true"/>
          <w:lang w:bidi="fa-IR"/>
        </w:rPr>
        <w:t xml:space="preserve">سفرا و حضرا </w:t>
      </w:r>
      <w:r>
        <w:rPr>
          <w:rStyle w:val="FootnoteAnchor"/>
          <w:rtl w:val="true"/>
        </w:rPr>
        <w:footnoteReference w:id="396"/>
      </w:r>
      <w:r>
        <w:rPr>
          <w:rFonts w:ascii="Amiri" w:hAnsi="Amiri" w:eastAsia="Amiri" w:cs="Amiri"/>
          <w:color w:val="111111"/>
          <w:sz w:val="28"/>
          <w:sz w:val="28"/>
          <w:szCs w:val="28"/>
          <w:rtl w:val="true"/>
          <w:lang w:bidi="ar-SA"/>
        </w:rPr>
        <w:t>اختيارا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مذهب أهل البيت عليهم السّلام،و به قال مالك في رواية أبي ذؤيب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فإنّه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أبطل مالك المسح على الخفّين في آخر أيّامه </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أيضا مذهب الخوارج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Style w:val="FootnoteAnchor"/>
          <w:rtl w:val="true"/>
        </w:rPr>
        <w:footnoteReference w:id="398"/>
      </w:r>
      <w:r>
        <w:rPr>
          <w:rFonts w:ascii="Amiri" w:hAnsi="Amiri" w:eastAsia="Amiri" w:cs="Amiri"/>
          <w:color w:val="111111"/>
          <w:sz w:val="28"/>
          <w:sz w:val="28"/>
          <w:szCs w:val="28"/>
          <w:rtl w:val="true"/>
          <w:lang w:bidi="ar-SA"/>
        </w:rPr>
        <w:t xml:space="preserve">،و مذهب أبي بكر بن داود </w:t>
      </w:r>
      <w:r>
        <w:rPr>
          <w:rStyle w:val="FootnoteAnchor"/>
          <w:rtl w:val="true"/>
        </w:rPr>
        <w:footnoteReference w:id="399"/>
      </w:r>
      <w:r>
        <w:rPr>
          <w:rFonts w:ascii="Amiri" w:hAnsi="Amiri" w:eastAsia="Amiri" w:cs="Amiri"/>
          <w:color w:val="111111"/>
          <w:sz w:val="28"/>
          <w:sz w:val="28"/>
          <w:szCs w:val="28"/>
          <w:rtl w:val="true"/>
          <w:lang w:bidi="ar-SA"/>
        </w:rPr>
        <w:t xml:space="preserve">،و خالف باقي الفقهاء في ذلك </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تعالى وَ امْسَحُوا بِرُؤُسِكُمْ وَ أَرْجُلَكُمْ </w:t>
      </w:r>
      <w:r>
        <w:rPr>
          <w:rStyle w:val="FootnoteAnchor"/>
          <w:rtl w:val="true"/>
        </w:rPr>
        <w:footnoteReference w:id="401"/>
      </w:r>
      <w:r>
        <w:rPr>
          <w:rFonts w:ascii="Amiri" w:hAnsi="Amiri" w:eastAsia="Amiri" w:cs="Amiri"/>
          <w:color w:val="111111"/>
          <w:sz w:val="28"/>
          <w:sz w:val="28"/>
          <w:szCs w:val="28"/>
          <w:rtl w:val="true"/>
          <w:lang w:bidi="ar-SA"/>
        </w:rPr>
        <w:t>و الحائل ليس برجل، فلا يقع معه الامتثال فلا يحصل الإجزاء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روته عائشة،عن النّبيّ صلّى اللّه عليه و آله انّه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أشدّ النّاس حسرة يوم القيامة،من رأى وضوءه على جلد غيره</w:t>
      </w:r>
      <w:r>
        <w:rPr>
          <w:rFonts w:eastAsia="Amiri" w:cs="Amiri" w:ascii="Amiri" w:hAnsi="Amiri"/>
          <w:color w:val="111111"/>
          <w:sz w:val="28"/>
          <w:szCs w:val="28"/>
          <w:rtl w:val="true"/>
          <w:lang w:bidi="ar-SA"/>
        </w:rPr>
        <w:t xml:space="preserve">) </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عنها انّها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لأنّ أمسح على ظهر عير بالفلاة أحبّ إليّ من أن أمسح على خفّي </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روي عنه عليه السّلام انّه توضّأ مرّة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وضوء لا يقبل اللّه الصّلاة إلاّ به</w:t>
      </w:r>
      <w:r>
        <w:rPr>
          <w:rFonts w:eastAsia="Amiri" w:cs="Amiri" w:ascii="Amiri" w:hAnsi="Amiri"/>
          <w:color w:val="111111"/>
          <w:sz w:val="28"/>
          <w:szCs w:val="28"/>
          <w:rtl w:val="true"/>
          <w:lang w:bidi="ar-SA"/>
        </w:rPr>
        <w:t xml:space="preserve">) </w:t>
      </w:r>
      <w:r>
        <w:rPr>
          <w:rStyle w:val="FootnoteAnchor"/>
          <w:rtl w:val="true"/>
        </w:rPr>
        <w:footnoteReference w:id="404"/>
      </w:r>
      <w:r>
        <w:rPr>
          <w:rFonts w:ascii="Amiri" w:hAnsi="Amiri" w:eastAsia="Amiri" w:cs="Amiri"/>
          <w:color w:val="111111"/>
          <w:sz w:val="28"/>
          <w:sz w:val="28"/>
          <w:szCs w:val="28"/>
          <w:rtl w:val="true"/>
          <w:lang w:bidi="ar-SA"/>
        </w:rPr>
        <w:t xml:space="preserve">و لا شكّ انّه في تلك الحال باشر الفعل بالرّجلين دون الخفّ،لأنّه لو أوقع </w:t>
      </w:r>
      <w:r>
        <w:rPr>
          <w:rStyle w:val="FootnoteAnchor"/>
          <w:rtl w:val="true"/>
        </w:rPr>
        <w:footnoteReference w:id="405"/>
      </w:r>
      <w:r>
        <w:rPr>
          <w:rFonts w:ascii="Amiri" w:hAnsi="Amiri" w:eastAsia="Amiri" w:cs="Amiri"/>
          <w:color w:val="111111"/>
          <w:sz w:val="28"/>
          <w:sz w:val="28"/>
          <w:szCs w:val="28"/>
          <w:rtl w:val="true"/>
          <w:lang w:bidi="ar-SA"/>
        </w:rPr>
        <w:t>الفعل على الخفّين لم يحصل الإجزاء إلاّ به،و ذلك منفيّ اتّفاقا</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روي،عن الصّحابة من إنكاره </w:t>
      </w:r>
      <w:r>
        <w:rPr>
          <w:rStyle w:val="FootnoteAnchor"/>
          <w:rtl w:val="true"/>
        </w:rPr>
        <w:footnoteReference w:id="406"/>
      </w:r>
      <w:r>
        <w:rPr>
          <w:rFonts w:ascii="Amiri" w:hAnsi="Amiri" w:eastAsia="Amiri" w:cs="Amiri"/>
          <w:color w:val="111111"/>
          <w:sz w:val="28"/>
          <w:sz w:val="28"/>
          <w:szCs w:val="28"/>
          <w:rtl w:val="true"/>
          <w:lang w:bidi="ar-SA"/>
        </w:rPr>
        <w:t>،و لم ينازع المنكر،فدلّ على انّه إجماع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روي،عن أمير المؤمنين عليه السّلام انّه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نسخ </w:t>
      </w:r>
      <w:r>
        <w:rPr>
          <w:rStyle w:val="FootnoteAnchor"/>
          <w:rtl w:val="true"/>
        </w:rPr>
        <w:footnoteReference w:id="407"/>
      </w:r>
      <w:r>
        <w:rPr>
          <w:rFonts w:ascii="Amiri" w:hAnsi="Amiri" w:eastAsia="Amiri" w:cs="Amiri"/>
          <w:color w:val="111111"/>
          <w:sz w:val="28"/>
          <w:sz w:val="28"/>
          <w:szCs w:val="28"/>
          <w:rtl w:val="true"/>
          <w:lang w:bidi="ar-SA"/>
        </w:rPr>
        <w:t xml:space="preserve">الكتاب المسح على </w:t>
      </w:r>
    </w:p>
    <w:p>
      <w:pPr>
        <w:pStyle w:val="BookText"/>
        <w:rPr/>
      </w:pPr>
      <w:r>
        <w:rPr>
          <w:rFonts w:ascii="Amiri" w:hAnsi="Amiri" w:eastAsia="Amiri" w:cs="Amiri"/>
          <w:color w:val="111111"/>
          <w:sz w:val="28"/>
          <w:sz w:val="28"/>
          <w:szCs w:val="28"/>
          <w:rtl w:val="true"/>
          <w:lang w:bidi="ar-SA"/>
        </w:rPr>
        <w:t>الخفّين</w:t>
      </w:r>
      <w:r>
        <w:rPr>
          <w:rFonts w:eastAsia="Amiri" w:cs="Amiri" w:ascii="Amiri" w:hAnsi="Amiri"/>
          <w:color w:val="111111"/>
          <w:sz w:val="28"/>
          <w:szCs w:val="28"/>
          <w:rtl w:val="true"/>
          <w:lang w:bidi="ar-SA"/>
        </w:rPr>
        <w:t xml:space="preserve">) </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رواية أخرى ما أبالي أ مسحت على الخفّين أو على ظهر عير بالفلاة </w:t>
      </w:r>
      <w:r>
        <w:rPr>
          <w:rStyle w:val="FootnoteAnchor"/>
          <w:rtl w:val="true"/>
        </w:rPr>
        <w:footnoteReference w:id="409"/>
      </w:r>
      <w:r>
        <w:rPr>
          <w:rFonts w:ascii="Amiri" w:hAnsi="Amiri" w:eastAsia="Amiri" w:cs="Amiri"/>
          <w:color w:val="111111"/>
          <w:sz w:val="28"/>
          <w:sz w:val="28"/>
          <w:szCs w:val="28"/>
          <w:rtl w:val="true"/>
          <w:lang w:bidi="ar-SA"/>
        </w:rPr>
        <w:t>؟و لم ينكر عليه أحد من الصّحابة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روى أبو سعيد البدريّ </w:t>
      </w:r>
      <w:r>
        <w:rPr>
          <w:rStyle w:val="FootnoteAnchor"/>
          <w:rtl w:val="true"/>
        </w:rPr>
        <w:footnoteReference w:id="410"/>
      </w:r>
      <w:r>
        <w:rPr>
          <w:rFonts w:ascii="Amiri" w:hAnsi="Amiri" w:eastAsia="Amiri" w:cs="Amiri"/>
          <w:color w:val="111111"/>
          <w:sz w:val="28"/>
          <w:sz w:val="28"/>
          <w:szCs w:val="28"/>
          <w:rtl w:val="true"/>
          <w:lang w:bidi="ar-SA"/>
        </w:rPr>
        <w:t>انّ النّبيّ صلّى اللّه عليه و آله،مسح على الخفّين، قال له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نزول المائدة أو بعده؟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فسكت أبو سعيد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يدلّ على انّ عليّا عليه السّلام كان يعتقد انّه لا يجوز بعد الأمر بالأرجل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روي،عن ابن عبّاس انّه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سبق كتاب اللّه المسح على الخفّين،و لم ينكر عليه و روي عنه انّه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سلوا هؤلاء هل مسح رسول اللّه صلّى اللّه عليه و آله على خفّيه بعد نزول سورة المائدة </w:t>
      </w:r>
      <w:r>
        <w:rPr>
          <w:rStyle w:val="FootnoteAnchor"/>
          <w:rtl w:val="true"/>
        </w:rPr>
        <w:footnoteReference w:id="411"/>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بهذا احتجّ مالك في انّ المسح على الخفّين شبهة لا متيقّن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روي،عن عائشة انّها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لأنّ تقطّع رجلاي بالمواسي أحبّ إليّ من أن أمسح على الخفّين </w:t>
      </w:r>
      <w:r>
        <w:rPr>
          <w:rStyle w:val="FootnoteAnchor"/>
          <w:rtl w:val="true"/>
        </w:rPr>
        <w:footnoteReference w:id="41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لم ينكر عليها،و كره أبو هريرة ذلك </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الأصحاب،روى الشّيخ في الصّحيح،عن الحلبي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المسح على الخفّين؟فقال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تمسح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جدّي قال</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سبق الكتاب الخفّين</w:t>
      </w:r>
      <w:r>
        <w:rPr>
          <w:rFonts w:eastAsia="Amiri" w:cs="Amiri" w:ascii="Amiri" w:hAnsi="Amiri"/>
          <w:color w:val="111111"/>
          <w:sz w:val="28"/>
          <w:szCs w:val="28"/>
          <w:rtl w:val="true"/>
          <w:lang w:bidi="ar-SA"/>
        </w:rPr>
        <w:t xml:space="preserve">) </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في الصّحيح،عن محمّد بن مسلم،عن أحدهما عليهما السّلام انّه سئل عن المسح على الخفّين و على العمامة؟قال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تمسح عليهما</w:t>
      </w:r>
      <w:r>
        <w:rPr>
          <w:rFonts w:eastAsia="Amiri" w:cs="Amiri" w:ascii="Amiri" w:hAnsi="Amiri"/>
          <w:color w:val="111111"/>
          <w:sz w:val="28"/>
          <w:szCs w:val="28"/>
          <w:rtl w:val="true"/>
          <w:lang w:bidi="ar-SA"/>
        </w:rPr>
        <w:t xml:space="preserve">) </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في الصّحيح،عن زرارة،عن أبي جعفر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عمر بن الخطّاب أصحاب النّبيّ صلّى اللّه عليه و آله و فيهم عليّ عليه السّلام،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تقولون في المسح على الخفّين؟فقام المغيرة بن شعبة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رسول اللّه صلّى اللّه عليه و آله يمسح على الخفّين،فقال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المائدة أو بعدها؟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أدري،فقال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سبق الكتاب الخفّين،إنّما نزلت المائدة قبل أن يقبض بشهرين أو ثلاثة</w:t>
      </w:r>
      <w:r>
        <w:rPr>
          <w:rFonts w:eastAsia="Amiri" w:cs="Amiri" w:ascii="Amiri" w:hAnsi="Amiri"/>
          <w:color w:val="111111"/>
          <w:sz w:val="28"/>
          <w:szCs w:val="28"/>
          <w:rtl w:val="true"/>
          <w:lang w:bidi="ar-SA"/>
        </w:rPr>
        <w:t xml:space="preserve">) </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في الصّحيح،عن زرارة،عن أبي جعفر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في مسح الخفّين تقيّة؟فقال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 لا أتّقي فيهنّ أحدا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شرب المسكر،و مسح الخفّين، و متعة الحج</w:t>
      </w:r>
      <w:r>
        <w:rPr>
          <w:rFonts w:eastAsia="Amiri" w:cs="Amiri" w:ascii="Amiri" w:hAnsi="Amiri"/>
          <w:color w:val="111111"/>
          <w:sz w:val="28"/>
          <w:szCs w:val="28"/>
          <w:rtl w:val="true"/>
          <w:lang w:bidi="ar-SA"/>
        </w:rPr>
        <w:t xml:space="preserve">) </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روى،عن أبي الورد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أبا ظبيان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انّه رأى عليّا عليه السّلام أراق الماء،ثمَّ مسح على الخفّين،فقال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كذب أبو </w:t>
      </w:r>
    </w:p>
    <w:p>
      <w:pPr>
        <w:pStyle w:val="BookText"/>
        <w:rPr/>
      </w:pPr>
      <w:r>
        <w:rPr>
          <w:rFonts w:ascii="Amiri" w:hAnsi="Amiri" w:eastAsia="Amiri" w:cs="Amiri"/>
          <w:color w:val="111111"/>
          <w:sz w:val="28"/>
          <w:sz w:val="28"/>
          <w:szCs w:val="28"/>
          <w:rtl w:val="true"/>
          <w:lang w:bidi="ar-SA"/>
        </w:rPr>
        <w:t>ظبيان،أما بلغك قول عليّ عليه السّلام فيكم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سبق الكتاب الخفّين؟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فيهما رخصة؟فقال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إلاّ من عدوّ تتّقيه،أو ثلج تخاف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رجليك</w:t>
      </w:r>
      <w:r>
        <w:rPr>
          <w:rFonts w:eastAsia="Amiri" w:cs="Amiri" w:ascii="Amiri" w:hAnsi="Amiri"/>
          <w:color w:val="111111"/>
          <w:sz w:val="28"/>
          <w:szCs w:val="28"/>
          <w:rtl w:val="true"/>
          <w:lang w:bidi="ar-SA"/>
        </w:rPr>
        <w:t xml:space="preserve">] </w:t>
      </w:r>
      <w:r>
        <w:rPr>
          <w:rStyle w:val="FootnoteAnchor"/>
          <w:rtl w:val="true"/>
        </w:rPr>
        <w:footnoteReference w:id="418"/>
      </w:r>
      <w:r>
        <w:rPr>
          <w:rStyle w:val="FootnoteAnchor"/>
          <w:rtl w:val="true"/>
        </w:rPr>
        <w:footnoteReference w:id="419"/>
      </w:r>
      <w:r>
        <w:rPr>
          <w:rFonts w:ascii="Amiri" w:hAnsi="Amiri" w:eastAsia="Amiri" w:cs="Amiri"/>
          <w:color w:val="111111"/>
          <w:sz w:val="28"/>
          <w:sz w:val="28"/>
          <w:szCs w:val="28"/>
          <w:rtl w:val="true"/>
          <w:lang w:bidi="ar-SA"/>
        </w:rPr>
        <w:t xml:space="preserve">و لا منافاة بين الحديثين في عدم التّقيّة و جوازها،لاختصاص الأوّل به عليه السّلام،أو يحتمل </w:t>
      </w:r>
      <w:r>
        <w:rPr>
          <w:rStyle w:val="FootnoteAnchor"/>
          <w:rtl w:val="true"/>
        </w:rPr>
        <w:footnoteReference w:id="420"/>
      </w:r>
      <w:r>
        <w:rPr>
          <w:rFonts w:ascii="Amiri" w:hAnsi="Amiri" w:eastAsia="Amiri" w:cs="Amiri"/>
          <w:color w:val="111111"/>
          <w:sz w:val="28"/>
          <w:sz w:val="28"/>
          <w:szCs w:val="28"/>
          <w:rtl w:val="true"/>
          <w:lang w:bidi="ar-SA"/>
        </w:rPr>
        <w:t>انّه لا يتّقي تقيّة يسيرة لا تبلغ المشقّة العظيمة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روى،عن رقبة بن مصقلة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أبي جعفر عليه السّلام فسألته عن أشياء؟فقال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أراك ممّن يفتي في مسجد العراق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نعم،فقال لي</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ممّن أنت؟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عمّ لصعصعة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مرحبا بك يا ابن عمّ صعصعة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تقول في المسح على الخفّين؟فقال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عمر يراه ثلاثا للمسافر و يوما و ليلة للمقيم،و كان أبي لا يراه في سفر و لا حضر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خرجت من عنده قمت على عتبة الباب،فقال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أقبل يا ابن عمّ صعصعة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فأقبلت عليه،فقال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القوم كانوا يقولون </w:t>
      </w:r>
    </w:p>
    <w:p>
      <w:pPr>
        <w:pStyle w:val="BookText"/>
        <w:rPr/>
      </w:pPr>
      <w:r>
        <w:rPr>
          <w:rFonts w:ascii="Amiri" w:hAnsi="Amiri" w:eastAsia="Amiri" w:cs="Amiri"/>
          <w:color w:val="111111"/>
          <w:sz w:val="28"/>
          <w:sz w:val="28"/>
          <w:szCs w:val="28"/>
          <w:rtl w:val="true"/>
          <w:lang w:bidi="ar-SA"/>
        </w:rPr>
        <w:t>برأيهم فيخطئون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يصيبون</w:t>
      </w:r>
      <w:r>
        <w:rPr>
          <w:rFonts w:eastAsia="Amiri" w:cs="Amiri" w:ascii="Amiri" w:hAnsi="Amiri"/>
          <w:color w:val="111111"/>
          <w:sz w:val="28"/>
          <w:szCs w:val="28"/>
          <w:rtl w:val="true"/>
          <w:lang w:bidi="ar-SA"/>
        </w:rPr>
        <w:t xml:space="preserve">] </w:t>
      </w:r>
      <w:r>
        <w:rPr>
          <w:rStyle w:val="FootnoteAnchor"/>
          <w:rtl w:val="true"/>
        </w:rPr>
        <w:footnoteReference w:id="421"/>
      </w:r>
      <w:r>
        <w:rPr>
          <w:rFonts w:ascii="Amiri" w:hAnsi="Amiri" w:eastAsia="Amiri" w:cs="Amiri"/>
          <w:color w:val="111111"/>
          <w:sz w:val="28"/>
          <w:sz w:val="28"/>
          <w:szCs w:val="28"/>
          <w:rtl w:val="true"/>
          <w:lang w:bidi="ar-SA"/>
        </w:rPr>
        <w:t>و كان أبي لا يقول برأيه</w:t>
      </w:r>
      <w:r>
        <w:rPr>
          <w:rFonts w:eastAsia="Amiri" w:cs="Amiri" w:ascii="Amiri" w:hAnsi="Amiri"/>
          <w:color w:val="111111"/>
          <w:sz w:val="28"/>
          <w:szCs w:val="28"/>
          <w:rtl w:val="true"/>
          <w:lang w:bidi="ar-SA"/>
        </w:rPr>
        <w:t xml:space="preserve">) </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w:t>
      </w:r>
      <w:r>
        <w:rPr>
          <w:rFonts w:eastAsia="IRNazanin" w:cs="IRNazanin"/>
          <w:color w:val="111111"/>
          <w:sz w:val="28"/>
          <w:szCs w:val="28"/>
          <w:rtl w:val="true"/>
          <w:lang w:bidi="fa-IR"/>
        </w:rPr>
        <w:t xml:space="preserve">] </w:t>
      </w:r>
      <w:r>
        <w:rPr>
          <w:rStyle w:val="FootnoteAnchor"/>
          <w:rtl w:val="true"/>
        </w:rPr>
        <w:footnoteReference w:id="423"/>
      </w:r>
      <w:r>
        <w:rPr>
          <w:rFonts w:ascii="IRNazanin" w:hAnsi="IRNazanin" w:eastAsia="IRNazanin"/>
          <w:color w:val="111111"/>
          <w:sz w:val="28"/>
          <w:sz w:val="28"/>
          <w:szCs w:val="28"/>
          <w:rtl w:val="true"/>
          <w:lang w:bidi="fa-IR"/>
        </w:rPr>
        <w:t xml:space="preserve">أحد </w:t>
      </w:r>
      <w:r>
        <w:rPr>
          <w:rStyle w:val="FootnoteAnchor"/>
          <w:rtl w:val="true"/>
        </w:rPr>
        <w:footnoteReference w:id="424"/>
      </w:r>
      <w:r>
        <w:rPr>
          <w:rFonts w:ascii="Amiri" w:hAnsi="Amiri" w:eastAsia="Amiri" w:cs="Amiri"/>
          <w:color w:val="111111"/>
          <w:sz w:val="28"/>
          <w:sz w:val="28"/>
          <w:szCs w:val="28"/>
          <w:rtl w:val="true"/>
          <w:lang w:bidi="ar-SA"/>
        </w:rPr>
        <w:t>أعضاء الطّهارة،فلا يجوز على الحائل قياسا على الوجه و اليدين،أو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عضو يسقط في حال الضّرورة من غير بدل،فلا يجوز المسح على الحائل المنفصل منه كالرّأس،و شرطنا الانفصال ليخرج الشّعر في الأصل،أو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حائل منفصل عن العضو فلا يجوز المسح عليه كالعمامة و البرقع،أو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طهارة من حدث،فلا يجوز </w:t>
      </w:r>
      <w:r>
        <w:rPr>
          <w:rStyle w:val="FootnoteAnchor"/>
          <w:rtl w:val="true"/>
        </w:rPr>
        <w:footnoteReference w:id="425"/>
      </w:r>
      <w:r>
        <w:rPr>
          <w:rFonts w:ascii="Amiri" w:hAnsi="Amiri" w:eastAsia="Amiri" w:cs="Amiri"/>
          <w:color w:val="111111"/>
          <w:sz w:val="28"/>
          <w:sz w:val="28"/>
          <w:szCs w:val="28"/>
          <w:rtl w:val="true"/>
          <w:lang w:bidi="ar-SA"/>
        </w:rPr>
        <w:t>فيها المسح على الخفّ كالجنابة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احتجّوا </w:t>
      </w:r>
      <w:r>
        <w:rPr>
          <w:rStyle w:val="FootnoteAnchor"/>
          <w:rtl w:val="true"/>
        </w:rPr>
        <w:footnoteReference w:id="426"/>
      </w:r>
      <w:r>
        <w:rPr>
          <w:rFonts w:ascii="Amiri" w:hAnsi="Amiri" w:eastAsia="Amiri" w:cs="Amiri"/>
          <w:color w:val="111111"/>
          <w:sz w:val="28"/>
          <w:sz w:val="28"/>
          <w:szCs w:val="28"/>
          <w:rtl w:val="true"/>
          <w:lang w:bidi="ar-SA"/>
        </w:rPr>
        <w:t xml:space="preserve">بما روي عنه عليه السّلام انّه مسح على خفّيه </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هذه الرّواية تقتضي نسخ القرآن بخبر الواحد و ذلك لا يجوز،و أيضا فهي معارضة برواية عليّ عليه السّلام انّه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نسخ </w:t>
      </w:r>
      <w:r>
        <w:rPr>
          <w:rStyle w:val="FootnoteAnchor"/>
          <w:rtl w:val="true"/>
        </w:rPr>
        <w:footnoteReference w:id="428"/>
      </w:r>
      <w:r>
        <w:rPr>
          <w:rFonts w:ascii="Amiri" w:hAnsi="Amiri" w:eastAsia="Amiri" w:cs="Amiri"/>
          <w:color w:val="111111"/>
          <w:sz w:val="28"/>
          <w:sz w:val="28"/>
          <w:szCs w:val="28"/>
          <w:rtl w:val="true"/>
          <w:lang w:bidi="ar-SA"/>
        </w:rPr>
        <w:t>الكتاب المسح على الخفّين</w:t>
      </w:r>
      <w:r>
        <w:rPr>
          <w:rFonts w:eastAsia="Amiri" w:cs="Amiri" w:ascii="Amiri" w:hAnsi="Amiri"/>
          <w:color w:val="111111"/>
          <w:sz w:val="28"/>
          <w:szCs w:val="28"/>
          <w:rtl w:val="true"/>
          <w:lang w:bidi="ar-SA"/>
        </w:rPr>
        <w:t xml:space="preserve">» </w:t>
      </w:r>
      <w:r>
        <w:rPr>
          <w:rStyle w:val="FootnoteAnchor"/>
          <w:rtl w:val="true"/>
        </w:rPr>
        <w:footnoteReference w:id="429"/>
      </w:r>
      <w:r>
        <w:rPr>
          <w:rFonts w:ascii="Amiri" w:hAnsi="Amiri" w:eastAsia="Amiri" w:cs="Amiri"/>
          <w:color w:val="111111"/>
          <w:sz w:val="28"/>
          <w:sz w:val="28"/>
          <w:szCs w:val="28"/>
          <w:rtl w:val="true"/>
          <w:lang w:bidi="ar-SA"/>
        </w:rPr>
        <w:t xml:space="preserve">و بما قدّمناه من الأحاديث عنه عليه السّلام و عن أصحابه </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 xml:space="preserve">. </w:t>
      </w:r>
      <w:bookmarkStart w:id="257" w:name="pg12669_112876"/>
    </w:p>
    <w:p>
      <w:pPr>
        <w:pStyle w:val="Heading6"/>
        <w:numPr>
          <w:ilvl w:val="5"/>
          <w:numId w:val="1"/>
        </w:numPr>
        <w:rPr/>
      </w:pPr>
      <w:bookmarkStart w:id="258" w:name="__RefHeading___Toc795333_222507752"/>
      <w:bookmarkStart w:id="259" w:name="_Toc106"/>
      <w:bookmarkEnd w:id="257"/>
      <w:bookmarkEnd w:id="258"/>
      <w:r>
        <w:rPr>
          <w:rtl w:val="true"/>
        </w:rPr>
        <w:t>فروع</w:t>
      </w:r>
      <w:r>
        <w:rPr>
          <w:rtl w:val="true"/>
        </w:rPr>
        <w:t>:</w:t>
      </w:r>
      <w:bookmarkEnd w:id="259"/>
    </w:p>
    <w:p>
      <w:pPr>
        <w:pStyle w:val="Heading6"/>
        <w:numPr>
          <w:ilvl w:val="5"/>
          <w:numId w:val="1"/>
        </w:numPr>
        <w:rPr/>
      </w:pPr>
      <w:bookmarkStart w:id="260" w:name="__RefHeading___Toc795335_222507752"/>
      <w:bookmarkStart w:id="261" w:name="_Toc107"/>
      <w:bookmarkEnd w:id="260"/>
      <w:r>
        <w:rPr>
          <w:rtl w:val="true"/>
        </w:rPr>
        <w:t>الأوّل</w:t>
      </w:r>
      <w:r>
        <w:rPr>
          <w:rtl w:val="true"/>
        </w:rPr>
        <w:t>:</w:t>
      </w:r>
      <w:r>
        <w:rPr>
          <w:rtl w:val="true"/>
        </w:rPr>
        <w:t>لا بأس بالمسح على الخفّين عند الضرورة</w:t>
      </w:r>
      <w:bookmarkEnd w:id="261"/>
    </w:p>
    <w:p>
      <w:pPr>
        <w:pStyle w:val="BookText"/>
        <w:rPr/>
      </w:pPr>
      <w:r>
        <w:rPr>
          <w:rFonts w:ascii="Amiri" w:hAnsi="Amiri" w:eastAsia="Amiri" w:cs="Amiri"/>
          <w:color w:val="111111"/>
          <w:sz w:val="28"/>
          <w:sz w:val="28"/>
          <w:szCs w:val="28"/>
          <w:rtl w:val="true"/>
          <w:lang w:bidi="ar-SA"/>
        </w:rPr>
        <w:t xml:space="preserve">كالبرد و شبهه و التّقيّة،لرواية أبي الورد،عن أبي جعفر عليه السّلام </w:t>
      </w:r>
      <w:r>
        <w:rPr>
          <w:rStyle w:val="FootnoteAnchor"/>
          <w:rtl w:val="true"/>
        </w:rPr>
        <w:footnoteReference w:id="431"/>
      </w:r>
      <w:r>
        <w:rPr>
          <w:rFonts w:ascii="Amiri" w:hAnsi="Amiri" w:eastAsia="Amiri" w:cs="Amiri"/>
          <w:color w:val="111111"/>
          <w:sz w:val="28"/>
          <w:sz w:val="28"/>
          <w:szCs w:val="28"/>
          <w:rtl w:val="true"/>
          <w:lang w:bidi="ar-SA"/>
        </w:rPr>
        <w:t>،و لأنّ فيه مشقّة فكان المسح عليهما حينئذ رخصة</w:t>
      </w:r>
      <w:r>
        <w:rPr>
          <w:rFonts w:eastAsia="Amiri" w:cs="Amiri" w:ascii="Amiri" w:hAnsi="Amiri"/>
          <w:color w:val="111111"/>
          <w:sz w:val="28"/>
          <w:szCs w:val="28"/>
          <w:rtl w:val="true"/>
          <w:lang w:bidi="ar-SA"/>
        </w:rPr>
        <w:t>.</w:t>
      </w:r>
    </w:p>
    <w:p>
      <w:pPr>
        <w:pStyle w:val="Heading6"/>
        <w:numPr>
          <w:ilvl w:val="5"/>
          <w:numId w:val="1"/>
        </w:numPr>
        <w:rPr/>
      </w:pPr>
      <w:bookmarkStart w:id="262" w:name="__RefHeading___Toc795337_222507752"/>
      <w:bookmarkStart w:id="263" w:name="_Toc108"/>
      <w:bookmarkEnd w:id="262"/>
      <w:r>
        <w:rPr>
          <w:rtl w:val="true"/>
        </w:rPr>
        <w:t>الثّاني</w:t>
      </w:r>
      <w:r>
        <w:rPr>
          <w:rtl w:val="true"/>
        </w:rPr>
        <w:t>:</w:t>
      </w:r>
      <w:r>
        <w:rPr>
          <w:rtl w:val="true"/>
        </w:rPr>
        <w:t>لمّا كان الجواز عندنا تابع للضّرورة،يقدّر بقدرها</w:t>
      </w:r>
      <w:bookmarkEnd w:id="263"/>
    </w:p>
    <w:p>
      <w:pPr>
        <w:pStyle w:val="BookText"/>
        <w:rPr/>
      </w:pPr>
      <w:r>
        <w:rPr>
          <w:rFonts w:ascii="Amiri" w:hAnsi="Amiri" w:eastAsia="Amiri" w:cs="Amiri"/>
          <w:color w:val="111111"/>
          <w:sz w:val="28"/>
          <w:sz w:val="28"/>
          <w:szCs w:val="28"/>
          <w:rtl w:val="true"/>
          <w:lang w:bidi="ar-SA"/>
        </w:rPr>
        <w:t>في السّفر و الحضر، سواء لبسهما على طهارة أو حدث،و على أيّ صفة كان الجورب،سواء كان منتعلا أو لا،و سواء كان الخفّ بشرج أو لا،و سواء كان الجرموق فوق الخفّ أم 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نعم،متى أمكن المسح على البشرة بأن يكون مشقوقا وجب</w:t>
      </w:r>
      <w:r>
        <w:rPr>
          <w:rFonts w:eastAsia="Amiri" w:cs="Amiri" w:ascii="Amiri" w:hAnsi="Amiri"/>
          <w:color w:val="111111"/>
          <w:sz w:val="28"/>
          <w:szCs w:val="28"/>
          <w:rtl w:val="true"/>
          <w:lang w:bidi="ar-SA"/>
        </w:rPr>
        <w:t>.</w:t>
      </w:r>
    </w:p>
    <w:p>
      <w:pPr>
        <w:pStyle w:val="Heading6"/>
        <w:numPr>
          <w:ilvl w:val="5"/>
          <w:numId w:val="1"/>
        </w:numPr>
        <w:rPr/>
      </w:pPr>
      <w:bookmarkStart w:id="264" w:name="__RefHeading___Toc795339_222507752"/>
      <w:bookmarkStart w:id="265" w:name="_Toc109"/>
      <w:bookmarkEnd w:id="264"/>
      <w:r>
        <w:rPr>
          <w:rtl w:val="true"/>
        </w:rPr>
        <w:t>الثّالث</w:t>
      </w:r>
      <w:r>
        <w:rPr>
          <w:rtl w:val="true"/>
        </w:rPr>
        <w:t>:</w:t>
      </w:r>
      <w:r>
        <w:rPr>
          <w:rtl w:val="true"/>
        </w:rPr>
        <w:t>لو زالت الضّرورة أو نزع الخف استأنف،</w:t>
      </w:r>
      <w:bookmarkEnd w:id="265"/>
    </w:p>
    <w:p>
      <w:pPr>
        <w:pStyle w:val="BookText"/>
        <w:rPr/>
      </w:pPr>
      <w:r>
        <w:rPr>
          <w:rFonts w:ascii="Amiri" w:hAnsi="Amiri" w:eastAsia="Amiri" w:cs="Amiri"/>
          <w:color w:val="111111"/>
          <w:sz w:val="28"/>
          <w:sz w:val="28"/>
          <w:szCs w:val="28"/>
          <w:rtl w:val="true"/>
          <w:lang w:bidi="ar-SA"/>
        </w:rPr>
        <w:t>لأنّها طهارة مشروطة بالضّرورة فتزول مع زوالها،و لا تتمّ طهارته بالمسح مع نزعه،لأنّ الموالاة لم تحصل</w:t>
      </w:r>
      <w:r>
        <w:rPr>
          <w:rFonts w:eastAsia="Amiri" w:cs="Amiri" w:ascii="Amiri" w:hAnsi="Amiri"/>
          <w:color w:val="111111"/>
          <w:sz w:val="28"/>
          <w:szCs w:val="28"/>
          <w:rtl w:val="true"/>
          <w:lang w:bidi="ar-SA"/>
        </w:rPr>
        <w:t>.</w:t>
      </w:r>
    </w:p>
    <w:p>
      <w:pPr>
        <w:pStyle w:val="Heading6"/>
        <w:numPr>
          <w:ilvl w:val="5"/>
          <w:numId w:val="1"/>
        </w:numPr>
        <w:rPr/>
      </w:pPr>
      <w:bookmarkStart w:id="266" w:name="__RefHeading___Toc795341_222507752"/>
      <w:bookmarkStart w:id="267" w:name="_Toc110"/>
      <w:bookmarkEnd w:id="266"/>
      <w:r>
        <w:rPr>
          <w:rtl w:val="true"/>
        </w:rPr>
        <w:t>الرّابع</w:t>
      </w:r>
      <w:r>
        <w:rPr>
          <w:rtl w:val="true"/>
        </w:rPr>
        <w:t>:</w:t>
      </w:r>
      <w:r>
        <w:rPr>
          <w:rtl w:val="true"/>
        </w:rPr>
        <w:t>كما جاز المسح على الخفّين للضّرورة،فكذا يجوز على غيرهما</w:t>
      </w:r>
      <w:bookmarkEnd w:id="267"/>
    </w:p>
    <w:p>
      <w:pPr>
        <w:pStyle w:val="BookText"/>
        <w:rPr/>
      </w:pPr>
      <w:r>
        <w:rPr>
          <w:rFonts w:ascii="Amiri" w:hAnsi="Amiri" w:eastAsia="Amiri" w:cs="Amiri"/>
          <w:color w:val="111111"/>
          <w:sz w:val="28"/>
          <w:sz w:val="28"/>
          <w:szCs w:val="28"/>
          <w:rtl w:val="true"/>
          <w:lang w:bidi="ar-SA"/>
        </w:rPr>
        <w:t>،و يجوز على العمامة و القناع مع الضّرورة،أمّا مع عدمها فلا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هاهنا فروع أخر،مبنيّة على القول بجواز المسح على الخفّين ساقطة عندنا،ذكر الشّيخ رحمه اللّه بعضها </w:t>
      </w:r>
      <w:r>
        <w:rPr>
          <w:rStyle w:val="FootnoteAnchor"/>
          <w:rtl w:val="true"/>
        </w:rPr>
        <w:footnoteReference w:id="432"/>
      </w:r>
      <w:r>
        <w:rPr>
          <w:rFonts w:ascii="Amiri" w:hAnsi="Amiri" w:eastAsia="Amiri" w:cs="Amiri"/>
          <w:color w:val="111111"/>
          <w:sz w:val="28"/>
          <w:sz w:val="28"/>
          <w:szCs w:val="28"/>
          <w:rtl w:val="true"/>
          <w:lang w:bidi="ar-SA"/>
        </w:rPr>
        <w:t>،و نحن نذكرها اقتداء بالشّيخ فنقول</w:t>
      </w:r>
      <w:r>
        <w:rPr>
          <w:rFonts w:eastAsia="Amiri" w:cs="Amiri" w:ascii="Amiri" w:hAnsi="Amiri"/>
          <w:color w:val="111111"/>
          <w:sz w:val="28"/>
          <w:szCs w:val="28"/>
          <w:rtl w:val="true"/>
          <w:lang w:bidi="ar-SA"/>
        </w:rPr>
        <w:t>.</w:t>
      </w:r>
    </w:p>
    <w:p>
      <w:pPr>
        <w:pStyle w:val="Heading6"/>
        <w:numPr>
          <w:ilvl w:val="5"/>
          <w:numId w:val="1"/>
        </w:numPr>
        <w:rPr/>
      </w:pPr>
      <w:bookmarkStart w:id="268" w:name="__RefHeading___Toc795343_222507752"/>
      <w:bookmarkStart w:id="269" w:name="_Toc111"/>
      <w:bookmarkEnd w:id="268"/>
      <w:r>
        <w:rPr>
          <w:rtl w:val="true"/>
        </w:rPr>
        <w:t>الفرع الأوّل</w:t>
      </w:r>
      <w:r>
        <w:rPr>
          <w:rtl w:val="true"/>
        </w:rPr>
        <w:t>:</w:t>
      </w:r>
      <w:r>
        <w:rPr>
          <w:rtl w:val="true"/>
        </w:rPr>
        <w:t>اشترط المجوّزون للمسح على الخفّين تقدّم الطّهارة،</w:t>
      </w:r>
      <w:bookmarkEnd w:id="269"/>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لو غسل إحدى رجليه و أدخلها الخفّ،ثمَّ غسل الأخرى و أدخلها الخفّ،لم يجز المسح حتّى يخلع ما لبسه قبل كمال الطّهارة،ثمَّ يعيده إلى رجله،هذا عند أحمد </w:t>
      </w:r>
      <w:r>
        <w:rPr>
          <w:rStyle w:val="FootnoteAnchor"/>
          <w:rtl w:val="true"/>
        </w:rPr>
        <w:footnoteReference w:id="433"/>
      </w:r>
      <w:r>
        <w:rPr>
          <w:rFonts w:ascii="Amiri" w:hAnsi="Amiri" w:eastAsia="Amiri" w:cs="Amiri"/>
          <w:color w:val="111111"/>
          <w:sz w:val="28"/>
          <w:sz w:val="28"/>
          <w:szCs w:val="28"/>
          <w:rtl w:val="true"/>
          <w:lang w:bidi="ar-SA"/>
        </w:rPr>
        <w:t xml:space="preserve">،و الشّافعيّ </w:t>
      </w:r>
      <w:r>
        <w:rPr>
          <w:rStyle w:val="FootnoteAnchor"/>
          <w:rtl w:val="true"/>
        </w:rPr>
        <w:footnoteReference w:id="434"/>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مالك </w:t>
      </w:r>
      <w:r>
        <w:rPr>
          <w:rStyle w:val="FootnoteAnchor"/>
          <w:rtl w:val="true"/>
        </w:rPr>
        <w:footnoteReference w:id="435"/>
      </w:r>
      <w:r>
        <w:rPr>
          <w:rFonts w:ascii="IRNazanin" w:hAnsi="IRNazanin" w:eastAsia="IRNazanin"/>
          <w:color w:val="111111"/>
          <w:sz w:val="28"/>
          <w:sz w:val="28"/>
          <w:szCs w:val="28"/>
          <w:rtl w:val="true"/>
          <w:lang w:bidi="fa-IR"/>
        </w:rPr>
        <w:t xml:space="preserve">،و إسحاق </w:t>
      </w:r>
      <w:r>
        <w:rPr>
          <w:rStyle w:val="FootnoteAnchor"/>
          <w:rtl w:val="true"/>
        </w:rPr>
        <w:footnoteReference w:id="43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أبو حنيفة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يجوز </w:t>
      </w:r>
      <w:r>
        <w:rPr>
          <w:rStyle w:val="FootnoteAnchor"/>
          <w:rtl w:val="true"/>
        </w:rPr>
        <w:footnoteReference w:id="437"/>
      </w:r>
      <w:r>
        <w:rPr>
          <w:rFonts w:ascii="Amiri" w:hAnsi="Amiri" w:eastAsia="Amiri" w:cs="Amiri"/>
          <w:color w:val="111111"/>
          <w:sz w:val="28"/>
          <w:sz w:val="28"/>
          <w:szCs w:val="28"/>
          <w:rtl w:val="true"/>
          <w:lang w:bidi="ar-SA"/>
        </w:rPr>
        <w:t xml:space="preserve">،و اعتبر أن يكون الحدث مع كمال الطّهارة دون اللّبس،و به قال المزنيّ،و أبو ثور،و داود،و ابن المنذر </w:t>
      </w:r>
      <w:r>
        <w:rPr>
          <w:rStyle w:val="FootnoteAnchor"/>
          <w:rtl w:val="true"/>
        </w:rPr>
        <w:footnoteReference w:id="438"/>
      </w:r>
      <w:r>
        <w:rPr>
          <w:rFonts w:ascii="Amiri" w:hAnsi="Amiri" w:eastAsia="Amiri" w:cs="Amiri"/>
          <w:color w:val="111111"/>
          <w:sz w:val="28"/>
          <w:sz w:val="28"/>
          <w:szCs w:val="28"/>
          <w:rtl w:val="true"/>
          <w:lang w:bidi="ar-SA"/>
        </w:rPr>
        <w:t>،لأنّه أحدث بعد كمال الطّهارة و اللّبس،فجاز المسح،كما لو نزع الخفّ الأوّل،ثمَّ عاد فلبسه</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احتجّ الشّافعيّ </w:t>
      </w:r>
      <w:r>
        <w:rPr>
          <w:rStyle w:val="FootnoteAnchor"/>
          <w:rtl w:val="true"/>
        </w:rPr>
        <w:footnoteReference w:id="439"/>
      </w:r>
      <w:r>
        <w:rPr>
          <w:rFonts w:ascii="Amiri" w:hAnsi="Amiri" w:eastAsia="Amiri" w:cs="Amiri"/>
          <w:color w:val="111111"/>
          <w:sz w:val="28"/>
          <w:sz w:val="28"/>
          <w:szCs w:val="28"/>
          <w:rtl w:val="true"/>
          <w:lang w:bidi="ar-SA"/>
        </w:rPr>
        <w:t>بما رواه،عن المغيرة بن شعبة،قال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مع رسول اللّه صلّى اللّه عليه و آله في سفر فأهويت لأنزع خفّيه،فقال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دعهما فإنّي أدخلتهما طاهرتين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فمسح عليهما </w:t>
      </w:r>
      <w:r>
        <w:rPr>
          <w:rStyle w:val="FootnoteAnchor"/>
          <w:rtl w:val="true"/>
        </w:rPr>
        <w:footnoteReference w:id="44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جعل العلّة وجود الطّهارة فيهما جميعا وقت إدخالهما،و لم يوجد طهارتهما وقت لبس الأوّل،و لأنّ الأوّل خفّ ملبوس قبل رفع الحدث،فلم يجز </w:t>
      </w:r>
      <w:bookmarkStart w:id="270" w:name="pg12669_112878"/>
    </w:p>
    <w:p>
      <w:pPr>
        <w:pStyle w:val="BookText"/>
        <w:rPr/>
      </w:pPr>
      <w:bookmarkEnd w:id="270"/>
      <w:r>
        <w:rPr>
          <w:rFonts w:ascii="Amiri" w:hAnsi="Amiri" w:eastAsia="Amiri" w:cs="Amiri"/>
          <w:color w:val="111111"/>
          <w:sz w:val="28"/>
          <w:sz w:val="28"/>
          <w:szCs w:val="28"/>
          <w:rtl w:val="true"/>
          <w:lang w:bidi="ar-SA"/>
        </w:rPr>
        <w:t>المسح عليه،كما لو لبسه قبل غسل قدمه</w:t>
      </w:r>
      <w:r>
        <w:rPr>
          <w:rFonts w:eastAsia="Amiri" w:cs="Amiri" w:ascii="Amiri" w:hAnsi="Amiri"/>
          <w:color w:val="111111"/>
          <w:sz w:val="28"/>
          <w:szCs w:val="28"/>
          <w:rtl w:val="true"/>
          <w:lang w:bidi="ar-SA"/>
        </w:rPr>
        <w:t>.</w:t>
      </w:r>
    </w:p>
    <w:p>
      <w:pPr>
        <w:pStyle w:val="Heading6"/>
        <w:numPr>
          <w:ilvl w:val="5"/>
          <w:numId w:val="1"/>
        </w:numPr>
        <w:rPr/>
      </w:pPr>
      <w:bookmarkStart w:id="271" w:name="__RefHeading___Toc795345_222507752"/>
      <w:bookmarkStart w:id="272" w:name="_Toc112"/>
      <w:bookmarkEnd w:id="271"/>
      <w:r>
        <w:rPr>
          <w:rtl w:val="true"/>
        </w:rPr>
        <w:t>الثّاني</w:t>
      </w:r>
      <w:r>
        <w:rPr>
          <w:rtl w:val="true"/>
        </w:rPr>
        <w:t>:</w:t>
      </w:r>
      <w:r>
        <w:rPr>
          <w:rtl w:val="true"/>
        </w:rPr>
        <w:t>لا يجزي المسح على الخفّين في جنابة،و لا في غسل واجب و لا مستحبّ</w:t>
      </w:r>
      <w:bookmarkEnd w:id="272"/>
    </w:p>
    <w:p>
      <w:pPr>
        <w:pStyle w:val="BookText"/>
        <w:rPr/>
      </w:pPr>
      <w:r>
        <w:rPr>
          <w:rFonts w:ascii="Amiri" w:hAnsi="Amiri" w:eastAsia="Amiri" w:cs="Amiri"/>
          <w:color w:val="111111"/>
          <w:sz w:val="28"/>
          <w:sz w:val="28"/>
          <w:szCs w:val="28"/>
          <w:rtl w:val="true"/>
          <w:lang w:bidi="ar-SA"/>
        </w:rPr>
        <w:t>إجماعا منّا و منهم،و حجّتنا في ذلك ظاهرة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احتجّوا </w:t>
      </w:r>
      <w:r>
        <w:rPr>
          <w:rStyle w:val="FootnoteAnchor"/>
          <w:rtl w:val="true"/>
        </w:rPr>
        <w:footnoteReference w:id="441"/>
      </w:r>
      <w:r>
        <w:rPr>
          <w:rFonts w:ascii="Amiri" w:hAnsi="Amiri" w:eastAsia="Amiri" w:cs="Amiri"/>
          <w:color w:val="111111"/>
          <w:sz w:val="28"/>
          <w:sz w:val="28"/>
          <w:szCs w:val="28"/>
          <w:rtl w:val="true"/>
          <w:lang w:bidi="ar-SA"/>
        </w:rPr>
        <w:t>بما رواه صفوان بن عسّال المراديّ،قال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النّبيّ صلّى اللّه عليه و آله يأمرنا إذا كنّا مسافرين،أن لا ننزع خفافنا ثلاثة أيّام و لياليهنّ إلاّ من جنابة </w:t>
      </w:r>
      <w:r>
        <w:rPr>
          <w:rStyle w:val="FootnoteAnchor"/>
          <w:rtl w:val="true"/>
        </w:rPr>
        <w:footnoteReference w:id="442"/>
      </w:r>
      <w:r>
        <w:rPr>
          <w:rFonts w:ascii="Amiri" w:hAnsi="Amiri" w:eastAsia="Amiri" w:cs="Amiri"/>
          <w:color w:val="111111"/>
          <w:sz w:val="28"/>
          <w:sz w:val="28"/>
          <w:szCs w:val="28"/>
          <w:rtl w:val="true"/>
          <w:lang w:bidi="ar-SA"/>
        </w:rPr>
        <w:t>،و لأنّ وجوب الغسل نادر فلا يشقّ النّزع</w:t>
      </w:r>
      <w:r>
        <w:rPr>
          <w:rFonts w:eastAsia="Amiri" w:cs="Amiri" w:ascii="Amiri" w:hAnsi="Amiri"/>
          <w:color w:val="111111"/>
          <w:sz w:val="28"/>
          <w:szCs w:val="28"/>
          <w:rtl w:val="true"/>
          <w:lang w:bidi="ar-SA"/>
        </w:rPr>
        <w:t>.</w:t>
      </w:r>
    </w:p>
    <w:p>
      <w:pPr>
        <w:pStyle w:val="Heading6"/>
        <w:numPr>
          <w:ilvl w:val="5"/>
          <w:numId w:val="1"/>
        </w:numPr>
        <w:rPr/>
      </w:pPr>
      <w:bookmarkStart w:id="273" w:name="__RefHeading___Toc795347_222507752"/>
      <w:bookmarkStart w:id="274" w:name="_Toc113"/>
      <w:bookmarkEnd w:id="273"/>
      <w:r>
        <w:rPr>
          <w:rtl w:val="true"/>
        </w:rPr>
        <w:t>الثّالث</w:t>
      </w:r>
      <w:r>
        <w:rPr>
          <w:rtl w:val="true"/>
        </w:rPr>
        <w:t>:</w:t>
      </w:r>
      <w:r>
        <w:rPr>
          <w:rtl w:val="true"/>
        </w:rPr>
        <w:t>لو تطهّر،ثمَّ لبس الخفّ،فأحدث قبل بلوغ الرّجل قدم الخف</w:t>
      </w:r>
      <w:bookmarkEnd w:id="274"/>
    </w:p>
    <w:p>
      <w:pPr>
        <w:pStyle w:val="BookText"/>
        <w:rPr/>
      </w:pPr>
      <w:r>
        <w:rPr>
          <w:rFonts w:ascii="Amiri" w:hAnsi="Amiri" w:eastAsia="Amiri" w:cs="Amiri"/>
          <w:color w:val="111111"/>
          <w:sz w:val="28"/>
          <w:sz w:val="28"/>
          <w:szCs w:val="28"/>
          <w:rtl w:val="true"/>
          <w:lang w:bidi="ar-SA"/>
        </w:rPr>
        <w:t>،لم يجز له المسح،لأنّ الرّجل حصلت في مقرّها و هو محدث،فصار كما لو بدأ باللّبس و هو محدث،و نحن لا نشترط هذا في محلّ الضّرورة</w:t>
      </w:r>
      <w:r>
        <w:rPr>
          <w:rFonts w:eastAsia="Amiri" w:cs="Amiri" w:ascii="Amiri" w:hAnsi="Amiri"/>
          <w:color w:val="111111"/>
          <w:sz w:val="28"/>
          <w:szCs w:val="28"/>
          <w:rtl w:val="true"/>
          <w:lang w:bidi="ar-SA"/>
        </w:rPr>
        <w:t>.</w:t>
      </w:r>
    </w:p>
    <w:p>
      <w:pPr>
        <w:pStyle w:val="Heading6"/>
        <w:numPr>
          <w:ilvl w:val="5"/>
          <w:numId w:val="1"/>
        </w:numPr>
        <w:rPr/>
      </w:pPr>
      <w:bookmarkStart w:id="275" w:name="__RefHeading___Toc795349_222507752"/>
      <w:bookmarkStart w:id="276" w:name="_Toc114"/>
      <w:bookmarkEnd w:id="275"/>
      <w:r>
        <w:rPr>
          <w:rtl w:val="true"/>
        </w:rPr>
        <w:t>الرّابع</w:t>
      </w:r>
      <w:r>
        <w:rPr>
          <w:rtl w:val="true"/>
        </w:rPr>
        <w:t>:</w:t>
      </w:r>
      <w:r>
        <w:rPr>
          <w:rtl w:val="true"/>
        </w:rPr>
        <w:t>لو تيمّم،ثمَّ لبس الخفّ،قالوا لم يكن له المسح،</w:t>
      </w:r>
      <w:bookmarkEnd w:id="276"/>
    </w:p>
    <w:p>
      <w:pPr>
        <w:pStyle w:val="BookText"/>
        <w:rPr/>
      </w:pPr>
      <w:r>
        <w:rPr>
          <w:rFonts w:ascii="Amiri" w:hAnsi="Amiri" w:eastAsia="Amiri" w:cs="Amiri"/>
          <w:color w:val="111111"/>
          <w:sz w:val="28"/>
          <w:sz w:val="28"/>
          <w:szCs w:val="28"/>
          <w:rtl w:val="true"/>
          <w:lang w:bidi="ar-SA"/>
        </w:rPr>
        <w:t xml:space="preserve">لأنّه لبسه على طهارة ناقصة </w:t>
      </w:r>
      <w:r>
        <w:rPr>
          <w:rStyle w:val="FootnoteAnchor"/>
          <w:rtl w:val="true"/>
        </w:rPr>
        <w:footnoteReference w:id="443"/>
      </w:r>
      <w:r>
        <w:rPr>
          <w:rFonts w:ascii="Amiri" w:hAnsi="Amiri" w:eastAsia="Amiri" w:cs="Amiri"/>
          <w:color w:val="111111"/>
          <w:sz w:val="28"/>
          <w:sz w:val="28"/>
          <w:szCs w:val="28"/>
          <w:rtl w:val="true"/>
          <w:lang w:bidi="ar-SA"/>
        </w:rPr>
        <w:t>،و لأنّها طهارة ضروريّة بطلت من أصلها،فصار كما لو لبسه على الحدث، و لأنّه غير رافع للحدث،فقد لبسه و هو محدث،و نحن لا نشترط هذا في الضّرورة</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لو تطهّرت المستحاضة،أو صاحب السّلس،و لبسوا خفافهما فلهم المسح عندهم </w:t>
      </w:r>
      <w:r>
        <w:rPr>
          <w:rStyle w:val="FootnoteAnchor"/>
          <w:rtl w:val="true"/>
        </w:rPr>
        <w:footnoteReference w:id="444"/>
      </w:r>
      <w:r>
        <w:rPr>
          <w:rFonts w:ascii="Amiri" w:hAnsi="Amiri" w:eastAsia="Amiri" w:cs="Amiri"/>
          <w:color w:val="111111"/>
          <w:sz w:val="28"/>
          <w:sz w:val="28"/>
          <w:szCs w:val="28"/>
          <w:rtl w:val="true"/>
          <w:lang w:bidi="ar-SA"/>
        </w:rPr>
        <w:t>،لكمال طهارتهم في حقّهم،فلو انقطع الدّم و زالت الضّرورة بطلت الطّهارة من أصلها،فلم يكن لهم المسح كالمتيمّم إذا وجد الماء</w:t>
      </w:r>
      <w:r>
        <w:rPr>
          <w:rFonts w:eastAsia="Amiri" w:cs="Amiri" w:ascii="Amiri" w:hAnsi="Amiri"/>
          <w:color w:val="111111"/>
          <w:sz w:val="28"/>
          <w:szCs w:val="28"/>
          <w:rtl w:val="true"/>
          <w:lang w:bidi="ar-SA"/>
        </w:rPr>
        <w:t xml:space="preserve">. </w:t>
      </w:r>
      <w:bookmarkStart w:id="277" w:name="pg12669_112879"/>
    </w:p>
    <w:p>
      <w:pPr>
        <w:pStyle w:val="Heading6"/>
        <w:numPr>
          <w:ilvl w:val="5"/>
          <w:numId w:val="1"/>
        </w:numPr>
        <w:rPr/>
      </w:pPr>
      <w:bookmarkStart w:id="278" w:name="__RefHeading___Toc795351_222507752"/>
      <w:bookmarkStart w:id="279" w:name="_Toc115"/>
      <w:bookmarkEnd w:id="277"/>
      <w:bookmarkEnd w:id="278"/>
      <w:r>
        <w:rPr>
          <w:rtl w:val="true"/>
        </w:rPr>
        <w:t>الخامس</w:t>
      </w:r>
      <w:r>
        <w:rPr>
          <w:rtl w:val="true"/>
        </w:rPr>
        <w:t>:</w:t>
      </w:r>
      <w:r>
        <w:rPr>
          <w:rtl w:val="true"/>
        </w:rPr>
        <w:t>لو لبس خفّين،ثمَّ أحدث،ثمَّ لبس فوقهما خفّين أو جرموقين لم يجز</w:t>
      </w:r>
      <w:bookmarkEnd w:id="279"/>
    </w:p>
    <w:p>
      <w:pPr>
        <w:pStyle w:val="BookText"/>
        <w:rPr/>
      </w:pPr>
      <w:r>
        <w:rPr>
          <w:rFonts w:ascii="Amiri" w:hAnsi="Amiri" w:eastAsia="Amiri" w:cs="Amiri"/>
          <w:color w:val="111111"/>
          <w:sz w:val="28"/>
          <w:sz w:val="28"/>
          <w:szCs w:val="28"/>
          <w:rtl w:val="true"/>
          <w:lang w:bidi="ar-SA"/>
        </w:rPr>
        <w:t>المسح عليهما</w:t>
      </w:r>
    </w:p>
    <w:p>
      <w:pPr>
        <w:pStyle w:val="BookText"/>
        <w:rPr/>
      </w:pPr>
      <w:r>
        <w:rPr>
          <w:rFonts w:ascii="Amiri" w:hAnsi="Amiri" w:eastAsia="Amiri" w:cs="Amiri"/>
          <w:color w:val="111111"/>
          <w:sz w:val="28"/>
          <w:sz w:val="28"/>
          <w:szCs w:val="28"/>
          <w:rtl w:val="true"/>
          <w:lang w:bidi="ar-SA"/>
        </w:rPr>
        <w:t>إجماعا منهم،لأنّه لبسهما على حدث،و نحن لا نشترط ذلك في محلّ الضّرورة</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مسح على الأوّلين،ثمَّ لبس الجرموقين،لم يجز المسح عليهما عند بعضهم، لأنّ بالمسح على الخفّ لم يزل الحدث،فكأنّه لبسه على حدث،و لأنّها طهارة ناقصة فأشبه المتيمّم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بعض الشّافعيّة جوزه </w:t>
      </w:r>
      <w:r>
        <w:rPr>
          <w:rStyle w:val="FootnoteAnchor"/>
          <w:rtl w:val="true"/>
        </w:rPr>
        <w:footnoteReference w:id="445"/>
      </w:r>
      <w:r>
        <w:rPr>
          <w:rFonts w:ascii="Amiri" w:hAnsi="Amiri" w:eastAsia="Amiri" w:cs="Amiri"/>
          <w:color w:val="111111"/>
          <w:sz w:val="28"/>
          <w:sz w:val="28"/>
          <w:szCs w:val="28"/>
          <w:rtl w:val="true"/>
          <w:lang w:bidi="ar-SA"/>
        </w:rPr>
        <w:t>،لأنّ المسح قائم مقام غسل القدم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لبس الفوقانيّ قبل أن يحدث،فإن كان الأسفل مخرقا و الأعلى صحيحا،جاز المسح على الأعلى،و إن كان الأعلى مخرقا أو كانا صحيحين،قال أبو حنيفة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يجوز المسح عليه، لأنّه خفّ ساتر يمكن متابعة المشي فيه فأشبه المنفرد </w:t>
      </w:r>
      <w:r>
        <w:rPr>
          <w:rStyle w:val="FootnoteAnchor"/>
          <w:rtl w:val="true"/>
        </w:rPr>
        <w:footnoteReference w:id="446"/>
      </w:r>
      <w:r>
        <w:rPr>
          <w:rFonts w:ascii="Amiri" w:hAnsi="Amiri" w:eastAsia="Amiri" w:cs="Amiri"/>
          <w:color w:val="111111"/>
          <w:sz w:val="28"/>
          <w:sz w:val="28"/>
          <w:szCs w:val="28"/>
          <w:rtl w:val="true"/>
          <w:lang w:bidi="ar-SA"/>
        </w:rPr>
        <w:t xml:space="preserve">،و به قال الشّافعيّ في القديم </w:t>
      </w:r>
      <w:r>
        <w:rPr>
          <w:rStyle w:val="FootnoteAnchor"/>
          <w:rtl w:val="true"/>
        </w:rPr>
        <w:footnoteReference w:id="447"/>
      </w:r>
      <w:r>
        <w:rPr>
          <w:rFonts w:ascii="Amiri" w:hAnsi="Amiri" w:eastAsia="Amiri" w:cs="Amiri"/>
          <w:color w:val="111111"/>
          <w:sz w:val="28"/>
          <w:sz w:val="28"/>
          <w:szCs w:val="28"/>
          <w:rtl w:val="true"/>
          <w:lang w:bidi="ar-SA"/>
        </w:rPr>
        <w:t xml:space="preserve">،و الثّوريّ،و الأوزاعيّ </w:t>
      </w:r>
      <w:r>
        <w:rPr>
          <w:rStyle w:val="FootnoteAnchor"/>
          <w:rtl w:val="true"/>
        </w:rPr>
        <w:footnoteReference w:id="448"/>
      </w:r>
      <w:r>
        <w:rPr>
          <w:rFonts w:ascii="IRNazanin" w:hAnsi="IRNazanin" w:eastAsia="IRNazanin"/>
          <w:color w:val="111111"/>
          <w:sz w:val="28"/>
          <w:sz w:val="28"/>
          <w:szCs w:val="28"/>
          <w:rtl w:val="true"/>
          <w:lang w:bidi="fa-IR"/>
        </w:rPr>
        <w:t xml:space="preserve">،و أحمد </w:t>
      </w:r>
      <w:r>
        <w:rPr>
          <w:rStyle w:val="FootnoteAnchor"/>
          <w:rtl w:val="true"/>
        </w:rPr>
        <w:footnoteReference w:id="449"/>
      </w:r>
      <w:r>
        <w:rPr>
          <w:rFonts w:ascii="Amiri" w:hAnsi="Amiri" w:eastAsia="Amiri" w:cs="Amiri"/>
          <w:color w:val="111111"/>
          <w:sz w:val="28"/>
          <w:sz w:val="28"/>
          <w:szCs w:val="28"/>
          <w:rtl w:val="true"/>
          <w:lang w:bidi="ar-SA"/>
        </w:rPr>
        <w:t xml:space="preserve">،و إسحاق،و المزنيّ </w:t>
      </w:r>
      <w:r>
        <w:rPr>
          <w:rStyle w:val="FootnoteAnchor"/>
          <w:rtl w:val="true"/>
        </w:rPr>
        <w:footnoteReference w:id="450"/>
      </w:r>
      <w:r>
        <w:rPr>
          <w:rFonts w:ascii="Amiri" w:hAnsi="Amiri" w:eastAsia="Amiri" w:cs="Amiri"/>
          <w:color w:val="111111"/>
          <w:sz w:val="28"/>
          <w:sz w:val="28"/>
          <w:szCs w:val="28"/>
          <w:rtl w:val="true"/>
          <w:lang w:bidi="ar-SA"/>
        </w:rPr>
        <w:t xml:space="preserve">،و مالك في إحدى الرّوايتين </w:t>
      </w:r>
      <w:r>
        <w:rPr>
          <w:rStyle w:val="FootnoteAnchor"/>
          <w:rtl w:val="true"/>
        </w:rPr>
        <w:footnoteReference w:id="45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منع منه الشّافعيّ في أحد قوليه </w:t>
      </w:r>
      <w:r>
        <w:rPr>
          <w:rStyle w:val="FootnoteAnchor"/>
          <w:rtl w:val="true"/>
        </w:rPr>
        <w:footnoteReference w:id="452"/>
      </w:r>
      <w:r>
        <w:rPr>
          <w:rFonts w:ascii="Amiri" w:hAnsi="Amiri" w:eastAsia="Amiri" w:cs="Amiri"/>
          <w:color w:val="111111"/>
          <w:sz w:val="28"/>
          <w:sz w:val="28"/>
          <w:szCs w:val="28"/>
          <w:rtl w:val="true"/>
          <w:lang w:bidi="ar-SA"/>
        </w:rPr>
        <w:t xml:space="preserve">،و مالك في الرّواية الأخرى، </w:t>
      </w:r>
      <w:bookmarkStart w:id="280" w:name="pg12669_112880"/>
    </w:p>
    <w:p>
      <w:pPr>
        <w:pStyle w:val="BookText"/>
        <w:rPr/>
      </w:pPr>
      <w:bookmarkEnd w:id="280"/>
      <w:r>
        <w:rPr>
          <w:rFonts w:ascii="Amiri" w:hAnsi="Amiri" w:eastAsia="Amiri" w:cs="Amiri"/>
          <w:color w:val="111111"/>
          <w:sz w:val="28"/>
          <w:sz w:val="28"/>
          <w:szCs w:val="28"/>
          <w:rtl w:val="true"/>
          <w:lang w:bidi="ar-SA"/>
        </w:rPr>
        <w:t xml:space="preserve">لأنّ الحاجة لا تدعو إلى لبسه في الغالب،فلا تتعلّق به رخصة عامّة كالجبيرة </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المجوّزون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نزع الفوقاني قبل مسحه،لم يؤثّر ذلك و كان لبسه كعدمه،و لو نزعه بعد مسحه،بطلت الطّهارة و وجب نزع الخفّين و غسل الرّجلين،لزوال محلّ المسح، و نزع أحد الخفّين كنزعهما،لأنّ الرّخصة تعلّقت بهما،فصار كانكشاف القدم </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لو أدخل يده من تحت الفوقاني و مسح الّذي تحته،جاز عندهم،لأنّ كلّ واحد منهما محلّ للمسح فجاز المسح على أيّهما كان،كما يتخيّر بين غسل قدميه في الخف،و المسح عليه </w:t>
      </w:r>
      <w:r>
        <w:rPr>
          <w:rStyle w:val="FootnoteAnchor"/>
          <w:rtl w:val="true"/>
        </w:rPr>
        <w:footnoteReference w:id="45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لبس أحد الجرموقين في إحدى الرّجلين دون الأخرى،جاز المسح عليه و على الخفّ الّذي في الرّجل الأخرى،لأنّ الحكم تعلّق به و بالخفّ في الرّجل الأخرى، فصار كما لو لم يكن تحته شيء</w:t>
      </w:r>
      <w:r>
        <w:rPr>
          <w:rFonts w:eastAsia="Amiri" w:cs="Amiri" w:ascii="Amiri" w:hAnsi="Amiri"/>
          <w:color w:val="111111"/>
          <w:sz w:val="28"/>
          <w:szCs w:val="28"/>
          <w:rtl w:val="true"/>
          <w:lang w:bidi="ar-SA"/>
        </w:rPr>
        <w:t>.</w:t>
      </w:r>
    </w:p>
    <w:p>
      <w:pPr>
        <w:pStyle w:val="Heading6"/>
        <w:numPr>
          <w:ilvl w:val="5"/>
          <w:numId w:val="1"/>
        </w:numPr>
        <w:rPr/>
      </w:pPr>
      <w:bookmarkStart w:id="281" w:name="__RefHeading___Toc795353_222507752"/>
      <w:bookmarkStart w:id="282" w:name="_Toc116"/>
      <w:bookmarkEnd w:id="281"/>
      <w:r>
        <w:rPr>
          <w:rtl w:val="true"/>
        </w:rPr>
        <w:t>السّادس</w:t>
      </w:r>
      <w:r>
        <w:rPr>
          <w:rtl w:val="true"/>
        </w:rPr>
        <w:t>:</w:t>
      </w:r>
      <w:r>
        <w:rPr>
          <w:rtl w:val="true"/>
        </w:rPr>
        <w:t>لو لبس خفّا مخرقا فوق صحيح،جاز على قول بعضهم ،</w:t>
      </w:r>
      <w:bookmarkEnd w:id="282"/>
    </w:p>
    <w:p>
      <w:pPr>
        <w:pStyle w:val="BookText"/>
        <w:rPr/>
      </w:pPr>
      <w:r>
        <w:rPr>
          <w:rStyle w:val="FootnoteAnchor"/>
          <w:rtl w:val="true"/>
        </w:rPr>
        <w:footnoteReference w:id="4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ما لو كان تحته لفائف أو خرق،لأنّ القدم مستور بما يجوز المسح عليه،فجاز المسح كما لو كان السّفلاني مكشوفا</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آخرون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يجوز،لأنّ الفوقاني لو كان مفردا لم يجز المسح عليه فلم يجز مع غيره،كما لو لبس على لفافة،أمّا لو لبس مخرقا على مخرق فاستتر بهما القدم ففيه وجهان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الجواز،لاستتار القدم بالخفّين،فأشبه المستور بالصّحيحين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عدمه،لعدم </w:t>
      </w:r>
      <w:bookmarkStart w:id="283" w:name="pg12669_112881"/>
    </w:p>
    <w:p>
      <w:pPr>
        <w:pStyle w:val="BookText"/>
        <w:rPr/>
      </w:pPr>
      <w:bookmarkEnd w:id="283"/>
      <w:r>
        <w:rPr>
          <w:rFonts w:ascii="Amiri" w:hAnsi="Amiri" w:eastAsia="Amiri" w:cs="Amiri"/>
          <w:color w:val="111111"/>
          <w:sz w:val="28"/>
          <w:sz w:val="28"/>
          <w:szCs w:val="28"/>
          <w:rtl w:val="true"/>
          <w:lang w:bidi="ar-SA"/>
        </w:rPr>
        <w:t xml:space="preserve">استتار القدم بخفّ صحيح </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لو لبس الخفّ بعد طهارة كاملة مسح فيها على العمامة،قال بعضهم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يجوز المسح،لأنّه لبس على طهارة ممسوح فيها على بدل،فلم يستبح المسح باللّبس فيها،كما لو لبس خفّا على طهارة و مسح فيها على خفّ </w:t>
      </w:r>
      <w:r>
        <w:rPr>
          <w:rStyle w:val="FootnoteAnchor"/>
          <w:rtl w:val="true"/>
        </w:rPr>
        <w:footnoteReference w:id="4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قال آخرون بالجواز </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84" w:name="__RefHeading___Toc795355_222507752"/>
      <w:bookmarkStart w:id="285" w:name="_Toc117"/>
      <w:bookmarkEnd w:id="284"/>
      <w:r>
        <w:rPr>
          <w:rtl w:val="true"/>
        </w:rPr>
        <w:t>السّابع</w:t>
      </w:r>
      <w:r>
        <w:rPr>
          <w:rtl w:val="true"/>
        </w:rPr>
        <w:t>:</w:t>
      </w:r>
      <w:r>
        <w:rPr>
          <w:rtl w:val="true"/>
        </w:rPr>
        <w:t>قد قلنا انّ التّوقيت في المسح باطل عندنا ،</w:t>
      </w:r>
      <w:bookmarkEnd w:id="285"/>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4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تابع للضّرورة، فمتى زالت،زالت الرّخصة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به قال مالك في السّفر و في الحضر على إحدى الرّوايتين، و في 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يمسح في الحضر مطلقا </w:t>
      </w:r>
      <w:r>
        <w:rPr>
          <w:rStyle w:val="FootnoteAnchor"/>
          <w:rtl w:val="true"/>
        </w:rPr>
        <w:footnoteReference w:id="46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الشّافعي و أبو حنيفة بالتّوقيت في المسح يوما و ليلة للمقيم،و ثلاثة أيّام و لياليهنّ للمسافر </w:t>
      </w:r>
      <w:r>
        <w:rPr>
          <w:rStyle w:val="FootnoteAnchor"/>
          <w:rtl w:val="true"/>
        </w:rPr>
        <w:footnoteReference w:id="462"/>
      </w:r>
      <w:r>
        <w:rPr>
          <w:rStyle w:val="FootnoteAnchor"/>
          <w:rtl w:val="true"/>
        </w:rPr>
        <w:footnoteReference w:id="46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به قال الثّوريّ،و الأوزاعيّ، و الحسن بن صالح </w:t>
      </w:r>
      <w:r>
        <w:rPr>
          <w:rStyle w:val="FootnoteAnchor"/>
          <w:rtl w:val="true"/>
        </w:rPr>
        <w:footnoteReference w:id="464"/>
      </w:r>
      <w:r>
        <w:rPr>
          <w:rFonts w:ascii="IRNazanin" w:hAnsi="IRNazanin" w:eastAsia="IRNazanin"/>
          <w:color w:val="111111"/>
          <w:sz w:val="28"/>
          <w:sz w:val="28"/>
          <w:szCs w:val="28"/>
          <w:rtl w:val="true"/>
          <w:lang w:bidi="fa-IR"/>
        </w:rPr>
        <w:t xml:space="preserve">،و أحمد </w:t>
      </w:r>
      <w:r>
        <w:rPr>
          <w:rStyle w:val="FootnoteAnchor"/>
          <w:rtl w:val="true"/>
        </w:rPr>
        <w:footnoteReference w:id="465"/>
      </w:r>
      <w:r>
        <w:rPr>
          <w:rFonts w:ascii="IRNazanin" w:hAnsi="IRNazanin" w:eastAsia="IRNazanin"/>
          <w:color w:val="111111"/>
          <w:sz w:val="28"/>
          <w:sz w:val="28"/>
          <w:szCs w:val="28"/>
          <w:rtl w:val="true"/>
          <w:lang w:bidi="fa-IR"/>
        </w:rPr>
        <w:t xml:space="preserve">،و إسحاق </w:t>
      </w:r>
      <w:r>
        <w:rPr>
          <w:rStyle w:val="FootnoteAnchor"/>
          <w:rtl w:val="true"/>
        </w:rPr>
        <w:footnoteReference w:id="46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اللّيث بن سعد </w:t>
      </w:r>
      <w:r>
        <w:rPr>
          <w:rStyle w:val="FootnoteAnchor"/>
          <w:rtl w:val="true"/>
        </w:rPr>
        <w:footnoteReference w:id="467"/>
      </w:r>
      <w:r>
        <w:rPr>
          <w:rFonts w:ascii="Amiri" w:hAnsi="Amiri" w:eastAsia="Amiri" w:cs="Amiri"/>
          <w:color w:val="111111"/>
          <w:sz w:val="28"/>
          <w:sz w:val="28"/>
          <w:szCs w:val="28"/>
          <w:rtl w:val="true"/>
          <w:lang w:bidi="ar-SA"/>
        </w:rPr>
        <w:t>،و ربيعة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يمسح على الخفّين إلى أن ينزعهما،و لم يفرّقا بين المسافر و الحاضر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قول الشّعبيّ </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يمسح المسافر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بخمس</w:t>
      </w:r>
      <w:r>
        <w:rPr>
          <w:rFonts w:eastAsia="Amiri" w:cs="Amiri" w:ascii="Amiri" w:hAnsi="Amiri"/>
          <w:color w:val="111111"/>
          <w:sz w:val="28"/>
          <w:szCs w:val="28"/>
          <w:rtl w:val="true"/>
          <w:lang w:bidi="ar-SA"/>
        </w:rPr>
        <w:t xml:space="preserve">] </w:t>
      </w:r>
      <w:r>
        <w:rPr>
          <w:rStyle w:val="FootnoteAnchor"/>
          <w:rtl w:val="true"/>
        </w:rPr>
        <w:footnoteReference w:id="469"/>
      </w:r>
      <w:r>
        <w:rPr>
          <w:rFonts w:ascii="Amiri" w:hAnsi="Amiri" w:eastAsia="Amiri" w:cs="Amiri"/>
          <w:color w:val="111111"/>
          <w:sz w:val="28"/>
          <w:sz w:val="28"/>
          <w:szCs w:val="28"/>
          <w:rtl w:val="true"/>
          <w:lang w:bidi="ar-SA"/>
        </w:rPr>
        <w:t>عشرة صلاة،و المقيم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بخمس</w:t>
      </w:r>
      <w:r>
        <w:rPr>
          <w:rFonts w:eastAsia="Amiri" w:cs="Amiri" w:ascii="Amiri" w:hAnsi="Amiri"/>
          <w:color w:val="111111"/>
          <w:sz w:val="28"/>
          <w:szCs w:val="28"/>
          <w:rtl w:val="true"/>
          <w:lang w:bidi="ar-SA"/>
        </w:rPr>
        <w:t xml:space="preserve">] </w:t>
      </w:r>
      <w:r>
        <w:rPr>
          <w:rStyle w:val="FootnoteAnchor"/>
          <w:rtl w:val="true"/>
        </w:rPr>
        <w:footnoteReference w:id="470"/>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اختلفوا في ابتداء المدّة،فقال الشّافعي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حين يحدث اللاّبس للخفّين،فإذا تطهّر المقيم بغسل أو وضوء،ثمَّ أدخل رجليه الخفّين و هما طاهرتان،ثمَّ أحدث،فإنّه يمسح عليهما من وقت ما أحدث يوما و ليلة </w:t>
      </w:r>
      <w:r>
        <w:rPr>
          <w:rStyle w:val="FootnoteAnchor"/>
          <w:rtl w:val="true"/>
        </w:rPr>
        <w:footnoteReference w:id="47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الأوزاعيّ </w:t>
      </w:r>
      <w:r>
        <w:rPr>
          <w:rStyle w:val="FootnoteAnchor"/>
          <w:rtl w:val="true"/>
        </w:rPr>
        <w:footnoteReference w:id="473"/>
      </w:r>
      <w:r>
        <w:rPr>
          <w:rFonts w:ascii="IRNazanin" w:hAnsi="IRNazanin" w:eastAsia="IRNazanin"/>
          <w:color w:val="111111"/>
          <w:sz w:val="28"/>
          <w:sz w:val="28"/>
          <w:szCs w:val="28"/>
          <w:rtl w:val="true"/>
          <w:lang w:bidi="fa-IR"/>
        </w:rPr>
        <w:t xml:space="preserve">،و أحمد </w:t>
      </w:r>
      <w:r>
        <w:rPr>
          <w:rStyle w:val="FootnoteAnchor"/>
          <w:rtl w:val="true"/>
        </w:rPr>
        <w:footnoteReference w:id="474"/>
      </w:r>
      <w:r>
        <w:rPr>
          <w:rFonts w:ascii="Amiri" w:hAnsi="Amiri" w:eastAsia="Amiri" w:cs="Amiri"/>
          <w:color w:val="111111"/>
          <w:sz w:val="28"/>
          <w:sz w:val="28"/>
          <w:szCs w:val="28"/>
          <w:rtl w:val="true"/>
          <w:lang w:bidi="ar-SA"/>
        </w:rPr>
        <w:t>،و أبو ثور،و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ابتداء المدّة من حين يمسح على الخفّين </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أنّها طهارة ضروريّة فتقدّر بقدرها</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احتجّوا </w:t>
      </w:r>
      <w:r>
        <w:rPr>
          <w:rStyle w:val="FootnoteAnchor"/>
          <w:rtl w:val="true"/>
        </w:rPr>
        <w:footnoteReference w:id="476"/>
      </w:r>
      <w:r>
        <w:rPr>
          <w:rFonts w:ascii="Amiri" w:hAnsi="Amiri" w:eastAsia="Amiri" w:cs="Amiri"/>
          <w:color w:val="111111"/>
          <w:sz w:val="28"/>
          <w:sz w:val="28"/>
          <w:szCs w:val="28"/>
          <w:rtl w:val="true"/>
          <w:lang w:bidi="ar-SA"/>
        </w:rPr>
        <w:t xml:space="preserve">بما رووه،عن النّبيّ صلّى اللّه عليه و آله انّه جعل ثلاثة أيّام و لياليهنّ </w:t>
      </w:r>
    </w:p>
    <w:p>
      <w:pPr>
        <w:pStyle w:val="BookText"/>
        <w:rPr/>
      </w:pPr>
      <w:r>
        <w:rPr>
          <w:rFonts w:ascii="Amiri" w:hAnsi="Amiri" w:eastAsia="Amiri" w:cs="Amiri"/>
          <w:color w:val="111111"/>
          <w:sz w:val="28"/>
          <w:sz w:val="28"/>
          <w:szCs w:val="28"/>
          <w:rtl w:val="true"/>
          <w:lang w:bidi="ar-SA"/>
        </w:rPr>
        <w:t xml:space="preserve">للمسافر،و يوما و ليلة للمقيم </w:t>
      </w:r>
      <w:r>
        <w:rPr>
          <w:rStyle w:val="FootnoteAnchor"/>
          <w:rtl w:val="true"/>
        </w:rPr>
        <w:footnoteReference w:id="47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مضى الجواب عنه </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فإذا انقضت المدة بطل الوضوء،و ليس له المسح عليهما إلاّ بعد النّزع و اللّبس على طهارة كاملة </w:t>
      </w:r>
      <w:r>
        <w:rPr>
          <w:rStyle w:val="FootnoteAnchor"/>
          <w:rtl w:val="true"/>
        </w:rPr>
        <w:footnoteReference w:id="47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يبطل الوضوء إلاّ بحدث،ثمَّ لا يمسح بعد حتّى ينزعها </w:t>
      </w:r>
      <w:r>
        <w:rPr>
          <w:rStyle w:val="FootnoteAnchor"/>
          <w:rtl w:val="true"/>
        </w:rPr>
        <w:footnoteReference w:id="48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ينزع خفّيه و لا يصلّ فيهما،فإذا نزعهما صلّى حتّى يحدث،لأنّ الطّهارة لا تبطل إلاّ بحدث،و النّزع و الانقضاء ليسا بحدث </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لو خلع قبل انقضاء المدّة بعد المسح عليهما بطل وضوؤه في قول أحمد </w:t>
      </w:r>
      <w:r>
        <w:rPr>
          <w:rStyle w:val="FootnoteAnchor"/>
          <w:rtl w:val="true"/>
        </w:rPr>
        <w:footnoteReference w:id="482"/>
      </w:r>
      <w:r>
        <w:rPr>
          <w:rFonts w:ascii="Amiri" w:hAnsi="Amiri" w:eastAsia="Amiri" w:cs="Amiri"/>
          <w:color w:val="111111"/>
          <w:sz w:val="28"/>
          <w:sz w:val="28"/>
          <w:szCs w:val="28"/>
          <w:rtl w:val="true"/>
          <w:lang w:bidi="ar-SA"/>
        </w:rPr>
        <w:t xml:space="preserve">، و الزّهريّ،و الأوزاعيّ،و إسحاق </w:t>
      </w:r>
      <w:r>
        <w:rPr>
          <w:rStyle w:val="FootnoteAnchor"/>
          <w:rtl w:val="true"/>
        </w:rPr>
        <w:footnoteReference w:id="483"/>
      </w:r>
      <w:r>
        <w:rPr>
          <w:rFonts w:ascii="Amiri" w:hAnsi="Amiri" w:eastAsia="Amiri" w:cs="Amiri"/>
          <w:color w:val="111111"/>
          <w:sz w:val="28"/>
          <w:sz w:val="28"/>
          <w:szCs w:val="28"/>
          <w:rtl w:val="true"/>
          <w:lang w:bidi="ar-SA"/>
        </w:rPr>
        <w:t xml:space="preserve">،و أحد قولي الشّافعيّ </w:t>
      </w:r>
      <w:r>
        <w:rPr>
          <w:rStyle w:val="FootnoteAnchor"/>
          <w:rtl w:val="true"/>
        </w:rPr>
        <w:footnoteReference w:id="48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أبو حنيفة </w:t>
      </w:r>
      <w:r>
        <w:rPr>
          <w:rStyle w:val="FootnoteAnchor"/>
          <w:rtl w:val="true"/>
        </w:rPr>
        <w:footnoteReference w:id="485"/>
      </w:r>
      <w:r>
        <w:rPr>
          <w:rFonts w:ascii="Amiri" w:hAnsi="Amiri" w:eastAsia="Amiri" w:cs="Amiri"/>
          <w:color w:val="111111"/>
          <w:sz w:val="28"/>
          <w:sz w:val="28"/>
          <w:szCs w:val="28"/>
          <w:rtl w:val="true"/>
          <w:lang w:bidi="ar-SA"/>
        </w:rPr>
        <w:t xml:space="preserve">، و الثّوري،و أبو ثور </w:t>
      </w:r>
      <w:r>
        <w:rPr>
          <w:rStyle w:val="FootnoteAnchor"/>
          <w:rtl w:val="true"/>
        </w:rPr>
        <w:footnoteReference w:id="486"/>
      </w:r>
      <w:r>
        <w:rPr>
          <w:rFonts w:ascii="Amiri" w:hAnsi="Amiri" w:eastAsia="Amiri" w:cs="Amiri"/>
          <w:color w:val="111111"/>
          <w:sz w:val="28"/>
          <w:sz w:val="28"/>
          <w:szCs w:val="28"/>
          <w:rtl w:val="true"/>
          <w:lang w:bidi="ar-SA"/>
        </w:rPr>
        <w:t>،و الشّافعي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يبطل </w:t>
      </w:r>
      <w:r>
        <w:rPr>
          <w:rStyle w:val="FootnoteAnchor"/>
          <w:rtl w:val="true"/>
        </w:rPr>
        <w:footnoteReference w:id="48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مالك </w:t>
      </w:r>
      <w:r>
        <w:rPr>
          <w:rStyle w:val="FootnoteAnchor"/>
          <w:rtl w:val="true"/>
        </w:rPr>
        <w:footnoteReference w:id="488"/>
      </w:r>
      <w:r>
        <w:rPr>
          <w:rFonts w:ascii="Amiri" w:hAnsi="Amiri" w:eastAsia="Amiri" w:cs="Amiri"/>
          <w:color w:val="111111"/>
          <w:sz w:val="28"/>
          <w:sz w:val="28"/>
          <w:szCs w:val="28"/>
          <w:rtl w:val="true"/>
          <w:lang w:bidi="ar-SA"/>
        </w:rPr>
        <w:t xml:space="preserve">،و اللّيث بن </w:t>
      </w:r>
    </w:p>
    <w:p>
      <w:pPr>
        <w:pStyle w:val="BookText"/>
        <w:rPr/>
      </w:pPr>
      <w:r>
        <w:rPr>
          <w:rFonts w:ascii="Amiri" w:hAnsi="Amiri" w:eastAsia="Amiri" w:cs="Amiri"/>
          <w:color w:val="111111"/>
          <w:sz w:val="28"/>
          <w:sz w:val="28"/>
          <w:szCs w:val="28"/>
          <w:rtl w:val="true"/>
          <w:lang w:bidi="ar-SA"/>
        </w:rPr>
        <w:t>سعد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يغسل قدميه مكانه،فإنّ أخّر ذلك استأنف الطّهارة </w:t>
      </w:r>
      <w:r>
        <w:rPr>
          <w:rStyle w:val="FootnoteAnchor"/>
          <w:rtl w:val="true"/>
        </w:rPr>
        <w:footnoteReference w:id="48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الأوّل أولى عندنا،لأنّها طهارة ضروريّة و قد زالت،و لأنّ مسح الخفّين ناب </w:t>
      </w:r>
      <w:r>
        <w:rPr>
          <w:rStyle w:val="FootnoteAnchor"/>
          <w:rtl w:val="true"/>
        </w:rPr>
        <w:footnoteReference w:id="490"/>
      </w:r>
      <w:r>
        <w:rPr>
          <w:rFonts w:ascii="Amiri" w:hAnsi="Amiri" w:eastAsia="Amiri" w:cs="Amiri"/>
          <w:color w:val="111111"/>
          <w:sz w:val="28"/>
          <w:sz w:val="28"/>
          <w:szCs w:val="28"/>
          <w:rtl w:val="true"/>
          <w:lang w:bidi="ar-SA"/>
        </w:rPr>
        <w:t>عن غسل الرّجلين خاصّة،فظهورهما يبطل ما ناب عنه،كالتّيمّم إذا بطل برؤية الماء وجب ما ناب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نزع العمامة بعد المسح عليها للضّرورة عندنا فالوجه البطلان،لما قلناه </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هو قول القائلين بالبطلان في الخفّين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نزع أحد الخفّين فهو كنزعهما،لأنّهما كالعضو الواحد،و لهذا لا يجب فيهما التّرتيب </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لو انكشف بعض القدم من خرق فهو كنزع الخفّ،أمّا لو انكشطت </w:t>
      </w:r>
      <w:r>
        <w:rPr>
          <w:rStyle w:val="FootnoteAnchor"/>
          <w:rtl w:val="true"/>
        </w:rPr>
        <w:footnoteReference w:id="493"/>
      </w:r>
      <w:r>
        <w:rPr>
          <w:rFonts w:ascii="Amiri" w:hAnsi="Amiri" w:eastAsia="Amiri" w:cs="Amiri"/>
          <w:color w:val="111111"/>
          <w:sz w:val="28"/>
          <w:sz w:val="28"/>
          <w:szCs w:val="28"/>
          <w:rtl w:val="true"/>
          <w:lang w:bidi="ar-SA"/>
        </w:rPr>
        <w:t xml:space="preserve">الطّهارة و بقيت البطانة،لم يضر عندهم،لبقاء الاستتار </w:t>
      </w:r>
      <w:r>
        <w:rPr>
          <w:rStyle w:val="FootnoteAnchor"/>
          <w:rtl w:val="true"/>
        </w:rPr>
        <w:footnoteReference w:id="49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لو أخرج رجله إلى ساق الخفّ </w:t>
      </w:r>
      <w:bookmarkStart w:id="286" w:name="pg12669_112885"/>
    </w:p>
    <w:p>
      <w:pPr>
        <w:pStyle w:val="BookText"/>
        <w:rPr/>
      </w:pPr>
      <w:bookmarkEnd w:id="286"/>
      <w:r>
        <w:rPr>
          <w:rFonts w:ascii="Amiri" w:hAnsi="Amiri" w:eastAsia="Amiri" w:cs="Amiri"/>
          <w:color w:val="111111"/>
          <w:sz w:val="28"/>
          <w:sz w:val="28"/>
          <w:szCs w:val="28"/>
          <w:rtl w:val="true"/>
          <w:lang w:bidi="ar-SA"/>
        </w:rPr>
        <w:t xml:space="preserve">و لم يظهر من القدم شيء،فهو كخلعه عند أبي حنيفة </w:t>
      </w:r>
      <w:r>
        <w:rPr>
          <w:rStyle w:val="FootnoteAnchor"/>
          <w:rtl w:val="true"/>
        </w:rPr>
        <w:footnoteReference w:id="495"/>
      </w:r>
      <w:r>
        <w:rPr>
          <w:rFonts w:ascii="Amiri" w:hAnsi="Amiri" w:eastAsia="Amiri" w:cs="Amiri"/>
          <w:color w:val="111111"/>
          <w:sz w:val="28"/>
          <w:sz w:val="28"/>
          <w:szCs w:val="28"/>
          <w:rtl w:val="true"/>
          <w:lang w:bidi="ar-SA"/>
        </w:rPr>
        <w:t xml:space="preserve">،خلافا للشّافعيّ في الجديد </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احتجّ أبو حنيفة بأنّ الاستقرار شرط لجواز المسح،بدليل ما لو أدخل الخفّ فأحدث قبل الاستقرار،لم يكن له المسح </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حجّة الشّافعيّ عدم ظهور الرّجل </w:t>
      </w:r>
      <w:r>
        <w:rPr>
          <w:rStyle w:val="FootnoteAnchor"/>
          <w:rtl w:val="true"/>
        </w:rPr>
        <w:footnoteReference w:id="49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الثّوريّ </w:t>
      </w:r>
      <w:r>
        <w:rPr>
          <w:rStyle w:val="FootnoteAnchor"/>
          <w:rtl w:val="true"/>
        </w:rPr>
        <w:footnoteReference w:id="499"/>
      </w:r>
      <w:r>
        <w:rPr>
          <w:rFonts w:ascii="Amiri" w:hAnsi="Amiri" w:eastAsia="Amiri" w:cs="Amiri"/>
          <w:color w:val="111111"/>
          <w:sz w:val="28"/>
          <w:sz w:val="28"/>
          <w:szCs w:val="28"/>
          <w:rtl w:val="true"/>
          <w:lang w:bidi="ar-SA"/>
        </w:rPr>
        <w:t xml:space="preserve">،و مالك </w:t>
      </w:r>
      <w:r>
        <w:rPr>
          <w:rStyle w:val="FootnoteAnchor"/>
          <w:rtl w:val="true"/>
        </w:rPr>
        <w:footnoteReference w:id="500"/>
      </w:r>
      <w:r>
        <w:rPr>
          <w:rFonts w:ascii="IRNazanin" w:hAnsi="IRNazanin" w:eastAsia="IRNazanin"/>
          <w:color w:val="111111"/>
          <w:sz w:val="28"/>
          <w:sz w:val="28"/>
          <w:szCs w:val="28"/>
          <w:rtl w:val="true"/>
          <w:lang w:bidi="fa-IR"/>
        </w:rPr>
        <w:t xml:space="preserve">،و أحمد </w:t>
      </w:r>
      <w:r>
        <w:rPr>
          <w:rStyle w:val="FootnoteAnchor"/>
          <w:rtl w:val="true"/>
        </w:rPr>
        <w:footnoteReference w:id="501"/>
      </w:r>
      <w:r>
        <w:rPr>
          <w:rFonts w:ascii="IRNazanin" w:hAnsi="IRNazanin" w:eastAsia="IRNazanin"/>
          <w:color w:val="111111"/>
          <w:sz w:val="28"/>
          <w:sz w:val="28"/>
          <w:szCs w:val="28"/>
          <w:rtl w:val="true"/>
          <w:lang w:bidi="fa-IR"/>
        </w:rPr>
        <w:t xml:space="preserve">، و إسحاق </w:t>
      </w:r>
      <w:r>
        <w:rPr>
          <w:rStyle w:val="FootnoteAnchor"/>
          <w:rtl w:val="true"/>
        </w:rPr>
        <w:footnoteReference w:id="502"/>
      </w:r>
      <w:r>
        <w:rPr>
          <w:rFonts w:ascii="Amiri" w:hAnsi="Amiri" w:eastAsia="Amiri" w:cs="Amiri"/>
          <w:color w:val="111111"/>
          <w:sz w:val="28"/>
          <w:sz w:val="28"/>
          <w:szCs w:val="28"/>
          <w:rtl w:val="true"/>
          <w:lang w:bidi="ar-SA"/>
        </w:rPr>
        <w:t xml:space="preserve">،و بعض الشّافعيّة </w:t>
      </w:r>
      <w:r>
        <w:rPr>
          <w:rStyle w:val="FootnoteAnchor"/>
          <w:rtl w:val="true"/>
        </w:rPr>
        <w:footnoteReference w:id="503"/>
      </w:r>
      <w:r>
        <w:rPr>
          <w:rFonts w:ascii="Amiri" w:hAnsi="Amiri" w:eastAsia="Amiri" w:cs="Amiri"/>
          <w:color w:val="111111"/>
          <w:sz w:val="28"/>
          <w:sz w:val="28"/>
          <w:szCs w:val="28"/>
          <w:rtl w:val="true"/>
          <w:lang w:bidi="ar-SA"/>
        </w:rPr>
        <w:t xml:space="preserve">،و الشّافعيّ في القديم </w:t>
      </w:r>
      <w:r>
        <w:rPr>
          <w:rStyle w:val="FootnoteAnchor"/>
          <w:rtl w:val="true"/>
        </w:rPr>
        <w:footnoteReference w:id="504"/>
      </w:r>
      <w:r>
        <w:rPr>
          <w:rFonts w:ascii="Amiri" w:hAnsi="Amiri" w:eastAsia="Amiri" w:cs="Amiri"/>
          <w:color w:val="111111"/>
          <w:sz w:val="28"/>
          <w:sz w:val="28"/>
          <w:szCs w:val="28"/>
          <w:rtl w:val="true"/>
          <w:lang w:bidi="ar-SA"/>
        </w:rPr>
        <w:t xml:space="preserve">،وافقوا أبا حنيفة، و كذا الأوزاعيّ </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87" w:name="__RefHeading___Toc795357_222507752"/>
      <w:bookmarkStart w:id="288" w:name="_Toc118"/>
      <w:bookmarkEnd w:id="287"/>
      <w:r>
        <w:rPr>
          <w:rtl w:val="true"/>
        </w:rPr>
        <w:t>الثّامن</w:t>
      </w:r>
      <w:r>
        <w:rPr>
          <w:rtl w:val="true"/>
        </w:rPr>
        <w:t>:</w:t>
      </w:r>
      <w:r>
        <w:rPr>
          <w:rtl w:val="true"/>
        </w:rPr>
        <w:t>قالوا</w:t>
      </w:r>
      <w:r>
        <w:rPr>
          <w:rtl w:val="true"/>
        </w:rPr>
        <w:t>:</w:t>
      </w:r>
      <w:r>
        <w:rPr>
          <w:rtl w:val="true"/>
        </w:rPr>
        <w:t>لو سافر قبل المسح،أتمّ مسح المسافر</w:t>
      </w:r>
      <w:r>
        <w:rPr>
          <w:rtl w:val="true"/>
        </w:rPr>
        <w:t>.</w:t>
      </w:r>
      <w:bookmarkEnd w:id="288"/>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ابتدأ مدّة المسح من حين أحدث بعد لبس الخفّ عند الشّافعيّ </w:t>
      </w:r>
      <w:r>
        <w:rPr>
          <w:rStyle w:val="FootnoteAnchor"/>
          <w:rtl w:val="true"/>
        </w:rPr>
        <w:footnoteReference w:id="506"/>
      </w:r>
      <w:r>
        <w:rPr>
          <w:rFonts w:ascii="IRNazanin" w:hAnsi="IRNazanin" w:eastAsia="IRNazanin"/>
          <w:color w:val="111111"/>
          <w:sz w:val="28"/>
          <w:sz w:val="28"/>
          <w:szCs w:val="28"/>
          <w:rtl w:val="true"/>
          <w:lang w:bidi="fa-IR"/>
        </w:rPr>
        <w:t xml:space="preserve">،و أحمد </w:t>
      </w:r>
      <w:r>
        <w:rPr>
          <w:rStyle w:val="FootnoteAnchor"/>
          <w:rtl w:val="true"/>
        </w:rPr>
        <w:footnoteReference w:id="507"/>
      </w:r>
      <w:r>
        <w:rPr>
          <w:rFonts w:ascii="Amiri" w:hAnsi="Amiri" w:eastAsia="Amiri" w:cs="Amiri"/>
          <w:color w:val="111111"/>
          <w:sz w:val="28"/>
          <w:sz w:val="28"/>
          <w:szCs w:val="28"/>
          <w:rtl w:val="true"/>
          <w:lang w:bidi="ar-SA"/>
        </w:rPr>
        <w:t xml:space="preserve">،و أبي حنيفة </w:t>
      </w:r>
      <w:r>
        <w:rPr>
          <w:rStyle w:val="FootnoteAnchor"/>
          <w:rtl w:val="true"/>
        </w:rPr>
        <w:footnoteReference w:id="508"/>
      </w:r>
      <w:r>
        <w:rPr>
          <w:rFonts w:ascii="Amiri" w:hAnsi="Amiri" w:eastAsia="Amiri" w:cs="Amiri"/>
          <w:color w:val="111111"/>
          <w:sz w:val="28"/>
          <w:sz w:val="28"/>
          <w:szCs w:val="28"/>
          <w:rtl w:val="true"/>
          <w:lang w:bidi="ar-SA"/>
        </w:rPr>
        <w:t xml:space="preserve">،و في رواية </w:t>
      </w:r>
    </w:p>
    <w:p>
      <w:pPr>
        <w:pStyle w:val="BookText"/>
        <w:rPr/>
      </w:pPr>
      <w:r>
        <w:rPr>
          <w:rFonts w:ascii="Amiri" w:hAnsi="Amiri" w:eastAsia="Amiri" w:cs="Amiri"/>
          <w:color w:val="111111"/>
          <w:sz w:val="28"/>
          <w:sz w:val="28"/>
          <w:szCs w:val="28"/>
          <w:rtl w:val="true"/>
          <w:lang w:bidi="ar-SA"/>
        </w:rPr>
        <w:t>اخرى عن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الابتداء من حين مسح بعد أن أحدث </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لو أحدث مقيما،ثمَّ مسح مقيما،ثمَّ سافر،أتمّ على مسح مقيم،ثمَّ خلع على قول الشّافعيّ </w:t>
      </w:r>
      <w:r>
        <w:rPr>
          <w:rStyle w:val="FootnoteAnchor"/>
          <w:rtl w:val="true"/>
        </w:rPr>
        <w:footnoteReference w:id="510"/>
      </w:r>
      <w:r>
        <w:rPr>
          <w:rFonts w:ascii="IRNazanin" w:hAnsi="IRNazanin" w:eastAsia="IRNazanin"/>
          <w:color w:val="111111"/>
          <w:sz w:val="28"/>
          <w:sz w:val="28"/>
          <w:szCs w:val="28"/>
          <w:rtl w:val="true"/>
          <w:lang w:bidi="fa-IR"/>
        </w:rPr>
        <w:t xml:space="preserve">،و أحمد </w:t>
      </w:r>
      <w:r>
        <w:rPr>
          <w:rStyle w:val="FootnoteAnchor"/>
          <w:rtl w:val="true"/>
        </w:rPr>
        <w:footnoteReference w:id="511"/>
      </w:r>
      <w:r>
        <w:rPr>
          <w:rFonts w:ascii="IRNazanin" w:hAnsi="IRNazanin" w:eastAsia="IRNazanin"/>
          <w:color w:val="111111"/>
          <w:sz w:val="28"/>
          <w:sz w:val="28"/>
          <w:szCs w:val="28"/>
          <w:rtl w:val="true"/>
          <w:lang w:bidi="fa-IR"/>
        </w:rPr>
        <w:t xml:space="preserve">،و إسحاق </w:t>
      </w:r>
      <w:r>
        <w:rPr>
          <w:rStyle w:val="FootnoteAnchor"/>
          <w:rtl w:val="true"/>
        </w:rPr>
        <w:footnoteReference w:id="51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أبو حنيفة،و الثّوري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يمسح مسح المسافر سواء مسح في الحضر لصلاة أو أكثر،بعد أن لا تنقضي مدّة المسح و هو حاضر </w:t>
      </w:r>
      <w:r>
        <w:rPr>
          <w:rStyle w:val="FootnoteAnchor"/>
          <w:rtl w:val="true"/>
        </w:rPr>
        <w:footnoteReference w:id="513"/>
      </w:r>
      <w:r>
        <w:rPr>
          <w:rStyle w:val="FootnoteAnchor"/>
          <w:rtl w:val="true"/>
        </w:rPr>
        <w:footnoteReference w:id="514"/>
      </w:r>
      <w:r>
        <w:rPr>
          <w:rFonts w:ascii="Amiri" w:hAnsi="Amiri" w:eastAsia="Amiri" w:cs="Amiri"/>
          <w:color w:val="111111"/>
          <w:sz w:val="28"/>
          <w:sz w:val="28"/>
          <w:szCs w:val="28"/>
          <w:rtl w:val="true"/>
          <w:lang w:bidi="ar-SA"/>
        </w:rPr>
        <w:t>،لأنّه مسافر قبل الإكمال فأشبه ما لو سافر قبل الشّروع</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مسح مسافر أقلّ من يوم و ليلة،ثمَّ أقام أو قدّم،أتمّ على مسح مقيم و خلع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قاله </w:t>
      </w:r>
      <w:bookmarkStart w:id="289" w:name="pg12669_112887"/>
    </w:p>
    <w:p>
      <w:pPr>
        <w:pStyle w:val="BookText"/>
        <w:rPr/>
      </w:pPr>
      <w:bookmarkEnd w:id="289"/>
      <w:r>
        <w:rPr>
          <w:rFonts w:ascii="Amiri" w:hAnsi="Amiri" w:eastAsia="Amiri" w:cs="Amiri"/>
          <w:color w:val="111111"/>
          <w:sz w:val="28"/>
          <w:sz w:val="28"/>
          <w:szCs w:val="28"/>
          <w:rtl w:val="true"/>
          <w:lang w:bidi="ar-SA"/>
        </w:rPr>
        <w:t xml:space="preserve">أبو حنيفة </w:t>
      </w:r>
      <w:r>
        <w:rPr>
          <w:rStyle w:val="FootnoteAnchor"/>
          <w:rtl w:val="true"/>
        </w:rPr>
        <w:footnoteReference w:id="515"/>
      </w:r>
      <w:r>
        <w:rPr>
          <w:rFonts w:ascii="Amiri" w:hAnsi="Amiri" w:eastAsia="Amiri" w:cs="Amiri"/>
          <w:color w:val="111111"/>
          <w:sz w:val="28"/>
          <w:sz w:val="28"/>
          <w:szCs w:val="28"/>
          <w:rtl w:val="true"/>
          <w:lang w:bidi="ar-SA"/>
        </w:rPr>
        <w:t xml:space="preserve">و الشّافعيّ </w:t>
      </w:r>
      <w:r>
        <w:rPr>
          <w:rStyle w:val="FootnoteAnchor"/>
          <w:rtl w:val="true"/>
        </w:rPr>
        <w:footnoteReference w:id="51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مسح مسافر يوما و ليلة فصاعدا،ثمَّ أقام أو قدّم خلع،لأنّه صار مقيما فلم يترخّص برخص المسافر،و لأنّ المسح عبادة تختلف سفرا و حضرا،فإذا ابتدأها في السّفر،ثمَّ حضر في أثنائها غلب حكم الحضر كالصّلاة</w:t>
      </w:r>
      <w:r>
        <w:rPr>
          <w:rFonts w:eastAsia="Amiri" w:cs="Amiri" w:ascii="Amiri" w:hAnsi="Amiri"/>
          <w:color w:val="111111"/>
          <w:sz w:val="28"/>
          <w:szCs w:val="28"/>
          <w:rtl w:val="true"/>
          <w:lang w:bidi="ar-SA"/>
        </w:rPr>
        <w:t>.</w:t>
      </w:r>
    </w:p>
    <w:p>
      <w:pPr>
        <w:pStyle w:val="Heading4"/>
        <w:numPr>
          <w:ilvl w:val="3"/>
          <w:numId w:val="1"/>
        </w:numPr>
        <w:rPr/>
      </w:pPr>
      <w:bookmarkStart w:id="290" w:name="__RefHeading___Toc795359_222507752"/>
      <w:bookmarkStart w:id="291" w:name="_Toc119"/>
      <w:bookmarkEnd w:id="290"/>
      <w:r>
        <w:rPr>
          <w:rtl w:val="true"/>
        </w:rPr>
        <w:t>التّاسع</w:t>
      </w:r>
      <w:r>
        <w:rPr>
          <w:rtl w:val="true"/>
        </w:rPr>
        <w:t>:</w:t>
      </w:r>
      <w:r>
        <w:rPr>
          <w:rtl w:val="true"/>
        </w:rPr>
        <w:t>قالوا</w:t>
      </w:r>
      <w:r>
        <w:rPr>
          <w:rtl w:val="true"/>
        </w:rPr>
        <w:t>:</w:t>
      </w:r>
      <w:r>
        <w:rPr>
          <w:rtl w:val="true"/>
        </w:rPr>
        <w:t>إنّما يجوز المسح على ما يكون ساترا لمحلّ الفرض</w:t>
      </w:r>
      <w:bookmarkEnd w:id="291"/>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يرى منه الكعبان و لا شيء من القدم لضيقه أو كونه مشدودا يمكن متابعة المشي فيه </w:t>
      </w:r>
      <w:r>
        <w:rPr>
          <w:rStyle w:val="FootnoteAnchor"/>
          <w:rtl w:val="true"/>
        </w:rPr>
        <w:footnoteReference w:id="517"/>
      </w:r>
      <w:r>
        <w:rPr>
          <w:rFonts w:ascii="Amiri" w:hAnsi="Amiri" w:eastAsia="Amiri" w:cs="Amiri"/>
          <w:color w:val="111111"/>
          <w:sz w:val="28"/>
          <w:sz w:val="28"/>
          <w:szCs w:val="28"/>
          <w:rtl w:val="true"/>
          <w:lang w:bidi="ar-SA"/>
        </w:rPr>
        <w:t xml:space="preserve">،و لو كان مقطوعا دون الكعبين،لم يجز المسح عليه عند الشّافعيّ في الجديد </w:t>
      </w:r>
      <w:r>
        <w:rPr>
          <w:rStyle w:val="FootnoteAnchor"/>
          <w:rtl w:val="true"/>
        </w:rPr>
        <w:footnoteReference w:id="518"/>
      </w:r>
      <w:r>
        <w:rPr>
          <w:rFonts w:ascii="IRNazanin" w:hAnsi="IRNazanin" w:eastAsia="IRNazanin"/>
          <w:color w:val="111111"/>
          <w:sz w:val="28"/>
          <w:sz w:val="28"/>
          <w:szCs w:val="28"/>
          <w:rtl w:val="true"/>
          <w:lang w:bidi="fa-IR"/>
        </w:rPr>
        <w:t xml:space="preserve">،و به قال الحسن بن صالح </w:t>
      </w:r>
      <w:r>
        <w:rPr>
          <w:rStyle w:val="FootnoteAnchor"/>
          <w:rtl w:val="true"/>
        </w:rPr>
        <w:footnoteReference w:id="519"/>
      </w:r>
      <w:r>
        <w:rPr>
          <w:rFonts w:ascii="Amiri" w:hAnsi="Amiri" w:eastAsia="Amiri" w:cs="Amiri"/>
          <w:color w:val="111111"/>
          <w:sz w:val="28"/>
          <w:sz w:val="28"/>
          <w:szCs w:val="28"/>
          <w:rtl w:val="true"/>
          <w:lang w:bidi="ar-SA"/>
        </w:rPr>
        <w:t>،و قال الشّافعيّ في القديم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يجوز المسح عليه إذا أمكن متابعة المشي عليه </w:t>
      </w:r>
      <w:r>
        <w:rPr>
          <w:rStyle w:val="FootnoteAnchor"/>
          <w:rtl w:val="true"/>
        </w:rPr>
        <w:footnoteReference w:id="5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قال إسحاق،و أبو ثور،و داود </w:t>
      </w:r>
      <w:r>
        <w:rPr>
          <w:rStyle w:val="FootnoteAnchor"/>
          <w:rtl w:val="true"/>
        </w:rPr>
        <w:footnoteReference w:id="52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مالك،و الأوزاعيّ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كثر الخرق و تفاحش لم يجز </w:t>
      </w:r>
      <w:r>
        <w:rPr>
          <w:rStyle w:val="FootnoteAnchor"/>
          <w:rtl w:val="true"/>
        </w:rPr>
        <w:footnoteReference w:id="522"/>
      </w:r>
      <w:r>
        <w:rPr>
          <w:rStyle w:val="FootnoteAnchor"/>
          <w:rtl w:val="true"/>
        </w:rPr>
        <w:footnoteReference w:id="52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به قال اللّيث بن سعد </w:t>
      </w:r>
      <w:r>
        <w:rPr>
          <w:rStyle w:val="FootnoteAnchor"/>
          <w:rtl w:val="true"/>
        </w:rPr>
        <w:footnoteReference w:id="52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أبو حنيفة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تخرق </w:t>
      </w:r>
      <w:bookmarkStart w:id="292" w:name="pg12669_112888"/>
    </w:p>
    <w:p>
      <w:pPr>
        <w:pStyle w:val="BookText"/>
        <w:rPr/>
      </w:pPr>
      <w:bookmarkEnd w:id="292"/>
      <w:r>
        <w:rPr>
          <w:rFonts w:ascii="Amiri" w:hAnsi="Amiri" w:eastAsia="Amiri" w:cs="Amiri"/>
          <w:color w:val="111111"/>
          <w:sz w:val="28"/>
          <w:sz w:val="28"/>
          <w:szCs w:val="28"/>
          <w:rtl w:val="true"/>
          <w:lang w:bidi="ar-SA"/>
        </w:rPr>
        <w:t xml:space="preserve">قدر ثلاث أصابع لم يجز،و إن كان أقلّ جاز </w:t>
      </w:r>
      <w:r>
        <w:rPr>
          <w:rStyle w:val="FootnoteAnchor"/>
          <w:rtl w:val="true"/>
        </w:rPr>
        <w:footnoteReference w:id="52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يوسف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حنيفة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أين أخذت هذا؟قال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الثّلاث أكثر الأصابع </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احتجّ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 و الأوزاعيّ بأنّه خفّ يمكن متابعة المشي فيه فأشبه السّاتر،و لأنّ الغالب على خفاف العرب التّخريق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اتّفقوا على انّه لا يجوز المسح على اللّفّافة و الخرق </w:t>
      </w:r>
      <w:r>
        <w:rPr>
          <w:rStyle w:val="FootnoteAnchor"/>
          <w:rtl w:val="true"/>
        </w:rPr>
        <w:footnoteReference w:id="527"/>
      </w:r>
      <w:r>
        <w:rPr>
          <w:rFonts w:ascii="Amiri" w:hAnsi="Amiri" w:eastAsia="Amiri" w:cs="Amiri"/>
          <w:color w:val="111111"/>
          <w:sz w:val="28"/>
          <w:sz w:val="28"/>
          <w:szCs w:val="28"/>
          <w:rtl w:val="true"/>
          <w:lang w:bidi="ar-SA"/>
        </w:rPr>
        <w:t>،و لا فرق في الجواز بين ما يكون من جلد،أو لبد،أو غيرهما،و في الخشب و الحديد قولان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أقربهما عندهم الجواز </w:t>
      </w:r>
      <w:r>
        <w:rPr>
          <w:rStyle w:val="FootnoteAnchor"/>
          <w:rtl w:val="true"/>
        </w:rPr>
        <w:footnoteReference w:id="52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كان محرّما كالحريم لم يرخّص بالمسح لعصيانه،فلم يستبح به الرّخصة، كما لا يرخّص المسافر في سفر المعصية</w:t>
      </w:r>
      <w:r>
        <w:rPr>
          <w:rFonts w:eastAsia="Amiri" w:cs="Amiri" w:ascii="Amiri" w:hAnsi="Amiri"/>
          <w:color w:val="111111"/>
          <w:sz w:val="28"/>
          <w:szCs w:val="28"/>
          <w:rtl w:val="true"/>
          <w:lang w:bidi="ar-SA"/>
        </w:rPr>
        <w:t>.</w:t>
      </w:r>
    </w:p>
    <w:p>
      <w:pPr>
        <w:pStyle w:val="Heading4"/>
        <w:numPr>
          <w:ilvl w:val="3"/>
          <w:numId w:val="1"/>
        </w:numPr>
        <w:rPr/>
      </w:pPr>
      <w:bookmarkStart w:id="293" w:name="__RefHeading___Toc795361_222507752"/>
      <w:bookmarkStart w:id="294" w:name="_Toc120"/>
      <w:bookmarkEnd w:id="293"/>
      <w:r>
        <w:rPr>
          <w:rtl w:val="true"/>
        </w:rPr>
        <w:t>العاشر</w:t>
      </w:r>
      <w:r>
        <w:rPr>
          <w:rtl w:val="true"/>
        </w:rPr>
        <w:t>:</w:t>
      </w:r>
      <w:r>
        <w:rPr>
          <w:rtl w:val="true"/>
        </w:rPr>
        <w:t>قالوا</w:t>
      </w:r>
      <w:r>
        <w:rPr>
          <w:rtl w:val="true"/>
        </w:rPr>
        <w:t>:</w:t>
      </w:r>
      <w:r>
        <w:rPr>
          <w:rtl w:val="true"/>
        </w:rPr>
        <w:t>يجوز المسح على الجوربين بالشّرطين</w:t>
      </w:r>
      <w:r>
        <w:rPr>
          <w:rtl w:val="true"/>
        </w:rPr>
        <w:t>:</w:t>
      </w:r>
      <w:bookmarkEnd w:id="294"/>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السّتر،و إمكان متابعة المشي،سواء كانا منعّلين أو 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اختيار أحمد </w:t>
      </w:r>
      <w:r>
        <w:rPr>
          <w:rStyle w:val="FootnoteAnchor"/>
          <w:rtl w:val="true"/>
        </w:rPr>
        <w:footnoteReference w:id="529"/>
      </w:r>
      <w:r>
        <w:rPr>
          <w:rFonts w:ascii="Amiri" w:hAnsi="Amiri" w:eastAsia="Amiri" w:cs="Amiri"/>
          <w:color w:val="111111"/>
          <w:sz w:val="28"/>
          <w:sz w:val="28"/>
          <w:szCs w:val="28"/>
          <w:rtl w:val="true"/>
          <w:lang w:bidi="ar-SA"/>
        </w:rPr>
        <w:t xml:space="preserve">،و الحسن،و سعيد بن المسيّب، </w:t>
      </w:r>
      <w:bookmarkStart w:id="295" w:name="pg12669_112889"/>
    </w:p>
    <w:p>
      <w:pPr>
        <w:pStyle w:val="BookText"/>
        <w:rPr/>
      </w:pPr>
      <w:bookmarkEnd w:id="295"/>
      <w:r>
        <w:rPr>
          <w:rFonts w:ascii="Amiri" w:hAnsi="Amiri" w:eastAsia="Amiri" w:cs="Amiri"/>
          <w:color w:val="111111"/>
          <w:sz w:val="28"/>
          <w:sz w:val="28"/>
          <w:szCs w:val="28"/>
          <w:rtl w:val="true"/>
          <w:lang w:bidi="ar-SA"/>
        </w:rPr>
        <w:t xml:space="preserve">و ابن جبير،و الثّوريّ،و الحسن بن صالح،و إسحاق،و يعقوب،و محمّد </w:t>
      </w:r>
      <w:r>
        <w:rPr>
          <w:rStyle w:val="FootnoteAnchor"/>
          <w:rtl w:val="true"/>
        </w:rPr>
        <w:footnoteReference w:id="53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أبو حنيفة </w:t>
      </w:r>
      <w:r>
        <w:rPr>
          <w:rStyle w:val="FootnoteAnchor"/>
          <w:rtl w:val="true"/>
        </w:rPr>
        <w:footnoteReference w:id="531"/>
      </w:r>
      <w:r>
        <w:rPr>
          <w:rFonts w:ascii="Amiri" w:hAnsi="Amiri" w:eastAsia="Amiri" w:cs="Amiri"/>
          <w:color w:val="111111"/>
          <w:sz w:val="28"/>
          <w:sz w:val="28"/>
          <w:szCs w:val="28"/>
          <w:rtl w:val="true"/>
          <w:lang w:bidi="ar-SA"/>
        </w:rPr>
        <w:t xml:space="preserve">،و مالك </w:t>
      </w:r>
      <w:r>
        <w:rPr>
          <w:rStyle w:val="FootnoteAnchor"/>
          <w:rtl w:val="true"/>
        </w:rPr>
        <w:footnoteReference w:id="532"/>
      </w:r>
      <w:r>
        <w:rPr>
          <w:rFonts w:ascii="Amiri" w:hAnsi="Amiri" w:eastAsia="Amiri" w:cs="Amiri"/>
          <w:color w:val="111111"/>
          <w:sz w:val="28"/>
          <w:sz w:val="28"/>
          <w:szCs w:val="28"/>
          <w:rtl w:val="true"/>
          <w:lang w:bidi="ar-SA"/>
        </w:rPr>
        <w:t>،و الشّافعيّ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يجوز المسح عليهما إلاّ أن ينعّلا </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لو كان الجورب لا يثبت بنفسه و يثبت بلبس النّعل،أبيح المسح عليه و تنتقض الطّهارة بخلع النّعل،لأنّ ثبوته أحد شرطي الجواز،و إنّما يحصل بالنّعل،و مع الخلع يزول الشّرط فتبطل الطّهارة،كما لو ظهر القدم</w:t>
      </w:r>
      <w:r>
        <w:rPr>
          <w:rFonts w:eastAsia="Amiri" w:cs="Amiri" w:ascii="Amiri" w:hAnsi="Amiri"/>
          <w:color w:val="111111"/>
          <w:sz w:val="28"/>
          <w:szCs w:val="28"/>
          <w:rtl w:val="true"/>
          <w:lang w:bidi="ar-SA"/>
        </w:rPr>
        <w:t>.</w:t>
      </w:r>
    </w:p>
    <w:p>
      <w:pPr>
        <w:pStyle w:val="Heading4"/>
        <w:numPr>
          <w:ilvl w:val="3"/>
          <w:numId w:val="1"/>
        </w:numPr>
        <w:rPr/>
      </w:pPr>
      <w:bookmarkStart w:id="296" w:name="__RefHeading___Toc795363_222507752"/>
      <w:bookmarkStart w:id="297" w:name="_Toc121"/>
      <w:bookmarkEnd w:id="296"/>
      <w:r>
        <w:rPr>
          <w:rtl w:val="true"/>
        </w:rPr>
        <w:t>الحادي عشر</w:t>
      </w:r>
      <w:r>
        <w:rPr>
          <w:rtl w:val="true"/>
        </w:rPr>
        <w:t>:</w:t>
      </w:r>
      <w:r>
        <w:rPr>
          <w:rtl w:val="true"/>
        </w:rPr>
        <w:t>مذهب أبي حنيفة،و أحمد انّ المسنون في المسح أن يضع يده على</w:t>
      </w:r>
      <w:bookmarkEnd w:id="297"/>
    </w:p>
    <w:p>
      <w:pPr>
        <w:pStyle w:val="BookText"/>
        <w:rPr/>
      </w:pPr>
      <w:r>
        <w:rPr>
          <w:rFonts w:ascii="Amiri" w:hAnsi="Amiri" w:eastAsia="Amiri" w:cs="Amiri"/>
          <w:color w:val="111111"/>
          <w:sz w:val="28"/>
          <w:sz w:val="28"/>
          <w:szCs w:val="28"/>
          <w:rtl w:val="true"/>
          <w:lang w:bidi="ar-SA"/>
        </w:rPr>
        <w:t>موضع الأصابع ثمَّ يجرّها إلى ساقه</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خطّا بأصابعه،و يجوز العكس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يسنّ مسح أسفله و لا عقبه </w:t>
      </w:r>
      <w:r>
        <w:rPr>
          <w:rStyle w:val="FootnoteAnchor"/>
          <w:rtl w:val="true"/>
        </w:rPr>
        <w:footnoteReference w:id="534"/>
      </w:r>
      <w:r>
        <w:rPr>
          <w:rStyle w:val="FootnoteAnchor"/>
          <w:rtl w:val="true"/>
        </w:rPr>
        <w:footnoteReference w:id="53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به قال الثّوريّ </w:t>
      </w:r>
      <w:r>
        <w:rPr>
          <w:rStyle w:val="FootnoteAnchor"/>
          <w:rtl w:val="true"/>
        </w:rPr>
        <w:footnoteReference w:id="536"/>
      </w:r>
      <w:r>
        <w:rPr>
          <w:rFonts w:ascii="IRNazanin" w:hAnsi="IRNazanin" w:eastAsia="IRNazanin"/>
          <w:color w:val="111111"/>
          <w:sz w:val="28"/>
          <w:sz w:val="28"/>
          <w:szCs w:val="28"/>
          <w:rtl w:val="true"/>
          <w:lang w:bidi="fa-IR"/>
        </w:rPr>
        <w:t xml:space="preserve">،و داود </w:t>
      </w:r>
      <w:r>
        <w:rPr>
          <w:rStyle w:val="FootnoteAnchor"/>
          <w:rtl w:val="true"/>
        </w:rPr>
        <w:footnoteReference w:id="537"/>
      </w:r>
      <w:r>
        <w:rPr>
          <w:rFonts w:ascii="Amiri" w:hAnsi="Amiri" w:eastAsia="Amiri" w:cs="Amiri"/>
          <w:color w:val="111111"/>
          <w:sz w:val="28"/>
          <w:sz w:val="28"/>
          <w:szCs w:val="28"/>
          <w:rtl w:val="true"/>
          <w:lang w:bidi="ar-SA"/>
        </w:rPr>
        <w:t xml:space="preserve">،و الأوزاعيّ </w:t>
      </w:r>
      <w:r>
        <w:rPr>
          <w:rStyle w:val="FootnoteAnchor"/>
          <w:rtl w:val="true"/>
        </w:rPr>
        <w:footnoteReference w:id="538"/>
      </w:r>
      <w:r>
        <w:rPr>
          <w:rFonts w:ascii="IRNazanin" w:hAnsi="IRNazanin" w:eastAsia="IRNazanin"/>
          <w:color w:val="111111"/>
          <w:sz w:val="28"/>
          <w:sz w:val="28"/>
          <w:szCs w:val="28"/>
          <w:rtl w:val="true"/>
          <w:lang w:bidi="fa-IR"/>
        </w:rPr>
        <w:t xml:space="preserve">،لما رووه،عن </w:t>
      </w:r>
    </w:p>
    <w:p>
      <w:pPr>
        <w:pStyle w:val="BookText"/>
        <w:rPr/>
      </w:pPr>
      <w:r>
        <w:rPr>
          <w:rFonts w:ascii="Amiri" w:hAnsi="Amiri" w:eastAsia="Amiri" w:cs="Amiri"/>
          <w:color w:val="111111"/>
          <w:sz w:val="28"/>
          <w:sz w:val="28"/>
          <w:szCs w:val="28"/>
          <w:rtl w:val="true"/>
          <w:lang w:bidi="ar-SA"/>
        </w:rPr>
        <w:t>عليّ عليه السّلام انّه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 الدّين بالرّأي،لكان أسفل الخفّ أولى بالمسح من ظاهره</w:t>
      </w:r>
      <w:r>
        <w:rPr>
          <w:rFonts w:eastAsia="Amiri" w:cs="Amiri" w:ascii="Amiri" w:hAnsi="Amiri"/>
          <w:color w:val="111111"/>
          <w:sz w:val="28"/>
          <w:szCs w:val="28"/>
          <w:rtl w:val="true"/>
          <w:lang w:bidi="ar-SA"/>
        </w:rPr>
        <w:t xml:space="preserve">) </w:t>
      </w:r>
      <w:r>
        <w:rPr>
          <w:rStyle w:val="FootnoteAnchor"/>
          <w:rtl w:val="true"/>
        </w:rPr>
        <w:footnoteReference w:id="539"/>
      </w:r>
      <w:r>
        <w:rPr>
          <w:rFonts w:ascii="Amiri" w:hAnsi="Amiri" w:eastAsia="Amiri" w:cs="Amiri"/>
          <w:color w:val="111111"/>
          <w:sz w:val="28"/>
          <w:sz w:val="28"/>
          <w:szCs w:val="28"/>
          <w:rtl w:val="true"/>
          <w:lang w:bidi="ar-SA"/>
        </w:rPr>
        <w:t>و لأنّ باطنه ليس بمحلّ لفرض المسح،فلم يكن محلاّ لمسنونه كالسّاق،و لأنّ مسحه غير واجب و لا يكاد يسلم من مباشرة أذى فيه تنجيس يده به فكان تركه أولى</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الشّافعيّ </w:t>
      </w:r>
      <w:r>
        <w:rPr>
          <w:rStyle w:val="FootnoteAnchor"/>
          <w:rtl w:val="true"/>
        </w:rPr>
        <w:footnoteReference w:id="540"/>
      </w:r>
      <w:r>
        <w:rPr>
          <w:rFonts w:ascii="Amiri" w:hAnsi="Amiri" w:eastAsia="Amiri" w:cs="Amiri"/>
          <w:color w:val="111111"/>
          <w:sz w:val="28"/>
          <w:sz w:val="28"/>
          <w:szCs w:val="28"/>
          <w:rtl w:val="true"/>
          <w:lang w:bidi="ar-SA"/>
        </w:rPr>
        <w:t>،و مالك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السّنّة مسح الظّاهر و الباطن </w:t>
      </w:r>
      <w:r>
        <w:rPr>
          <w:rStyle w:val="FootnoteAnchor"/>
          <w:rtl w:val="true"/>
        </w:rPr>
        <w:footnoteReference w:id="541"/>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أعلى الخفّ و أسفله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به قال عبد اللّه بن عمر،و عمر بن عبد العزيز </w:t>
      </w:r>
      <w:r>
        <w:rPr>
          <w:rStyle w:val="FootnoteAnchor"/>
          <w:rtl w:val="true"/>
        </w:rPr>
        <w:footnoteReference w:id="542"/>
      </w:r>
      <w:r>
        <w:rPr>
          <w:rFonts w:ascii="Amiri" w:hAnsi="Amiri" w:eastAsia="Amiri" w:cs="Amiri"/>
          <w:color w:val="111111"/>
          <w:sz w:val="28"/>
          <w:sz w:val="28"/>
          <w:szCs w:val="28"/>
          <w:rtl w:val="true"/>
          <w:lang w:bidi="ar-SA"/>
        </w:rPr>
        <w:t xml:space="preserve">،و الزّهريّ،و ابن المبارك </w:t>
      </w:r>
      <w:r>
        <w:rPr>
          <w:rStyle w:val="FootnoteAnchor"/>
          <w:rtl w:val="true"/>
        </w:rPr>
        <w:footnoteReference w:id="543"/>
      </w:r>
      <w:r>
        <w:rPr>
          <w:rFonts w:ascii="Amiri" w:hAnsi="Amiri" w:eastAsia="Amiri" w:cs="Amiri"/>
          <w:color w:val="111111"/>
          <w:sz w:val="28"/>
          <w:sz w:val="28"/>
          <w:szCs w:val="28"/>
          <w:rtl w:val="true"/>
          <w:lang w:bidi="ar-SA"/>
        </w:rPr>
        <w:t xml:space="preserve">،و إسحاق بن راهويه </w:t>
      </w:r>
      <w:r>
        <w:rPr>
          <w:rStyle w:val="FootnoteAnchor"/>
          <w:rtl w:val="true"/>
        </w:rPr>
        <w:footnoteReference w:id="544"/>
      </w:r>
      <w:r>
        <w:rPr>
          <w:rFonts w:ascii="Amiri" w:hAnsi="Amiri" w:eastAsia="Amiri" w:cs="Amiri"/>
          <w:color w:val="111111"/>
          <w:sz w:val="28"/>
          <w:sz w:val="28"/>
          <w:szCs w:val="28"/>
          <w:rtl w:val="true"/>
          <w:lang w:bidi="ar-SA"/>
        </w:rPr>
        <w:t>لما رواه المغيرة بن شعبة،قال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وضّأت رسول اللّه </w:t>
      </w:r>
      <w:bookmarkStart w:id="298" w:name="pg12669_112891"/>
    </w:p>
    <w:p>
      <w:pPr>
        <w:pStyle w:val="BookText"/>
        <w:rPr/>
      </w:pPr>
      <w:bookmarkEnd w:id="298"/>
      <w:r>
        <w:rPr>
          <w:rFonts w:ascii="Amiri" w:hAnsi="Amiri" w:eastAsia="Amiri" w:cs="Amiri"/>
          <w:color w:val="111111"/>
          <w:sz w:val="28"/>
          <w:sz w:val="28"/>
          <w:szCs w:val="28"/>
          <w:rtl w:val="true"/>
          <w:lang w:bidi="ar-SA"/>
        </w:rPr>
        <w:t xml:space="preserve">صلّى اللّه عليه و آله فمسح أعلى الخفّ و أسفله </w:t>
      </w:r>
      <w:r>
        <w:rPr>
          <w:rStyle w:val="FootnoteAnchor"/>
          <w:rtl w:val="true"/>
        </w:rPr>
        <w:footnoteReference w:id="54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الحديث قد طعن فيه التّرمذيّ،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معلول </w:t>
      </w:r>
      <w:r>
        <w:rPr>
          <w:rStyle w:val="FootnoteAnchor"/>
          <w:rtl w:val="true"/>
        </w:rPr>
        <w:footnoteReference w:id="54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سألت أبا زرعة،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محمّدا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عنه،فقالا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بصحيح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هذا الحديث رجاء بن حيوة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ورّاد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كاتب المغيرة و لم يلقه </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99" w:name="__RefHeading___Toc795365_222507752"/>
      <w:bookmarkStart w:id="300" w:name="_Toc122"/>
      <w:bookmarkEnd w:id="299"/>
      <w:r>
        <w:rPr>
          <w:rtl w:val="true"/>
        </w:rPr>
        <w:t>الثّاني عشر</w:t>
      </w:r>
      <w:r>
        <w:rPr>
          <w:rtl w:val="true"/>
        </w:rPr>
        <w:t>:</w:t>
      </w:r>
      <w:r>
        <w:rPr>
          <w:rtl w:val="true"/>
        </w:rPr>
        <w:t>قال الشّافعيّ</w:t>
      </w:r>
      <w:r>
        <w:rPr>
          <w:rtl w:val="true"/>
        </w:rPr>
        <w:t>:</w:t>
      </w:r>
      <w:r>
        <w:rPr>
          <w:rtl w:val="true"/>
        </w:rPr>
        <w:t xml:space="preserve">و المجزي ما وقع عليه اسم المسح </w:t>
      </w:r>
      <w:r>
        <w:rPr>
          <w:rtl w:val="true"/>
        </w:rPr>
        <w:t>.</w:t>
      </w:r>
      <w:bookmarkEnd w:id="300"/>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5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قولنا في </w:t>
      </w:r>
      <w:bookmarkStart w:id="301" w:name="pg12669_112892"/>
    </w:p>
    <w:p>
      <w:pPr>
        <w:pStyle w:val="BookText"/>
        <w:rPr/>
      </w:pPr>
      <w:bookmarkEnd w:id="301"/>
      <w:r>
        <w:rPr>
          <w:rFonts w:ascii="Amiri" w:hAnsi="Amiri" w:eastAsia="Amiri" w:cs="Amiri"/>
          <w:color w:val="111111"/>
          <w:sz w:val="28"/>
          <w:sz w:val="28"/>
          <w:szCs w:val="28"/>
          <w:rtl w:val="true"/>
          <w:lang w:bidi="ar-SA"/>
        </w:rPr>
        <w:t>محلّ الضّرورة،لأنّه أطلق المسح و لم يقدّره،فوجب الرّجوع إلى ما يتناوله الاسم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أبو حنيفة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يجزئه قدر ثلاث أصابع </w:t>
      </w:r>
      <w:r>
        <w:rPr>
          <w:rStyle w:val="FootnoteAnchor"/>
          <w:rtl w:val="true"/>
        </w:rPr>
        <w:footnoteReference w:id="549"/>
      </w:r>
      <w:r>
        <w:rPr>
          <w:rFonts w:ascii="Amiri" w:hAnsi="Amiri" w:eastAsia="Amiri" w:cs="Amiri"/>
          <w:color w:val="111111"/>
          <w:sz w:val="28"/>
          <w:sz w:val="28"/>
          <w:szCs w:val="28"/>
          <w:rtl w:val="true"/>
          <w:lang w:bidi="ar-SA"/>
        </w:rPr>
        <w:t>لقول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المسح خطط بالأصابع فينصرف إلى سنّة رسول اللّه صلّى اللّه عليه و آله،و أقلّ الجمع ثلاث </w:t>
      </w:r>
      <w:r>
        <w:rPr>
          <w:rStyle w:val="FootnoteAnchor"/>
          <w:rtl w:val="true"/>
        </w:rPr>
        <w:footnoteReference w:id="55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زفر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مسح بإصبع واحدة قدر ثلاث أصابع أجزأه </w:t>
      </w:r>
      <w:r>
        <w:rPr>
          <w:rStyle w:val="FootnoteAnchor"/>
          <w:rtl w:val="true"/>
        </w:rPr>
        <w:footnoteReference w:id="55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يجزئه إلاّ مسح أكثر القدم </w:t>
      </w:r>
      <w:r>
        <w:rPr>
          <w:rStyle w:val="FootnoteAnchor"/>
          <w:rtl w:val="true"/>
        </w:rPr>
        <w:footnoteReference w:id="55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الإجزاء مع المسح بالخرقة أو الخشب عندهم وجهان </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الأصحّ عندنا عدم الإجزاء في صورة يباح المسح فيها على الخفّين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اختلفوا في إجزاء غسل الخفّ </w:t>
      </w:r>
      <w:r>
        <w:rPr>
          <w:rStyle w:val="FootnoteAnchor"/>
          <w:rtl w:val="true"/>
        </w:rPr>
        <w:footnoteReference w:id="554"/>
      </w:r>
      <w:r>
        <w:rPr>
          <w:rFonts w:ascii="Amiri" w:hAnsi="Amiri" w:eastAsia="Amiri" w:cs="Amiri"/>
          <w:color w:val="111111"/>
          <w:sz w:val="28"/>
          <w:sz w:val="28"/>
          <w:szCs w:val="28"/>
          <w:rtl w:val="true"/>
          <w:lang w:bidi="ar-SA"/>
        </w:rPr>
        <w:t>،و الأقوى عندنا عدم الإجزاء في محلّ الضّرورة</w:t>
      </w:r>
      <w:r>
        <w:rPr>
          <w:rFonts w:eastAsia="Amiri" w:cs="Amiri" w:ascii="Amiri" w:hAnsi="Amiri"/>
          <w:color w:val="111111"/>
          <w:sz w:val="28"/>
          <w:szCs w:val="28"/>
          <w:rtl w:val="true"/>
          <w:lang w:bidi="ar-SA"/>
        </w:rPr>
        <w:t>.</w:t>
      </w:r>
    </w:p>
    <w:p>
      <w:pPr>
        <w:pStyle w:val="Heading4"/>
        <w:numPr>
          <w:ilvl w:val="3"/>
          <w:numId w:val="1"/>
        </w:numPr>
        <w:rPr/>
      </w:pPr>
      <w:bookmarkStart w:id="302" w:name="__RefHeading___Toc795367_222507752"/>
      <w:bookmarkStart w:id="303" w:name="_Toc123"/>
      <w:bookmarkEnd w:id="302"/>
      <w:r>
        <w:rPr>
          <w:rtl w:val="true"/>
        </w:rPr>
        <w:t>الثّالث عشر</w:t>
      </w:r>
      <w:r>
        <w:rPr>
          <w:rtl w:val="true"/>
        </w:rPr>
        <w:t>:</w:t>
      </w:r>
      <w:r>
        <w:rPr>
          <w:rtl w:val="true"/>
        </w:rPr>
        <w:t>لو مسح أسفل الخفّ دون أعلاه،لم يجزئه</w:t>
      </w:r>
      <w:bookmarkEnd w:id="303"/>
    </w:p>
    <w:p>
      <w:pPr>
        <w:pStyle w:val="BookText"/>
        <w:rPr/>
      </w:pPr>
      <w:r>
        <w:rPr>
          <w:rFonts w:ascii="Amiri" w:hAnsi="Amiri" w:eastAsia="Amiri" w:cs="Amiri"/>
          <w:color w:val="111111"/>
          <w:sz w:val="28"/>
          <w:sz w:val="28"/>
          <w:szCs w:val="28"/>
          <w:rtl w:val="true"/>
          <w:lang w:bidi="ar-SA"/>
        </w:rPr>
        <w:t>عندنا في صورة الجواز</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هو مذهب عامّة العلماء </w:t>
      </w:r>
      <w:r>
        <w:rPr>
          <w:rStyle w:val="FootnoteAnchor"/>
          <w:rtl w:val="true"/>
        </w:rPr>
        <w:footnoteReference w:id="555"/>
      </w:r>
      <w:r>
        <w:rPr>
          <w:rFonts w:ascii="Amiri" w:hAnsi="Amiri" w:eastAsia="Amiri" w:cs="Amiri"/>
          <w:color w:val="111111"/>
          <w:sz w:val="28"/>
          <w:sz w:val="28"/>
          <w:szCs w:val="28"/>
          <w:rtl w:val="true"/>
          <w:lang w:bidi="ar-SA"/>
        </w:rPr>
        <w:t xml:space="preserve">،إلاّ ما نقل عن بعض أصحاب الشّافعيّ </w:t>
      </w:r>
      <w:r>
        <w:rPr>
          <w:rStyle w:val="FootnoteAnchor"/>
          <w:rtl w:val="true"/>
        </w:rPr>
        <w:footnoteReference w:id="556"/>
      </w:r>
      <w:r>
        <w:rPr>
          <w:rFonts w:ascii="IRNazanin" w:hAnsi="IRNazanin" w:eastAsia="IRNazanin"/>
          <w:color w:val="111111"/>
          <w:sz w:val="28"/>
          <w:sz w:val="28"/>
          <w:szCs w:val="28"/>
          <w:rtl w:val="true"/>
          <w:lang w:bidi="fa-IR"/>
        </w:rPr>
        <w:t xml:space="preserve">،و بعض </w:t>
      </w:r>
      <w:bookmarkStart w:id="304" w:name="pg12669_112893"/>
    </w:p>
    <w:p>
      <w:pPr>
        <w:pStyle w:val="BookText"/>
        <w:rPr/>
      </w:pPr>
      <w:bookmarkEnd w:id="304"/>
      <w:r>
        <w:rPr>
          <w:rFonts w:ascii="Amiri" w:hAnsi="Amiri" w:eastAsia="Amiri" w:cs="Amiri"/>
          <w:color w:val="111111"/>
          <w:sz w:val="28"/>
          <w:sz w:val="28"/>
          <w:szCs w:val="28"/>
          <w:rtl w:val="true"/>
          <w:lang w:bidi="ar-SA"/>
        </w:rPr>
        <w:t xml:space="preserve">أصحاب مالك </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ليس محلّ الفرض،فلا يجزئ كالسّاق،و كذا البحث في عقب الخفّ</w:t>
      </w:r>
      <w:r>
        <w:rPr>
          <w:rFonts w:eastAsia="Amiri" w:cs="Amiri" w:ascii="Amiri" w:hAnsi="Amiri"/>
          <w:color w:val="111111"/>
          <w:sz w:val="28"/>
          <w:szCs w:val="28"/>
          <w:rtl w:val="true"/>
          <w:lang w:bidi="ar-SA"/>
        </w:rPr>
        <w:t>.</w:t>
      </w:r>
    </w:p>
    <w:p>
      <w:pPr>
        <w:pStyle w:val="Heading4"/>
        <w:numPr>
          <w:ilvl w:val="3"/>
          <w:numId w:val="1"/>
        </w:numPr>
        <w:rPr/>
      </w:pPr>
      <w:bookmarkStart w:id="305" w:name="__RefHeading___Toc795369_222507752"/>
      <w:bookmarkStart w:id="306" w:name="_Toc124"/>
      <w:bookmarkEnd w:id="305"/>
      <w:r>
        <w:rPr>
          <w:rtl w:val="true"/>
        </w:rPr>
        <w:t>الرّابع عشر</w:t>
      </w:r>
      <w:r>
        <w:rPr>
          <w:rtl w:val="true"/>
        </w:rPr>
        <w:t>:</w:t>
      </w:r>
      <w:r>
        <w:rPr>
          <w:rtl w:val="true"/>
        </w:rPr>
        <w:t>لا فرق في التّرخّص مع الضّرورة بين المرأة و الرّجل،</w:t>
      </w:r>
      <w:bookmarkEnd w:id="306"/>
    </w:p>
    <w:p>
      <w:pPr>
        <w:pStyle w:val="Heading5"/>
        <w:numPr>
          <w:ilvl w:val="4"/>
          <w:numId w:val="1"/>
        </w:numPr>
        <w:rPr/>
      </w:pPr>
      <w:bookmarkStart w:id="307" w:name="__RefHeading___Toc795371_222507752"/>
      <w:bookmarkStart w:id="308" w:name="_Toc125"/>
      <w:bookmarkEnd w:id="307"/>
      <w:r>
        <w:rPr>
          <w:rtl w:val="true"/>
        </w:rPr>
        <w:t>اشارة</w:t>
      </w:r>
      <w:bookmarkEnd w:id="308"/>
    </w:p>
    <w:p>
      <w:pPr>
        <w:pStyle w:val="BookText"/>
        <w:rPr/>
      </w:pPr>
      <w:r>
        <w:rPr>
          <w:rFonts w:ascii="Amiri" w:hAnsi="Amiri" w:eastAsia="Amiri" w:cs="Amiri"/>
          <w:color w:val="111111"/>
          <w:sz w:val="28"/>
          <w:sz w:val="28"/>
          <w:szCs w:val="28"/>
          <w:rtl w:val="true"/>
          <w:lang w:bidi="ar-SA"/>
        </w:rPr>
        <w:t>و لا فرق بين المستحاضة و صاحب السّلس و غيرهما،لأنّ علّة التّرخّص في الرّجل موجودة في المرأة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بعض الشّافعيّة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لصاحب السّلس و المستحاضة أن يمسحا أكثر من وقت صلاة،لأنّ الطّهارة الّتي لبسا الخفّ عليها،لا يستباح بها أكثر من ذلك </w:t>
      </w:r>
      <w:r>
        <w:rPr>
          <w:rStyle w:val="FootnoteAnchor"/>
          <w:rtl w:val="true"/>
        </w:rPr>
        <w:footnoteReference w:id="55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ضعيف،لأنّ المسح لا يبطل ببطلان الطّهارة،فلا يبطل بخروج الوقت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زفر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المستحاضة تمسح يوما و ليلة </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09" w:name="__RefHeading___Toc795373_222507752"/>
      <w:bookmarkStart w:id="310" w:name="_Toc126"/>
      <w:bookmarkEnd w:id="309"/>
      <w:r>
        <w:rPr>
          <w:rtl w:val="true"/>
        </w:rPr>
        <w:t>تذنيبان</w:t>
      </w:r>
      <w:r>
        <w:rPr>
          <w:rtl w:val="true"/>
        </w:rPr>
        <w:t>:</w:t>
      </w:r>
      <w:bookmarkEnd w:id="310"/>
    </w:p>
    <w:p>
      <w:pPr>
        <w:pStyle w:val="Heading6"/>
        <w:numPr>
          <w:ilvl w:val="5"/>
          <w:numId w:val="1"/>
        </w:numPr>
        <w:rPr/>
      </w:pPr>
      <w:bookmarkStart w:id="311" w:name="__RefHeading___Toc795375_222507752"/>
      <w:bookmarkStart w:id="312" w:name="_Toc127"/>
      <w:bookmarkEnd w:id="311"/>
      <w:r>
        <w:rPr>
          <w:rtl w:val="true"/>
        </w:rPr>
        <w:t>الأوّل</w:t>
      </w:r>
      <w:r>
        <w:rPr>
          <w:rtl w:val="true"/>
        </w:rPr>
        <w:t>:</w:t>
      </w:r>
      <w:r>
        <w:rPr>
          <w:rtl w:val="true"/>
        </w:rPr>
        <w:t>لو كان الخفّ مغصوبا لم يجز المسح عليه</w:t>
      </w:r>
      <w:bookmarkEnd w:id="312"/>
    </w:p>
    <w:p>
      <w:pPr>
        <w:pStyle w:val="BookText"/>
        <w:rPr/>
      </w:pPr>
      <w:r>
        <w:rPr>
          <w:rFonts w:ascii="Amiri" w:hAnsi="Amiri" w:eastAsia="Amiri" w:cs="Amiri"/>
          <w:color w:val="111111"/>
          <w:sz w:val="28"/>
          <w:sz w:val="28"/>
          <w:szCs w:val="28"/>
          <w:rtl w:val="true"/>
          <w:lang w:bidi="ar-SA"/>
        </w:rPr>
        <w:t xml:space="preserve">عندنا حال الضّرورة،و عند بعض الشّافعيّة مطلقا </w:t>
      </w:r>
      <w:r>
        <w:rPr>
          <w:rStyle w:val="FootnoteAnchor"/>
          <w:rtl w:val="true"/>
        </w:rPr>
        <w:footnoteReference w:id="560"/>
      </w:r>
      <w:r>
        <w:rPr>
          <w:rFonts w:ascii="Amiri" w:hAnsi="Amiri" w:eastAsia="Amiri" w:cs="Amiri"/>
          <w:color w:val="111111"/>
          <w:sz w:val="28"/>
          <w:sz w:val="28"/>
          <w:szCs w:val="28"/>
          <w:rtl w:val="true"/>
          <w:lang w:bidi="ar-SA"/>
        </w:rPr>
        <w:t xml:space="preserve">،لأنّ اللّبس معصية فلا يناسب التّرخّص،و عند بعضهم يجوز مطلقا </w:t>
      </w:r>
      <w:r>
        <w:rPr>
          <w:rStyle w:val="FootnoteAnchor"/>
          <w:rtl w:val="true"/>
        </w:rPr>
        <w:footnoteReference w:id="561"/>
      </w:r>
      <w:r>
        <w:rPr>
          <w:rFonts w:ascii="Amiri" w:hAnsi="Amiri" w:eastAsia="Amiri" w:cs="Amiri"/>
          <w:color w:val="111111"/>
          <w:sz w:val="28"/>
          <w:sz w:val="28"/>
          <w:szCs w:val="28"/>
          <w:rtl w:val="true"/>
          <w:lang w:bidi="ar-SA"/>
        </w:rPr>
        <w:t>،لأنّ المعصية لا تختصّ باللّبس،فصار كالصّلاة في الدّار المغصوبة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بجيّد على ما يأتي</w:t>
      </w:r>
      <w:r>
        <w:rPr>
          <w:rFonts w:eastAsia="Amiri" w:cs="Amiri" w:ascii="Amiri" w:hAnsi="Amiri"/>
          <w:color w:val="111111"/>
          <w:sz w:val="28"/>
          <w:szCs w:val="28"/>
          <w:rtl w:val="true"/>
          <w:lang w:bidi="ar-SA"/>
        </w:rPr>
        <w:t>.</w:t>
      </w:r>
    </w:p>
    <w:p>
      <w:pPr>
        <w:pStyle w:val="Heading6"/>
        <w:numPr>
          <w:ilvl w:val="5"/>
          <w:numId w:val="1"/>
        </w:numPr>
        <w:rPr/>
      </w:pPr>
      <w:bookmarkStart w:id="313" w:name="__RefHeading___Toc795377_222507752"/>
      <w:bookmarkStart w:id="314" w:name="_Toc128"/>
      <w:bookmarkEnd w:id="313"/>
      <w:r>
        <w:rPr>
          <w:rtl w:val="true"/>
        </w:rPr>
        <w:t>الثّاني</w:t>
      </w:r>
      <w:r>
        <w:rPr>
          <w:rtl w:val="true"/>
        </w:rPr>
        <w:t>:</w:t>
      </w:r>
      <w:r>
        <w:rPr>
          <w:rtl w:val="true"/>
        </w:rPr>
        <w:t>لو زال عذرهما لا الضّرورة المبيحة،جاز لهما المسح</w:t>
      </w:r>
      <w:bookmarkEnd w:id="314"/>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عندنا،لوجود السّبب و هو الضّرورة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الجمهور،فمنعوا من ذلك،لأنّهما كملا في بابهما،فلم يكن لهما المسح بتلك الطّهارة،كالمتيمّم إذا أكمل بالقدرة على الماء لا يمسح بالخفّ الملبوس على </w:t>
      </w:r>
      <w:bookmarkStart w:id="315" w:name="pg12669_112894"/>
    </w:p>
    <w:p>
      <w:pPr>
        <w:pStyle w:val="BookText"/>
        <w:rPr/>
      </w:pPr>
      <w:bookmarkEnd w:id="315"/>
      <w:r>
        <w:rPr>
          <w:rFonts w:ascii="Amiri" w:hAnsi="Amiri" w:eastAsia="Amiri" w:cs="Amiri"/>
          <w:color w:val="111111"/>
          <w:sz w:val="28"/>
          <w:sz w:val="28"/>
          <w:szCs w:val="28"/>
          <w:rtl w:val="true"/>
          <w:lang w:bidi="ar-SA"/>
        </w:rPr>
        <w:t xml:space="preserve">التّيمّم </w:t>
      </w:r>
      <w:r>
        <w:rPr>
          <w:rStyle w:val="FootnoteAnchor"/>
          <w:rtl w:val="true"/>
        </w:rPr>
        <w:footnoteReference w:id="56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نحن لمّا لم نشترط سبق الطّهارة،سقطت هذه الحجّة بالكلّيّة</w:t>
      </w:r>
      <w:r>
        <w:rPr>
          <w:rFonts w:eastAsia="Amiri" w:cs="Amiri" w:ascii="Amiri" w:hAnsi="Amiri"/>
          <w:color w:val="111111"/>
          <w:sz w:val="28"/>
          <w:szCs w:val="28"/>
          <w:rtl w:val="true"/>
          <w:lang w:bidi="ar-SA"/>
        </w:rPr>
        <w:t>.</w:t>
      </w:r>
    </w:p>
    <w:p>
      <w:pPr>
        <w:pStyle w:val="Heading5"/>
        <w:numPr>
          <w:ilvl w:val="4"/>
          <w:numId w:val="1"/>
        </w:numPr>
        <w:rPr/>
      </w:pPr>
      <w:bookmarkStart w:id="316" w:name="__RefHeading___Toc795379_222507752"/>
      <w:bookmarkStart w:id="317" w:name="_Toc129"/>
      <w:bookmarkEnd w:id="316"/>
      <w:r>
        <w:rPr>
          <w:rtl w:val="true"/>
        </w:rPr>
        <w:t>أصل</w:t>
      </w:r>
      <w:r>
        <w:rPr>
          <w:rtl w:val="true"/>
        </w:rPr>
        <w:t>:</w:t>
      </w:r>
      <w:r>
        <w:rPr>
          <w:rtl w:val="true"/>
        </w:rPr>
        <w:t>الواو تفيد مع الجمع التّرتيب،لوجوه</w:t>
      </w:r>
      <w:r>
        <w:rPr>
          <w:rtl w:val="true"/>
        </w:rPr>
        <w:t>:</w:t>
      </w:r>
      <w:bookmarkEnd w:id="317"/>
    </w:p>
    <w:p>
      <w:pPr>
        <w:pStyle w:val="Heading6"/>
        <w:numPr>
          <w:ilvl w:val="5"/>
          <w:numId w:val="1"/>
        </w:numPr>
        <w:rPr/>
      </w:pPr>
      <w:bookmarkStart w:id="318" w:name="__RefHeading___Toc795381_222507752"/>
      <w:bookmarkStart w:id="319" w:name="_Toc130"/>
      <w:bookmarkEnd w:id="318"/>
      <w:r>
        <w:rPr>
          <w:rtl w:val="true"/>
        </w:rPr>
        <w:t>أحدهما</w:t>
      </w:r>
      <w:r>
        <w:rPr>
          <w:rtl w:val="true"/>
        </w:rPr>
        <w:t>:</w:t>
      </w:r>
      <w:r>
        <w:rPr>
          <w:rtl w:val="true"/>
        </w:rPr>
        <w:t>ما روي</w:t>
      </w:r>
      <w:bookmarkEnd w:id="319"/>
    </w:p>
    <w:p>
      <w:pPr>
        <w:pStyle w:val="BookText"/>
        <w:rPr/>
      </w:pPr>
      <w:r>
        <w:rPr>
          <w:rFonts w:ascii="Amiri" w:hAnsi="Amiri" w:eastAsia="Amiri" w:cs="Amiri"/>
          <w:color w:val="111111"/>
          <w:sz w:val="28"/>
          <w:sz w:val="28"/>
          <w:szCs w:val="28"/>
          <w:rtl w:val="true"/>
          <w:lang w:bidi="ar-SA"/>
        </w:rPr>
        <w:t>انّ واحدا قام بين يدي رسول اللّه صلّى اللّه عليه و آله،فقال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أطاع اللّه و رسوله فقد اهتدى،و من عصاهما فقد غوى،فقال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بئس خطيب القوم أنت،قل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عصى اللّه و رسوله فقد غوى</w:t>
      </w:r>
      <w:r>
        <w:rPr>
          <w:rFonts w:eastAsia="Amiri" w:cs="Amiri" w:ascii="Amiri" w:hAnsi="Amiri"/>
          <w:color w:val="111111"/>
          <w:sz w:val="28"/>
          <w:szCs w:val="28"/>
          <w:rtl w:val="true"/>
          <w:lang w:bidi="ar-SA"/>
        </w:rPr>
        <w:t xml:space="preserve">) </w:t>
      </w:r>
      <w:r>
        <w:rPr>
          <w:rStyle w:val="FootnoteAnchor"/>
          <w:rtl w:val="true"/>
        </w:rPr>
        <w:footnoteReference w:id="563"/>
      </w:r>
      <w:r>
        <w:rPr>
          <w:rFonts w:ascii="Amiri" w:hAnsi="Amiri" w:eastAsia="Amiri" w:cs="Amiri"/>
          <w:color w:val="111111"/>
          <w:sz w:val="28"/>
          <w:sz w:val="28"/>
          <w:szCs w:val="28"/>
          <w:rtl w:val="true"/>
          <w:lang w:bidi="ar-SA"/>
        </w:rPr>
        <w:t>و لو لا إفادة الواو التّرتيب لما افترق القولان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النّهي لما ذكرتم،بل لتفرّد كلّ واحد بالذّكر،و لا يجمع بين ذكر اللّه تعالى و ذكر رسوله في كتابة واحدة،لأنّه منهيّ عنه كما قال اللّه تعالى وَ اللّهُ وَ رَسُولُهُ أَحَقُّ أَنْ يُرْضُوهُ </w:t>
      </w:r>
      <w:r>
        <w:rPr>
          <w:rStyle w:val="FootnoteAnchor"/>
          <w:rtl w:val="true"/>
        </w:rPr>
        <w:footnoteReference w:id="564"/>
      </w:r>
      <w:r>
        <w:rPr>
          <w:rFonts w:ascii="Amiri" w:hAnsi="Amiri" w:eastAsia="Amiri" w:cs="Amiri"/>
          <w:color w:val="111111"/>
          <w:sz w:val="28"/>
          <w:sz w:val="28"/>
          <w:szCs w:val="28"/>
          <w:rtl w:val="true"/>
          <w:lang w:bidi="ar-SA"/>
        </w:rPr>
        <w:t>و لم يقل يرضوهما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العلّة في كراهة الجمع المعنى الّذي ذكرناه و هو سقوط التّرتيب،لا ما ذكرتم،و إلاّ لزم تعليل الشّيء بنفسه،لأنّا في طلب علّة النّهي عن الجمع،فكيف يعلّل بنفسه</w:t>
      </w:r>
      <w:r>
        <w:rPr>
          <w:rFonts w:eastAsia="Amiri" w:cs="Amiri" w:ascii="Amiri" w:hAnsi="Amiri"/>
          <w:color w:val="111111"/>
          <w:sz w:val="28"/>
          <w:szCs w:val="28"/>
          <w:rtl w:val="true"/>
          <w:lang w:bidi="ar-SA"/>
        </w:rPr>
        <w:t>.</w:t>
      </w:r>
    </w:p>
    <w:p>
      <w:pPr>
        <w:pStyle w:val="Heading6"/>
        <w:numPr>
          <w:ilvl w:val="5"/>
          <w:numId w:val="1"/>
        </w:numPr>
        <w:rPr/>
      </w:pPr>
      <w:bookmarkStart w:id="320" w:name="__RefHeading___Toc795383_222507752"/>
      <w:bookmarkStart w:id="321" w:name="_Toc131"/>
      <w:bookmarkEnd w:id="320"/>
      <w:r>
        <w:rPr>
          <w:rtl w:val="true"/>
        </w:rPr>
        <w:t>الثّاني</w:t>
      </w:r>
      <w:r>
        <w:rPr>
          <w:rtl w:val="true"/>
        </w:rPr>
        <w:t>:</w:t>
      </w:r>
      <w:r>
        <w:rPr>
          <w:rtl w:val="true"/>
        </w:rPr>
        <w:t>انّ عمر سمع شاعرا يقول</w:t>
      </w:r>
      <w:r>
        <w:rPr>
          <w:rtl w:val="true"/>
        </w:rPr>
        <w:t>:</w:t>
      </w:r>
      <w:bookmarkEnd w:id="321"/>
    </w:p>
    <w:p>
      <w:pPr>
        <w:pStyle w:val="BookText"/>
        <w:rPr/>
      </w:pPr>
      <w:r>
        <w:rPr>
          <w:rFonts w:ascii="Amiri" w:hAnsi="Amiri" w:eastAsia="Amiri" w:cs="Amiri"/>
          <w:color w:val="111111"/>
          <w:sz w:val="28"/>
          <w:sz w:val="28"/>
          <w:szCs w:val="28"/>
          <w:rtl w:val="true"/>
          <w:lang w:bidi="ar-SA"/>
        </w:rPr>
        <w:t>كفى الشّيب و الإسلام للمرء ناهيا</w:t>
      </w:r>
    </w:p>
    <w:p>
      <w:pPr>
        <w:pStyle w:val="BookText"/>
        <w:rPr/>
      </w:pPr>
      <w:r>
        <w:rPr>
          <w:rFonts w:ascii="Amiri" w:hAnsi="Amiri" w:eastAsia="Amiri" w:cs="Amiri"/>
          <w:color w:val="111111"/>
          <w:sz w:val="28"/>
          <w:sz w:val="28"/>
          <w:szCs w:val="28"/>
          <w:rtl w:val="true"/>
          <w:lang w:bidi="ar-SA"/>
        </w:rPr>
        <w:t>فقال له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قدّمت الإسلام على الشّيب لأجزتك </w:t>
      </w:r>
      <w:r>
        <w:rPr>
          <w:rStyle w:val="FootnoteAnchor"/>
          <w:rtl w:val="true"/>
        </w:rPr>
        <w:footnoteReference w:id="56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هذا يدلّ على التّأخير </w:t>
      </w:r>
      <w:r>
        <w:rPr>
          <w:rStyle w:val="FootnoteAnchor"/>
          <w:rtl w:val="true"/>
        </w:rPr>
        <w:footnoteReference w:id="566"/>
      </w:r>
      <w:r>
        <w:rPr>
          <w:rFonts w:ascii="Amiri" w:hAnsi="Amiri" w:eastAsia="Amiri" w:cs="Amiri"/>
          <w:color w:val="111111"/>
          <w:sz w:val="28"/>
          <w:sz w:val="28"/>
          <w:szCs w:val="28"/>
          <w:rtl w:val="true"/>
          <w:lang w:bidi="ar-SA"/>
        </w:rPr>
        <w:t>في المرتبة عند التّأخير في اللّفظ</w:t>
      </w:r>
      <w:r>
        <w:rPr>
          <w:rFonts w:eastAsia="Amiri" w:cs="Amiri" w:ascii="Amiri" w:hAnsi="Amiri"/>
          <w:color w:val="111111"/>
          <w:sz w:val="28"/>
          <w:szCs w:val="28"/>
          <w:rtl w:val="true"/>
          <w:lang w:bidi="ar-SA"/>
        </w:rPr>
        <w:t>.</w:t>
      </w:r>
    </w:p>
    <w:p>
      <w:pPr>
        <w:pStyle w:val="Heading6"/>
        <w:numPr>
          <w:ilvl w:val="5"/>
          <w:numId w:val="1"/>
        </w:numPr>
        <w:rPr/>
      </w:pPr>
      <w:bookmarkStart w:id="322" w:name="__RefHeading___Toc795385_222507752"/>
      <w:bookmarkStart w:id="323" w:name="_Toc132"/>
      <w:bookmarkEnd w:id="322"/>
      <w:r>
        <w:rPr>
          <w:rtl w:val="true"/>
        </w:rPr>
        <w:t>الثّالث</w:t>
      </w:r>
      <w:r>
        <w:rPr>
          <w:rtl w:val="true"/>
        </w:rPr>
        <w:t>:</w:t>
      </w:r>
      <w:r>
        <w:rPr>
          <w:rtl w:val="true"/>
        </w:rPr>
        <w:t>ما روي انّ الصّحابة قالوا لابن عبّاس</w:t>
      </w:r>
      <w:r>
        <w:rPr>
          <w:rtl w:val="true"/>
        </w:rPr>
        <w:t>:</w:t>
      </w:r>
      <w:r>
        <w:rPr>
          <w:rtl w:val="true"/>
        </w:rPr>
        <w:t>لم تأمرنا بالحجّ قبل العمرة</w:t>
      </w:r>
      <w:bookmarkEnd w:id="323"/>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w:t>
      </w:r>
      <w:bookmarkStart w:id="324" w:name="pg12669_112895"/>
    </w:p>
    <w:p>
      <w:pPr>
        <w:pStyle w:val="BookText"/>
        <w:rPr/>
      </w:pPr>
      <w:bookmarkEnd w:id="324"/>
      <w:r>
        <w:rPr>
          <w:rFonts w:ascii="Amiri" w:hAnsi="Amiri" w:eastAsia="Amiri" w:cs="Amiri"/>
          <w:color w:val="111111"/>
          <w:sz w:val="28"/>
          <w:sz w:val="28"/>
          <w:szCs w:val="28"/>
          <w:rtl w:val="true"/>
          <w:lang w:bidi="ar-SA"/>
        </w:rPr>
        <w:t xml:space="preserve">قال اللّه تعالى وَ أَتِمُّوا الْحَجَّ وَ الْعُمْرَةَ لِلّهِ </w:t>
      </w:r>
      <w:r>
        <w:rPr>
          <w:rStyle w:val="FootnoteAnchor"/>
          <w:rtl w:val="true"/>
        </w:rPr>
        <w:footnoteReference w:id="567"/>
      </w:r>
      <w:r>
        <w:rPr>
          <w:rStyle w:val="FootnoteAnchor"/>
          <w:rtl w:val="true"/>
        </w:rPr>
        <w:footnoteReference w:id="568"/>
      </w:r>
      <w:r>
        <w:rPr>
          <w:rFonts w:ascii="Amiri" w:hAnsi="Amiri" w:eastAsia="Amiri" w:cs="Amiri"/>
          <w:color w:val="111111"/>
          <w:sz w:val="28"/>
          <w:sz w:val="28"/>
          <w:szCs w:val="28"/>
          <w:rtl w:val="true"/>
          <w:lang w:bidi="ar-SA"/>
        </w:rPr>
        <w:t>و هم كانوا فصحاء العرب ففهمهم للتّرتيب يدلّ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انّ ابن عبّاس أجابهم عن ذلك،فقال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قدّمتم الدّين على الوصيّة، و اللّه تعالى قدّم الوصيّة على الدّين،فقال مِنْ بَعْدِ وَصِيَّةٍ يُوصِي بِها أَوْ دَيْنٍ </w:t>
      </w:r>
      <w:r>
        <w:rPr>
          <w:rStyle w:val="FootnoteAnchor"/>
          <w:rtl w:val="true"/>
        </w:rPr>
        <w:footnoteReference w:id="569"/>
      </w:r>
      <w:r>
        <w:rPr>
          <w:rFonts w:ascii="Amiri" w:hAnsi="Amiri" w:eastAsia="Amiri" w:cs="Amiri"/>
          <w:color w:val="111111"/>
          <w:sz w:val="28"/>
          <w:sz w:val="28"/>
          <w:szCs w:val="28"/>
          <w:rtl w:val="true"/>
          <w:lang w:bidi="ar-SA"/>
        </w:rPr>
        <w:t>و هذا اعتراف من ابن عبّاس بأنّ تقديم الحجّ يقتضي تقديم فعله،و إنّما عدل لدلالة،كما عدل في الوصيّة،لأنّه لو لم يذهب إلى اقتضاء التّرتيب،لما جاز منه ذلك،و 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 لا تقتضي التّرتيب</w:t>
      </w:r>
      <w:r>
        <w:rPr>
          <w:rFonts w:eastAsia="Amiri" w:cs="Amiri" w:ascii="Amiri" w:hAnsi="Amiri"/>
          <w:color w:val="111111"/>
          <w:sz w:val="28"/>
          <w:szCs w:val="28"/>
          <w:rtl w:val="true"/>
          <w:lang w:bidi="ar-SA"/>
        </w:rPr>
        <w:t>.</w:t>
      </w:r>
    </w:p>
    <w:p>
      <w:pPr>
        <w:pStyle w:val="Heading6"/>
        <w:numPr>
          <w:ilvl w:val="5"/>
          <w:numId w:val="1"/>
        </w:numPr>
        <w:rPr/>
      </w:pPr>
      <w:bookmarkStart w:id="325" w:name="__RefHeading___Toc795387_222507752"/>
      <w:bookmarkStart w:id="326" w:name="_Toc133"/>
      <w:bookmarkEnd w:id="325"/>
      <w:r>
        <w:rPr>
          <w:rtl w:val="true"/>
        </w:rPr>
        <w:t>الرّابع</w:t>
      </w:r>
      <w:r>
        <w:rPr>
          <w:rtl w:val="true"/>
        </w:rPr>
        <w:t>:</w:t>
      </w:r>
      <w:r>
        <w:rPr>
          <w:rtl w:val="true"/>
        </w:rPr>
        <w:t>انّ الفرّاء</w:t>
      </w:r>
      <w:r>
        <w:rPr/>
        <w:t>1</w:t>
      </w:r>
      <w:r>
        <w:rPr>
          <w:rtl w:val="true"/>
        </w:rPr>
        <w:t>و أبا عبيدة بن سلام نصّا على أنّها تفيد التّرتيب،</w:t>
      </w:r>
      <w:bookmarkEnd w:id="326"/>
    </w:p>
    <w:p>
      <w:pPr>
        <w:pStyle w:val="BookText"/>
        <w:rPr/>
      </w:pPr>
      <w:r>
        <w:rPr>
          <w:rFonts w:ascii="Amiri" w:hAnsi="Amiri" w:eastAsia="Amiri" w:cs="Amiri"/>
          <w:color w:val="111111"/>
          <w:sz w:val="28"/>
          <w:sz w:val="28"/>
          <w:szCs w:val="28"/>
          <w:rtl w:val="true"/>
          <w:lang w:bidi="ar-SA"/>
        </w:rPr>
        <w:t>فلو لم يكن كذلك،لما جاز هذا النّصّ منهما،و قولهما مقدّم على من نصّ على أنّها ليست للتّرتيب، لتقدّم الإثبات في الشّهادة على النّفي</w:t>
      </w:r>
      <w:r>
        <w:rPr>
          <w:rFonts w:eastAsia="Amiri" w:cs="Amiri" w:ascii="Amiri" w:hAnsi="Amiri"/>
          <w:color w:val="111111"/>
          <w:sz w:val="28"/>
          <w:szCs w:val="28"/>
          <w:rtl w:val="true"/>
          <w:lang w:bidi="ar-SA"/>
        </w:rPr>
        <w:t>.</w:t>
      </w:r>
    </w:p>
    <w:p>
      <w:pPr>
        <w:pStyle w:val="Heading6"/>
        <w:numPr>
          <w:ilvl w:val="5"/>
          <w:numId w:val="1"/>
        </w:numPr>
        <w:rPr/>
      </w:pPr>
      <w:bookmarkStart w:id="327" w:name="__RefHeading___Toc795389_222507752"/>
      <w:bookmarkStart w:id="328" w:name="_Toc134"/>
      <w:bookmarkEnd w:id="327"/>
      <w:r>
        <w:rPr>
          <w:rtl w:val="true"/>
        </w:rPr>
        <w:t>الخامس</w:t>
      </w:r>
      <w:r>
        <w:rPr>
          <w:rtl w:val="true"/>
        </w:rPr>
        <w:t>:</w:t>
      </w:r>
      <w:r>
        <w:rPr>
          <w:rtl w:val="true"/>
        </w:rPr>
        <w:t>لو قال لغير المدخول بها</w:t>
      </w:r>
      <w:r>
        <w:rPr>
          <w:rtl w:val="true"/>
        </w:rPr>
        <w:t>:</w:t>
      </w:r>
      <w:r>
        <w:rPr>
          <w:rtl w:val="true"/>
        </w:rPr>
        <w:t>أنت طالق و طالق،طلقت واحدة،</w:t>
      </w:r>
      <w:bookmarkEnd w:id="328"/>
    </w:p>
    <w:p>
      <w:pPr>
        <w:pStyle w:val="BookText"/>
        <w:rPr/>
      </w:pPr>
      <w:r>
        <w:rPr>
          <w:rFonts w:ascii="Amiri" w:hAnsi="Amiri" w:eastAsia="Amiri" w:cs="Amiri"/>
          <w:color w:val="111111"/>
          <w:sz w:val="28"/>
          <w:sz w:val="28"/>
          <w:szCs w:val="28"/>
          <w:rtl w:val="true"/>
          <w:lang w:bidi="ar-SA"/>
        </w:rPr>
        <w:t>و لو قال طلقتين طلّقت اثنتين،و لو كانت الواو تفيد الجمع لم يبق فرق</w:t>
      </w:r>
      <w:r>
        <w:rPr>
          <w:rFonts w:eastAsia="Amiri" w:cs="Amiri" w:ascii="Amiri" w:hAnsi="Amiri"/>
          <w:color w:val="111111"/>
          <w:sz w:val="28"/>
          <w:szCs w:val="28"/>
          <w:rtl w:val="true"/>
          <w:lang w:bidi="ar-SA"/>
        </w:rPr>
        <w:t>.</w:t>
      </w:r>
    </w:p>
    <w:p>
      <w:pPr>
        <w:pStyle w:val="Heading6"/>
        <w:numPr>
          <w:ilvl w:val="5"/>
          <w:numId w:val="1"/>
        </w:numPr>
        <w:rPr/>
      </w:pPr>
      <w:bookmarkStart w:id="329" w:name="__RefHeading___Toc795391_222507752"/>
      <w:bookmarkStart w:id="330" w:name="_Toc135"/>
      <w:bookmarkEnd w:id="329"/>
      <w:r>
        <w:rPr>
          <w:rtl w:val="true"/>
        </w:rPr>
        <w:t>السّادس</w:t>
      </w:r>
      <w:r>
        <w:rPr>
          <w:rtl w:val="true"/>
        </w:rPr>
        <w:t>:</w:t>
      </w:r>
      <w:r>
        <w:rPr>
          <w:rtl w:val="true"/>
        </w:rPr>
        <w:t>انّ التّرتيب في اللّفظ يستدعي سببا،و التّرتيب في الوجود صالح له،</w:t>
      </w:r>
      <w:bookmarkEnd w:id="330"/>
    </w:p>
    <w:p>
      <w:pPr>
        <w:pStyle w:val="BookText"/>
        <w:rPr/>
      </w:pPr>
      <w:r>
        <w:rPr>
          <w:rFonts w:ascii="Amiri" w:hAnsi="Amiri" w:eastAsia="Amiri" w:cs="Amiri"/>
          <w:color w:val="111111"/>
          <w:sz w:val="28"/>
          <w:sz w:val="28"/>
          <w:szCs w:val="28"/>
          <w:rtl w:val="true"/>
          <w:lang w:bidi="ar-SA"/>
        </w:rPr>
        <w:t>فوجب جعله سببا له،إلى أن يقيم الخصم المعارض</w:t>
      </w:r>
      <w:r>
        <w:rPr>
          <w:rFonts w:eastAsia="Amiri" w:cs="Amiri" w:ascii="Amiri" w:hAnsi="Amiri"/>
          <w:color w:val="111111"/>
          <w:sz w:val="28"/>
          <w:szCs w:val="28"/>
          <w:rtl w:val="true"/>
          <w:lang w:bidi="ar-SA"/>
        </w:rPr>
        <w:t>.</w:t>
      </w:r>
    </w:p>
    <w:p>
      <w:pPr>
        <w:pStyle w:val="Heading6"/>
        <w:numPr>
          <w:ilvl w:val="5"/>
          <w:numId w:val="1"/>
        </w:numPr>
        <w:rPr/>
      </w:pPr>
      <w:bookmarkStart w:id="331" w:name="__RefHeading___Toc795393_222507752"/>
      <w:bookmarkStart w:id="332" w:name="_Toc136"/>
      <w:bookmarkEnd w:id="331"/>
      <w:r>
        <w:rPr>
          <w:rtl w:val="true"/>
        </w:rPr>
        <w:t>السّابع</w:t>
      </w:r>
      <w:r>
        <w:rPr>
          <w:rtl w:val="true"/>
        </w:rPr>
        <w:t>:</w:t>
      </w:r>
      <w:r>
        <w:rPr>
          <w:rtl w:val="true"/>
        </w:rPr>
        <w:t>أنّ التّرتيب مع التّعقيب وضع له لفظ،و مع التّراخي آخر،</w:t>
      </w:r>
      <w:bookmarkEnd w:id="332"/>
    </w:p>
    <w:p>
      <w:pPr>
        <w:pStyle w:val="BookText"/>
        <w:rPr/>
      </w:pPr>
      <w:r>
        <w:rPr>
          <w:rFonts w:ascii="Amiri" w:hAnsi="Amiri" w:eastAsia="Amiri" w:cs="Amiri"/>
          <w:color w:val="111111"/>
          <w:sz w:val="28"/>
          <w:sz w:val="28"/>
          <w:szCs w:val="28"/>
          <w:rtl w:val="true"/>
          <w:lang w:bidi="ar-SA"/>
        </w:rPr>
        <w:t>و مطلق التّرتيب معقول لا بدّ له من لفظ،و ليس إلاّ الواو</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 المطلق معنى معقول،و لا لفظ يدلّ عليه إلاّ الواو</w:t>
      </w:r>
      <w:r>
        <w:rPr>
          <w:rFonts w:eastAsia="Amiri" w:cs="Amiri" w:ascii="Amiri" w:hAnsi="Amiri"/>
          <w:color w:val="111111"/>
          <w:sz w:val="28"/>
          <w:szCs w:val="28"/>
          <w:rtl w:val="true"/>
          <w:lang w:bidi="ar-SA"/>
        </w:rPr>
        <w:t xml:space="preserve">. </w:t>
      </w:r>
      <w:bookmarkStart w:id="333" w:name="pg12669_112896"/>
    </w:p>
    <w:p>
      <w:pPr>
        <w:pStyle w:val="BookText"/>
        <w:rPr/>
      </w:pPr>
      <w:bookmarkEnd w:id="333"/>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التّعارض يجب التّرجيح و هو معنى،فإنّا لو جعلناه حقيقة في الجمع،استحال التجوّز به في التّرتيب،لعدم لزوم الخاصّ العام،و بالعكس يجوز،فكان أولى</w:t>
      </w:r>
      <w:r>
        <w:rPr>
          <w:rFonts w:eastAsia="Amiri" w:cs="Amiri" w:ascii="Amiri" w:hAnsi="Amiri"/>
          <w:color w:val="111111"/>
          <w:sz w:val="28"/>
          <w:szCs w:val="28"/>
          <w:rtl w:val="true"/>
          <w:lang w:bidi="ar-SA"/>
        </w:rPr>
        <w:t>.</w:t>
      </w:r>
    </w:p>
    <w:p>
      <w:pPr>
        <w:pStyle w:val="Heading3"/>
        <w:numPr>
          <w:ilvl w:val="2"/>
          <w:numId w:val="1"/>
        </w:numPr>
        <w:rPr/>
      </w:pPr>
      <w:bookmarkStart w:id="334" w:name="__RefHeading___Toc795395_222507752"/>
      <w:bookmarkStart w:id="335" w:name="_Toc137"/>
      <w:bookmarkEnd w:id="334"/>
      <w:r>
        <w:rPr>
          <w:rtl w:val="true"/>
        </w:rPr>
        <w:t>مسألة</w:t>
      </w:r>
      <w:r>
        <w:rPr>
          <w:rtl w:val="true"/>
        </w:rPr>
        <w:t>:</w:t>
      </w:r>
      <w:r>
        <w:rPr>
          <w:rtl w:val="true"/>
        </w:rPr>
        <w:t>قال علماؤنا</w:t>
      </w:r>
      <w:r>
        <w:rPr>
          <w:rtl w:val="true"/>
        </w:rPr>
        <w:t>:</w:t>
      </w:r>
      <w:r>
        <w:rPr>
          <w:rtl w:val="true"/>
        </w:rPr>
        <w:t>التّرتيب واجب في الوضوء</w:t>
      </w:r>
      <w:r>
        <w:rPr>
          <w:rtl w:val="true"/>
        </w:rPr>
        <w:t>.</w:t>
      </w:r>
      <w:bookmarkEnd w:id="335"/>
    </w:p>
    <w:p>
      <w:pPr>
        <w:pStyle w:val="Heading4"/>
        <w:numPr>
          <w:ilvl w:val="3"/>
          <w:numId w:val="1"/>
        </w:numPr>
        <w:rPr/>
      </w:pPr>
      <w:bookmarkStart w:id="336" w:name="__RefHeading___Toc795397_222507752"/>
      <w:bookmarkStart w:id="337" w:name="_Toc138"/>
      <w:bookmarkEnd w:id="336"/>
      <w:r>
        <w:rPr>
          <w:rtl w:val="true"/>
        </w:rPr>
        <w:t>اشارة</w:t>
      </w:r>
      <w:bookmarkEnd w:id="337"/>
    </w:p>
    <w:p>
      <w:pPr>
        <w:pStyle w:val="BookText"/>
        <w:rPr/>
      </w:pPr>
      <w:r>
        <w:rPr>
          <w:rFonts w:ascii="Amiri" w:hAnsi="Amiri" w:eastAsia="Amiri" w:cs="Amiri"/>
          <w:color w:val="111111"/>
          <w:sz w:val="28"/>
          <w:sz w:val="28"/>
          <w:szCs w:val="28"/>
          <w:rtl w:val="true"/>
          <w:lang w:bidi="ar-SA"/>
        </w:rPr>
        <w:t xml:space="preserve">و هو مذهب الشّافعيّ </w:t>
      </w:r>
      <w:r>
        <w:rPr>
          <w:rStyle w:val="FootnoteAnchor"/>
          <w:rtl w:val="true"/>
        </w:rPr>
        <w:footnoteReference w:id="570"/>
      </w:r>
      <w:r>
        <w:rPr>
          <w:rFonts w:ascii="IRNazanin" w:hAnsi="IRNazanin" w:eastAsia="IRNazanin"/>
          <w:color w:val="111111"/>
          <w:sz w:val="28"/>
          <w:sz w:val="28"/>
          <w:szCs w:val="28"/>
          <w:rtl w:val="true"/>
          <w:lang w:bidi="fa-IR"/>
        </w:rPr>
        <w:t xml:space="preserve">، و أحمد </w:t>
      </w:r>
      <w:r>
        <w:rPr>
          <w:rStyle w:val="FootnoteAnchor"/>
          <w:rtl w:val="true"/>
        </w:rPr>
        <w:footnoteReference w:id="571"/>
      </w:r>
      <w:r>
        <w:rPr>
          <w:rFonts w:ascii="Amiri" w:hAnsi="Amiri" w:eastAsia="Amiri" w:cs="Amiri"/>
          <w:color w:val="111111"/>
          <w:sz w:val="28"/>
          <w:sz w:val="28"/>
          <w:szCs w:val="28"/>
          <w:rtl w:val="true"/>
          <w:lang w:bidi="ar-SA"/>
        </w:rPr>
        <w:t xml:space="preserve">،و إسحاق،و أبي ثور،و أبي عبيد </w:t>
      </w:r>
      <w:r>
        <w:rPr>
          <w:rStyle w:val="FootnoteAnchor"/>
          <w:rtl w:val="true"/>
        </w:rPr>
        <w:footnoteReference w:id="57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أبو حنيفة </w:t>
      </w:r>
      <w:r>
        <w:rPr>
          <w:rStyle w:val="FootnoteAnchor"/>
          <w:rtl w:val="true"/>
        </w:rPr>
        <w:footnoteReference w:id="573"/>
      </w:r>
      <w:r>
        <w:rPr>
          <w:rFonts w:ascii="Amiri" w:hAnsi="Amiri" w:eastAsia="Amiri" w:cs="Amiri"/>
          <w:color w:val="111111"/>
          <w:sz w:val="28"/>
          <w:sz w:val="28"/>
          <w:szCs w:val="28"/>
          <w:rtl w:val="true"/>
          <w:lang w:bidi="ar-SA"/>
        </w:rPr>
        <w:t xml:space="preserve">،و مالك، </w:t>
      </w:r>
      <w:r>
        <w:rPr>
          <w:rStyle w:val="FootnoteAnchor"/>
          <w:rtl w:val="true"/>
        </w:rPr>
        <w:footnoteReference w:id="574"/>
      </w:r>
      <w:r>
        <w:rPr>
          <w:rFonts w:ascii="Amiri" w:hAnsi="Amiri" w:eastAsia="Amiri" w:cs="Amiri"/>
          <w:color w:val="111111"/>
          <w:sz w:val="28"/>
          <w:sz w:val="28"/>
          <w:szCs w:val="28"/>
          <w:rtl w:val="true"/>
          <w:lang w:bidi="ar-SA"/>
        </w:rPr>
        <w:t>و الثّوريّ</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يجب،و رواه الجمهور،عن عليّ عليه السّلام،و ابن مسعود،و سعيد بن المسيّب، و الحسن البصريّ،و عطاء،و الزّهريّ،و النّخعيّ،و مكحول،و به قال الأوزاعيّ، </w:t>
      </w:r>
    </w:p>
    <w:p>
      <w:pPr>
        <w:pStyle w:val="BookText"/>
        <w:rPr/>
      </w:pPr>
      <w:r>
        <w:rPr>
          <w:rFonts w:ascii="Amiri" w:hAnsi="Amiri" w:eastAsia="Amiri" w:cs="Amiri"/>
          <w:color w:val="111111"/>
          <w:sz w:val="28"/>
          <w:sz w:val="28"/>
          <w:szCs w:val="28"/>
          <w:rtl w:val="true"/>
          <w:lang w:bidi="ar-SA"/>
        </w:rPr>
        <w:t xml:space="preserve">و محمّد بن الحسن،و أبو يوسف،و المزنيّ،و داود </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تعالى فَاغْسِلُوا وُجُوهَكُمْ وَ أَيْدِيَكُمْ إِلَى الْمَرافِقِ وَ امْسَحُوا بِرُؤُسِكُمْ وَ أَرْجُلَكُمْ إِلَى الْكَعْبَيْنِ </w:t>
      </w:r>
      <w:r>
        <w:rPr>
          <w:rStyle w:val="FootnoteAnchor"/>
          <w:rtl w:val="true"/>
        </w:rPr>
        <w:footnoteReference w:id="576"/>
      </w:r>
      <w:r>
        <w:rPr>
          <w:rFonts w:ascii="Amiri" w:hAnsi="Amiri" w:eastAsia="Amiri" w:cs="Amiri"/>
          <w:color w:val="111111"/>
          <w:sz w:val="28"/>
          <w:sz w:val="28"/>
          <w:szCs w:val="28"/>
          <w:rtl w:val="true"/>
          <w:lang w:bidi="ar-SA"/>
        </w:rPr>
        <w:t>و قد بيّنّا انّ الواو تقتضي التّرتيب،و لأنّه تعالى عقّب إرادة القيام بالغسل،فيجب تقدّمه على غيره،و كلّ من أوجب تقدّم الغسل أوجب التّرتيب، و لأنّه تعالى ذكر هذه الأعضاء مرتّبا فيجب غسلها مرتّبا،و لأنّه تعالى جعل غاية الغسل المنطوق المرافق،فيجب البدأة بالوجه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المقدّمة الأولى فلأنّه قد اتّفق محقّقو الأدب على انّ العامل في المعطوف هو الفعل الظّاهر بتقوية حرف العطف،فلو قلنا بجعل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غاية في ذلك المقدّر،لزم اعتبار وجوده من حيث الغاية و اعتبار عدمه من حيث العطف،و في ذلك تناف</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رواه الجمهور من صفة وضوء رسول اللّه صلّى اللّه عليه و آله </w:t>
      </w:r>
      <w:r>
        <w:rPr>
          <w:rStyle w:val="FootnoteAnchor"/>
          <w:rtl w:val="true"/>
        </w:rPr>
        <w:footnoteReference w:id="577"/>
      </w:r>
      <w:r>
        <w:rPr>
          <w:rFonts w:ascii="Amiri" w:hAnsi="Amiri" w:eastAsia="Amiri" w:cs="Amiri"/>
          <w:color w:val="111111"/>
          <w:sz w:val="28"/>
          <w:sz w:val="28"/>
          <w:szCs w:val="28"/>
          <w:rtl w:val="true"/>
          <w:lang w:bidi="ar-SA"/>
        </w:rPr>
        <w:t>،فإنّ كلّ من حكاه إنّما حكاه مرتّبا،و هو مفسّر لما في كتاب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توضّأ مرتّبا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وضوء لا يقبل اللّه الصّلاة إلاّ به</w:t>
      </w:r>
      <w:r>
        <w:rPr>
          <w:rFonts w:eastAsia="Amiri" w:cs="Amiri" w:ascii="Amiri" w:hAnsi="Amiri"/>
          <w:color w:val="111111"/>
          <w:sz w:val="28"/>
          <w:szCs w:val="28"/>
          <w:rtl w:val="true"/>
          <w:lang w:bidi="ar-SA"/>
        </w:rPr>
        <w:t xml:space="preserve">) </w:t>
      </w:r>
      <w:r>
        <w:rPr>
          <w:rStyle w:val="FootnoteAnchor"/>
          <w:rtl w:val="true"/>
        </w:rPr>
        <w:footnoteReference w:id="578"/>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بمثله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لأنّ الصّحابة رتّبوا،فإنّ عليّا عليه السّلام نقل عنه التّرتيب </w:t>
      </w:r>
      <w:r>
        <w:rPr>
          <w:rStyle w:val="FootnoteAnchor"/>
          <w:rtl w:val="true"/>
        </w:rPr>
        <w:footnoteReference w:id="579"/>
      </w:r>
      <w:r>
        <w:rPr>
          <w:rFonts w:ascii="Amiri" w:hAnsi="Amiri" w:eastAsia="Amiri" w:cs="Amiri"/>
          <w:color w:val="111111"/>
          <w:sz w:val="28"/>
          <w:sz w:val="28"/>
          <w:szCs w:val="28"/>
          <w:rtl w:val="true"/>
          <w:lang w:bidi="ar-SA"/>
        </w:rPr>
        <w:t>و لم ينكر عليه،فكان إجماعا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روى أحمد،عن جرير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قابوس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أبيه انّ عليّا عليه السّلام سئل فقيل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أحدنا يستعجل فيغسل شيئا قبل شيء؟قال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حتّى يكون كما أمر اللّه تعالى</w:t>
      </w:r>
      <w:r>
        <w:rPr>
          <w:rFonts w:eastAsia="Amiri" w:cs="Amiri" w:ascii="Amiri" w:hAnsi="Amiri"/>
          <w:color w:val="111111"/>
          <w:sz w:val="28"/>
          <w:szCs w:val="28"/>
          <w:rtl w:val="true"/>
          <w:lang w:bidi="ar-SA"/>
        </w:rPr>
        <w:t xml:space="preserve">) </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طريق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 في الصّحيح،عن زرارة،قال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حكى لنا أبو جعفر عليه السّلام وضوء رسول اللّه صلّى اللّه عليه و آله،فدعا بقدح من ماء،فأدخل يده اليمنى،فأخذ كفّا من ماء،فأسدلها على وجهه من أعلى الوجه،ثمَّ مسح بيده الجانبين جميعا،ثمَّ أعاد اليسرى في الإناء،فأسدلها على اليمنى،ثمَّ مسح جوانبها،ثمَّ أعاد اليمنى في الإناء،ثمَّ صبّها على اليسرى فصنع بها كما صنع باليمنى،ثمَّ مسح ببقيّة ما بقي في يديه رأسه و رجليه و لم يعدها في الإناء </w:t>
      </w:r>
      <w:r>
        <w:rPr>
          <w:rStyle w:val="FootnoteAnchor"/>
          <w:rtl w:val="true"/>
        </w:rPr>
        <w:footnoteReference w:id="58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يقتضي التّرتيب</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في الصّحيح،عن زرارة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تابع بين الوضوء كما قال اللّه عزّ و جلّ،ابدأ بالوجه،ثمَّ باليدين ثمَّ امسح الرّأس و الرّجلين،و لا تقدّمنّ شيئا بين يدي شيء تخالف ما أمرت به،فإن غسلت الذّراع قبل الوجه فابدأ بالوجه و أعد على الذّراع،و إن مسحت الرّجل قبل الرّأس فامسح على الرأس قبل الرّجل،ثمَّ أعد على الرّجل،ابدأ بما بدأ اللّه عزّ و جلّ به</w:t>
      </w:r>
      <w:r>
        <w:rPr>
          <w:rFonts w:eastAsia="Amiri" w:cs="Amiri" w:ascii="Amiri" w:hAnsi="Amiri"/>
          <w:color w:val="111111"/>
          <w:sz w:val="28"/>
          <w:szCs w:val="28"/>
          <w:rtl w:val="true"/>
          <w:lang w:bidi="ar-SA"/>
        </w:rPr>
        <w:t xml:space="preserve">» </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روى في الصّحيح،عن زرارة،قال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أحدهما عليهما السّلام عن رجل بدأ بيده قبل وجهه و برجليه قبل يديه،قال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يبدأ بما بدأ اللّه به و ليعد ما كان</w:t>
      </w:r>
      <w:r>
        <w:rPr>
          <w:rFonts w:eastAsia="Amiri" w:cs="Amiri" w:ascii="Amiri" w:hAnsi="Amiri"/>
          <w:color w:val="111111"/>
          <w:sz w:val="28"/>
          <w:szCs w:val="28"/>
          <w:rtl w:val="true"/>
          <w:lang w:bidi="ar-SA"/>
        </w:rPr>
        <w:t xml:space="preserve">» </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منصور بن حازم،عن أبي عبد اللّه عليه السّلام في الرّجل يتوضّأ فيبدأ بالشّمال قبل اليمين،قال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يغسل اليمين و يعيد اليسار</w:t>
      </w:r>
      <w:r>
        <w:rPr>
          <w:rFonts w:eastAsia="Amiri" w:cs="Amiri" w:ascii="Amiri" w:hAnsi="Amiri"/>
          <w:color w:val="111111"/>
          <w:sz w:val="28"/>
          <w:szCs w:val="28"/>
          <w:rtl w:val="true"/>
          <w:lang w:bidi="ar-SA"/>
        </w:rPr>
        <w:t xml:space="preserve">» </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يعارض هذا ما رواه الشّيخ في الصّحيح،عن عليّ بن جعفر،عن أخيه موسى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رجل توضّأ و نسي غسل يساره،فقال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يغسل يساره وحدها و لا يعيد وضوء شيء غيرها</w:t>
      </w:r>
      <w:r>
        <w:rPr>
          <w:rFonts w:eastAsia="Amiri" w:cs="Amiri" w:ascii="Amiri" w:hAnsi="Amiri"/>
          <w:color w:val="111111"/>
          <w:sz w:val="28"/>
          <w:szCs w:val="28"/>
          <w:rtl w:val="true"/>
          <w:lang w:bidi="ar-SA"/>
        </w:rPr>
        <w:t xml:space="preserve">» </w:t>
      </w:r>
      <w:r>
        <w:rPr>
          <w:rStyle w:val="FootnoteAnchor"/>
          <w:rtl w:val="true"/>
        </w:rPr>
        <w:footnoteReference w:id="585"/>
      </w:r>
      <w:r>
        <w:rPr>
          <w:rFonts w:ascii="Amiri" w:hAnsi="Amiri" w:eastAsia="Amiri" w:cs="Amiri"/>
          <w:color w:val="111111"/>
          <w:sz w:val="28"/>
          <w:sz w:val="28"/>
          <w:szCs w:val="28"/>
          <w:rtl w:val="true"/>
          <w:lang w:bidi="ar-SA"/>
        </w:rPr>
        <w:t>فلو كان التّرتيب واجبا لما جاز الاقتصار على غسل اليسار خاصّة</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الملازمة ممنوعة،و بيانه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اليسار آخر الأعضاء فلا يجب غسل شيء غيرها،و لم يتعرّض الإمام عليه السّلام لعدم وجوب إعادة المسح،تعويلا على ما عرف منهم </w:t>
      </w:r>
      <w:r>
        <w:rPr>
          <w:rStyle w:val="FootnoteAnchor"/>
          <w:rtl w:val="true"/>
        </w:rPr>
        <w:footnoteReference w:id="586"/>
      </w:r>
      <w:r>
        <w:rPr>
          <w:rFonts w:ascii="Amiri" w:hAnsi="Amiri" w:eastAsia="Amiri" w:cs="Amiri"/>
          <w:color w:val="111111"/>
          <w:sz w:val="28"/>
          <w:sz w:val="28"/>
          <w:szCs w:val="28"/>
          <w:rtl w:val="true"/>
          <w:lang w:bidi="ar-SA"/>
        </w:rPr>
        <w:t>عليهم السّلام،و يدلّ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 في الحسن،عن الحلبيّ،عن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نسي الرّجل أن يغسل يمينه فغسل شماله و مسح رأسه و رجليه فذكر بعد ذلك غسل يمينه و شماله و مسح رأسه و رجليه و إن كان إنّما نسي شماله،فليغسل الشّمال و لا يعيد على ما كان توضّأ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اتبع وضوءك بعضه بعضا</w:t>
      </w:r>
      <w:r>
        <w:rPr>
          <w:rFonts w:eastAsia="Amiri" w:cs="Amiri" w:ascii="Amiri" w:hAnsi="Amiri"/>
          <w:color w:val="111111"/>
          <w:sz w:val="28"/>
          <w:szCs w:val="28"/>
          <w:rtl w:val="true"/>
          <w:lang w:bidi="ar-SA"/>
        </w:rPr>
        <w:t xml:space="preserve">» </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الوضوء عبادة يبطلها الحدث،فيجب فيها التّرتيب كالصّلاة </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فهي عبادة يرتبط بعضها ببعض،يفسد أوّلها بفساد آخرها،فيجب فيه التّرتيب كالصّلاة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فهي عبادة ترجع إلى شطرها حال العذر،فيجب فيها التّرتيب كالصّلاة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فهي عبادة تجمع أفعالا مختلفة الصّفة مرادة للصّلاة و متقدّمة عليها،فلا يعتدّ بها مع عدم التّرتيب كالأذان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احتجّ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حنيفة بأنّه تعالى أمر بالطّهارة،و عطف بالواو،و هي لا تقتضي التّرتيب </w:t>
      </w:r>
      <w:r>
        <w:rPr>
          <w:rStyle w:val="FootnoteAnchor"/>
          <w:rtl w:val="true"/>
        </w:rPr>
        <w:footnoteReference w:id="589"/>
      </w:r>
      <w:r>
        <w:rPr>
          <w:rFonts w:ascii="Amiri" w:hAnsi="Amiri" w:eastAsia="Amiri" w:cs="Amiri"/>
          <w:color w:val="111111"/>
          <w:sz w:val="28"/>
          <w:sz w:val="28"/>
          <w:szCs w:val="28"/>
          <w:rtl w:val="true"/>
          <w:lang w:bidi="ar-SA"/>
        </w:rPr>
        <w:t>،فلو شرطناه كان نسخا،و بما روي،عن عليّ عليه السّلام انّه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أبالي بأيّ أعضائي بدأت</w:t>
      </w:r>
      <w:r>
        <w:rPr>
          <w:rFonts w:eastAsia="Amiri" w:cs="Amiri" w:ascii="Amiri" w:hAnsi="Amiri"/>
          <w:color w:val="111111"/>
          <w:sz w:val="28"/>
          <w:szCs w:val="28"/>
          <w:rtl w:val="true"/>
          <w:lang w:bidi="ar-SA"/>
        </w:rPr>
        <w:t xml:space="preserve">) </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ابن مسعود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بأس أن تبدأ برجليك قبل يديك في الوضوء </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الجواب عن الأوّل،بالمنع من كون الواو لا تقتضي التّرتيب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بيّنّاه </w:t>
      </w:r>
      <w:r>
        <w:rPr>
          <w:rStyle w:val="FootnoteAnchor"/>
          <w:rtl w:val="true"/>
        </w:rPr>
        <w:footnoteReference w:id="5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سلّمنا،لكنّ النّسخ إنّما يلزم لو قلنا انّها تقتضي عدم التّرتيب،أمّا إذا قلنا انّها لا تقتضي التّرتيب لم يكن منافيا لوجوب التّرتيب بدليل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الزّيادة على النّصّ نسخ،قلنا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ممنوع</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معارض بما روي،عن عليّ عليه السّلام من وجوب التّرتيب </w:t>
      </w:r>
      <w:r>
        <w:rPr>
          <w:rStyle w:val="FootnoteAnchor"/>
          <w:rtl w:val="true"/>
        </w:rPr>
        <w:footnoteReference w:id="593"/>
      </w:r>
      <w:r>
        <w:rPr>
          <w:rFonts w:ascii="Amiri" w:hAnsi="Amiri" w:eastAsia="Amiri" w:cs="Amiri"/>
          <w:color w:val="111111"/>
          <w:sz w:val="28"/>
          <w:sz w:val="28"/>
          <w:szCs w:val="28"/>
          <w:rtl w:val="true"/>
          <w:lang w:bidi="ar-SA"/>
        </w:rPr>
        <w:t>،و حديث ابن مسعود قال علماء الجمهور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يعرف له أصل </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 xml:space="preserve">. </w:t>
      </w:r>
      <w:bookmarkStart w:id="338" w:name="pg12669_112901"/>
    </w:p>
    <w:p>
      <w:pPr>
        <w:pStyle w:val="BookText"/>
        <w:rPr/>
      </w:pPr>
      <w:bookmarkEnd w:id="338"/>
      <w:r>
        <w:rPr>
          <w:rFonts w:ascii="Amiri" w:hAnsi="Amiri" w:eastAsia="Amiri" w:cs="Amiri"/>
          <w:color w:val="111111"/>
          <w:sz w:val="28"/>
          <w:sz w:val="28"/>
          <w:szCs w:val="28"/>
          <w:rtl w:val="true"/>
          <w:lang w:bidi="ar-SA"/>
        </w:rPr>
        <w:t>برهان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شيء من الوضوء غير المرتّب بواجب،و كلّما يؤدّي به الواجب فهو واجب،فلا شيء من الوضوء غير المرتّب يؤدّي به الواجب،و الصّغرى مسلّمة،و بيان الكبرى انّه به يحصل مصلحة الواجب،و كلّما يحصل به مصلحة الواجب فهو 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الصّغرى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لو لم يكن كذلك لكان حراما،قياسا على التّرك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الكبرى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فلأنّه لو لم يكن واجبا لزم التّرجيح من غير مرجّح،ضرورة استدعاء الحكم الحكمة الموجبة له،فلو اشتمل ما ليس بواجب عليها،كان اختصاص الواجب بالوجوب ترجيحا من غير مرجّح</w:t>
      </w:r>
      <w:r>
        <w:rPr>
          <w:rFonts w:eastAsia="Amiri" w:cs="Amiri" w:ascii="Amiri" w:hAnsi="Amiri"/>
          <w:color w:val="111111"/>
          <w:sz w:val="28"/>
          <w:szCs w:val="28"/>
          <w:rtl w:val="true"/>
          <w:lang w:bidi="ar-SA"/>
        </w:rPr>
        <w:t>.</w:t>
      </w:r>
    </w:p>
    <w:p>
      <w:pPr>
        <w:pStyle w:val="Heading4"/>
        <w:numPr>
          <w:ilvl w:val="3"/>
          <w:numId w:val="1"/>
        </w:numPr>
        <w:rPr/>
      </w:pPr>
      <w:bookmarkStart w:id="339" w:name="__RefHeading___Toc795399_222507752"/>
      <w:bookmarkStart w:id="340" w:name="_Toc139"/>
      <w:bookmarkEnd w:id="339"/>
      <w:r>
        <w:rPr>
          <w:rtl w:val="true"/>
        </w:rPr>
        <w:t>فروع</w:t>
      </w:r>
      <w:r>
        <w:rPr>
          <w:rtl w:val="true"/>
        </w:rPr>
        <w:t>:</w:t>
      </w:r>
      <w:bookmarkEnd w:id="340"/>
    </w:p>
    <w:p>
      <w:pPr>
        <w:pStyle w:val="Heading5"/>
        <w:numPr>
          <w:ilvl w:val="4"/>
          <w:numId w:val="1"/>
        </w:numPr>
        <w:rPr/>
      </w:pPr>
      <w:bookmarkStart w:id="341" w:name="__RefHeading___Toc795401_222507752"/>
      <w:bookmarkStart w:id="342" w:name="_Toc140"/>
      <w:bookmarkEnd w:id="341"/>
      <w:r>
        <w:rPr>
          <w:rtl w:val="true"/>
        </w:rPr>
        <w:t>الأوّل</w:t>
      </w:r>
      <w:r>
        <w:rPr>
          <w:rtl w:val="true"/>
        </w:rPr>
        <w:t>:</w:t>
      </w:r>
      <w:r>
        <w:rPr>
          <w:rtl w:val="true"/>
        </w:rPr>
        <w:t>يجب أن يبدأ بوجهه،ثمَّ بيده اليمنى،ثمَّ اليسرى،ثمَّ يمسح الرّأس</w:t>
      </w:r>
      <w:bookmarkEnd w:id="342"/>
    </w:p>
    <w:p>
      <w:pPr>
        <w:pStyle w:val="BookText"/>
        <w:rPr/>
      </w:pPr>
      <w:r>
        <w:rPr>
          <w:rFonts w:ascii="Amiri" w:hAnsi="Amiri" w:eastAsia="Amiri" w:cs="Amiri"/>
          <w:color w:val="111111"/>
          <w:sz w:val="28"/>
          <w:sz w:val="28"/>
          <w:szCs w:val="28"/>
          <w:rtl w:val="true"/>
          <w:lang w:bidi="ar-SA"/>
        </w:rPr>
        <w:t>ثمَّ،يمسح الرّجلين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هل يجب تقديم اليمنى من الرّجلين في المسح أم يسقط التّرتيب؟ فيه قولان </w:t>
      </w:r>
      <w:r>
        <w:rPr>
          <w:rStyle w:val="FootnoteAnchor"/>
          <w:rtl w:val="true"/>
        </w:rPr>
        <w:footnoteReference w:id="595"/>
      </w:r>
      <w:r>
        <w:rPr>
          <w:rFonts w:ascii="Amiri" w:hAnsi="Amiri" w:eastAsia="Amiri" w:cs="Amiri"/>
          <w:color w:val="111111"/>
          <w:sz w:val="28"/>
          <w:sz w:val="28"/>
          <w:szCs w:val="28"/>
          <w:rtl w:val="true"/>
          <w:lang w:bidi="ar-SA"/>
        </w:rPr>
        <w:t>،أشبههما السّقوط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وجوب تقديم الوجه فقد مضى </w:t>
      </w:r>
      <w:r>
        <w:rPr>
          <w:rStyle w:val="FootnoteAnchor"/>
          <w:rtl w:val="true"/>
        </w:rPr>
        <w:footnoteReference w:id="59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أمّا التّرتيب في اليدين فهو قول علمائنا خاصّة،لأنّ الموجبين للتّرتيب أسقطوا التّرتيب بينهما، لأنّهما كالعضو الواحد فسقط فيه التّرتيب كالأصابع،و لقوله تعالى وَ أَيْدِيَكُمْ </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قدّمناه من الأحاديث الدّالّة على وجوب التّرتيب فيهما </w:t>
      </w:r>
      <w:r>
        <w:rPr>
          <w:rStyle w:val="FootnoteAnchor"/>
          <w:rtl w:val="true"/>
        </w:rPr>
        <w:footnoteReference w:id="597"/>
      </w:r>
      <w:r>
        <w:rPr>
          <w:rFonts w:ascii="Amiri" w:hAnsi="Amiri" w:eastAsia="Amiri" w:cs="Amiri"/>
          <w:color w:val="111111"/>
          <w:sz w:val="28"/>
          <w:sz w:val="28"/>
          <w:szCs w:val="28"/>
          <w:rtl w:val="true"/>
          <w:lang w:bidi="ar-SA"/>
        </w:rPr>
        <w:t>،و قياسهم باطل حينئذ،و الآية لا تنافي الأدلّة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الرّجلان فلم نجد حديثا يدلّ على التّرتيب فيهما، و حملهما على اليدين قياس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نعم،يستحبّ تقديم اليمنى على اليسرى لقوله عليه السّلام</w:t>
      </w:r>
      <w:r>
        <w:rPr>
          <w:rFonts w:eastAsia="Amiri" w:cs="Amiri" w:ascii="Amiri" w:hAnsi="Amiri"/>
          <w:color w:val="111111"/>
          <w:sz w:val="28"/>
          <w:szCs w:val="28"/>
          <w:rtl w:val="true"/>
          <w:lang w:bidi="ar-SA"/>
        </w:rPr>
        <w:t xml:space="preserve">: </w:t>
      </w:r>
      <w:bookmarkStart w:id="343" w:name="pg12669_112902"/>
    </w:p>
    <w:p>
      <w:pPr>
        <w:pStyle w:val="BookText"/>
        <w:rPr/>
      </w:pPr>
      <w:bookmarkEnd w:id="34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يحبّ التّيامن</w:t>
      </w:r>
      <w:r>
        <w:rPr>
          <w:rFonts w:eastAsia="Amiri" w:cs="Amiri" w:ascii="Amiri" w:hAnsi="Amiri"/>
          <w:color w:val="111111"/>
          <w:sz w:val="28"/>
          <w:szCs w:val="28"/>
          <w:rtl w:val="true"/>
          <w:lang w:bidi="ar-SA"/>
        </w:rPr>
        <w:t xml:space="preserve">) </w:t>
      </w:r>
      <w:r>
        <w:rPr>
          <w:rStyle w:val="FootnoteAnchor"/>
          <w:rtl w:val="true"/>
        </w:rPr>
        <w:footnoteReference w:id="598"/>
      </w:r>
      <w:r>
        <w:rPr>
          <w:rFonts w:ascii="Amiri" w:hAnsi="Amiri" w:eastAsia="Amiri" w:cs="Amiri"/>
          <w:color w:val="111111"/>
          <w:sz w:val="28"/>
          <w:sz w:val="28"/>
          <w:szCs w:val="28"/>
          <w:rtl w:val="true"/>
          <w:lang w:bidi="ar-SA"/>
        </w:rPr>
        <w:t>و لأنّ القرآن قال وَ أَرْجُلَكُمْ و لم يرتّب،و الأصل عدمه</w:t>
      </w:r>
      <w:r>
        <w:rPr>
          <w:rFonts w:eastAsia="Amiri" w:cs="Amiri" w:ascii="Amiri" w:hAnsi="Amiri"/>
          <w:color w:val="111111"/>
          <w:sz w:val="28"/>
          <w:szCs w:val="28"/>
          <w:rtl w:val="true"/>
          <w:lang w:bidi="ar-SA"/>
        </w:rPr>
        <w:t>.</w:t>
      </w:r>
    </w:p>
    <w:p>
      <w:pPr>
        <w:pStyle w:val="Heading5"/>
        <w:numPr>
          <w:ilvl w:val="4"/>
          <w:numId w:val="1"/>
        </w:numPr>
        <w:rPr/>
      </w:pPr>
      <w:bookmarkStart w:id="344" w:name="__RefHeading___Toc795403_222507752"/>
      <w:bookmarkStart w:id="345" w:name="_Toc141"/>
      <w:bookmarkEnd w:id="344"/>
      <w:r>
        <w:rPr>
          <w:rtl w:val="true"/>
        </w:rPr>
        <w:t>الثّاني</w:t>
      </w:r>
      <w:r>
        <w:rPr>
          <w:rtl w:val="true"/>
        </w:rPr>
        <w:t>:</w:t>
      </w:r>
      <w:r>
        <w:rPr>
          <w:rtl w:val="true"/>
        </w:rPr>
        <w:t>لو نكس وضوءه صحّ غسل الوجه</w:t>
      </w:r>
      <w:bookmarkEnd w:id="345"/>
    </w:p>
    <w:p>
      <w:pPr>
        <w:pStyle w:val="BookText"/>
        <w:rPr/>
      </w:pPr>
      <w:r>
        <w:rPr>
          <w:rFonts w:ascii="Amiri" w:hAnsi="Amiri" w:eastAsia="Amiri" w:cs="Amiri"/>
          <w:color w:val="111111"/>
          <w:sz w:val="28"/>
          <w:sz w:val="28"/>
          <w:szCs w:val="28"/>
          <w:rtl w:val="true"/>
          <w:lang w:bidi="ar-SA"/>
        </w:rPr>
        <w:t>إنّ استصحب ذكر النّيّة بالفعل عنده، و لا يكفيه الاستمرار حكما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نعم،لو نوى عند غسل الكفّين أو عند المضمضة،فالأقرب الاكتفاء باستصحاب الحكم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نكس ثانيا مع بقاء النّدى،حصل له غسل الوجه و اليمنى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نكس ثالثا معه،حصل باليسرى و هكذا إلى آخره ما دامت الرّطوبة موجودة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غسل أعضاءه دفعة حصل بالوجه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كان في الماء الجاري و تواردت عليه جريات ثلاث،حصل بالأعضاء المغسولة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نوى الطّهارة ثمَّ انغمس في ماء واقف دفعة،حصل بغسل الوجه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أخرج أعضاءه مرتّبا،حصل بالأعضاء المغسولة و افتقر إلى المسح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لم يرتّب في الإخراج،حصل بالوجه وقت النّزول و باليمنى وقت الإخراج</w:t>
      </w:r>
      <w:r>
        <w:rPr>
          <w:rFonts w:eastAsia="Amiri" w:cs="Amiri" w:ascii="Amiri" w:hAnsi="Amiri"/>
          <w:color w:val="111111"/>
          <w:sz w:val="28"/>
          <w:szCs w:val="28"/>
          <w:rtl w:val="true"/>
          <w:lang w:bidi="ar-SA"/>
        </w:rPr>
        <w:t>.</w:t>
      </w:r>
    </w:p>
    <w:p>
      <w:pPr>
        <w:pStyle w:val="Heading5"/>
        <w:numPr>
          <w:ilvl w:val="4"/>
          <w:numId w:val="1"/>
        </w:numPr>
        <w:rPr/>
      </w:pPr>
      <w:bookmarkStart w:id="346" w:name="__RefHeading___Toc795405_222507752"/>
      <w:bookmarkStart w:id="347" w:name="_Toc142"/>
      <w:bookmarkEnd w:id="346"/>
      <w:r>
        <w:rPr>
          <w:rtl w:val="true"/>
        </w:rPr>
        <w:t>الثّالث</w:t>
      </w:r>
      <w:r>
        <w:rPr>
          <w:rtl w:val="true"/>
        </w:rPr>
        <w:t>:</w:t>
      </w:r>
      <w:r>
        <w:rPr>
          <w:rtl w:val="true"/>
        </w:rPr>
        <w:t>يستحبّ البدأة بالاستنجاء قبل الوضوء</w:t>
      </w:r>
      <w:bookmarkEnd w:id="347"/>
    </w:p>
    <w:p>
      <w:pPr>
        <w:pStyle w:val="BookText"/>
        <w:rPr/>
      </w:pPr>
      <w:r>
        <w:rPr>
          <w:rFonts w:ascii="Amiri" w:hAnsi="Amiri" w:eastAsia="Amiri" w:cs="Amiri"/>
          <w:color w:val="111111"/>
          <w:sz w:val="28"/>
          <w:sz w:val="28"/>
          <w:szCs w:val="28"/>
          <w:rtl w:val="true"/>
          <w:lang w:bidi="ar-SA"/>
        </w:rPr>
        <w:t>لا أنّه واجب،لما رواه الشّيخ في الصّحيح،عن ابن أذينة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أبو مريم الأنصاريّ انّ الحكم بن عتيبة بال يوما و لم يغسل ذكره متعمّدا،فقال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بئس ما صنع،عليه أن يغسل ذكره و يعيد صلاته و لا يعيد وضوءه</w:t>
      </w:r>
      <w:r>
        <w:rPr>
          <w:rFonts w:eastAsia="Amiri" w:cs="Amiri" w:ascii="Amiri" w:hAnsi="Amiri"/>
          <w:color w:val="111111"/>
          <w:sz w:val="28"/>
          <w:szCs w:val="28"/>
          <w:rtl w:val="true"/>
          <w:lang w:bidi="ar-SA"/>
        </w:rPr>
        <w:t xml:space="preserve">» </w:t>
      </w:r>
      <w:r>
        <w:rPr>
          <w:rStyle w:val="FootnoteAnchor"/>
          <w:rtl w:val="true"/>
        </w:rPr>
        <w:footnoteReference w:id="59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48" w:name="__RefHeading___Toc795407_222507752"/>
      <w:bookmarkStart w:id="349" w:name="_Toc143"/>
      <w:bookmarkEnd w:id="348"/>
      <w:r>
        <w:rPr>
          <w:rtl w:val="true"/>
        </w:rPr>
        <w:t>الرّابع</w:t>
      </w:r>
      <w:r>
        <w:rPr>
          <w:rtl w:val="true"/>
        </w:rPr>
        <w:t>:</w:t>
      </w:r>
      <w:r>
        <w:rPr>
          <w:rtl w:val="true"/>
        </w:rPr>
        <w:t>لو وضّأه أربعة لعذر دفعة لم يجزئه</w:t>
      </w:r>
      <w:bookmarkEnd w:id="349"/>
    </w:p>
    <w:p>
      <w:pPr>
        <w:pStyle w:val="BookText"/>
        <w:rPr/>
      </w:pPr>
      <w:r>
        <w:rPr>
          <w:rFonts w:ascii="Amiri" w:hAnsi="Amiri" w:eastAsia="Amiri" w:cs="Amiri"/>
          <w:color w:val="111111"/>
          <w:sz w:val="28"/>
          <w:sz w:val="28"/>
          <w:szCs w:val="28"/>
          <w:rtl w:val="true"/>
          <w:lang w:bidi="ar-SA"/>
        </w:rPr>
        <w:t>،لعدم التّرتيب</w:t>
      </w:r>
      <w:r>
        <w:rPr>
          <w:rFonts w:eastAsia="Amiri" w:cs="Amiri" w:ascii="Amiri" w:hAnsi="Amiri"/>
          <w:color w:val="111111"/>
          <w:sz w:val="28"/>
          <w:szCs w:val="28"/>
          <w:rtl w:val="true"/>
          <w:lang w:bidi="ar-SA"/>
        </w:rPr>
        <w:t>.</w:t>
      </w:r>
    </w:p>
    <w:p>
      <w:pPr>
        <w:pStyle w:val="Heading5"/>
        <w:numPr>
          <w:ilvl w:val="4"/>
          <w:numId w:val="1"/>
        </w:numPr>
        <w:rPr/>
      </w:pPr>
      <w:bookmarkStart w:id="350" w:name="__RefHeading___Toc795409_222507752"/>
      <w:bookmarkStart w:id="351" w:name="_Toc144"/>
      <w:bookmarkEnd w:id="350"/>
      <w:r>
        <w:rPr>
          <w:rtl w:val="true"/>
        </w:rPr>
        <w:t>الخامس</w:t>
      </w:r>
      <w:r>
        <w:rPr>
          <w:rtl w:val="true"/>
        </w:rPr>
        <w:t>:</w:t>
      </w:r>
      <w:r>
        <w:rPr>
          <w:rtl w:val="true"/>
        </w:rPr>
        <w:t>لو انغمس المحدث و لم يرتّب و نوى الطّهارة لم يجزئه</w:t>
      </w:r>
      <w:bookmarkEnd w:id="351"/>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،لعدم التّرتيب، و هو أحد وجهي الشّافعيّ،و في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يجزئه،لأنّ الغسل يجزي عن الحدثين،و إن لم يرتّب فإجزاؤه عن الأصغر أولى </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 xml:space="preserve">. </w:t>
      </w:r>
      <w:bookmarkStart w:id="352" w:name="pg12669_112903"/>
    </w:p>
    <w:p>
      <w:pPr>
        <w:pStyle w:val="BookText"/>
        <w:rPr/>
      </w:pPr>
      <w:bookmarkEnd w:id="352"/>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الجنب المحدث يسقط فرض حدثه مع الجنابة،فيكون الحكم لها</w:t>
      </w:r>
      <w:r>
        <w:rPr>
          <w:rFonts w:eastAsia="Amiri" w:cs="Amiri" w:ascii="Amiri" w:hAnsi="Amiri"/>
          <w:color w:val="111111"/>
          <w:sz w:val="28"/>
          <w:szCs w:val="28"/>
          <w:rtl w:val="true"/>
          <w:lang w:bidi="ar-SA"/>
        </w:rPr>
        <w:t>.</w:t>
      </w:r>
    </w:p>
    <w:p>
      <w:pPr>
        <w:pStyle w:val="Heading4"/>
        <w:numPr>
          <w:ilvl w:val="3"/>
          <w:numId w:val="1"/>
        </w:numPr>
        <w:rPr/>
      </w:pPr>
      <w:bookmarkStart w:id="353" w:name="__RefHeading___Toc795411_222507752"/>
      <w:bookmarkStart w:id="354" w:name="_Toc145"/>
      <w:bookmarkEnd w:id="353"/>
      <w:r>
        <w:rPr>
          <w:rtl w:val="true"/>
        </w:rPr>
        <w:t>أصل</w:t>
      </w:r>
      <w:r>
        <w:rPr>
          <w:rtl w:val="true"/>
        </w:rPr>
        <w:t>:</w:t>
      </w:r>
      <w:r>
        <w:rPr>
          <w:rtl w:val="true"/>
        </w:rPr>
        <w:t>اعلم انّ النّاس اختلفوا في انّ الزّيادة على النّصّ هل هي نسخ أم لا</w:t>
      </w:r>
      <w:bookmarkEnd w:id="354"/>
    </w:p>
    <w:p>
      <w:pPr>
        <w:pStyle w:val="BookText"/>
        <w:rPr/>
      </w:pPr>
      <w:r>
        <w:rPr>
          <w:rFonts w:ascii="Amiri" w:hAnsi="Amiri" w:eastAsia="Amiri" w:cs="Amiri"/>
          <w:color w:val="111111"/>
          <w:sz w:val="28"/>
          <w:sz w:val="28"/>
          <w:szCs w:val="28"/>
          <w:rtl w:val="true"/>
          <w:lang w:bidi="ar-SA"/>
        </w:rPr>
        <w:t>،مع اتّفاقهم على انّ زيادة عبادة أو صلاة على العبادات و الصّلوات لا تكون نسخا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الشّافعيّ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تكون نسخا </w:t>
      </w:r>
      <w:r>
        <w:rPr>
          <w:rStyle w:val="FootnoteAnchor"/>
          <w:rtl w:val="true"/>
        </w:rPr>
        <w:footnoteReference w:id="60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أبو حنيفة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تكون نسخا </w:t>
      </w:r>
      <w:r>
        <w:rPr>
          <w:rStyle w:val="FootnoteAnchor"/>
          <w:rtl w:val="true"/>
        </w:rPr>
        <w:footnoteReference w:id="6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الحقّ عندي ما ذكره أبو الحسين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النّظر في هذه المسألة يتعلّق بأمور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الزّيادة على النّصّ هل تقتضي زوال أمر أم لا؟و الحقّ أنّها تقتضيه، لأنّ إثبات كلّ شيء لا أقلّ من أن يقتضي زوال عدمه الّذي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هذه الإزالة هل تسمّى نسخا؟و الحقّ انّ الّذي يزول بسبب هذه الزّيادة إن كان حكما شرعيّا و كانت الزّيادة متراخية عنه،سمّيت تلك الإزالة نسخا، و إن كان حكما عقليّا و هو البراءة الأصليّة،لم تسمّ تلك الإزالة نسخا</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ثالثها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تجوز الزّيادة على النّصّ بخبر الواحد و القياس أم لا؟و الحق انّه إن كان الزّائد حكم العقل و هو البراءة الأصليّة،جاز ذلك،إلاّ أن يمنع مانع خارجيّ، كما إذا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خبر الواحد لا يكون حجّة فيما يمعّ به البلوى،و القياس غير حجّة في الكفّارات و الحدود،إلاّ انّ هذه الموانع لا تعلّق لها بالنّسخ من حيث هو نسخ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أمّا إن كان الحكم الزّائد شرعيّا فلينظر في دليل الزّيادة،فإن كان بحيث يجوز أن يكون ناسخا </w:t>
      </w:r>
      <w:bookmarkStart w:id="355" w:name="pg12669_112904"/>
    </w:p>
    <w:p>
      <w:pPr>
        <w:pStyle w:val="BookText"/>
        <w:rPr/>
      </w:pPr>
      <w:bookmarkEnd w:id="355"/>
      <w:r>
        <w:rPr>
          <w:rFonts w:ascii="Amiri" w:hAnsi="Amiri" w:eastAsia="Amiri" w:cs="Amiri"/>
          <w:color w:val="111111"/>
          <w:sz w:val="28"/>
          <w:sz w:val="28"/>
          <w:szCs w:val="28"/>
          <w:rtl w:val="true"/>
          <w:lang w:bidi="ar-SA"/>
        </w:rPr>
        <w:t xml:space="preserve">لدليل الحكم الزائل،جاز إثبات الزّيادة و إلاّ فلا </w:t>
      </w:r>
      <w:r>
        <w:rPr>
          <w:rStyle w:val="FootnoteAnchor"/>
          <w:rtl w:val="true"/>
        </w:rPr>
        <w:footnoteReference w:id="60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56" w:name="__RefHeading___Toc795413_222507752"/>
      <w:bookmarkStart w:id="357" w:name="_Toc146"/>
      <w:bookmarkEnd w:id="356"/>
      <w:r>
        <w:rPr>
          <w:rtl w:val="true"/>
        </w:rPr>
        <w:t>مسألة</w:t>
      </w:r>
      <w:r>
        <w:rPr>
          <w:rtl w:val="true"/>
        </w:rPr>
        <w:t>:</w:t>
      </w:r>
      <w:r>
        <w:rPr>
          <w:rtl w:val="true"/>
        </w:rPr>
        <w:t>قال علماؤنا</w:t>
      </w:r>
      <w:r>
        <w:rPr>
          <w:rtl w:val="true"/>
        </w:rPr>
        <w:t>:</w:t>
      </w:r>
      <w:r>
        <w:rPr>
          <w:rtl w:val="true"/>
        </w:rPr>
        <w:t>الموالاة شرط</w:t>
      </w:r>
      <w:r>
        <w:rPr>
          <w:rtl w:val="true"/>
        </w:rPr>
        <w:t>.</w:t>
      </w:r>
      <w:bookmarkEnd w:id="357"/>
    </w:p>
    <w:p>
      <w:pPr>
        <w:pStyle w:val="Heading4"/>
        <w:numPr>
          <w:ilvl w:val="3"/>
          <w:numId w:val="1"/>
        </w:numPr>
        <w:rPr/>
      </w:pPr>
      <w:bookmarkStart w:id="358" w:name="__RefHeading___Toc795415_222507752"/>
      <w:bookmarkStart w:id="359" w:name="_Toc147"/>
      <w:bookmarkEnd w:id="358"/>
      <w:r>
        <w:rPr>
          <w:rtl w:val="true"/>
        </w:rPr>
        <w:t>اشارة</w:t>
      </w:r>
      <w:bookmarkEnd w:id="359"/>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هو قول مالك </w:t>
      </w:r>
      <w:r>
        <w:rPr>
          <w:rStyle w:val="FootnoteAnchor"/>
          <w:rtl w:val="true"/>
        </w:rPr>
        <w:footnoteReference w:id="604"/>
      </w:r>
      <w:r>
        <w:rPr>
          <w:rFonts w:ascii="Amiri" w:hAnsi="Amiri" w:eastAsia="Amiri" w:cs="Amiri"/>
          <w:color w:val="111111"/>
          <w:sz w:val="28"/>
          <w:sz w:val="28"/>
          <w:szCs w:val="28"/>
          <w:rtl w:val="true"/>
          <w:lang w:bidi="ar-SA"/>
        </w:rPr>
        <w:t xml:space="preserve">،و قتادة،و اللّيث بن سعد </w:t>
      </w:r>
      <w:r>
        <w:rPr>
          <w:rStyle w:val="FootnoteAnchor"/>
          <w:rtl w:val="true"/>
        </w:rPr>
        <w:footnoteReference w:id="605"/>
      </w:r>
      <w:r>
        <w:rPr>
          <w:rFonts w:ascii="IRNazanin" w:hAnsi="IRNazanin" w:eastAsia="IRNazanin"/>
          <w:color w:val="111111"/>
          <w:sz w:val="28"/>
          <w:sz w:val="28"/>
          <w:szCs w:val="28"/>
          <w:rtl w:val="true"/>
          <w:lang w:bidi="fa-IR"/>
        </w:rPr>
        <w:t xml:space="preserve">،و أحمد </w:t>
      </w:r>
      <w:r>
        <w:rPr>
          <w:rStyle w:val="FootnoteAnchor"/>
          <w:rtl w:val="true"/>
        </w:rPr>
        <w:footnoteReference w:id="606"/>
      </w:r>
      <w:r>
        <w:rPr>
          <w:rFonts w:ascii="Amiri" w:hAnsi="Amiri" w:eastAsia="Amiri" w:cs="Amiri"/>
          <w:color w:val="111111"/>
          <w:sz w:val="28"/>
          <w:sz w:val="28"/>
          <w:szCs w:val="28"/>
          <w:rtl w:val="true"/>
          <w:lang w:bidi="ar-SA"/>
        </w:rPr>
        <w:t xml:space="preserve">،و الأوزاعيّ </w:t>
      </w:r>
      <w:r>
        <w:rPr>
          <w:rStyle w:val="FootnoteAnchor"/>
          <w:rtl w:val="true"/>
        </w:rPr>
        <w:footnoteReference w:id="607"/>
      </w:r>
      <w:r>
        <w:rPr>
          <w:rFonts w:ascii="Amiri" w:hAnsi="Amiri" w:eastAsia="Amiri" w:cs="Amiri"/>
          <w:color w:val="111111"/>
          <w:sz w:val="28"/>
          <w:sz w:val="28"/>
          <w:szCs w:val="28"/>
          <w:rtl w:val="true"/>
          <w:lang w:bidi="ar-SA"/>
        </w:rPr>
        <w:t xml:space="preserve">،و أحد قولي الشّافعي </w:t>
      </w:r>
      <w:r>
        <w:rPr>
          <w:rStyle w:val="FootnoteAnchor"/>
          <w:rtl w:val="true"/>
        </w:rPr>
        <w:footnoteReference w:id="60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أبو حنيفة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يجب </w:t>
      </w:r>
      <w:r>
        <w:rPr>
          <w:rStyle w:val="FootnoteAnchor"/>
          <w:rtl w:val="true"/>
        </w:rPr>
        <w:footnoteReference w:id="60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قول الشّافعيّ في الجديد </w:t>
      </w:r>
      <w:r>
        <w:rPr>
          <w:rStyle w:val="FootnoteAnchor"/>
          <w:rtl w:val="true"/>
        </w:rPr>
        <w:footnoteReference w:id="610"/>
      </w:r>
      <w:r>
        <w:rPr>
          <w:rFonts w:ascii="Amiri" w:hAnsi="Amiri" w:eastAsia="Amiri" w:cs="Amiri"/>
          <w:color w:val="111111"/>
          <w:sz w:val="28"/>
          <w:sz w:val="28"/>
          <w:szCs w:val="28"/>
          <w:rtl w:val="true"/>
          <w:lang w:bidi="ar-SA"/>
        </w:rPr>
        <w:t xml:space="preserve">،و به قال ابن عمر،و سعيد بن المسيّب، و النّخعيّ،و الحسن البصريّ،و عطاء،و طاوس،و الثّوريّ،و أصحاب أبي حنيفة </w:t>
      </w:r>
      <w:r>
        <w:rPr>
          <w:rStyle w:val="FootnoteAnchor"/>
          <w:rtl w:val="true"/>
        </w:rPr>
        <w:footnoteReference w:id="61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رواه الجمهور انّ النّبيّ صلّى اللّه عليه و آله رأى رجلا يصلّي و في ظهر قدمه لمعة قدر الدّرهم لم يصبها الماء،فأمره النّبيّ صلّى اللّه عليه و آله أن يعيد الوضوء و الصّلاة </w:t>
      </w:r>
      <w:r>
        <w:rPr>
          <w:rStyle w:val="FootnoteAnchor"/>
          <w:rtl w:val="true"/>
        </w:rPr>
        <w:footnoteReference w:id="61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لا اشتراط الموالاة،لأجزأه غسل اللّمعة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اللّه تعالى وَ أَيْدِيَكُمْ و الواو للجمع و المراد به التّتالي من غير تأخير،إذ هو القدر الممكن عادة في الجمع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رووه من أنّه عليه السّلام و الى بين الأعضاء </w:t>
      </w:r>
      <w:r>
        <w:rPr>
          <w:rStyle w:val="FootnoteAnchor"/>
          <w:rtl w:val="true"/>
        </w:rPr>
        <w:footnoteReference w:id="613"/>
      </w:r>
      <w:r>
        <w:rPr>
          <w:rFonts w:ascii="Amiri" w:hAnsi="Amiri" w:eastAsia="Amiri" w:cs="Amiri"/>
          <w:color w:val="111111"/>
          <w:sz w:val="28"/>
          <w:sz w:val="28"/>
          <w:szCs w:val="28"/>
          <w:rtl w:val="true"/>
          <w:lang w:bidi="ar-SA"/>
        </w:rPr>
        <w:t>،و كان بيانا للمجمل فيكون واجبا،و قال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وضوء لا يقبل اللّه الصّلاة إلاّ به</w:t>
      </w:r>
      <w:r>
        <w:rPr>
          <w:rFonts w:eastAsia="Amiri" w:cs="Amiri" w:ascii="Amiri" w:hAnsi="Amiri"/>
          <w:color w:val="111111"/>
          <w:sz w:val="28"/>
          <w:szCs w:val="28"/>
          <w:rtl w:val="true"/>
          <w:lang w:bidi="ar-SA"/>
        </w:rPr>
        <w:t xml:space="preserve">) </w:t>
      </w:r>
      <w:r>
        <w:rPr>
          <w:rStyle w:val="FootnoteAnchor"/>
          <w:rtl w:val="true"/>
        </w:rPr>
        <w:footnoteReference w:id="614"/>
      </w:r>
      <w:r>
        <w:rPr>
          <w:rFonts w:ascii="Amiri" w:hAnsi="Amiri" w:eastAsia="Amiri" w:cs="Amiri"/>
          <w:color w:val="111111"/>
          <w:sz w:val="28"/>
          <w:sz w:val="28"/>
          <w:szCs w:val="28"/>
          <w:rtl w:val="true"/>
          <w:lang w:bidi="ar-SA"/>
        </w:rPr>
        <w:t>فكان شرطا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طريق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الشّيخ،عن أبي بصير،عن أبي عبد اللّه عليه السّلام انّه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توضّأت بعض وضوئك فعرضت لك حاجة حتّى يبس وضوؤك فأعد وضوءك،فإنّ الوضوء لا يبعّض</w:t>
      </w:r>
      <w:r>
        <w:rPr>
          <w:rFonts w:eastAsia="Amiri" w:cs="Amiri" w:ascii="Amiri" w:hAnsi="Amiri"/>
          <w:color w:val="111111"/>
          <w:sz w:val="28"/>
          <w:szCs w:val="28"/>
          <w:rtl w:val="true"/>
          <w:lang w:bidi="ar-SA"/>
        </w:rPr>
        <w:t xml:space="preserve">» </w:t>
      </w:r>
      <w:r>
        <w:rPr>
          <w:rStyle w:val="FootnoteAnchor"/>
          <w:rtl w:val="true"/>
        </w:rPr>
        <w:footnoteReference w:id="615"/>
      </w:r>
      <w:r>
        <w:rPr>
          <w:rFonts w:ascii="Amiri" w:hAnsi="Amiri" w:eastAsia="Amiri" w:cs="Amiri"/>
          <w:color w:val="111111"/>
          <w:sz w:val="28"/>
          <w:sz w:val="28"/>
          <w:szCs w:val="28"/>
          <w:rtl w:val="true"/>
          <w:lang w:bidi="ar-SA"/>
        </w:rPr>
        <w:t xml:space="preserve">و في طريقها سماعة،و فيه قول </w:t>
      </w:r>
      <w:r>
        <w:rPr>
          <w:rStyle w:val="FootnoteAnchor"/>
          <w:rtl w:val="true"/>
        </w:rPr>
        <w:footnoteReference w:id="6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روى،عن معاوية بن عمّار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ربّما توضّأت و نفد الماء فدعوت الجارية فأبطأت عليّ بالماء فيجفّ وضوئي؟فقال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أعد</w:t>
      </w:r>
      <w:r>
        <w:rPr>
          <w:rFonts w:eastAsia="IRNazanin" w:cs="IRNazanin"/>
          <w:color w:val="111111"/>
          <w:sz w:val="28"/>
          <w:szCs w:val="28"/>
          <w:rtl w:val="true"/>
          <w:lang w:bidi="fa-IR"/>
        </w:rPr>
        <w:t xml:space="preserve">» </w:t>
      </w:r>
      <w:r>
        <w:rPr>
          <w:rStyle w:val="FootnoteAnchor"/>
          <w:rtl w:val="true"/>
        </w:rPr>
        <w:footnoteReference w:id="617"/>
      </w: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رواه الشّيخ في الصّحيح،عن زرارة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سئل أحدهما عن رجل بدأ بيده قبل </w:t>
      </w:r>
    </w:p>
    <w:p>
      <w:pPr>
        <w:pStyle w:val="BookText"/>
        <w:rPr/>
      </w:pPr>
      <w:r>
        <w:rPr>
          <w:rFonts w:ascii="Amiri" w:hAnsi="Amiri" w:eastAsia="Amiri" w:cs="Amiri"/>
          <w:color w:val="111111"/>
          <w:sz w:val="28"/>
          <w:sz w:val="28"/>
          <w:szCs w:val="28"/>
          <w:rtl w:val="true"/>
          <w:lang w:bidi="ar-SA"/>
        </w:rPr>
        <w:t>وجهه و برجليه قبل يديه؟قال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يبدأ بما بدأ اللّه به و ليعد ما كان</w:t>
      </w:r>
      <w:r>
        <w:rPr>
          <w:rFonts w:eastAsia="Amiri" w:cs="Amiri" w:ascii="Amiri" w:hAnsi="Amiri"/>
          <w:color w:val="111111"/>
          <w:sz w:val="28"/>
          <w:szCs w:val="28"/>
          <w:rtl w:val="true"/>
          <w:lang w:bidi="ar-SA"/>
        </w:rPr>
        <w:t xml:space="preserve">» </w:t>
      </w:r>
      <w:r>
        <w:rPr>
          <w:rStyle w:val="FootnoteAnchor"/>
          <w:rtl w:val="true"/>
        </w:rPr>
        <w:footnoteReference w:id="618"/>
      </w:r>
      <w:r>
        <w:rPr>
          <w:rFonts w:ascii="Amiri" w:hAnsi="Amiri" w:eastAsia="Amiri" w:cs="Amiri"/>
          <w:color w:val="111111"/>
          <w:sz w:val="28"/>
          <w:sz w:val="28"/>
          <w:szCs w:val="28"/>
          <w:rtl w:val="true"/>
          <w:lang w:bidi="ar-SA"/>
        </w:rPr>
        <w:t>و لو لم تجب الموالاة،لما وجب إعادة الجميع بل ما عدا الوجه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روى،عن أبي بصير،عن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نسيت فغسلت ذراعيك قبل وجهك فأعد غسل وجهك،ثمَّ اغسل ذراعيك بعد الوجه</w:t>
      </w:r>
      <w:r>
        <w:rPr>
          <w:rFonts w:eastAsia="Amiri" w:cs="Amiri" w:ascii="Amiri" w:hAnsi="Amiri"/>
          <w:color w:val="111111"/>
          <w:sz w:val="28"/>
          <w:szCs w:val="28"/>
          <w:rtl w:val="true"/>
          <w:lang w:bidi="ar-SA"/>
        </w:rPr>
        <w:t xml:space="preserve">» </w:t>
      </w:r>
      <w:r>
        <w:rPr>
          <w:rStyle w:val="FootnoteAnchor"/>
          <w:rtl w:val="true"/>
        </w:rPr>
        <w:footnoteReference w:id="619"/>
      </w:r>
      <w:r>
        <w:rPr>
          <w:rFonts w:ascii="Amiri" w:hAnsi="Amiri" w:eastAsia="Amiri" w:cs="Amiri"/>
          <w:color w:val="111111"/>
          <w:sz w:val="28"/>
          <w:sz w:val="28"/>
          <w:szCs w:val="28"/>
          <w:rtl w:val="true"/>
          <w:lang w:bidi="ar-SA"/>
        </w:rPr>
        <w:t>و الإعادة تستلزم سبق الفعل 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محمّد بن يعقوب في كتابه،عن حكم بن حكيم،قال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رجل نسي من الوضوء الذّراع و الرّأس؟قال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يعيد الوضوء،انّ الوضوء يتبع بعضه بعضا</w:t>
      </w:r>
      <w:r>
        <w:rPr>
          <w:rFonts w:eastAsia="Amiri" w:cs="Amiri" w:ascii="Amiri" w:hAnsi="Amiri"/>
          <w:color w:val="111111"/>
          <w:sz w:val="28"/>
          <w:szCs w:val="28"/>
          <w:rtl w:val="true"/>
          <w:lang w:bidi="ar-SA"/>
        </w:rPr>
        <w:t xml:space="preserve">» </w:t>
      </w:r>
      <w:r>
        <w:rPr>
          <w:rStyle w:val="FootnoteAnchor"/>
          <w:rtl w:val="true"/>
        </w:rPr>
        <w:footnoteReference w:id="620"/>
      </w:r>
      <w:r>
        <w:rPr>
          <w:rFonts w:ascii="Amiri" w:hAnsi="Amiri" w:eastAsia="Amiri" w:cs="Amiri"/>
          <w:color w:val="111111"/>
          <w:sz w:val="28"/>
          <w:sz w:val="28"/>
          <w:szCs w:val="28"/>
          <w:rtl w:val="true"/>
          <w:lang w:bidi="ar-SA"/>
        </w:rPr>
        <w:t xml:space="preserve">و في طريقه معلّى بن محمّد،و هو ضعيف </w:t>
      </w:r>
      <w:r>
        <w:rPr>
          <w:rStyle w:val="FootnoteAnchor"/>
          <w:rtl w:val="true"/>
        </w:rPr>
        <w:footnoteReference w:id="6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الشّيخ في الحسن،عن الحلبيّ،عن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اتبع وضوءك بعضه بعضا</w:t>
      </w:r>
      <w:r>
        <w:rPr>
          <w:rFonts w:eastAsia="Amiri" w:cs="Amiri" w:ascii="Amiri" w:hAnsi="Amiri"/>
          <w:color w:val="111111"/>
          <w:sz w:val="28"/>
          <w:szCs w:val="28"/>
          <w:rtl w:val="true"/>
          <w:lang w:bidi="ar-SA"/>
        </w:rPr>
        <w:t xml:space="preserve">» </w:t>
      </w:r>
      <w:r>
        <w:rPr>
          <w:rStyle w:val="FootnoteAnchor"/>
          <w:rtl w:val="true"/>
        </w:rPr>
        <w:footnoteReference w:id="622"/>
      </w:r>
      <w:r>
        <w:rPr>
          <w:rFonts w:ascii="Amiri" w:hAnsi="Amiri" w:eastAsia="Amiri" w:cs="Amiri"/>
          <w:color w:val="111111"/>
          <w:sz w:val="28"/>
          <w:sz w:val="28"/>
          <w:szCs w:val="28"/>
          <w:rtl w:val="true"/>
          <w:lang w:bidi="ar-SA"/>
        </w:rPr>
        <w:t>و الأمر للوجوب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المتابعة،هي الموالاة لغة،و نصّا بما تقدّم في حديث حكم</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ابن يعقوب في كتابه في الحسن،عن زرارة،قال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تابع بالوضوء</w:t>
      </w:r>
      <w:r>
        <w:rPr>
          <w:rFonts w:eastAsia="Amiri" w:cs="Amiri" w:ascii="Amiri" w:hAnsi="Amiri"/>
          <w:color w:val="111111"/>
          <w:sz w:val="28"/>
          <w:szCs w:val="28"/>
          <w:rtl w:val="true"/>
          <w:lang w:bidi="ar-SA"/>
        </w:rPr>
        <w:t xml:space="preserve">» </w:t>
      </w:r>
      <w:r>
        <w:rPr>
          <w:rStyle w:val="FootnoteAnchor"/>
          <w:rtl w:val="true"/>
        </w:rPr>
        <w:footnoteReference w:id="623"/>
      </w:r>
      <w:r>
        <w:rPr>
          <w:rFonts w:ascii="Amiri" w:hAnsi="Amiri" w:eastAsia="Amiri" w:cs="Amiri"/>
          <w:color w:val="111111"/>
          <w:sz w:val="28"/>
          <w:sz w:val="28"/>
          <w:szCs w:val="28"/>
          <w:rtl w:val="true"/>
          <w:lang w:bidi="ar-SA"/>
        </w:rPr>
        <w:t xml:space="preserve">و لأنّ الوضوء عبادة يجب مثل شطرها </w:t>
      </w:r>
      <w:r>
        <w:rPr>
          <w:rStyle w:val="FootnoteAnchor"/>
          <w:rtl w:val="true"/>
        </w:rPr>
        <w:footnoteReference w:id="624"/>
      </w:r>
      <w:r>
        <w:rPr>
          <w:rFonts w:ascii="Amiri" w:hAnsi="Amiri" w:eastAsia="Amiri" w:cs="Amiri"/>
          <w:color w:val="111111"/>
          <w:sz w:val="28"/>
          <w:sz w:val="28"/>
          <w:szCs w:val="28"/>
          <w:rtl w:val="true"/>
          <w:lang w:bidi="ar-SA"/>
        </w:rPr>
        <w:t xml:space="preserve">في حال العذر، </w:t>
      </w:r>
    </w:p>
    <w:p>
      <w:pPr>
        <w:pStyle w:val="BookText"/>
        <w:rPr/>
      </w:pPr>
      <w:r>
        <w:rPr>
          <w:rFonts w:ascii="Amiri" w:hAnsi="Amiri" w:eastAsia="Amiri" w:cs="Amiri"/>
          <w:color w:val="111111"/>
          <w:sz w:val="28"/>
          <w:sz w:val="28"/>
          <w:szCs w:val="28"/>
          <w:rtl w:val="true"/>
          <w:lang w:bidi="ar-SA"/>
        </w:rPr>
        <w:t>فيجب فيها الموالاة كالصّلاة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فهي عبادة تراد للصّلاة متقدّمة عليها مؤلّفة من أشياء مختلفة،فيبطلها التّفريق كالأذان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أن يحتجّ هاهنا بما رواه الجمهور،عن النّبيّ صلّى اللّه عليه و آله،انّه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يمسح المسافر ثلاثة أيّام و لياليهنّ،و المقيم يوما و ليلة،ثمَّ ليحدث بعد ذلك وضوءا</w:t>
      </w:r>
      <w:r>
        <w:rPr>
          <w:rFonts w:eastAsia="Amiri" w:cs="Amiri" w:ascii="Amiri" w:hAnsi="Amiri"/>
          <w:color w:val="111111"/>
          <w:sz w:val="28"/>
          <w:szCs w:val="28"/>
          <w:rtl w:val="true"/>
          <w:lang w:bidi="ar-SA"/>
        </w:rPr>
        <w:t xml:space="preserve">» </w:t>
      </w:r>
      <w:r>
        <w:rPr>
          <w:rStyle w:val="FootnoteAnchor"/>
          <w:rtl w:val="true"/>
        </w:rPr>
        <w:footnoteReference w:id="6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جاز التّفريق،لأمر من نزع خفّيه،بغسل رجليه و البناء على ما مضى، و لم يأمره بإعادة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احتجّ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المخالفون بأنّه قد أتى بالمأمور به،و هو مطلق الغسل الخالي عن قيدي الموالاة و عدمها،فوجب الإجزاء،و لأنّ الآية مطلقة فزيادة الشّرط نسخ،و لأنّها إحدى الطّهارتين،فكيفما غسل جاز،سواء كان مع الموالاة أو لا معها كالغسل </w:t>
      </w:r>
      <w:r>
        <w:rPr>
          <w:rStyle w:val="FootnoteAnchor"/>
          <w:rtl w:val="true"/>
        </w:rPr>
        <w:footnoteReference w:id="6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الجواب عن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الآية دلّت على وجوب الغسل،و النّبيّ صلّى اللّه عليه و آله بيّن كيفيّة ذلك المجمل،فإنّه لم يتوضّأ إلاّ مواليا،و أمر تارك الموالاة بإعادة 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انّا قد بيّنا انّ الزّيادة ليست نسخا مطلقا،على انّ هذا كيف يسمع من أبي حنيفة و مذهبه انّ الأمر يقتضي الفور </w:t>
      </w:r>
      <w:r>
        <w:rPr>
          <w:rStyle w:val="FootnoteAnchor"/>
          <w:rtl w:val="true"/>
        </w:rPr>
        <w:footnoteReference w:id="627"/>
      </w:r>
      <w:r>
        <w:rPr>
          <w:rFonts w:ascii="Amiri" w:hAnsi="Amiri" w:eastAsia="Amiri" w:cs="Amiri"/>
          <w:color w:val="111111"/>
          <w:sz w:val="28"/>
          <w:sz w:val="28"/>
          <w:szCs w:val="28"/>
          <w:rtl w:val="true"/>
          <w:lang w:bidi="ar-SA"/>
        </w:rPr>
        <w:t>،فأيّ زيادة هاهنا حينئذ،و هل معنى قولنا تجب الموالاة إلاّ وجوب الفور</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الفرق واقع بين غسل الجنابة و الوضوء،لأنّ الغسل كالعضو الواحد</w:t>
      </w:r>
      <w:r>
        <w:rPr>
          <w:rFonts w:eastAsia="Amiri" w:cs="Amiri" w:ascii="Amiri" w:hAnsi="Amiri"/>
          <w:color w:val="111111"/>
          <w:sz w:val="28"/>
          <w:szCs w:val="28"/>
          <w:rtl w:val="true"/>
          <w:lang w:bidi="ar-SA"/>
        </w:rPr>
        <w:t xml:space="preserve">. </w:t>
      </w:r>
      <w:bookmarkStart w:id="360" w:name="pg12669_112908"/>
    </w:p>
    <w:p>
      <w:pPr>
        <w:pStyle w:val="BookText"/>
        <w:rPr/>
      </w:pPr>
      <w:bookmarkEnd w:id="360"/>
      <w:r>
        <w:rPr>
          <w:rFonts w:ascii="Amiri" w:hAnsi="Amiri" w:eastAsia="Amiri" w:cs="Amiri"/>
          <w:color w:val="111111"/>
          <w:sz w:val="28"/>
          <w:sz w:val="28"/>
          <w:szCs w:val="28"/>
          <w:rtl w:val="true"/>
          <w:lang w:bidi="ar-SA"/>
        </w:rPr>
        <w:t>برهان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شيء من الوضوء واجب،و لا شيء من غير الموالي بواجب،فتعيّن وجوب الموالي</w:t>
      </w:r>
      <w:r>
        <w:rPr>
          <w:rFonts w:eastAsia="Amiri" w:cs="Amiri" w:ascii="Amiri" w:hAnsi="Amiri"/>
          <w:color w:val="111111"/>
          <w:sz w:val="28"/>
          <w:szCs w:val="28"/>
          <w:rtl w:val="true"/>
          <w:lang w:bidi="ar-SA"/>
        </w:rPr>
        <w:t>.</w:t>
      </w:r>
    </w:p>
    <w:p>
      <w:pPr>
        <w:pStyle w:val="Heading4"/>
        <w:numPr>
          <w:ilvl w:val="3"/>
          <w:numId w:val="1"/>
        </w:numPr>
        <w:rPr/>
      </w:pPr>
      <w:bookmarkStart w:id="361" w:name="__RefHeading___Toc795417_222507752"/>
      <w:bookmarkStart w:id="362" w:name="_Toc148"/>
      <w:bookmarkEnd w:id="361"/>
      <w:r>
        <w:rPr>
          <w:rtl w:val="true"/>
        </w:rPr>
        <w:t>فروع</w:t>
      </w:r>
      <w:r>
        <w:rPr>
          <w:rtl w:val="true"/>
        </w:rPr>
        <w:t>:</w:t>
      </w:r>
      <w:bookmarkEnd w:id="362"/>
    </w:p>
    <w:p>
      <w:pPr>
        <w:pStyle w:val="Heading5"/>
        <w:numPr>
          <w:ilvl w:val="4"/>
          <w:numId w:val="1"/>
        </w:numPr>
        <w:rPr/>
      </w:pPr>
      <w:bookmarkStart w:id="363" w:name="__RefHeading___Toc795419_222507752"/>
      <w:bookmarkStart w:id="364" w:name="_Toc149"/>
      <w:bookmarkEnd w:id="363"/>
      <w:r>
        <w:rPr>
          <w:rtl w:val="true"/>
        </w:rPr>
        <w:t>الأوّل</w:t>
      </w:r>
      <w:r>
        <w:rPr>
          <w:rtl w:val="true"/>
        </w:rPr>
        <w:t>:</w:t>
      </w:r>
      <w:r>
        <w:rPr>
          <w:rtl w:val="true"/>
        </w:rPr>
        <w:t>الموالاة هي المتابعة،</w:t>
      </w:r>
      <w:bookmarkEnd w:id="364"/>
    </w:p>
    <w:p>
      <w:pPr>
        <w:pStyle w:val="BookText"/>
        <w:rPr/>
      </w:pPr>
      <w:r>
        <w:rPr>
          <w:rFonts w:ascii="Amiri" w:hAnsi="Amiri" w:eastAsia="Amiri" w:cs="Amiri"/>
          <w:color w:val="111111"/>
          <w:sz w:val="28"/>
          <w:sz w:val="28"/>
          <w:szCs w:val="28"/>
          <w:rtl w:val="true"/>
          <w:lang w:bidi="ar-SA"/>
        </w:rPr>
        <w:t xml:space="preserve">و هو اختيار الشّيخ في الخلاف و المبسوط </w:t>
      </w:r>
      <w:r>
        <w:rPr>
          <w:rStyle w:val="FootnoteAnchor"/>
          <w:rtl w:val="true"/>
        </w:rPr>
        <w:footnoteReference w:id="628"/>
      </w:r>
      <w:r>
        <w:rPr>
          <w:rFonts w:ascii="Amiri" w:hAnsi="Amiri" w:eastAsia="Amiri" w:cs="Amiri"/>
          <w:color w:val="111111"/>
          <w:sz w:val="28"/>
          <w:sz w:val="28"/>
          <w:szCs w:val="28"/>
          <w:rtl w:val="true"/>
          <w:lang w:bidi="ar-SA"/>
        </w:rPr>
        <w:t xml:space="preserve">،و علم الهدى في المصباح </w:t>
      </w:r>
      <w:r>
        <w:rPr>
          <w:rStyle w:val="FootnoteAnchor"/>
          <w:rtl w:val="true"/>
        </w:rPr>
        <w:footnoteReference w:id="62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في الجمل </w:t>
      </w:r>
      <w:r>
        <w:rPr>
          <w:rStyle w:val="FootnoteAnchor"/>
          <w:rtl w:val="true"/>
        </w:rPr>
        <w:footnoteReference w:id="630"/>
      </w:r>
      <w:r>
        <w:rPr>
          <w:rFonts w:ascii="Amiri" w:hAnsi="Amiri" w:eastAsia="Amiri" w:cs="Amiri"/>
          <w:color w:val="111111"/>
          <w:sz w:val="28"/>
          <w:sz w:val="28"/>
          <w:szCs w:val="28"/>
          <w:rtl w:val="true"/>
          <w:lang w:bidi="ar-SA"/>
        </w:rPr>
        <w:t>،و علم الهدى في شرح الرّسالة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هي أن لا يؤخّر بعض الأعضاء عن بعض بمقدار ما يجفّ ما تقدّمه </w:t>
      </w:r>
      <w:r>
        <w:rPr>
          <w:rStyle w:val="FootnoteAnchor"/>
          <w:rtl w:val="true"/>
        </w:rPr>
        <w:footnoteReference w:id="6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الأمر في الآية يقتضي الفور إجماعا،و لما رواه الحلبيّ في الحسن،عن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اتبع وضوءك بعضه بعضا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احتجّ الشّيخ برواية أبي بصير،عن أبي عبد اللّه عليه السّلام و قد تقدّمت،علّق فيها إعادة الوضوء باليبس،و ذلك يدلّ على العدم عند العدم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برواية معاوية بن عمّار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 عنها مع سلامة السّند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وجوب الإعادة مشروط باليبس و ذلك غير ما نحن فيه</w:t>
      </w:r>
      <w:r>
        <w:rPr>
          <w:rFonts w:eastAsia="Amiri" w:cs="Amiri" w:ascii="Amiri" w:hAnsi="Amiri"/>
          <w:color w:val="111111"/>
          <w:sz w:val="28"/>
          <w:szCs w:val="28"/>
          <w:rtl w:val="true"/>
          <w:lang w:bidi="ar-SA"/>
        </w:rPr>
        <w:t>.</w:t>
      </w:r>
    </w:p>
    <w:p>
      <w:pPr>
        <w:pStyle w:val="Heading5"/>
        <w:numPr>
          <w:ilvl w:val="4"/>
          <w:numId w:val="1"/>
        </w:numPr>
        <w:rPr/>
      </w:pPr>
      <w:bookmarkStart w:id="365" w:name="__RefHeading___Toc795421_222507752"/>
      <w:bookmarkStart w:id="366" w:name="_Toc150"/>
      <w:bookmarkEnd w:id="365"/>
      <w:r>
        <w:rPr>
          <w:rtl w:val="true"/>
        </w:rPr>
        <w:t>الثّاني</w:t>
      </w:r>
      <w:r>
        <w:rPr>
          <w:rtl w:val="true"/>
        </w:rPr>
        <w:t>:</w:t>
      </w:r>
      <w:r>
        <w:rPr>
          <w:rtl w:val="true"/>
        </w:rPr>
        <w:t>لو أخلّ بالمتابعة اختيارا فعل محرّما،</w:t>
      </w:r>
      <w:bookmarkEnd w:id="366"/>
    </w:p>
    <w:p>
      <w:pPr>
        <w:pStyle w:val="BookText"/>
        <w:rPr/>
      </w:pPr>
      <w:r>
        <w:rPr>
          <w:rFonts w:ascii="Amiri" w:hAnsi="Amiri" w:eastAsia="Amiri" w:cs="Amiri"/>
          <w:color w:val="111111"/>
          <w:sz w:val="28"/>
          <w:sz w:val="28"/>
          <w:szCs w:val="28"/>
          <w:rtl w:val="true"/>
          <w:lang w:bidi="ar-SA"/>
        </w:rPr>
        <w:t>و هل يبطل وضوؤه أم لا؟الوجه اشتراط البطلان بالجفاف،لأنّه مع الإخلال بها يحصل الامتثال بالغسل و المسح، فيجب الإجزاء إلاّ مع الجفاف،فيعيد،للرّوايتين المتقدّمتين</w:t>
      </w:r>
      <w:r>
        <w:rPr>
          <w:rFonts w:eastAsia="Amiri" w:cs="Amiri" w:ascii="Amiri" w:hAnsi="Amiri"/>
          <w:color w:val="111111"/>
          <w:sz w:val="28"/>
          <w:szCs w:val="28"/>
          <w:rtl w:val="true"/>
          <w:lang w:bidi="ar-SA"/>
        </w:rPr>
        <w:t>.</w:t>
      </w:r>
    </w:p>
    <w:p>
      <w:pPr>
        <w:pStyle w:val="Heading5"/>
        <w:numPr>
          <w:ilvl w:val="4"/>
          <w:numId w:val="1"/>
        </w:numPr>
        <w:rPr/>
      </w:pPr>
      <w:bookmarkStart w:id="367" w:name="__RefHeading___Toc795423_222507752"/>
      <w:bookmarkStart w:id="368" w:name="_Toc151"/>
      <w:bookmarkEnd w:id="367"/>
      <w:r>
        <w:rPr>
          <w:rtl w:val="true"/>
        </w:rPr>
        <w:t>الثّالث</w:t>
      </w:r>
      <w:r>
        <w:rPr>
          <w:rtl w:val="true"/>
        </w:rPr>
        <w:t>:</w:t>
      </w:r>
      <w:r>
        <w:rPr>
          <w:rtl w:val="true"/>
        </w:rPr>
        <w:t>لو فرّق لعذر لم تجب الإعادة إلاّ أن يجفّ جميع الأعضاء المتقدّمة</w:t>
      </w:r>
      <w:bookmarkEnd w:id="368"/>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ماء </w:t>
      </w:r>
      <w:bookmarkStart w:id="369" w:name="pg12669_112909"/>
    </w:p>
    <w:p>
      <w:pPr>
        <w:pStyle w:val="BookText"/>
        <w:rPr/>
      </w:pPr>
      <w:bookmarkEnd w:id="369"/>
      <w:r>
        <w:rPr>
          <w:rFonts w:ascii="Amiri" w:hAnsi="Amiri" w:eastAsia="Amiri" w:cs="Amiri"/>
          <w:color w:val="111111"/>
          <w:sz w:val="28"/>
          <w:sz w:val="28"/>
          <w:szCs w:val="28"/>
          <w:rtl w:val="true"/>
          <w:lang w:bidi="ar-SA"/>
        </w:rPr>
        <w:t>الأعضاء في الهواء المعتدل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علم الهدى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أن يجفّ العضو السّابق على المفرق </w:t>
      </w:r>
      <w:r>
        <w:rPr>
          <w:rStyle w:val="FootnoteAnchor"/>
          <w:rtl w:val="true"/>
        </w:rPr>
        <w:footnoteReference w:id="6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حصول الإجماع على انّ النّاسي للمسح يأخذ من شعر لحيته إذا لم يبق في يديه نداوة،و ذلك يدلّ على ما قلناه</w:t>
      </w:r>
      <w:r>
        <w:rPr>
          <w:rFonts w:eastAsia="Amiri" w:cs="Amiri" w:ascii="Amiri" w:hAnsi="Amiri"/>
          <w:color w:val="111111"/>
          <w:sz w:val="28"/>
          <w:szCs w:val="28"/>
          <w:rtl w:val="true"/>
          <w:lang w:bidi="ar-SA"/>
        </w:rPr>
        <w:t>.</w:t>
      </w:r>
    </w:p>
    <w:p>
      <w:pPr>
        <w:pStyle w:val="Heading5"/>
        <w:numPr>
          <w:ilvl w:val="4"/>
          <w:numId w:val="1"/>
        </w:numPr>
        <w:rPr/>
      </w:pPr>
      <w:bookmarkStart w:id="370" w:name="__RefHeading___Toc795425_222507752"/>
      <w:bookmarkStart w:id="371" w:name="_Toc152"/>
      <w:bookmarkEnd w:id="370"/>
      <w:r>
        <w:rPr>
          <w:rtl w:val="true"/>
        </w:rPr>
        <w:t>الرّابع</w:t>
      </w:r>
      <w:r>
        <w:rPr>
          <w:rtl w:val="true"/>
        </w:rPr>
        <w:t>:</w:t>
      </w:r>
      <w:r>
        <w:rPr>
          <w:rtl w:val="true"/>
        </w:rPr>
        <w:t>لو جفّ ماء الوضوء لحرارة الهواء المفرطة جاز البناء دون استئناف ماء</w:t>
      </w:r>
      <w:bookmarkEnd w:id="371"/>
    </w:p>
    <w:p>
      <w:pPr>
        <w:pStyle w:val="BookText"/>
        <w:rPr/>
      </w:pPr>
      <w:r>
        <w:rPr>
          <w:rFonts w:ascii="Amiri" w:hAnsi="Amiri" w:eastAsia="Amiri" w:cs="Amiri"/>
          <w:color w:val="111111"/>
          <w:sz w:val="28"/>
          <w:sz w:val="28"/>
          <w:szCs w:val="28"/>
          <w:rtl w:val="true"/>
          <w:lang w:bidi="ar-SA"/>
        </w:rPr>
        <w:t>جديد</w:t>
      </w:r>
    </w:p>
    <w:p>
      <w:pPr>
        <w:pStyle w:val="BookText"/>
        <w:rPr/>
      </w:pPr>
      <w:r>
        <w:rPr>
          <w:rFonts w:ascii="Amiri" w:hAnsi="Amiri" w:eastAsia="Amiri" w:cs="Amiri"/>
          <w:color w:val="111111"/>
          <w:sz w:val="28"/>
          <w:sz w:val="28"/>
          <w:szCs w:val="28"/>
          <w:rtl w:val="true"/>
          <w:lang w:bidi="ar-SA"/>
        </w:rPr>
        <w:t>للمسح،لحصول الضّرورة المبيحة للتّرخّص</w:t>
      </w:r>
      <w:r>
        <w:rPr>
          <w:rFonts w:eastAsia="Amiri" w:cs="Amiri" w:ascii="Amiri" w:hAnsi="Amiri"/>
          <w:color w:val="111111"/>
          <w:sz w:val="28"/>
          <w:szCs w:val="28"/>
          <w:rtl w:val="true"/>
          <w:lang w:bidi="ar-SA"/>
        </w:rPr>
        <w:t>.</w:t>
      </w:r>
    </w:p>
    <w:p>
      <w:pPr>
        <w:pStyle w:val="Heading5"/>
        <w:numPr>
          <w:ilvl w:val="4"/>
          <w:numId w:val="1"/>
        </w:numPr>
        <w:rPr/>
      </w:pPr>
      <w:bookmarkStart w:id="372" w:name="__RefHeading___Toc795427_222507752"/>
      <w:bookmarkStart w:id="373" w:name="_Toc153"/>
      <w:bookmarkEnd w:id="372"/>
      <w:r>
        <w:rPr>
          <w:rtl w:val="true"/>
        </w:rPr>
        <w:t>الخامس</w:t>
      </w:r>
      <w:r>
        <w:rPr>
          <w:rtl w:val="true"/>
        </w:rPr>
        <w:t>:</w:t>
      </w:r>
      <w:r>
        <w:rPr>
          <w:rtl w:val="true"/>
        </w:rPr>
        <w:t>لو جفّت الأعضاء بواجب في الطّهارة أو مسنون،فإن كان فعل ذلك</w:t>
      </w:r>
      <w:bookmarkEnd w:id="373"/>
    </w:p>
    <w:p>
      <w:pPr>
        <w:pStyle w:val="BookText"/>
        <w:rPr/>
      </w:pPr>
      <w:r>
        <w:rPr>
          <w:rFonts w:ascii="Amiri" w:hAnsi="Amiri" w:eastAsia="Amiri" w:cs="Amiri"/>
          <w:color w:val="111111"/>
          <w:sz w:val="28"/>
          <w:sz w:val="28"/>
          <w:szCs w:val="28"/>
          <w:rtl w:val="true"/>
          <w:lang w:bidi="ar-SA"/>
        </w:rPr>
        <w:t>الواجب أن المسنون يحصل بدونه،كان تفريقا</w:t>
      </w:r>
    </w:p>
    <w:p>
      <w:pPr>
        <w:pStyle w:val="BookText"/>
        <w:rPr/>
      </w:pPr>
      <w:r>
        <w:rPr>
          <w:rFonts w:ascii="Amiri" w:hAnsi="Amiri" w:eastAsia="Amiri" w:cs="Amiri"/>
          <w:color w:val="111111"/>
          <w:sz w:val="28"/>
          <w:sz w:val="28"/>
          <w:szCs w:val="28"/>
          <w:rtl w:val="true"/>
          <w:lang w:bidi="ar-SA"/>
        </w:rPr>
        <w:t>،و إلاّ فهو في محلّ التّردّد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لو كان لوسوسة فالوجه انّه تفريق،لأنّه حينئذ قد اشتغل بما ليس بواجب و لا مسنون</w:t>
      </w:r>
      <w:r>
        <w:rPr>
          <w:rFonts w:eastAsia="Amiri" w:cs="Amiri" w:ascii="Amiri" w:hAnsi="Amiri"/>
          <w:color w:val="111111"/>
          <w:sz w:val="28"/>
          <w:szCs w:val="28"/>
          <w:rtl w:val="true"/>
          <w:lang w:bidi="ar-SA"/>
        </w:rPr>
        <w:t>.</w:t>
      </w:r>
    </w:p>
    <w:p>
      <w:pPr>
        <w:pStyle w:val="Heading3"/>
        <w:numPr>
          <w:ilvl w:val="2"/>
          <w:numId w:val="1"/>
        </w:numPr>
        <w:rPr/>
      </w:pPr>
      <w:bookmarkStart w:id="374" w:name="__RefHeading___Toc795429_222507752"/>
      <w:bookmarkStart w:id="375" w:name="_Toc154"/>
      <w:bookmarkEnd w:id="374"/>
      <w:r>
        <w:rPr>
          <w:rtl w:val="true"/>
        </w:rPr>
        <w:t>مسألة</w:t>
      </w:r>
      <w:r>
        <w:rPr>
          <w:rtl w:val="true"/>
        </w:rPr>
        <w:t>:</w:t>
      </w:r>
      <w:r>
        <w:rPr>
          <w:rtl w:val="true"/>
        </w:rPr>
        <w:t>و الفرض في غسل أعضاء الوضوء مرّة مرّة</w:t>
      </w:r>
      <w:r>
        <w:rPr>
          <w:rtl w:val="true"/>
        </w:rPr>
        <w:t>.</w:t>
      </w:r>
      <w:bookmarkEnd w:id="375"/>
    </w:p>
    <w:p>
      <w:pPr>
        <w:pStyle w:val="Heading4"/>
        <w:numPr>
          <w:ilvl w:val="3"/>
          <w:numId w:val="1"/>
        </w:numPr>
        <w:rPr/>
      </w:pPr>
      <w:bookmarkStart w:id="376" w:name="__RefHeading___Toc795431_222507752"/>
      <w:bookmarkStart w:id="377" w:name="_Toc155"/>
      <w:bookmarkEnd w:id="376"/>
      <w:r>
        <w:rPr>
          <w:rtl w:val="true"/>
        </w:rPr>
        <w:t>اشارة</w:t>
      </w:r>
      <w:bookmarkEnd w:id="377"/>
    </w:p>
    <w:p>
      <w:pPr>
        <w:pStyle w:val="BookText"/>
        <w:rPr/>
      </w:pPr>
      <w:r>
        <w:rPr>
          <w:rFonts w:ascii="Amiri" w:hAnsi="Amiri" w:eastAsia="Amiri" w:cs="Amiri"/>
          <w:color w:val="111111"/>
          <w:sz w:val="28"/>
          <w:sz w:val="28"/>
          <w:szCs w:val="28"/>
          <w:rtl w:val="true"/>
          <w:lang w:bidi="ar-SA"/>
        </w:rPr>
        <w:t>و هو مذهب علماء الأمصار، إلاّ ما نقل عن الأوزاعي،و سعيد بن عبد العزيز</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فإنّهما 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ثلاثا ثلاثا إلاّ الرّجلين </w:t>
      </w:r>
      <w:r>
        <w:rPr>
          <w:rStyle w:val="FootnoteAnchor"/>
          <w:rtl w:val="true"/>
        </w:rPr>
        <w:footnoteReference w:id="633"/>
      </w: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الثّانية،سنّة في قول أكثر أهل العلم </w:t>
      </w:r>
      <w:r>
        <w:rPr>
          <w:rStyle w:val="FootnoteAnchor"/>
          <w:rtl w:val="true"/>
        </w:rPr>
        <w:footnoteReference w:id="634"/>
      </w:r>
      <w:r>
        <w:rPr>
          <w:rFonts w:ascii="Amiri" w:hAnsi="Amiri" w:eastAsia="Amiri" w:cs="Amiri"/>
          <w:color w:val="111111"/>
          <w:sz w:val="28"/>
          <w:sz w:val="28"/>
          <w:szCs w:val="28"/>
          <w:rtl w:val="true"/>
          <w:lang w:bidi="ar-SA"/>
        </w:rPr>
        <w:t xml:space="preserve">،خلافا لمالك فإنّه لم يستحبّ ما زاد على الفرض </w:t>
      </w:r>
      <w:r>
        <w:rPr>
          <w:rStyle w:val="FootnoteAnchor"/>
          <w:rtl w:val="true"/>
        </w:rPr>
        <w:footnoteReference w:id="635"/>
      </w:r>
      <w:r>
        <w:rPr>
          <w:rFonts w:ascii="Amiri" w:hAnsi="Amiri" w:eastAsia="Amiri" w:cs="Amiri"/>
          <w:color w:val="111111"/>
          <w:sz w:val="28"/>
          <w:sz w:val="28"/>
          <w:szCs w:val="28"/>
          <w:rtl w:val="true"/>
          <w:lang w:bidi="ar-SA"/>
        </w:rPr>
        <w:t>،و لابن بابويه فإنّه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توضّأ اثنتين لم يؤجر </w:t>
      </w:r>
      <w:r>
        <w:rPr>
          <w:rStyle w:val="FootnoteAnchor"/>
          <w:rtl w:val="true"/>
        </w:rPr>
        <w:footnoteReference w:id="63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أمّا الثّالثة،فقال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انّها بدعة </w:t>
      </w:r>
      <w:r>
        <w:rPr>
          <w:rStyle w:val="FootnoteAnchor"/>
          <w:rtl w:val="true"/>
        </w:rPr>
        <w:footnoteReference w:id="637"/>
      </w:r>
      <w:r>
        <w:rPr>
          <w:rFonts w:ascii="Amiri" w:hAnsi="Amiri" w:eastAsia="Amiri" w:cs="Amiri"/>
          <w:color w:val="111111"/>
          <w:sz w:val="28"/>
          <w:sz w:val="28"/>
          <w:szCs w:val="28"/>
          <w:rtl w:val="true"/>
          <w:lang w:bidi="ar-SA"/>
        </w:rPr>
        <w:t xml:space="preserve">،و كذا قال ابن بابويه </w:t>
      </w:r>
      <w:r>
        <w:rPr>
          <w:rStyle w:val="FootnoteAnchor"/>
          <w:rtl w:val="true"/>
        </w:rPr>
        <w:footnoteReference w:id="63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المفيد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الثّالثة كلفة </w:t>
      </w:r>
      <w:r>
        <w:rPr>
          <w:rStyle w:val="FootnoteAnchor"/>
          <w:rtl w:val="true"/>
        </w:rPr>
        <w:footnoteReference w:id="639"/>
      </w:r>
      <w:r>
        <w:rPr>
          <w:rFonts w:ascii="Amiri" w:hAnsi="Amiri" w:eastAsia="Amiri" w:cs="Amiri"/>
          <w:color w:val="111111"/>
          <w:sz w:val="28"/>
          <w:sz w:val="28"/>
          <w:szCs w:val="28"/>
          <w:rtl w:val="true"/>
          <w:lang w:bidi="ar-SA"/>
        </w:rPr>
        <w:t>،و لم يصرّح بلفظ البدعة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الشّافعيّ </w:t>
      </w:r>
      <w:r>
        <w:rPr>
          <w:rStyle w:val="FootnoteAnchor"/>
          <w:rtl w:val="true"/>
        </w:rPr>
        <w:footnoteReference w:id="640"/>
      </w:r>
      <w:r>
        <w:rPr>
          <w:rFonts w:ascii="Amiri" w:hAnsi="Amiri" w:eastAsia="Amiri" w:cs="Amiri"/>
          <w:color w:val="111111"/>
          <w:sz w:val="28"/>
          <w:sz w:val="28"/>
          <w:szCs w:val="28"/>
          <w:rtl w:val="true"/>
          <w:lang w:bidi="ar-SA"/>
        </w:rPr>
        <w:t xml:space="preserve">و أبو حنيفة </w:t>
      </w:r>
      <w:r>
        <w:rPr>
          <w:rStyle w:val="FootnoteAnchor"/>
          <w:rtl w:val="true"/>
        </w:rPr>
        <w:footnoteReference w:id="641"/>
      </w:r>
      <w:r>
        <w:rPr>
          <w:rFonts w:ascii="IRNazanin" w:hAnsi="IRNazanin" w:eastAsia="IRNazanin"/>
          <w:color w:val="111111"/>
          <w:sz w:val="28"/>
          <w:sz w:val="28"/>
          <w:szCs w:val="28"/>
          <w:rtl w:val="true"/>
          <w:lang w:bidi="fa-IR"/>
        </w:rPr>
        <w:t>و أحمد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الثّالثة سنّة </w:t>
      </w:r>
      <w:r>
        <w:rPr>
          <w:rStyle w:val="FootnoteAnchor"/>
          <w:rtl w:val="true"/>
        </w:rPr>
        <w:footnoteReference w:id="64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فإذن اتّفق علماؤنا على انّ الثّالثة ليست مستحبّة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البخاري،عن ابن عبّاس،قال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توضّأ رسول اللّه صلّى اللّه عليه و آله مرّة مرّة </w:t>
      </w:r>
      <w:r>
        <w:rPr>
          <w:rStyle w:val="FootnoteAnchor"/>
          <w:rtl w:val="true"/>
        </w:rPr>
        <w:footnoteReference w:id="6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روى أبو هريرة أنّ النّبيّ صلّى اللّه عليه و آله توضّأ مرّتين مرّتين </w:t>
      </w:r>
      <w:r>
        <w:rPr>
          <w:rStyle w:val="FootnoteAnchor"/>
          <w:rtl w:val="true"/>
        </w:rPr>
        <w:footnoteReference w:id="6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الرّواية الأولى تدلّ على قدر الواجب،و الثّانية تدلّ على استحباب التّكرار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طريق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رواه الشّيخ في الصّحيح،عن زرارة،عن أبي جعفر عليه السّلام في وضوء رسول اللّه صلّى اللّه عليه و آله انّه توضأ مرّة مرّة </w:t>
      </w:r>
      <w:r>
        <w:rPr>
          <w:rStyle w:val="FootnoteAnchor"/>
          <w:rtl w:val="true"/>
        </w:rPr>
        <w:footnoteReference w:id="645"/>
      </w: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رواه في الحسن،عن زرارة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اللّه وتر </w:t>
      </w:r>
    </w:p>
    <w:p>
      <w:pPr>
        <w:pStyle w:val="BookText"/>
        <w:rPr/>
      </w:pPr>
      <w:r>
        <w:rPr>
          <w:rFonts w:ascii="Amiri" w:hAnsi="Amiri" w:eastAsia="Amiri" w:cs="Amiri"/>
          <w:color w:val="111111"/>
          <w:sz w:val="28"/>
          <w:sz w:val="28"/>
          <w:szCs w:val="28"/>
          <w:rtl w:val="true"/>
          <w:lang w:bidi="ar-SA"/>
        </w:rPr>
        <w:t>يحبّ الوتر،فقد يجزيك من الوضوء ثلاث غرفات،واحدة للوجه و اثنتان للذّراعين، و تمسح ببلّة يمناك ناصيتك،و ما بقي من بلّة يمناك ظهر قدمك اليمنى،و تمسح ببلّة يسراك ظهر قدمك اليسرى</w:t>
      </w:r>
      <w:r>
        <w:rPr>
          <w:rFonts w:eastAsia="Amiri" w:cs="Amiri" w:ascii="Amiri" w:hAnsi="Amiri"/>
          <w:color w:val="111111"/>
          <w:sz w:val="28"/>
          <w:szCs w:val="28"/>
          <w:rtl w:val="true"/>
          <w:lang w:bidi="ar-SA"/>
        </w:rPr>
        <w:t xml:space="preserve">» </w:t>
      </w:r>
      <w:r>
        <w:rPr>
          <w:rStyle w:val="FootnoteAnchor"/>
          <w:rtl w:val="true"/>
        </w:rPr>
        <w:footnoteReference w:id="6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روى،عن يونس بن عمّار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الوضوء للصّلاة؟فقال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مرّة مرّة</w:t>
      </w:r>
      <w:r>
        <w:rPr>
          <w:rFonts w:eastAsia="Amiri" w:cs="Amiri" w:ascii="Amiri" w:hAnsi="Amiri"/>
          <w:color w:val="111111"/>
          <w:sz w:val="28"/>
          <w:szCs w:val="28"/>
          <w:rtl w:val="true"/>
          <w:lang w:bidi="ar-SA"/>
        </w:rPr>
        <w:t xml:space="preserve">» </w:t>
      </w:r>
      <w:r>
        <w:rPr>
          <w:rStyle w:val="FootnoteAnchor"/>
          <w:rtl w:val="true"/>
        </w:rPr>
        <w:footnoteReference w:id="6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عبد الكريم،قال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الوضوء؟فقال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 وضوء عليّ عليه السّلام إلاّ مرّة مرّة</w:t>
      </w:r>
      <w:r>
        <w:rPr>
          <w:rFonts w:eastAsia="Amiri" w:cs="Amiri" w:ascii="Amiri" w:hAnsi="Amiri"/>
          <w:color w:val="111111"/>
          <w:sz w:val="28"/>
          <w:szCs w:val="28"/>
          <w:rtl w:val="true"/>
          <w:lang w:bidi="ar-SA"/>
        </w:rPr>
        <w:t xml:space="preserve">» </w:t>
      </w:r>
      <w:r>
        <w:rPr>
          <w:rStyle w:val="FootnoteAnchor"/>
          <w:rtl w:val="true"/>
        </w:rPr>
        <w:footnoteReference w:id="648"/>
      </w:r>
      <w:r>
        <w:rPr>
          <w:rFonts w:ascii="Amiri" w:hAnsi="Amiri" w:eastAsia="Amiri" w:cs="Amiri"/>
          <w:color w:val="111111"/>
          <w:sz w:val="28"/>
          <w:sz w:val="28"/>
          <w:szCs w:val="28"/>
          <w:rtl w:val="true"/>
          <w:lang w:bidi="ar-SA"/>
        </w:rPr>
        <w:t>و في طريقهما سهل بن زياد،و هو ضعيف،إلاّ أنّهما تأيّدا بما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يدلّ على استحباب الثّانية رواية أبي هريرة،و قد تقدّمت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طريق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 في الصّحيح،عن معاوية بن وهب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الوضوء؟فقال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مثنى مثنى</w:t>
      </w:r>
      <w:r>
        <w:rPr>
          <w:rFonts w:eastAsia="Amiri" w:cs="Amiri" w:ascii="Amiri" w:hAnsi="Amiri"/>
          <w:color w:val="111111"/>
          <w:sz w:val="28"/>
          <w:szCs w:val="28"/>
          <w:rtl w:val="true"/>
          <w:lang w:bidi="ar-SA"/>
        </w:rPr>
        <w:t xml:space="preserve">» </w:t>
      </w:r>
      <w:r>
        <w:rPr>
          <w:rStyle w:val="FootnoteAnchor"/>
          <w:rtl w:val="true"/>
        </w:rPr>
        <w:footnoteReference w:id="649"/>
      </w: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في الصّحيح،عن صفوان،عن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الوضوء </w:t>
      </w:r>
    </w:p>
    <w:p>
      <w:pPr>
        <w:pStyle w:val="BookText"/>
        <w:rPr/>
      </w:pPr>
      <w:r>
        <w:rPr>
          <w:rFonts w:ascii="IRNazanin" w:hAnsi="IRNazanin" w:eastAsia="IRNazanin"/>
          <w:color w:val="111111"/>
          <w:sz w:val="28"/>
          <w:sz w:val="28"/>
          <w:szCs w:val="28"/>
          <w:rtl w:val="true"/>
          <w:lang w:bidi="fa-IR"/>
        </w:rPr>
        <w:t>مثنى مثنى</w:t>
      </w:r>
      <w:r>
        <w:rPr>
          <w:rFonts w:eastAsia="IRNazanin" w:cs="IRNazanin"/>
          <w:color w:val="111111"/>
          <w:sz w:val="28"/>
          <w:szCs w:val="28"/>
          <w:rtl w:val="true"/>
          <w:lang w:bidi="fa-IR"/>
        </w:rPr>
        <w:t xml:space="preserve">» </w:t>
      </w:r>
      <w:r>
        <w:rPr>
          <w:rStyle w:val="FootnoteAnchor"/>
          <w:rtl w:val="true"/>
        </w:rPr>
        <w:footnoteReference w:id="650"/>
      </w:r>
      <w:r>
        <w:rPr>
          <w:rFonts w:ascii="Amiri" w:hAnsi="Amiri" w:eastAsia="Amiri" w:cs="Amiri"/>
          <w:color w:val="111111"/>
          <w:sz w:val="28"/>
          <w:sz w:val="28"/>
          <w:szCs w:val="28"/>
          <w:rtl w:val="true"/>
          <w:lang w:bidi="ar-SA"/>
        </w:rPr>
        <w:t>و المراد هاهنا الاستحباب لا الوجوب،لما تقدّم من الاجتزاء بالواحدة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يدلّ عليه ما رواه الشّيخ في الحسن،عن زرارة و بكير،عن أبي جعفر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أصلحك اللّه،فالغرفة الواحدة تجزي للوجه و غرفة للذّراع؟فقال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نعم،إذا بالغت فيها و الثّنتان تأتيان على ذلك كلّه</w:t>
      </w:r>
      <w:r>
        <w:rPr>
          <w:rFonts w:eastAsia="Amiri" w:cs="Amiri" w:ascii="Amiri" w:hAnsi="Amiri"/>
          <w:color w:val="111111"/>
          <w:sz w:val="28"/>
          <w:szCs w:val="28"/>
          <w:rtl w:val="true"/>
          <w:lang w:bidi="ar-SA"/>
        </w:rPr>
        <w:t xml:space="preserve">» </w:t>
      </w:r>
      <w:r>
        <w:rPr>
          <w:rStyle w:val="FootnoteAnchor"/>
          <w:rtl w:val="true"/>
        </w:rPr>
        <w:footnoteReference w:id="651"/>
      </w:r>
      <w:r>
        <w:rPr>
          <w:rFonts w:ascii="Amiri" w:hAnsi="Amiri" w:eastAsia="Amiri" w:cs="Amiri"/>
          <w:color w:val="111111"/>
          <w:sz w:val="28"/>
          <w:sz w:val="28"/>
          <w:szCs w:val="28"/>
          <w:rtl w:val="true"/>
          <w:lang w:bidi="ar-SA"/>
        </w:rPr>
        <w:t>و لأنّ الأولى قد يحصل فيها نوع خلل،فالثّانية احتياط و استطهار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احتج ابن بابويه </w:t>
      </w:r>
      <w:r>
        <w:rPr>
          <w:rStyle w:val="FootnoteAnchor"/>
          <w:rtl w:val="true"/>
        </w:rPr>
        <w:footnoteReference w:id="652"/>
      </w:r>
      <w:r>
        <w:rPr>
          <w:rFonts w:ascii="Amiri" w:hAnsi="Amiri" w:eastAsia="Amiri" w:cs="Amiri"/>
          <w:color w:val="111111"/>
          <w:sz w:val="28"/>
          <w:sz w:val="28"/>
          <w:szCs w:val="28"/>
          <w:rtl w:val="true"/>
          <w:lang w:bidi="ar-SA"/>
        </w:rPr>
        <w:t>بما رواه ابن أبي عمير،عن بعض أصحابنا،عن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الوضوء واحدة فرض،و اثنتان لا يؤجر عليه،و الثّالثة بدعة</w:t>
      </w:r>
      <w:r>
        <w:rPr>
          <w:rFonts w:eastAsia="Amiri" w:cs="Amiri" w:ascii="Amiri" w:hAnsi="Amiri"/>
          <w:color w:val="111111"/>
          <w:sz w:val="28"/>
          <w:szCs w:val="28"/>
          <w:rtl w:val="true"/>
          <w:lang w:bidi="ar-SA"/>
        </w:rPr>
        <w:t xml:space="preserve">» </w:t>
      </w:r>
      <w:r>
        <w:rPr>
          <w:rStyle w:val="FootnoteAnchor"/>
          <w:rtl w:val="true"/>
        </w:rPr>
        <w:footnoteReference w:id="6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الرّاوي،عن محمّد بن أبي عمير،هو محمّد بن بشير،و النّجاشي و إن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ثقة،إلاّ انّ الشّيخ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بشير غال ملعون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فروايته إذن ساقطة</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انّه يحتمل أن يكون المراد من اعتقد وجوبها،لما رواه،عن عبد اللّه بن بكير،عن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لم يستيقن انّ واحدة من الوضوء تجزيه،لم يؤجر على الثّنتين</w:t>
      </w:r>
      <w:r>
        <w:rPr>
          <w:rFonts w:eastAsia="Amiri" w:cs="Amiri" w:ascii="Amiri" w:hAnsi="Amiri"/>
          <w:color w:val="111111"/>
          <w:sz w:val="28"/>
          <w:szCs w:val="28"/>
          <w:rtl w:val="true"/>
          <w:lang w:bidi="ar-SA"/>
        </w:rPr>
        <w:t xml:space="preserve">» </w:t>
      </w:r>
      <w:r>
        <w:rPr>
          <w:rStyle w:val="FootnoteAnchor"/>
          <w:rtl w:val="true"/>
        </w:rPr>
        <w:footnoteReference w:id="65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أمّا كون الثّالثة بدعة فلأنّها غير مشروعة،فكان اعتقاد شرعيّتها إدخالا لما ليس من الدّين فيه،و ذلك هو معنى البدعة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لأنّ القول بالثّالثة مع القول بالمسح على الرّجلين ممّا لا يجتمعان،و الثّاني ثابت لما بيّناه </w:t>
      </w:r>
      <w:r>
        <w:rPr>
          <w:rStyle w:val="FootnoteAnchor"/>
          <w:rtl w:val="true"/>
        </w:rPr>
        <w:footnoteReference w:id="655"/>
      </w:r>
      <w:r>
        <w:rPr>
          <w:rFonts w:ascii="Amiri" w:hAnsi="Amiri" w:eastAsia="Amiri" w:cs="Amiri"/>
          <w:color w:val="111111"/>
          <w:sz w:val="28"/>
          <w:sz w:val="28"/>
          <w:szCs w:val="28"/>
          <w:rtl w:val="true"/>
          <w:lang w:bidi="ar-SA"/>
        </w:rPr>
        <w:t>،فينتفي الأوّل،و بيان عدم الاجتماع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روى الشّيخ في الصّحيح،عن داود بن زربي </w:t>
      </w:r>
      <w:r>
        <w:rPr>
          <w:rStyle w:val="FootnoteAnchor"/>
          <w:rtl w:val="true"/>
        </w:rPr>
        <w:footnoteReference w:id="65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الوضوء؟فقال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توضّأ ثلاثا ثلاثا</w:t>
      </w:r>
      <w:r>
        <w:rPr>
          <w:rFonts w:eastAsia="Amiri" w:cs="Amiri" w:ascii="Amiri" w:hAnsi="Amiri"/>
          <w:color w:val="111111"/>
          <w:sz w:val="28"/>
          <w:szCs w:val="28"/>
          <w:rtl w:val="true"/>
          <w:lang w:bidi="ar-SA"/>
        </w:rPr>
        <w:t xml:space="preserve">» </w:t>
      </w:r>
      <w:r>
        <w:rPr>
          <w:rStyle w:val="FootnoteAnchor"/>
          <w:rtl w:val="true"/>
        </w:rPr>
        <w:footnoteReference w:id="657"/>
      </w:r>
      <w:r>
        <w:rPr>
          <w:rFonts w:ascii="Amiri" w:hAnsi="Amiri" w:eastAsia="Amiri" w:cs="Amiri"/>
          <w:color w:val="111111"/>
          <w:sz w:val="28"/>
          <w:sz w:val="28"/>
          <w:szCs w:val="28"/>
          <w:rtl w:val="true"/>
          <w:lang w:bidi="ar-SA"/>
        </w:rPr>
        <w:t>ذلك يدلّ على استحباب الثّالثة،إذ الوجوب منتف اتّفاقا إلاّ من شذّ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عليه السّلام إنّما أمره بذلك إذا كان في حال تقيّة </w:t>
      </w:r>
      <w:r>
        <w:rPr>
          <w:rStyle w:val="FootnoteAnchor"/>
          <w:rtl w:val="true"/>
        </w:rPr>
        <w:footnoteReference w:id="658"/>
      </w:r>
      <w:r>
        <w:rPr>
          <w:rFonts w:ascii="Amiri" w:hAnsi="Amiri" w:eastAsia="Amiri" w:cs="Amiri"/>
          <w:color w:val="111111"/>
          <w:sz w:val="28"/>
          <w:sz w:val="28"/>
          <w:szCs w:val="28"/>
          <w:rtl w:val="true"/>
          <w:lang w:bidi="ar-SA"/>
        </w:rPr>
        <w:t>،و يدلّ عليه تتمّة الحديث،و هو انّه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ليس تشهد بغداد و عساكرهم؟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w:t>
      </w:r>
      <w:r>
        <w:rPr>
          <w:rStyle w:val="FootnoteAnchor"/>
          <w:rtl w:val="true"/>
        </w:rPr>
        <w:footnoteReference w:id="659"/>
      </w:r>
      <w:r>
        <w:rPr>
          <w:rFonts w:ascii="Amiri" w:hAnsi="Amiri" w:eastAsia="Amiri" w:cs="Amiri"/>
          <w:color w:val="111111"/>
          <w:sz w:val="28"/>
          <w:sz w:val="28"/>
          <w:szCs w:val="28"/>
          <w:rtl w:val="true"/>
          <w:lang w:bidi="ar-SA"/>
        </w:rPr>
        <w:t xml:space="preserve">يوما أتوضّأ في دار المهديّ </w:t>
      </w:r>
      <w:r>
        <w:rPr>
          <w:rStyle w:val="FootnoteAnchor"/>
          <w:rtl w:val="true"/>
        </w:rPr>
        <w:footnoteReference w:id="660"/>
      </w:r>
      <w:r>
        <w:rPr>
          <w:rFonts w:ascii="Amiri" w:hAnsi="Amiri" w:eastAsia="Amiri" w:cs="Amiri"/>
          <w:color w:val="111111"/>
          <w:sz w:val="28"/>
          <w:sz w:val="28"/>
          <w:szCs w:val="28"/>
          <w:rtl w:val="true"/>
          <w:lang w:bidi="ar-SA"/>
        </w:rPr>
        <w:t>فرآني بعضهم و أنا لا أعلم به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كذب من زعم أنّك فلانيّ و أنت تتوضّأ هذا الوضوء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لهذا و اللّه أمرني</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احتجّ المخالفون </w:t>
      </w:r>
      <w:r>
        <w:rPr>
          <w:rStyle w:val="FootnoteAnchor"/>
          <w:rtl w:val="true"/>
        </w:rPr>
        <w:footnoteReference w:id="661"/>
      </w:r>
      <w:r>
        <w:rPr>
          <w:rFonts w:ascii="Amiri" w:hAnsi="Amiri" w:eastAsia="Amiri" w:cs="Amiri"/>
          <w:color w:val="111111"/>
          <w:sz w:val="28"/>
          <w:sz w:val="28"/>
          <w:szCs w:val="28"/>
          <w:rtl w:val="true"/>
          <w:lang w:bidi="ar-SA"/>
        </w:rPr>
        <w:t>بما رواه ابن عمر،قال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توضّأ رسول اللّه صلّى اللّه عليه و آله </w:t>
      </w:r>
      <w:bookmarkStart w:id="378" w:name="pg12669_112914"/>
    </w:p>
    <w:p>
      <w:pPr>
        <w:pStyle w:val="BookText"/>
        <w:rPr/>
      </w:pPr>
      <w:bookmarkEnd w:id="378"/>
      <w:r>
        <w:rPr>
          <w:rFonts w:ascii="Amiri" w:hAnsi="Amiri" w:eastAsia="Amiri" w:cs="Amiri"/>
          <w:color w:val="111111"/>
          <w:sz w:val="28"/>
          <w:sz w:val="28"/>
          <w:szCs w:val="28"/>
          <w:rtl w:val="true"/>
          <w:lang w:bidi="ar-SA"/>
        </w:rPr>
        <w:t>مرّة،و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وضوء لا يقبل اللّه الصّلاة إلاّ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توضّأ مرّتين،و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وضوء من ضاعف اللّه له الأجر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توضّأ ثلاثة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وضوئي و وضوء الأنبياء قبلي و وضوء خليلي إبراهيم عليه السّلام</w:t>
      </w:r>
      <w:r>
        <w:rPr>
          <w:rFonts w:eastAsia="Amiri" w:cs="Amiri" w:ascii="Amiri" w:hAnsi="Amiri"/>
          <w:color w:val="111111"/>
          <w:sz w:val="28"/>
          <w:szCs w:val="28"/>
          <w:rtl w:val="true"/>
          <w:lang w:bidi="ar-SA"/>
        </w:rPr>
        <w:t xml:space="preserve">) </w:t>
      </w:r>
      <w:r>
        <w:rPr>
          <w:rStyle w:val="FootnoteAnchor"/>
          <w:rtl w:val="true"/>
        </w:rPr>
        <w:footnoteReference w:id="6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هذا الحديث مدنيّ،و قد ردّه مالك </w:t>
      </w:r>
      <w:r>
        <w:rPr>
          <w:rStyle w:val="FootnoteAnchor"/>
          <w:rtl w:val="true"/>
        </w:rPr>
        <w:footnoteReference w:id="663"/>
      </w:r>
      <w:r>
        <w:rPr>
          <w:rFonts w:ascii="Amiri" w:hAnsi="Amiri" w:eastAsia="Amiri" w:cs="Amiri"/>
          <w:color w:val="111111"/>
          <w:sz w:val="28"/>
          <w:sz w:val="28"/>
          <w:szCs w:val="28"/>
          <w:rtl w:val="true"/>
          <w:lang w:bidi="ar-SA"/>
        </w:rPr>
        <w:t>،و ذلك يدلّ على ضعفه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يلزم من استحبابه في حقّه استحبابه في حقّ أمّته،لاحتمال أن يكون من خصائصه و بالخصوص حيث خصّص،و لا يلزم ذلك في المرّة الثّانية،لأنّه عليه السّلام أخبر أنّه وضوء من ضاعف اللّه له الأجر</w:t>
      </w:r>
      <w:r>
        <w:rPr>
          <w:rFonts w:eastAsia="Amiri" w:cs="Amiri" w:ascii="Amiri" w:hAnsi="Amiri"/>
          <w:color w:val="111111"/>
          <w:sz w:val="28"/>
          <w:szCs w:val="28"/>
          <w:rtl w:val="true"/>
          <w:lang w:bidi="ar-SA"/>
        </w:rPr>
        <w:t>.</w:t>
      </w:r>
    </w:p>
    <w:p>
      <w:pPr>
        <w:pStyle w:val="Heading4"/>
        <w:numPr>
          <w:ilvl w:val="3"/>
          <w:numId w:val="1"/>
        </w:numPr>
        <w:rPr/>
      </w:pPr>
      <w:bookmarkStart w:id="379" w:name="__RefHeading___Toc795433_222507752"/>
      <w:bookmarkStart w:id="380" w:name="_Toc156"/>
      <w:bookmarkEnd w:id="379"/>
      <w:r>
        <w:rPr>
          <w:rtl w:val="true"/>
        </w:rPr>
        <w:t>فروع</w:t>
      </w:r>
      <w:r>
        <w:rPr>
          <w:rtl w:val="true"/>
        </w:rPr>
        <w:t>:</w:t>
      </w:r>
      <w:bookmarkEnd w:id="380"/>
    </w:p>
    <w:p>
      <w:pPr>
        <w:pStyle w:val="Heading5"/>
        <w:numPr>
          <w:ilvl w:val="4"/>
          <w:numId w:val="1"/>
        </w:numPr>
        <w:rPr/>
      </w:pPr>
      <w:bookmarkStart w:id="381" w:name="__RefHeading___Toc795435_222507752"/>
      <w:bookmarkStart w:id="382" w:name="_Toc157"/>
      <w:bookmarkEnd w:id="381"/>
      <w:r>
        <w:rPr>
          <w:rtl w:val="true"/>
        </w:rPr>
        <w:t>الأوّل</w:t>
      </w:r>
      <w:r>
        <w:rPr>
          <w:rtl w:val="true"/>
        </w:rPr>
        <w:t>:</w:t>
      </w:r>
      <w:r>
        <w:rPr>
          <w:rtl w:val="true"/>
        </w:rPr>
        <w:t>لو غسل بعض أعضائه مرّة و بعضها مرّتين جاز</w:t>
      </w:r>
      <w:bookmarkEnd w:id="382"/>
    </w:p>
    <w:p>
      <w:pPr>
        <w:pStyle w:val="BookText"/>
        <w:rPr/>
      </w:pPr>
      <w:r>
        <w:rPr>
          <w:rFonts w:ascii="Amiri" w:hAnsi="Amiri" w:eastAsia="Amiri" w:cs="Amiri"/>
          <w:color w:val="111111"/>
          <w:sz w:val="28"/>
          <w:sz w:val="28"/>
          <w:szCs w:val="28"/>
          <w:rtl w:val="true"/>
          <w:lang w:bidi="ar-SA"/>
        </w:rPr>
        <w:t>،لأنّه لمّا جاز في الكلّ، جاز في كلّ واحد</w:t>
      </w:r>
      <w:r>
        <w:rPr>
          <w:rFonts w:eastAsia="Amiri" w:cs="Amiri" w:ascii="Amiri" w:hAnsi="Amiri"/>
          <w:color w:val="111111"/>
          <w:sz w:val="28"/>
          <w:szCs w:val="28"/>
          <w:rtl w:val="true"/>
          <w:lang w:bidi="ar-SA"/>
        </w:rPr>
        <w:t>.</w:t>
      </w:r>
    </w:p>
    <w:p>
      <w:pPr>
        <w:pStyle w:val="Heading5"/>
        <w:numPr>
          <w:ilvl w:val="4"/>
          <w:numId w:val="1"/>
        </w:numPr>
        <w:rPr/>
      </w:pPr>
      <w:bookmarkStart w:id="383" w:name="__RefHeading___Toc795437_222507752"/>
      <w:bookmarkStart w:id="384" w:name="_Toc158"/>
      <w:bookmarkEnd w:id="383"/>
      <w:r>
        <w:rPr>
          <w:rtl w:val="true"/>
        </w:rPr>
        <w:t>الثّاني</w:t>
      </w:r>
      <w:r>
        <w:rPr>
          <w:rtl w:val="true"/>
        </w:rPr>
        <w:t>:</w:t>
      </w:r>
      <w:r>
        <w:rPr>
          <w:rtl w:val="true"/>
        </w:rPr>
        <w:t>اتّفق أهل الإسلام على عدم استحباب ما زاد على الثّلاث،</w:t>
      </w:r>
      <w:bookmarkEnd w:id="384"/>
    </w:p>
    <w:p>
      <w:pPr>
        <w:pStyle w:val="BookText"/>
        <w:rPr/>
      </w:pPr>
      <w:r>
        <w:rPr>
          <w:rFonts w:ascii="Amiri" w:hAnsi="Amiri" w:eastAsia="Amiri" w:cs="Amiri"/>
          <w:color w:val="111111"/>
          <w:sz w:val="28"/>
          <w:sz w:val="28"/>
          <w:szCs w:val="28"/>
          <w:rtl w:val="true"/>
          <w:lang w:bidi="ar-SA"/>
        </w:rPr>
        <w:t xml:space="preserve">و أمّا تحريمه فهو الوجه،أمّا عندنا فظاهر،و أمّا عند الجمهور </w:t>
      </w:r>
      <w:r>
        <w:rPr>
          <w:rStyle w:val="FootnoteAnchor"/>
          <w:rtl w:val="true"/>
        </w:rPr>
        <w:footnoteReference w:id="66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رووه،عن النّبيّ صلّى اللّه عليه و آله انّه جاء أعرابيّ فسأله عن الوضوء؟فأراه ثلاثا،ثلاثا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الوضوء،فمن زاد على هذا فقد ظلم</w:t>
      </w:r>
      <w:r>
        <w:rPr>
          <w:rFonts w:eastAsia="Amiri" w:cs="Amiri" w:ascii="Amiri" w:hAnsi="Amiri"/>
          <w:color w:val="111111"/>
          <w:sz w:val="28"/>
          <w:szCs w:val="28"/>
          <w:rtl w:val="true"/>
          <w:lang w:bidi="ar-SA"/>
        </w:rPr>
        <w:t xml:space="preserve">) </w:t>
      </w:r>
      <w:r>
        <w:rPr>
          <w:rStyle w:val="FootnoteAnchor"/>
          <w:rtl w:val="true"/>
        </w:rPr>
        <w:footnoteReference w:id="66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85" w:name="__RefHeading___Toc795439_222507752"/>
      <w:bookmarkStart w:id="386" w:name="_Toc159"/>
      <w:bookmarkEnd w:id="385"/>
      <w:r>
        <w:rPr>
          <w:rtl w:val="true"/>
        </w:rPr>
        <w:t>الثّالث</w:t>
      </w:r>
      <w:r>
        <w:rPr>
          <w:rtl w:val="true"/>
        </w:rPr>
        <w:t>:</w:t>
      </w:r>
      <w:r>
        <w:rPr>
          <w:rtl w:val="true"/>
        </w:rPr>
        <w:t>لو زاد على الواحدة معتقدا وجوبها لم يثب،</w:t>
      </w:r>
      <w:bookmarkEnd w:id="386"/>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لأنّ استحقاق الثّواب </w:t>
      </w:r>
      <w:bookmarkStart w:id="387" w:name="pg12669_112915"/>
    </w:p>
    <w:p>
      <w:pPr>
        <w:pStyle w:val="BookText"/>
        <w:rPr/>
      </w:pPr>
      <w:bookmarkEnd w:id="387"/>
      <w:r>
        <w:rPr>
          <w:rFonts w:ascii="Amiri" w:hAnsi="Amiri" w:eastAsia="Amiri" w:cs="Amiri"/>
          <w:color w:val="111111"/>
          <w:sz w:val="28"/>
          <w:sz w:val="28"/>
          <w:szCs w:val="28"/>
          <w:rtl w:val="true"/>
          <w:lang w:bidi="ar-SA"/>
        </w:rPr>
        <w:t>منوط بإيقاع العبادة على الوجه المطلوب شرعا و لم يحصل،و لا يبطل وضوؤه لأنّه أتى بالمأمور به،و الزّيادة غير منافية،و لا يخرج ماؤها عن كونه ماء الوضوء،و يجوز المسح به، و فيه احتمال</w:t>
      </w:r>
      <w:r>
        <w:rPr>
          <w:rFonts w:eastAsia="Amiri" w:cs="Amiri" w:ascii="Amiri" w:hAnsi="Amiri"/>
          <w:color w:val="111111"/>
          <w:sz w:val="28"/>
          <w:szCs w:val="28"/>
          <w:rtl w:val="true"/>
          <w:lang w:bidi="ar-SA"/>
        </w:rPr>
        <w:t>.</w:t>
      </w:r>
    </w:p>
    <w:p>
      <w:pPr>
        <w:pStyle w:val="Heading5"/>
        <w:numPr>
          <w:ilvl w:val="4"/>
          <w:numId w:val="1"/>
        </w:numPr>
        <w:rPr/>
      </w:pPr>
      <w:bookmarkStart w:id="388" w:name="__RefHeading___Toc795441_222507752"/>
      <w:bookmarkStart w:id="389" w:name="_Toc160"/>
      <w:bookmarkEnd w:id="388"/>
      <w:r>
        <w:rPr>
          <w:rtl w:val="true"/>
        </w:rPr>
        <w:t>الرّابع</w:t>
      </w:r>
      <w:r>
        <w:rPr>
          <w:rtl w:val="true"/>
        </w:rPr>
        <w:t>:</w:t>
      </w:r>
      <w:r>
        <w:rPr>
          <w:rtl w:val="true"/>
        </w:rPr>
        <w:t>لو غسل يده ثلاثا،قيل</w:t>
      </w:r>
      <w:r>
        <w:rPr>
          <w:rtl w:val="true"/>
        </w:rPr>
        <w:t>:</w:t>
      </w:r>
      <w:r>
        <w:rPr>
          <w:rtl w:val="true"/>
        </w:rPr>
        <w:t>تبطل الطّهارة،</w:t>
      </w:r>
      <w:bookmarkEnd w:id="389"/>
    </w:p>
    <w:p>
      <w:pPr>
        <w:pStyle w:val="BookText"/>
        <w:rPr/>
      </w:pPr>
      <w:r>
        <w:rPr>
          <w:rFonts w:ascii="Amiri" w:hAnsi="Amiri" w:eastAsia="Amiri" w:cs="Amiri"/>
          <w:color w:val="111111"/>
          <w:sz w:val="28"/>
          <w:sz w:val="28"/>
          <w:szCs w:val="28"/>
          <w:rtl w:val="true"/>
          <w:lang w:bidi="ar-SA"/>
        </w:rPr>
        <w:t xml:space="preserve">لأنّه مسح بغير ماء الوضوء </w:t>
      </w:r>
      <w:r>
        <w:rPr>
          <w:rStyle w:val="FootnoteAnchor"/>
          <w:rtl w:val="true"/>
        </w:rPr>
        <w:footnoteReference w:id="6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تبطل،لأنّه لا ينفك من ماء الوضوء الأصليّ </w:t>
      </w:r>
      <w:r>
        <w:rPr>
          <w:rStyle w:val="FootnoteAnchor"/>
          <w:rtl w:val="true"/>
        </w:rPr>
        <w:footnoteReference w:id="66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الأقرب الأوّل</w:t>
      </w:r>
      <w:r>
        <w:rPr>
          <w:rFonts w:eastAsia="IRNazanin" w:cs="IRNazanin"/>
          <w:color w:val="111111"/>
          <w:sz w:val="28"/>
          <w:szCs w:val="28"/>
          <w:rtl w:val="true"/>
          <w:lang w:bidi="fa-IR"/>
        </w:rPr>
        <w:t>.</w:t>
      </w:r>
    </w:p>
    <w:p>
      <w:pPr>
        <w:pStyle w:val="Heading3"/>
        <w:numPr>
          <w:ilvl w:val="2"/>
          <w:numId w:val="1"/>
        </w:numPr>
        <w:rPr/>
      </w:pPr>
      <w:bookmarkStart w:id="390" w:name="__RefHeading___Toc795443_222507752"/>
      <w:bookmarkStart w:id="391" w:name="_Toc161"/>
      <w:bookmarkEnd w:id="390"/>
      <w:r>
        <w:rPr>
          <w:rtl w:val="true"/>
        </w:rPr>
        <w:t>مسألة</w:t>
      </w:r>
      <w:r>
        <w:rPr>
          <w:rtl w:val="true"/>
        </w:rPr>
        <w:t>:</w:t>
      </w:r>
      <w:r>
        <w:rPr>
          <w:rtl w:val="true"/>
        </w:rPr>
        <w:t>لا تكرار في المسح</w:t>
      </w:r>
      <w:r>
        <w:rPr>
          <w:rtl w:val="true"/>
        </w:rPr>
        <w:t>.</w:t>
      </w:r>
      <w:bookmarkEnd w:id="391"/>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هو مذهب علمائنا أجمع،و قول أبي حنيفة </w:t>
      </w:r>
      <w:r>
        <w:rPr>
          <w:rStyle w:val="FootnoteAnchor"/>
          <w:rtl w:val="true"/>
        </w:rPr>
        <w:footnoteReference w:id="668"/>
      </w:r>
      <w:r>
        <w:rPr>
          <w:rFonts w:ascii="Amiri" w:hAnsi="Amiri" w:eastAsia="Amiri" w:cs="Amiri"/>
          <w:color w:val="111111"/>
          <w:sz w:val="28"/>
          <w:sz w:val="28"/>
          <w:szCs w:val="28"/>
          <w:rtl w:val="true"/>
          <w:lang w:bidi="ar-SA"/>
        </w:rPr>
        <w:t xml:space="preserve">، و مالك </w:t>
      </w:r>
      <w:r>
        <w:rPr>
          <w:rStyle w:val="FootnoteAnchor"/>
          <w:rtl w:val="true"/>
        </w:rPr>
        <w:footnoteReference w:id="669"/>
      </w:r>
      <w:r>
        <w:rPr>
          <w:rFonts w:ascii="IRNazanin" w:hAnsi="IRNazanin" w:eastAsia="IRNazanin"/>
          <w:color w:val="111111"/>
          <w:sz w:val="28"/>
          <w:sz w:val="28"/>
          <w:szCs w:val="28"/>
          <w:rtl w:val="true"/>
          <w:lang w:bidi="fa-IR"/>
        </w:rPr>
        <w:t xml:space="preserve">،و أحمد </w:t>
      </w:r>
      <w:r>
        <w:rPr>
          <w:rStyle w:val="FootnoteAnchor"/>
          <w:rtl w:val="true"/>
        </w:rPr>
        <w:footnoteReference w:id="670"/>
      </w:r>
      <w:r>
        <w:rPr>
          <w:rFonts w:ascii="Amiri" w:hAnsi="Amiri" w:eastAsia="Amiri" w:cs="Amiri"/>
          <w:color w:val="111111"/>
          <w:sz w:val="28"/>
          <w:sz w:val="28"/>
          <w:szCs w:val="28"/>
          <w:rtl w:val="true"/>
          <w:lang w:bidi="ar-SA"/>
        </w:rPr>
        <w:t xml:space="preserve">،و الثّوريّ،و هو مرويّ عن ابن عمر،و الحسن،و النّخعيّ، و مجاهد،و طلحة بن مصرف،و الحكم </w:t>
      </w:r>
      <w:r>
        <w:rPr>
          <w:rStyle w:val="FootnoteAnchor"/>
          <w:rtl w:val="true"/>
        </w:rPr>
        <w:footnoteReference w:id="67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الشّافعيّ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يستحبّ أن يمسح برأسه ثلاثا </w:t>
      </w:r>
      <w:r>
        <w:rPr>
          <w:rStyle w:val="FootnoteAnchor"/>
          <w:rtl w:val="true"/>
        </w:rPr>
        <w:footnoteReference w:id="6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قال عطاء </w:t>
      </w:r>
      <w:r>
        <w:rPr>
          <w:rStyle w:val="FootnoteAnchor"/>
          <w:rtl w:val="true"/>
        </w:rPr>
        <w:footnoteReference w:id="67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ابن سيرين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يمسح مرّتين فريضة،و مرّة سنّة </w:t>
      </w:r>
      <w:r>
        <w:rPr>
          <w:rStyle w:val="FootnoteAnchor"/>
          <w:rtl w:val="true"/>
        </w:rPr>
        <w:footnoteReference w:id="67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الامتثال يقع بواحدة،و الزّيادة تكلّف لم يثبت لها 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رواه الجمهور،عن عبد اللّه بن زيد انّه وصف وضوء رسول اللّه صلّى اللّه عليه و آله،قال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مسح برأسه مرّة واحدة </w:t>
      </w:r>
      <w:r>
        <w:rPr>
          <w:rStyle w:val="FootnoteAnchor"/>
          <w:rtl w:val="true"/>
        </w:rPr>
        <w:footnoteReference w:id="6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رووه،عن عليّ عليه السّلام،و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وضوء النّبيّ صلّى اللّه عليه و آله،من أحبّ أن ينظر إلى طهور رسول اللّه صلّى اللّه عليه و آله فلينظر إلى هذا</w:t>
      </w:r>
      <w:r>
        <w:rPr>
          <w:rFonts w:eastAsia="Amiri" w:cs="Amiri" w:ascii="Amiri" w:hAnsi="Amiri"/>
          <w:color w:val="111111"/>
          <w:sz w:val="28"/>
          <w:szCs w:val="28"/>
          <w:rtl w:val="true"/>
          <w:lang w:bidi="ar-SA"/>
        </w:rPr>
        <w:t xml:space="preserve">) </w:t>
      </w:r>
      <w:r>
        <w:rPr>
          <w:rStyle w:val="FootnoteAnchor"/>
          <w:rtl w:val="true"/>
        </w:rPr>
        <w:footnoteReference w:id="67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التّرمذيّ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حديث حسن صحيح </w:t>
      </w:r>
      <w:r>
        <w:rPr>
          <w:rStyle w:val="FootnoteAnchor"/>
          <w:rtl w:val="true"/>
        </w:rPr>
        <w:footnoteReference w:id="677"/>
      </w:r>
      <w:r>
        <w:rPr>
          <w:rFonts w:eastAsia="Times New Roman" w:cs="Times New Roman" w:ascii="Times New Roman" w:hAnsi="Times New Roman"/>
          <w:color w:val="111111"/>
          <w:sz w:val="28"/>
          <w:szCs w:val="28"/>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كذا وصف عبد اللّه بن أبي أوفى </w:t>
      </w:r>
      <w:r>
        <w:rPr>
          <w:rStyle w:val="FootnoteAnchor"/>
          <w:rtl w:val="true"/>
        </w:rPr>
        <w:footnoteReference w:id="678"/>
      </w:r>
      <w:r>
        <w:rPr>
          <w:rFonts w:ascii="Amiri" w:hAnsi="Amiri" w:eastAsia="Amiri" w:cs="Amiri"/>
          <w:color w:val="111111"/>
          <w:sz w:val="28"/>
          <w:sz w:val="28"/>
          <w:szCs w:val="28"/>
          <w:rtl w:val="true"/>
          <w:lang w:bidi="ar-SA"/>
        </w:rPr>
        <w:t xml:space="preserve">،و ابن عبّاس </w:t>
      </w:r>
      <w:r>
        <w:rPr>
          <w:rStyle w:val="FootnoteAnchor"/>
          <w:rtl w:val="true"/>
        </w:rPr>
        <w:footnoteReference w:id="679"/>
      </w:r>
      <w:r>
        <w:rPr>
          <w:rFonts w:ascii="Amiri" w:hAnsi="Amiri" w:eastAsia="Amiri" w:cs="Amiri"/>
          <w:color w:val="111111"/>
          <w:sz w:val="28"/>
          <w:sz w:val="28"/>
          <w:szCs w:val="28"/>
          <w:rtl w:val="true"/>
          <w:lang w:bidi="ar-SA"/>
        </w:rPr>
        <w:t>،و سلمة بن الأكوع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Style w:val="FootnoteAnchor"/>
          <w:rtl w:val="true"/>
        </w:rPr>
        <w:footnoteReference w:id="680"/>
      </w:r>
      <w:r>
        <w:rPr>
          <w:rFonts w:ascii="Amiri" w:hAnsi="Amiri" w:eastAsia="Amiri" w:cs="Amiri"/>
          <w:color w:val="111111"/>
          <w:sz w:val="28"/>
          <w:sz w:val="28"/>
          <w:szCs w:val="28"/>
          <w:rtl w:val="true"/>
          <w:lang w:bidi="ar-SA"/>
        </w:rPr>
        <w:t>و الرّبيع،كلّهم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مسح مرّة واحدة </w:t>
      </w:r>
      <w:r>
        <w:rPr>
          <w:rStyle w:val="FootnoteAnchor"/>
          <w:rtl w:val="true"/>
        </w:rPr>
        <w:footnoteReference w:id="681"/>
      </w:r>
      <w:r>
        <w:rPr>
          <w:rFonts w:ascii="Amiri" w:hAnsi="Amiri" w:eastAsia="Amiri" w:cs="Amiri"/>
          <w:color w:val="111111"/>
          <w:sz w:val="28"/>
          <w:sz w:val="28"/>
          <w:szCs w:val="28"/>
          <w:rtl w:val="true"/>
          <w:lang w:bidi="ar-SA"/>
        </w:rPr>
        <w:t xml:space="preserve">،و ذلك إخبار عن دوامه </w:t>
      </w:r>
    </w:p>
    <w:p>
      <w:pPr>
        <w:pStyle w:val="BookText"/>
        <w:rPr/>
      </w:pPr>
      <w:r>
        <w:rPr>
          <w:rFonts w:ascii="Amiri" w:hAnsi="Amiri" w:eastAsia="Amiri" w:cs="Amiri"/>
          <w:color w:val="111111"/>
          <w:sz w:val="28"/>
          <w:sz w:val="28"/>
          <w:szCs w:val="28"/>
          <w:rtl w:val="true"/>
          <w:lang w:bidi="ar-SA"/>
        </w:rPr>
        <w:t>و لا يداوم إلاّ على الأفضل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طريق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الشّيخ،عن أبي بصير،عن أبي عبد اللّه عليه السّلام في مسح القدمين و مسح الرّأس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مسح الرّأس واحدة من مقدّم الرّأس و مؤخّره، و مسح القدمين ظاهرهما و باطنهما</w:t>
      </w:r>
      <w:r>
        <w:rPr>
          <w:rFonts w:eastAsia="Amiri" w:cs="Amiri" w:ascii="Amiri" w:hAnsi="Amiri"/>
          <w:color w:val="111111"/>
          <w:sz w:val="28"/>
          <w:szCs w:val="28"/>
          <w:rtl w:val="true"/>
          <w:lang w:bidi="ar-SA"/>
        </w:rPr>
        <w:t xml:space="preserve">» </w:t>
      </w:r>
      <w:r>
        <w:rPr>
          <w:rStyle w:val="FootnoteAnchor"/>
          <w:rtl w:val="true"/>
        </w:rPr>
        <w:footnoteReference w:id="682"/>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مقبلا و مدبرا،و لأنّ أبا جعفر عليه السّلام وصف وضوء رسول اللّه صلّى اللّه عليه و آله،و لم يذكر التّكرار </w:t>
      </w:r>
      <w:r>
        <w:rPr>
          <w:rStyle w:val="FootnoteAnchor"/>
          <w:rtl w:val="true"/>
        </w:rPr>
        <w:footnoteReference w:id="683"/>
      </w:r>
      <w:r>
        <w:rPr>
          <w:rFonts w:ascii="Amiri" w:hAnsi="Amiri" w:eastAsia="Amiri" w:cs="Amiri"/>
          <w:color w:val="111111"/>
          <w:sz w:val="28"/>
          <w:sz w:val="28"/>
          <w:szCs w:val="28"/>
          <w:rtl w:val="true"/>
          <w:lang w:bidi="ar-SA"/>
        </w:rPr>
        <w:t>،و لأنّه مسح في طهارة فلم يسنّ فيه التّكرار كالتّيمّم و الجبيرة</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احتجّوا </w:t>
      </w:r>
      <w:r>
        <w:rPr>
          <w:rStyle w:val="FootnoteAnchor"/>
          <w:rtl w:val="true"/>
        </w:rPr>
        <w:footnoteReference w:id="684"/>
      </w:r>
      <w:r>
        <w:rPr>
          <w:rFonts w:ascii="Amiri" w:hAnsi="Amiri" w:eastAsia="Amiri" w:cs="Amiri"/>
          <w:color w:val="111111"/>
          <w:sz w:val="28"/>
          <w:sz w:val="28"/>
          <w:szCs w:val="28"/>
          <w:rtl w:val="true"/>
          <w:lang w:bidi="ar-SA"/>
        </w:rPr>
        <w:t>بما رواه شقيق بن سلمة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عثمان بن عفّان غسل ذراعيه ثلاثا،و مسح برأسه ثلاثا،ثمَّ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رأيت رسول اللّه صلّى اللّه عليه و آله فعل مثل هذا </w:t>
      </w:r>
      <w:r>
        <w:rPr>
          <w:rStyle w:val="FootnoteAnchor"/>
          <w:rtl w:val="true"/>
        </w:rPr>
        <w:footnoteReference w:id="685"/>
      </w:r>
      <w:r>
        <w:rPr>
          <w:rFonts w:eastAsia="Times New Roman" w:cs="Times New Roman" w:ascii="Times New Roman" w:hAnsi="Times New Roman"/>
          <w:color w:val="111111"/>
          <w:sz w:val="28"/>
          <w:szCs w:val="28"/>
          <w:rtl w:val="true"/>
          <w:lang w:val="en-US" w:bidi="en-US"/>
        </w:rPr>
        <w:t xml:space="preserve">. </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روى عليّ عليه السّلام </w:t>
      </w:r>
      <w:r>
        <w:rPr>
          <w:rStyle w:val="FootnoteAnchor"/>
          <w:rtl w:val="true"/>
        </w:rPr>
        <w:footnoteReference w:id="686"/>
      </w:r>
      <w:r>
        <w:rPr>
          <w:rFonts w:ascii="IRNazanin" w:hAnsi="IRNazanin" w:eastAsia="IRNazanin"/>
          <w:color w:val="111111"/>
          <w:sz w:val="28"/>
          <w:sz w:val="28"/>
          <w:szCs w:val="28"/>
          <w:rtl w:val="true"/>
          <w:lang w:bidi="fa-IR"/>
        </w:rPr>
        <w:t xml:space="preserve">،و عثمان </w:t>
      </w:r>
      <w:r>
        <w:rPr>
          <w:rStyle w:val="FootnoteAnchor"/>
          <w:rtl w:val="true"/>
        </w:rPr>
        <w:footnoteReference w:id="687"/>
      </w:r>
      <w:r>
        <w:rPr>
          <w:rFonts w:ascii="IRNazanin" w:hAnsi="IRNazanin" w:eastAsia="IRNazanin"/>
          <w:color w:val="111111"/>
          <w:sz w:val="28"/>
          <w:sz w:val="28"/>
          <w:szCs w:val="28"/>
          <w:rtl w:val="true"/>
          <w:lang w:bidi="fa-IR"/>
        </w:rPr>
        <w:t xml:space="preserve">،و ابن عمر </w:t>
      </w:r>
      <w:r>
        <w:rPr>
          <w:rStyle w:val="FootnoteAnchor"/>
          <w:rtl w:val="true"/>
        </w:rPr>
        <w:footnoteReference w:id="688"/>
      </w:r>
      <w:r>
        <w:rPr>
          <w:rFonts w:ascii="Amiri" w:hAnsi="Amiri" w:eastAsia="Amiri" w:cs="Amiri"/>
          <w:color w:val="111111"/>
          <w:sz w:val="28"/>
          <w:sz w:val="28"/>
          <w:szCs w:val="28"/>
          <w:rtl w:val="true"/>
          <w:lang w:bidi="ar-SA"/>
        </w:rPr>
        <w:t xml:space="preserve">،و أبو هريرة </w:t>
      </w:r>
      <w:r>
        <w:rPr>
          <w:rStyle w:val="FootnoteAnchor"/>
          <w:rtl w:val="true"/>
        </w:rPr>
        <w:footnoteReference w:id="689"/>
      </w:r>
      <w:r>
        <w:rPr>
          <w:rFonts w:ascii="Amiri" w:hAnsi="Amiri" w:eastAsia="Amiri" w:cs="Amiri"/>
          <w:color w:val="111111"/>
          <w:sz w:val="28"/>
          <w:sz w:val="28"/>
          <w:szCs w:val="28"/>
          <w:rtl w:val="true"/>
          <w:lang w:bidi="ar-SA"/>
        </w:rPr>
        <w:t xml:space="preserve">، و عبد اللّه بن أبي أوفى </w:t>
      </w:r>
      <w:r>
        <w:rPr>
          <w:rStyle w:val="FootnoteAnchor"/>
          <w:rtl w:val="true"/>
        </w:rPr>
        <w:footnoteReference w:id="690"/>
      </w:r>
      <w:r>
        <w:rPr>
          <w:rFonts w:ascii="Amiri" w:hAnsi="Amiri" w:eastAsia="Amiri" w:cs="Amiri"/>
          <w:color w:val="111111"/>
          <w:sz w:val="28"/>
          <w:sz w:val="28"/>
          <w:szCs w:val="28"/>
          <w:rtl w:val="true"/>
          <w:lang w:bidi="ar-SA"/>
        </w:rPr>
        <w:t>،و أبو مالك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Style w:val="FootnoteAnchor"/>
          <w:rtl w:val="true"/>
        </w:rPr>
        <w:footnoteReference w:id="691"/>
      </w:r>
      <w:r>
        <w:rPr>
          <w:rFonts w:ascii="Amiri" w:hAnsi="Amiri" w:eastAsia="Amiri" w:cs="Amiri"/>
          <w:color w:val="111111"/>
          <w:sz w:val="28"/>
          <w:sz w:val="28"/>
          <w:szCs w:val="28"/>
          <w:rtl w:val="true"/>
          <w:lang w:bidi="ar-SA"/>
        </w:rPr>
        <w:t xml:space="preserve">،و الرّبيع </w:t>
      </w:r>
      <w:r>
        <w:rPr>
          <w:rStyle w:val="FootnoteAnchor"/>
          <w:rtl w:val="true"/>
        </w:rPr>
        <w:footnoteReference w:id="692"/>
      </w:r>
      <w:r>
        <w:rPr>
          <w:rFonts w:ascii="Amiri" w:hAnsi="Amiri" w:eastAsia="Amiri" w:cs="Amiri"/>
          <w:color w:val="111111"/>
          <w:sz w:val="28"/>
          <w:sz w:val="28"/>
          <w:szCs w:val="28"/>
          <w:rtl w:val="true"/>
          <w:lang w:bidi="ar-SA"/>
        </w:rPr>
        <w:t>،و أبيّ بن كعب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رسول اللّه صلّى اللّه عليه و آله توضّأ ثلاثا </w:t>
      </w:r>
      <w:r>
        <w:rPr>
          <w:rStyle w:val="FootnoteAnchor"/>
          <w:rtl w:val="true"/>
        </w:rPr>
        <w:footnoteReference w:id="693"/>
      </w:r>
      <w:r>
        <w:rPr>
          <w:rFonts w:ascii="Amiri" w:hAnsi="Amiri" w:eastAsia="Amiri" w:cs="Amiri"/>
          <w:color w:val="111111"/>
          <w:sz w:val="28"/>
          <w:sz w:val="28"/>
          <w:szCs w:val="28"/>
          <w:rtl w:val="true"/>
          <w:lang w:bidi="ar-SA"/>
        </w:rPr>
        <w:t xml:space="preserve">ثلاثا،و لأنّ الرّأس أصل في الطّهارة فيسنّ فيه </w:t>
      </w:r>
      <w:bookmarkStart w:id="392" w:name="pg12669_112919"/>
    </w:p>
    <w:p>
      <w:pPr>
        <w:pStyle w:val="BookText"/>
        <w:rPr/>
      </w:pPr>
      <w:bookmarkEnd w:id="392"/>
      <w:r>
        <w:rPr>
          <w:rFonts w:ascii="Amiri" w:hAnsi="Amiri" w:eastAsia="Amiri" w:cs="Amiri"/>
          <w:color w:val="111111"/>
          <w:sz w:val="28"/>
          <w:sz w:val="28"/>
          <w:szCs w:val="28"/>
          <w:rtl w:val="true"/>
          <w:lang w:bidi="ar-SA"/>
        </w:rPr>
        <w:t>التّكرار كالوجه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 عن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أصحاب الحديث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أحاديث عثمان الصّحيحة كلّها تدلّ على انّ مسح الرّأس مرّة،فإنّهم ذكروا الوضوء ثلاثا ثلاثا و قالوا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مسح رأسه و لم يذكروا عددا،و ما ذكروه من الأحاديث،عن النّبيّ صلّى اللّه عليه و آله انّه توضّأ ثلاثا ثلاثا،أرادوا بها ما عدا المسح،فإنّ رواتها لمّا فصّلوا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مسح برأسه مرّة واحدة </w:t>
      </w:r>
      <w:r>
        <w:rPr>
          <w:rStyle w:val="FootnoteAnchor"/>
          <w:rtl w:val="true"/>
        </w:rPr>
        <w:footnoteReference w:id="694"/>
      </w:r>
      <w:r>
        <w:rPr>
          <w:rFonts w:ascii="Amiri" w:hAnsi="Amiri" w:eastAsia="Amiri" w:cs="Amiri"/>
          <w:color w:val="111111"/>
          <w:sz w:val="28"/>
          <w:sz w:val="28"/>
          <w:szCs w:val="28"/>
          <w:rtl w:val="true"/>
          <w:lang w:bidi="ar-SA"/>
        </w:rPr>
        <w:t>،و التّفصيل يحمل عليه الإجمال،و يكون تفسيرا لا معارضا،و قياسهم منقوض بالتّيمّم</w:t>
      </w:r>
      <w:r>
        <w:rPr>
          <w:rFonts w:eastAsia="Amiri" w:cs="Amiri" w:ascii="Amiri" w:hAnsi="Amiri"/>
          <w:color w:val="111111"/>
          <w:sz w:val="28"/>
          <w:szCs w:val="28"/>
          <w:rtl w:val="true"/>
          <w:lang w:bidi="ar-SA"/>
        </w:rPr>
        <w:t>.</w:t>
      </w:r>
    </w:p>
    <w:p>
      <w:pPr>
        <w:pStyle w:val="Heading3"/>
        <w:numPr>
          <w:ilvl w:val="2"/>
          <w:numId w:val="1"/>
        </w:numPr>
        <w:rPr/>
      </w:pPr>
      <w:bookmarkStart w:id="393" w:name="__RefHeading___Toc795445_222507752"/>
      <w:bookmarkStart w:id="394" w:name="_Toc162"/>
      <w:bookmarkEnd w:id="393"/>
      <w:r>
        <w:rPr>
          <w:rtl w:val="true"/>
        </w:rPr>
        <w:t>مسألة</w:t>
      </w:r>
      <w:r>
        <w:rPr>
          <w:rtl w:val="true"/>
        </w:rPr>
        <w:t>:</w:t>
      </w:r>
      <w:r>
        <w:rPr>
          <w:rtl w:val="true"/>
        </w:rPr>
        <w:t>كلّ ما يمنع من وصول الماء إلى البشرة وجب تحريكه</w:t>
      </w:r>
      <w:bookmarkEnd w:id="394"/>
    </w:p>
    <w:p>
      <w:pPr>
        <w:pStyle w:val="BookText"/>
        <w:rPr/>
      </w:pPr>
      <w:r>
        <w:rPr>
          <w:rFonts w:ascii="Amiri" w:hAnsi="Amiri" w:eastAsia="Amiri" w:cs="Amiri"/>
          <w:color w:val="111111"/>
          <w:sz w:val="28"/>
          <w:sz w:val="28"/>
          <w:szCs w:val="28"/>
          <w:rtl w:val="true"/>
          <w:lang w:bidi="ar-SA"/>
        </w:rPr>
        <w:t>ليصل،فإن لم يكف فيه وجب نزعه،لأنّ الغسل تعلّق بموضع الفرض لا بالحائل فمتى لم يمكن إلاّ بالتّحريك أو الإزالة وجب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رواه الشّيخ في الصّحيح،عن عليّ بن جعفر،عن أخيه موسى بن جعفر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الرّجل عليه الخاتم الضيّق لا يدري هل يجري الماء تحته أم لا كيف يصنع؟قال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علم انّ الماء لا يدخله فليخرجه إذا توضّأ</w:t>
      </w:r>
      <w:r>
        <w:rPr>
          <w:rFonts w:eastAsia="Amiri" w:cs="Amiri" w:ascii="Amiri" w:hAnsi="Amiri"/>
          <w:color w:val="111111"/>
          <w:sz w:val="28"/>
          <w:szCs w:val="28"/>
          <w:rtl w:val="true"/>
          <w:lang w:bidi="ar-SA"/>
        </w:rPr>
        <w:t xml:space="preserve">» </w:t>
      </w:r>
      <w:r>
        <w:rPr>
          <w:rStyle w:val="FootnoteAnchor"/>
          <w:rtl w:val="true"/>
        </w:rPr>
        <w:footnoteReference w:id="695"/>
      </w: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في الصّحيح،عن عليّ بن جعفر،عن أخيه موسى بن جعفر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المرأة عليها السّوار و الدّملج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بعض ذراعها لا تدري هل يجري الماء تحته أم لا كيف تصنع إذا توضّأت أو اغتسلت؟قال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تحرّكه حتّى يدخل الماء تحته أو ننزعه</w:t>
      </w:r>
      <w:r>
        <w:rPr>
          <w:rFonts w:eastAsia="Amiri" w:cs="Amiri" w:ascii="Amiri" w:hAnsi="Amiri"/>
          <w:color w:val="111111"/>
          <w:sz w:val="28"/>
          <w:szCs w:val="28"/>
          <w:rtl w:val="true"/>
          <w:lang w:bidi="ar-SA"/>
        </w:rPr>
        <w:t xml:space="preserve">» </w:t>
      </w:r>
      <w:r>
        <w:rPr>
          <w:rStyle w:val="FootnoteAnchor"/>
          <w:rtl w:val="true"/>
        </w:rPr>
        <w:footnoteReference w:id="696"/>
      </w:r>
      <w:r>
        <w:rPr>
          <w:rFonts w:ascii="Amiri" w:hAnsi="Amiri" w:eastAsia="Amiri" w:cs="Amiri"/>
          <w:color w:val="111111"/>
          <w:sz w:val="28"/>
          <w:sz w:val="28"/>
          <w:szCs w:val="28"/>
          <w:rtl w:val="true"/>
          <w:lang w:bidi="ar-SA"/>
        </w:rPr>
        <w:t>و يستحبّ مع عدم المنع التّحرّك،طلبا للاستظهار</w:t>
      </w:r>
      <w:r>
        <w:rPr>
          <w:rFonts w:eastAsia="Amiri" w:cs="Amiri" w:ascii="Amiri" w:hAnsi="Amiri"/>
          <w:color w:val="111111"/>
          <w:sz w:val="28"/>
          <w:szCs w:val="28"/>
          <w:rtl w:val="true"/>
          <w:lang w:bidi="ar-SA"/>
        </w:rPr>
        <w:t xml:space="preserve">. </w:t>
      </w:r>
      <w:bookmarkStart w:id="395" w:name="pg12669_112920"/>
    </w:p>
    <w:p>
      <w:pPr>
        <w:pStyle w:val="Heading3"/>
        <w:numPr>
          <w:ilvl w:val="2"/>
          <w:numId w:val="1"/>
        </w:numPr>
        <w:rPr/>
      </w:pPr>
      <w:bookmarkStart w:id="396" w:name="__RefHeading___Toc795447_222507752"/>
      <w:bookmarkStart w:id="397" w:name="_Toc163"/>
      <w:bookmarkEnd w:id="395"/>
      <w:bookmarkEnd w:id="396"/>
      <w:r>
        <w:rPr>
          <w:rtl w:val="true"/>
        </w:rPr>
        <w:t>مسألة</w:t>
      </w:r>
      <w:r>
        <w:rPr>
          <w:rtl w:val="true"/>
        </w:rPr>
        <w:t>:</w:t>
      </w:r>
      <w:r>
        <w:rPr>
          <w:rtl w:val="true"/>
        </w:rPr>
        <w:t>و الجبائر تنزع مع المكنة،</w:t>
      </w:r>
      <w:bookmarkEnd w:id="397"/>
    </w:p>
    <w:p>
      <w:pPr>
        <w:pStyle w:val="Heading4"/>
        <w:numPr>
          <w:ilvl w:val="3"/>
          <w:numId w:val="1"/>
        </w:numPr>
        <w:rPr/>
      </w:pPr>
      <w:bookmarkStart w:id="398" w:name="__RefHeading___Toc795449_222507752"/>
      <w:bookmarkStart w:id="399" w:name="_Toc164"/>
      <w:bookmarkEnd w:id="398"/>
      <w:r>
        <w:rPr>
          <w:rtl w:val="true"/>
        </w:rPr>
        <w:t>اشارة</w:t>
      </w:r>
      <w:bookmarkEnd w:id="399"/>
    </w:p>
    <w:p>
      <w:pPr>
        <w:pStyle w:val="BookText"/>
        <w:rPr/>
      </w:pPr>
      <w:r>
        <w:rPr>
          <w:rFonts w:ascii="Amiri" w:hAnsi="Amiri" w:eastAsia="Amiri" w:cs="Amiri"/>
          <w:color w:val="111111"/>
          <w:sz w:val="28"/>
          <w:sz w:val="28"/>
          <w:szCs w:val="28"/>
          <w:rtl w:val="true"/>
          <w:lang w:bidi="ar-SA"/>
        </w:rPr>
        <w:t>و إلاّ مسح عليها و أجزأ عن الغسل،و كذا العصائب الّتي يعصب بها الجرح و الكسر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مذهب علمائنا أجمع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ممّن رأى المسح على العصائب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عمر،و عبيد بن عمير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عطاء </w:t>
      </w:r>
      <w:r>
        <w:rPr>
          <w:rStyle w:val="FootnoteAnchor"/>
          <w:rtl w:val="true"/>
        </w:rPr>
        <w:footnoteReference w:id="69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أجاز المسح على الجبائر الحسن،و النّخعي </w:t>
      </w:r>
      <w:r>
        <w:rPr>
          <w:rStyle w:val="FootnoteAnchor"/>
          <w:rtl w:val="true"/>
        </w:rPr>
        <w:footnoteReference w:id="698"/>
      </w:r>
      <w:r>
        <w:rPr>
          <w:rFonts w:ascii="Amiri" w:hAnsi="Amiri" w:eastAsia="Amiri" w:cs="Amiri"/>
          <w:color w:val="111111"/>
          <w:sz w:val="28"/>
          <w:sz w:val="28"/>
          <w:szCs w:val="28"/>
          <w:rtl w:val="true"/>
          <w:lang w:bidi="ar-SA"/>
        </w:rPr>
        <w:t xml:space="preserve">،و مالك </w:t>
      </w:r>
      <w:r>
        <w:rPr>
          <w:rStyle w:val="FootnoteAnchor"/>
          <w:rtl w:val="true"/>
        </w:rPr>
        <w:footnoteReference w:id="699"/>
      </w:r>
      <w:r>
        <w:rPr>
          <w:rFonts w:ascii="IRNazanin" w:hAnsi="IRNazanin" w:eastAsia="IRNazanin"/>
          <w:color w:val="111111"/>
          <w:sz w:val="28"/>
          <w:sz w:val="28"/>
          <w:szCs w:val="28"/>
          <w:rtl w:val="true"/>
          <w:lang w:bidi="fa-IR"/>
        </w:rPr>
        <w:t xml:space="preserve">،و إسحاق </w:t>
      </w:r>
      <w:r>
        <w:rPr>
          <w:rStyle w:val="FootnoteAnchor"/>
          <w:rtl w:val="true"/>
        </w:rPr>
        <w:footnoteReference w:id="700"/>
      </w:r>
      <w:r>
        <w:rPr>
          <w:rFonts w:ascii="Amiri" w:hAnsi="Amiri" w:eastAsia="Amiri" w:cs="Amiri"/>
          <w:color w:val="111111"/>
          <w:sz w:val="28"/>
          <w:sz w:val="28"/>
          <w:szCs w:val="28"/>
          <w:rtl w:val="true"/>
          <w:lang w:bidi="ar-SA"/>
        </w:rPr>
        <w:t xml:space="preserve">،و المزني </w:t>
      </w:r>
      <w:r>
        <w:rPr>
          <w:rStyle w:val="FootnoteAnchor"/>
          <w:rtl w:val="true"/>
        </w:rPr>
        <w:footnoteReference w:id="701"/>
      </w:r>
      <w:r>
        <w:rPr>
          <w:rFonts w:ascii="IRNazanin" w:hAnsi="IRNazanin" w:eastAsia="IRNazanin"/>
          <w:color w:val="111111"/>
          <w:sz w:val="28"/>
          <w:sz w:val="28"/>
          <w:szCs w:val="28"/>
          <w:rtl w:val="true"/>
          <w:lang w:bidi="fa-IR"/>
        </w:rPr>
        <w:t xml:space="preserve">،و أبو ثور </w:t>
      </w:r>
      <w:r>
        <w:rPr>
          <w:rStyle w:val="FootnoteAnchor"/>
          <w:rtl w:val="true"/>
        </w:rPr>
        <w:footnoteReference w:id="702"/>
      </w:r>
      <w:r>
        <w:rPr>
          <w:rFonts w:ascii="Amiri" w:hAnsi="Amiri" w:eastAsia="Amiri" w:cs="Amiri"/>
          <w:color w:val="111111"/>
          <w:sz w:val="28"/>
          <w:sz w:val="28"/>
          <w:szCs w:val="28"/>
          <w:rtl w:val="true"/>
          <w:lang w:bidi="ar-SA"/>
        </w:rPr>
        <w:t xml:space="preserve">،و أبو حنيفة </w:t>
      </w:r>
      <w:r>
        <w:rPr>
          <w:rStyle w:val="FootnoteAnchor"/>
          <w:rtl w:val="true"/>
        </w:rPr>
        <w:footnoteReference w:id="70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الشّافعيّ في أحد قوليه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يعيد كلّ صلاة صلاّها </w:t>
      </w:r>
      <w:r>
        <w:rPr>
          <w:rStyle w:val="FootnoteAnchor"/>
          <w:rtl w:val="true"/>
        </w:rPr>
        <w:footnoteReference w:id="7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الجمهور،عن عليّ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انكسرت إحدى يديّ فأمرني النّبيّ صلّى اللّه عليه و آله أن أمسح على الجبائر</w:t>
      </w:r>
      <w:r>
        <w:rPr>
          <w:rFonts w:eastAsia="Amiri" w:cs="Amiri" w:ascii="Amiri" w:hAnsi="Amiri"/>
          <w:color w:val="111111"/>
          <w:sz w:val="28"/>
          <w:szCs w:val="28"/>
          <w:rtl w:val="true"/>
          <w:lang w:bidi="ar-SA"/>
        </w:rPr>
        <w:t xml:space="preserve">) </w:t>
      </w:r>
      <w:r>
        <w:rPr>
          <w:rStyle w:val="FootnoteAnchor"/>
          <w:rtl w:val="true"/>
        </w:rPr>
        <w:footnoteReference w:id="705"/>
      </w: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طريق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 في الصّحيح،عن عبد الرّحمن بن الحجّاج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الحسن عليه السّلام عن الكسير يكون عليه الجبائر أو تكون به الجراحة كيف يصنع بالوضوء و عند غسل الجنابة و غسل الجمعة؟فقال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يغسل ما وصل إليه الغسل ممّا ظهر ممّا ليس عليه الجبائر،و يدع ما سوى ذلك ممّا لا يستطيع غسله،و لا ينزع الجبائر،و يعبث بجراحته</w:t>
      </w:r>
      <w:r>
        <w:rPr>
          <w:rFonts w:eastAsia="Amiri" w:cs="Amiri" w:ascii="Amiri" w:hAnsi="Amiri"/>
          <w:color w:val="111111"/>
          <w:sz w:val="28"/>
          <w:szCs w:val="28"/>
          <w:rtl w:val="true"/>
          <w:lang w:bidi="ar-SA"/>
        </w:rPr>
        <w:t xml:space="preserve">» </w:t>
      </w:r>
      <w:r>
        <w:rPr>
          <w:rStyle w:val="FootnoteAnchor"/>
          <w:rtl w:val="true"/>
        </w:rPr>
        <w:footnoteReference w:id="7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في الحسن،عن الحلبيّ،عن أبي عبد اللّه عليه السّلام انّه سئل عن الرّجل يكون به القرحة في ذراعه أو نحو ذلك في موضع الوضوء فيعصبها بالخرقة و يتوضّأ و يمسح عليها إذا توضّأ؟فقال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يؤذيه الماء فليمسح على الخرقة،و إن كان لا يؤذيه الماء فلينزع الخرقة ثمَّ ليغسلها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سألته عن الجرح كيف يصنع به في غسله؟قال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اغسل ما حوله</w:t>
      </w:r>
      <w:r>
        <w:rPr>
          <w:rFonts w:eastAsia="IRNazanin" w:cs="IRNazanin"/>
          <w:color w:val="111111"/>
          <w:sz w:val="28"/>
          <w:szCs w:val="28"/>
          <w:rtl w:val="true"/>
          <w:lang w:bidi="fa-IR"/>
        </w:rPr>
        <w:t xml:space="preserve">» </w:t>
      </w:r>
      <w:r>
        <w:rPr>
          <w:rStyle w:val="FootnoteAnchor"/>
          <w:rtl w:val="true"/>
        </w:rPr>
        <w:footnoteReference w:id="7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في الصّحيح،عن محمّد بن مسلم،عن أبي جعفر عليه السّلام،قال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سألته عن الجنب به الجرح فيتخوّف الماء إن أصابه؟قال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يغسله إن خشي على نفسه</w:t>
      </w:r>
      <w:r>
        <w:rPr>
          <w:rFonts w:eastAsia="Amiri" w:cs="Amiri" w:ascii="Amiri" w:hAnsi="Amiri"/>
          <w:color w:val="111111"/>
          <w:sz w:val="28"/>
          <w:szCs w:val="28"/>
          <w:rtl w:val="true"/>
          <w:lang w:bidi="ar-SA"/>
        </w:rPr>
        <w:t xml:space="preserve">» </w:t>
      </w:r>
      <w:r>
        <w:rPr>
          <w:rStyle w:val="FootnoteAnchor"/>
          <w:rtl w:val="true"/>
        </w:rPr>
        <w:footnoteReference w:id="7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في الصّحيح،عن الحسن بن عليّ الوشّاء،قال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الحسن عليه السّلام عن الدّواء إذا كان على يدي الرّجل أ يجزيه أن يمسح على طلي الدّواء؟فقال</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نعم،يجزيه أن يمسح عليه</w:t>
      </w:r>
      <w:r>
        <w:rPr>
          <w:rFonts w:eastAsia="Amiri" w:cs="Amiri" w:ascii="Amiri" w:hAnsi="Amiri"/>
          <w:color w:val="111111"/>
          <w:sz w:val="28"/>
          <w:szCs w:val="28"/>
          <w:rtl w:val="true"/>
          <w:lang w:bidi="ar-SA"/>
        </w:rPr>
        <w:t xml:space="preserve">» </w:t>
      </w:r>
      <w:r>
        <w:rPr>
          <w:rStyle w:val="FootnoteAnchor"/>
          <w:rtl w:val="true"/>
        </w:rPr>
        <w:footnoteReference w:id="709"/>
      </w:r>
      <w:r>
        <w:rPr>
          <w:rFonts w:ascii="Amiri" w:hAnsi="Amiri" w:eastAsia="Amiri" w:cs="Amiri"/>
          <w:color w:val="111111"/>
          <w:sz w:val="28"/>
          <w:sz w:val="28"/>
          <w:szCs w:val="28"/>
          <w:rtl w:val="true"/>
          <w:lang w:bidi="ar-SA"/>
        </w:rPr>
        <w:t>و لأنّ تكليف النّزع و إصابة الموضع بالماء مع الضّرر حرج،فيكون منفيّا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 الشّافعيّ باطل،لما بيّنّاه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لأنّه مسح على حائل أبيح له </w:t>
      </w:r>
      <w:bookmarkStart w:id="400" w:name="pg12669_112922"/>
    </w:p>
    <w:p>
      <w:pPr>
        <w:pStyle w:val="BookText"/>
        <w:rPr/>
      </w:pPr>
      <w:bookmarkEnd w:id="400"/>
      <w:r>
        <w:rPr>
          <w:rFonts w:ascii="Amiri" w:hAnsi="Amiri" w:eastAsia="Amiri" w:cs="Amiri"/>
          <w:color w:val="111111"/>
          <w:sz w:val="28"/>
          <w:sz w:val="28"/>
          <w:szCs w:val="28"/>
          <w:rtl w:val="true"/>
          <w:lang w:bidi="ar-SA"/>
        </w:rPr>
        <w:t xml:space="preserve">المسح عليه فلم يجب معه الإعادة،كالمسح على الخفّ عنده </w:t>
      </w:r>
      <w:r>
        <w:rPr>
          <w:rStyle w:val="FootnoteAnchor"/>
          <w:rtl w:val="true"/>
        </w:rPr>
        <w:footnoteReference w:id="71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لأنّها صلاة مأمور بها فيجب الإجزاء</w:t>
      </w:r>
      <w:r>
        <w:rPr>
          <w:rFonts w:eastAsia="Amiri" w:cs="Amiri" w:ascii="Amiri" w:hAnsi="Amiri"/>
          <w:color w:val="111111"/>
          <w:sz w:val="28"/>
          <w:szCs w:val="28"/>
          <w:rtl w:val="true"/>
          <w:lang w:bidi="ar-SA"/>
        </w:rPr>
        <w:t>.</w:t>
      </w:r>
    </w:p>
    <w:p>
      <w:pPr>
        <w:pStyle w:val="Heading4"/>
        <w:numPr>
          <w:ilvl w:val="3"/>
          <w:numId w:val="1"/>
        </w:numPr>
        <w:rPr/>
      </w:pPr>
      <w:bookmarkStart w:id="401" w:name="__RefHeading___Toc795451_222507752"/>
      <w:bookmarkStart w:id="402" w:name="_Toc165"/>
      <w:bookmarkEnd w:id="401"/>
      <w:r>
        <w:rPr>
          <w:rtl w:val="true"/>
        </w:rPr>
        <w:t>فروع</w:t>
      </w:r>
      <w:r>
        <w:rPr>
          <w:rtl w:val="true"/>
        </w:rPr>
        <w:t>:</w:t>
      </w:r>
      <w:bookmarkEnd w:id="402"/>
    </w:p>
    <w:p>
      <w:pPr>
        <w:pStyle w:val="Heading5"/>
        <w:numPr>
          <w:ilvl w:val="4"/>
          <w:numId w:val="1"/>
        </w:numPr>
        <w:rPr/>
      </w:pPr>
      <w:bookmarkStart w:id="403" w:name="__RefHeading___Toc795453_222507752"/>
      <w:bookmarkStart w:id="404" w:name="_Toc166"/>
      <w:bookmarkEnd w:id="403"/>
      <w:r>
        <w:rPr>
          <w:rtl w:val="true"/>
        </w:rPr>
        <w:t>الأوّل</w:t>
      </w:r>
      <w:r>
        <w:rPr>
          <w:rtl w:val="true"/>
        </w:rPr>
        <w:t>:</w:t>
      </w:r>
      <w:r>
        <w:rPr>
          <w:rtl w:val="true"/>
        </w:rPr>
        <w:t>لو كانت الجبيرة مستوعبة لمحلّ الفرض،مسح عليها</w:t>
      </w:r>
      <w:bookmarkEnd w:id="404"/>
    </w:p>
    <w:p>
      <w:pPr>
        <w:pStyle w:val="BookText"/>
        <w:rPr/>
      </w:pPr>
      <w:r>
        <w:rPr>
          <w:rFonts w:ascii="IRNazanin" w:hAnsi="IRNazanin" w:eastAsia="IRNazanin"/>
          <w:color w:val="111111"/>
          <w:sz w:val="28"/>
          <w:sz w:val="28"/>
          <w:szCs w:val="28"/>
          <w:rtl w:val="true"/>
          <w:lang w:bidi="fa-IR"/>
        </w:rPr>
        <w:t>أجمع،و لو خرجت عنه مسح ما حاذى محلّ الفرض</w:t>
      </w:r>
      <w:r>
        <w:rPr>
          <w:rFonts w:eastAsia="IRNazanin" w:cs="IRNazanin"/>
          <w:color w:val="111111"/>
          <w:sz w:val="28"/>
          <w:szCs w:val="28"/>
          <w:rtl w:val="true"/>
          <w:lang w:bidi="fa-IR"/>
        </w:rPr>
        <w:t>.</w:t>
      </w:r>
    </w:p>
    <w:p>
      <w:pPr>
        <w:pStyle w:val="Heading5"/>
        <w:numPr>
          <w:ilvl w:val="4"/>
          <w:numId w:val="1"/>
        </w:numPr>
        <w:rPr/>
      </w:pPr>
      <w:bookmarkStart w:id="405" w:name="__RefHeading___Toc795455_222507752"/>
      <w:bookmarkStart w:id="406" w:name="_Toc167"/>
      <w:bookmarkEnd w:id="405"/>
      <w:r>
        <w:rPr>
          <w:rtl w:val="true"/>
        </w:rPr>
        <w:t>الثّاني</w:t>
      </w:r>
      <w:r>
        <w:rPr>
          <w:rtl w:val="true"/>
        </w:rPr>
        <w:t>:</w:t>
      </w:r>
      <w:r>
        <w:rPr>
          <w:rtl w:val="true"/>
        </w:rPr>
        <w:t>الجبيرة إنّما توضع على طرفي الصّحيح</w:t>
      </w:r>
      <w:bookmarkEnd w:id="406"/>
    </w:p>
    <w:p>
      <w:pPr>
        <w:pStyle w:val="BookText"/>
        <w:rPr/>
      </w:pPr>
      <w:r>
        <w:rPr>
          <w:rFonts w:ascii="Amiri" w:hAnsi="Amiri" w:eastAsia="Amiri" w:cs="Amiri"/>
          <w:color w:val="111111"/>
          <w:sz w:val="28"/>
          <w:sz w:val="28"/>
          <w:szCs w:val="28"/>
          <w:rtl w:val="true"/>
          <w:lang w:bidi="ar-SA"/>
        </w:rPr>
        <w:t>ليرجع الكسر،فلو تجاوز الكسر بما لا بدّ منه،جاز المسح،أمّا لو تجاوز بما منه بدّ،فالوجه عدم الجواز،لأنّه إذا شدّها على مكان يستغني عن شدّها عليه،كان تاركا لغسل ما يمكن غسله،فلم يجز،كما لو شدّها على الصّحيح</w:t>
      </w:r>
      <w:r>
        <w:rPr>
          <w:rFonts w:eastAsia="Amiri" w:cs="Amiri" w:ascii="Amiri" w:hAnsi="Amiri"/>
          <w:color w:val="111111"/>
          <w:sz w:val="28"/>
          <w:szCs w:val="28"/>
          <w:rtl w:val="true"/>
          <w:lang w:bidi="ar-SA"/>
        </w:rPr>
        <w:t>.</w:t>
      </w:r>
    </w:p>
    <w:p>
      <w:pPr>
        <w:pStyle w:val="Heading5"/>
        <w:numPr>
          <w:ilvl w:val="4"/>
          <w:numId w:val="1"/>
        </w:numPr>
        <w:rPr/>
      </w:pPr>
      <w:bookmarkStart w:id="407" w:name="__RefHeading___Toc795457_222507752"/>
      <w:bookmarkStart w:id="408" w:name="_Toc168"/>
      <w:bookmarkEnd w:id="407"/>
      <w:r>
        <w:rPr>
          <w:rtl w:val="true"/>
        </w:rPr>
        <w:t>الثّالث</w:t>
      </w:r>
      <w:r>
        <w:rPr>
          <w:rtl w:val="true"/>
        </w:rPr>
        <w:t>:</w:t>
      </w:r>
      <w:r>
        <w:rPr>
          <w:rtl w:val="true"/>
        </w:rPr>
        <w:t>لا توقيت في المسح على الجبيرة</w:t>
      </w:r>
      <w:r>
        <w:rPr>
          <w:rtl w:val="true"/>
        </w:rPr>
        <w:t>.</w:t>
      </w:r>
      <w:bookmarkEnd w:id="408"/>
    </w:p>
    <w:p>
      <w:pPr>
        <w:pStyle w:val="BookText"/>
        <w:rPr/>
      </w:pPr>
      <w:r>
        <w:rPr>
          <w:rFonts w:ascii="Amiri" w:hAnsi="Amiri" w:eastAsia="Amiri" w:cs="Amiri"/>
          <w:color w:val="111111"/>
          <w:sz w:val="28"/>
          <w:sz w:val="28"/>
          <w:szCs w:val="28"/>
          <w:rtl w:val="true"/>
          <w:lang w:bidi="ar-SA"/>
        </w:rPr>
        <w:t>و هو قول أهل العلم،لأنّ مسحها للضّرورة فيتقدّر بقدرها،و الضّرورة تدعو إلى مسحها إلى حلّها،فيتقدّر بذلك دون غيره</w:t>
      </w:r>
      <w:r>
        <w:rPr>
          <w:rFonts w:eastAsia="Amiri" w:cs="Amiri" w:ascii="Amiri" w:hAnsi="Amiri"/>
          <w:color w:val="111111"/>
          <w:sz w:val="28"/>
          <w:szCs w:val="28"/>
          <w:rtl w:val="true"/>
          <w:lang w:bidi="ar-SA"/>
        </w:rPr>
        <w:t>.</w:t>
      </w:r>
    </w:p>
    <w:p>
      <w:pPr>
        <w:pStyle w:val="Heading5"/>
        <w:numPr>
          <w:ilvl w:val="4"/>
          <w:numId w:val="1"/>
        </w:numPr>
        <w:rPr/>
      </w:pPr>
      <w:bookmarkStart w:id="409" w:name="__RefHeading___Toc795459_222507752"/>
      <w:bookmarkStart w:id="410" w:name="_Toc169"/>
      <w:bookmarkEnd w:id="409"/>
      <w:r>
        <w:rPr>
          <w:rtl w:val="true"/>
        </w:rPr>
        <w:t>الرّابع</w:t>
      </w:r>
      <w:r>
        <w:rPr>
          <w:rtl w:val="true"/>
        </w:rPr>
        <w:t>:</w:t>
      </w:r>
      <w:r>
        <w:rPr>
          <w:rtl w:val="true"/>
        </w:rPr>
        <w:t>لا فرق في المسح عليها بين الطّهارة الكبرى و الصّغرى</w:t>
      </w:r>
      <w:r>
        <w:rPr>
          <w:rtl w:val="true"/>
        </w:rPr>
        <w:t>.</w:t>
      </w:r>
      <w:bookmarkEnd w:id="410"/>
    </w:p>
    <w:p>
      <w:pPr>
        <w:pStyle w:val="BookText"/>
        <w:rPr/>
      </w:pPr>
      <w:r>
        <w:rPr>
          <w:rFonts w:ascii="Amiri" w:hAnsi="Amiri" w:eastAsia="Amiri" w:cs="Amiri"/>
          <w:color w:val="111111"/>
          <w:sz w:val="28"/>
          <w:sz w:val="28"/>
          <w:szCs w:val="28"/>
          <w:rtl w:val="true"/>
          <w:lang w:bidi="ar-SA"/>
        </w:rPr>
        <w:t>و هو قول أهل العلم،لأنّ الضّرر يلحق بنزعها فيهما</w:t>
      </w:r>
      <w:r>
        <w:rPr>
          <w:rFonts w:eastAsia="Amiri" w:cs="Amiri" w:ascii="Amiri" w:hAnsi="Amiri"/>
          <w:color w:val="111111"/>
          <w:sz w:val="28"/>
          <w:szCs w:val="28"/>
          <w:rtl w:val="true"/>
          <w:lang w:bidi="ar-SA"/>
        </w:rPr>
        <w:t>.</w:t>
      </w:r>
    </w:p>
    <w:p>
      <w:pPr>
        <w:pStyle w:val="Heading5"/>
        <w:numPr>
          <w:ilvl w:val="4"/>
          <w:numId w:val="1"/>
        </w:numPr>
        <w:rPr/>
      </w:pPr>
      <w:bookmarkStart w:id="411" w:name="__RefHeading___Toc795461_222507752"/>
      <w:bookmarkStart w:id="412" w:name="_Toc170"/>
      <w:bookmarkEnd w:id="411"/>
      <w:r>
        <w:rPr>
          <w:rtl w:val="true"/>
        </w:rPr>
        <w:t>الخامس</w:t>
      </w:r>
      <w:r>
        <w:rPr>
          <w:rtl w:val="true"/>
        </w:rPr>
        <w:t>:</w:t>
      </w:r>
      <w:r>
        <w:rPr>
          <w:rtl w:val="true"/>
        </w:rPr>
        <w:t>لا فرق بين أن يشدّها على طهارة أو على غير طهارة،</w:t>
      </w:r>
      <w:bookmarkEnd w:id="412"/>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عملا بالعموم المستفاد من ترك الاستفصال في المقال عند السّؤال،و لأنّه ممّا لا ينضبط و فيه مشقّة عظيمة،و هذا قول لبعض الجمهور </w:t>
      </w:r>
      <w:r>
        <w:rPr>
          <w:rStyle w:val="FootnoteAnchor"/>
          <w:rtl w:val="true"/>
        </w:rPr>
        <w:footnoteReference w:id="71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آخرون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يشترط الطّهارة لأنّه حائل </w:t>
      </w:r>
      <w:bookmarkStart w:id="413" w:name="pg12669_112923"/>
    </w:p>
    <w:p>
      <w:pPr>
        <w:pStyle w:val="BookText"/>
        <w:rPr/>
      </w:pPr>
      <w:bookmarkEnd w:id="413"/>
      <w:r>
        <w:rPr>
          <w:rFonts w:ascii="Amiri" w:hAnsi="Amiri" w:eastAsia="Amiri" w:cs="Amiri"/>
          <w:color w:val="111111"/>
          <w:sz w:val="28"/>
          <w:sz w:val="28"/>
          <w:szCs w:val="28"/>
          <w:rtl w:val="true"/>
          <w:lang w:bidi="ar-SA"/>
        </w:rPr>
        <w:t xml:space="preserve">يمسح عليه،فكان من شرط المسح عليه تقدّم الطّهارة،كسائر الممسوحات </w:t>
      </w:r>
      <w:r>
        <w:rPr>
          <w:rStyle w:val="FootnoteAnchor"/>
          <w:rtl w:val="true"/>
        </w:rPr>
        <w:footnoteReference w:id="71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نحن نمنع من ثبوت الحكم في الأصل</w:t>
      </w:r>
      <w:r>
        <w:rPr>
          <w:rFonts w:eastAsia="Amiri" w:cs="Amiri" w:ascii="Amiri" w:hAnsi="Amiri"/>
          <w:color w:val="111111"/>
          <w:sz w:val="28"/>
          <w:szCs w:val="28"/>
          <w:rtl w:val="true"/>
          <w:lang w:bidi="ar-SA"/>
        </w:rPr>
        <w:t>.</w:t>
      </w:r>
    </w:p>
    <w:p>
      <w:pPr>
        <w:pStyle w:val="Heading5"/>
        <w:numPr>
          <w:ilvl w:val="4"/>
          <w:numId w:val="1"/>
        </w:numPr>
        <w:rPr/>
      </w:pPr>
      <w:bookmarkStart w:id="414" w:name="__RefHeading___Toc795463_222507752"/>
      <w:bookmarkStart w:id="415" w:name="_Toc171"/>
      <w:bookmarkEnd w:id="414"/>
      <w:r>
        <w:rPr>
          <w:rtl w:val="true"/>
        </w:rPr>
        <w:t>السّادس</w:t>
      </w:r>
      <w:r>
        <w:rPr>
          <w:rtl w:val="true"/>
        </w:rPr>
        <w:t>:</w:t>
      </w:r>
      <w:r>
        <w:rPr>
          <w:rtl w:val="true"/>
        </w:rPr>
        <w:t>لو أمكنه وضع موضع الجبائر في الماء حتّى يصل البشرة من غير ضرر</w:t>
      </w:r>
      <w:bookmarkEnd w:id="415"/>
    </w:p>
    <w:p>
      <w:pPr>
        <w:pStyle w:val="BookText"/>
        <w:rPr/>
      </w:pPr>
      <w:r>
        <w:rPr>
          <w:rFonts w:ascii="IRNazanin" w:hAnsi="IRNazanin" w:eastAsia="IRNazanin"/>
          <w:color w:val="111111"/>
          <w:sz w:val="28"/>
          <w:sz w:val="28"/>
          <w:szCs w:val="28"/>
          <w:rtl w:val="true"/>
          <w:lang w:bidi="fa-IR"/>
        </w:rPr>
        <w:t>وجب،</w:t>
      </w:r>
    </w:p>
    <w:p>
      <w:pPr>
        <w:pStyle w:val="BookText"/>
        <w:rPr/>
      </w:pPr>
      <w:r>
        <w:rPr>
          <w:rFonts w:ascii="Amiri" w:hAnsi="Amiri" w:eastAsia="Amiri" w:cs="Amiri"/>
          <w:color w:val="111111"/>
          <w:sz w:val="28"/>
          <w:sz w:val="28"/>
          <w:szCs w:val="28"/>
          <w:rtl w:val="true"/>
          <w:lang w:bidi="ar-SA"/>
        </w:rPr>
        <w:t>لأنّ الغسل ممكن،فلا يجري المسح على الحائل</w:t>
      </w:r>
      <w:r>
        <w:rPr>
          <w:rFonts w:eastAsia="Amiri" w:cs="Amiri" w:ascii="Amiri" w:hAnsi="Amiri"/>
          <w:color w:val="111111"/>
          <w:sz w:val="28"/>
          <w:szCs w:val="28"/>
          <w:rtl w:val="true"/>
          <w:lang w:bidi="ar-SA"/>
        </w:rPr>
        <w:t>.</w:t>
      </w:r>
    </w:p>
    <w:p>
      <w:pPr>
        <w:pStyle w:val="Heading5"/>
        <w:numPr>
          <w:ilvl w:val="4"/>
          <w:numId w:val="1"/>
        </w:numPr>
        <w:rPr/>
      </w:pPr>
      <w:bookmarkStart w:id="416" w:name="__RefHeading___Toc795465_222507752"/>
      <w:bookmarkStart w:id="417" w:name="_Toc172"/>
      <w:bookmarkEnd w:id="416"/>
      <w:r>
        <w:rPr>
          <w:rtl w:val="true"/>
        </w:rPr>
        <w:t>السّابع</w:t>
      </w:r>
      <w:r>
        <w:rPr>
          <w:rtl w:val="true"/>
        </w:rPr>
        <w:t>:</w:t>
      </w:r>
      <w:r>
        <w:rPr>
          <w:rtl w:val="true"/>
        </w:rPr>
        <w:t>إذا اختصّت الجبائر بعضو،مسح عليه خاصّة و غسل الباقي</w:t>
      </w:r>
      <w:bookmarkEnd w:id="417"/>
    </w:p>
    <w:p>
      <w:pPr>
        <w:pStyle w:val="BookText"/>
        <w:rPr/>
      </w:pPr>
      <w:r>
        <w:rPr>
          <w:rFonts w:ascii="Amiri" w:hAnsi="Amiri" w:eastAsia="Amiri" w:cs="Amiri"/>
          <w:color w:val="111111"/>
          <w:sz w:val="28"/>
          <w:sz w:val="28"/>
          <w:szCs w:val="28"/>
          <w:rtl w:val="true"/>
          <w:lang w:bidi="ar-SA"/>
        </w:rPr>
        <w:t>،لأنّ الضّرورة مختصّة بمعين فلا يقع التّرخّص في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كان على الجميع جبائر أو دواء يتضرّر بإزالته،جاز المسح على الجميع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استضرّ بالمسح تيمّم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عمر بن يزيد،قال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الرّجل يخضب رأسه بالحنّاء ثمَّ يبدو له في الوضوء؟قال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يمسح فوق الحنّاء</w:t>
      </w:r>
      <w:r>
        <w:rPr>
          <w:rFonts w:eastAsia="Amiri" w:cs="Amiri" w:ascii="Amiri" w:hAnsi="Amiri"/>
          <w:color w:val="111111"/>
          <w:sz w:val="28"/>
          <w:szCs w:val="28"/>
          <w:rtl w:val="true"/>
          <w:lang w:bidi="ar-SA"/>
        </w:rPr>
        <w:t xml:space="preserve">» </w:t>
      </w:r>
      <w:r>
        <w:rPr>
          <w:rStyle w:val="FootnoteAnchor"/>
          <w:rtl w:val="true"/>
        </w:rPr>
        <w:footnoteReference w:id="713"/>
      </w:r>
      <w:r>
        <w:rPr>
          <w:rFonts w:ascii="Amiri" w:hAnsi="Amiri" w:eastAsia="Amiri" w:cs="Amiri"/>
          <w:color w:val="111111"/>
          <w:sz w:val="28"/>
          <w:sz w:val="28"/>
          <w:szCs w:val="28"/>
          <w:rtl w:val="true"/>
          <w:lang w:bidi="ar-SA"/>
        </w:rPr>
        <w:t>و الرّواية صحيحة رواها الشّيخ رحمه اللّه و هي محمولة على الضّرر بإزالة الحنّاء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كذا في رواية محمّد بن مسلم عنه عليه السّلام </w:t>
      </w:r>
      <w:r>
        <w:rPr>
          <w:rStyle w:val="FootnoteAnchor"/>
          <w:rtl w:val="true"/>
        </w:rPr>
        <w:footnoteReference w:id="714"/>
      </w:r>
      <w:r>
        <w:rPr>
          <w:rFonts w:ascii="Amiri" w:hAnsi="Amiri" w:eastAsia="Amiri" w:cs="Amiri"/>
          <w:color w:val="111111"/>
          <w:sz w:val="28"/>
          <w:sz w:val="28"/>
          <w:szCs w:val="28"/>
          <w:rtl w:val="true"/>
          <w:lang w:bidi="ar-SA"/>
        </w:rPr>
        <w:t>،و هي صحيحة أيضا،و التّأويل ما قلناه</w:t>
      </w:r>
      <w:r>
        <w:rPr>
          <w:rFonts w:eastAsia="Amiri" w:cs="Amiri" w:ascii="Amiri" w:hAnsi="Amiri"/>
          <w:color w:val="111111"/>
          <w:sz w:val="28"/>
          <w:szCs w:val="28"/>
          <w:rtl w:val="true"/>
          <w:lang w:bidi="ar-SA"/>
        </w:rPr>
        <w:t>.</w:t>
      </w:r>
    </w:p>
    <w:p>
      <w:pPr>
        <w:pStyle w:val="Heading5"/>
        <w:numPr>
          <w:ilvl w:val="4"/>
          <w:numId w:val="1"/>
        </w:numPr>
        <w:rPr/>
      </w:pPr>
      <w:bookmarkStart w:id="418" w:name="__RefHeading___Toc795467_222507752"/>
      <w:bookmarkStart w:id="419" w:name="_Toc173"/>
      <w:bookmarkEnd w:id="418"/>
      <w:r>
        <w:rPr>
          <w:rtl w:val="true"/>
        </w:rPr>
        <w:t>الثّامن</w:t>
      </w:r>
      <w:r>
        <w:rPr>
          <w:rtl w:val="true"/>
        </w:rPr>
        <w:t>:</w:t>
      </w:r>
      <w:r>
        <w:rPr>
          <w:rtl w:val="true"/>
        </w:rPr>
        <w:t>قال بعض الأصحاب بإعادة الوضوء مع زوال الحائل</w:t>
      </w:r>
      <w:bookmarkEnd w:id="419"/>
    </w:p>
    <w:p>
      <w:pPr>
        <w:pStyle w:val="BookText"/>
        <w:rPr/>
      </w:pPr>
      <w:r>
        <w:rPr>
          <w:rStyle w:val="FootnoteAnchor"/>
          <w:rtl w:val="true"/>
        </w:rPr>
        <w:footnoteReference w:id="7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التّرخّص منوط بالضّرورة،و قد زالت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يشكل ذلك بأنّ حدثه قد ارتفع،فلا يجب الوضوء</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لمنازع أن ينازع في الصّغرى،فحينئذ ليس له أن ينوي رفع الحدث كالمستحاضة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الصّلاة الّتي صلاّها،فلا يعيدها إجماعا 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مذهب بعض الجمهور </w:t>
      </w:r>
      <w:r>
        <w:rPr>
          <w:rStyle w:val="FootnoteAnchor"/>
          <w:rtl w:val="true"/>
        </w:rPr>
        <w:footnoteReference w:id="716"/>
      </w:r>
      <w:r>
        <w:rPr>
          <w:rFonts w:ascii="IRNazanin" w:hAnsi="IRNazanin" w:eastAsia="IRNazanin"/>
          <w:color w:val="111111"/>
          <w:sz w:val="28"/>
          <w:sz w:val="28"/>
          <w:szCs w:val="28"/>
          <w:rtl w:val="true"/>
          <w:lang w:bidi="fa-IR"/>
        </w:rPr>
        <w:t xml:space="preserve">،خلافا </w:t>
      </w:r>
      <w:bookmarkStart w:id="420" w:name="pg12669_112924"/>
    </w:p>
    <w:p>
      <w:pPr>
        <w:pStyle w:val="BookText"/>
        <w:rPr/>
      </w:pPr>
      <w:bookmarkEnd w:id="420"/>
      <w:r>
        <w:rPr>
          <w:rFonts w:ascii="Amiri" w:hAnsi="Amiri" w:eastAsia="Amiri" w:cs="Amiri"/>
          <w:color w:val="111111"/>
          <w:sz w:val="28"/>
          <w:sz w:val="28"/>
          <w:szCs w:val="28"/>
          <w:rtl w:val="true"/>
          <w:lang w:bidi="ar-SA"/>
        </w:rPr>
        <w:t xml:space="preserve">للشّافعيّ </w:t>
      </w:r>
      <w:r>
        <w:rPr>
          <w:rStyle w:val="FootnoteAnchor"/>
          <w:rtl w:val="true"/>
        </w:rPr>
        <w:footnoteReference w:id="71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21" w:name="__RefHeading___Toc795469_222507752"/>
      <w:bookmarkStart w:id="422" w:name="_Toc174"/>
      <w:bookmarkEnd w:id="421"/>
      <w:r>
        <w:rPr>
          <w:rtl w:val="true"/>
        </w:rPr>
        <w:t>التّاسع</w:t>
      </w:r>
      <w:r>
        <w:rPr>
          <w:rtl w:val="true"/>
        </w:rPr>
        <w:t>:</w:t>
      </w:r>
      <w:r>
        <w:rPr>
          <w:rtl w:val="true"/>
        </w:rPr>
        <w:t>إذا غسل السّليم و مسح على موضع الجبيرة،كانت طهارته كاملة</w:t>
      </w:r>
      <w:bookmarkEnd w:id="422"/>
    </w:p>
    <w:p>
      <w:pPr>
        <w:pStyle w:val="BookText"/>
        <w:rPr/>
      </w:pPr>
      <w:r>
        <w:rPr>
          <w:rFonts w:ascii="Amiri" w:hAnsi="Amiri" w:eastAsia="Amiri" w:cs="Amiri"/>
          <w:color w:val="111111"/>
          <w:sz w:val="28"/>
          <w:sz w:val="28"/>
          <w:szCs w:val="28"/>
          <w:rtl w:val="true"/>
          <w:lang w:bidi="ar-SA"/>
        </w:rPr>
        <w:t xml:space="preserve">بالنّسبة إليه،فلا يجوز له التّيمّم حينئذ،سواء تجاوز بها موضع الحاجة أو لا،لأنّه ممسوح في طهارة،فلا يجب التّيمّم كالخفّ عندهم </w:t>
      </w:r>
      <w:r>
        <w:rPr>
          <w:rStyle w:val="FootnoteAnchor"/>
          <w:rtl w:val="true"/>
        </w:rPr>
        <w:footnoteReference w:id="71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23" w:name="__RefHeading___Toc795471_222507752"/>
      <w:bookmarkStart w:id="424" w:name="_Toc175"/>
      <w:bookmarkEnd w:id="423"/>
      <w:r>
        <w:rPr>
          <w:rtl w:val="true"/>
        </w:rPr>
        <w:t>العاشر</w:t>
      </w:r>
      <w:r>
        <w:rPr>
          <w:rtl w:val="true"/>
        </w:rPr>
        <w:t>:</w:t>
      </w:r>
      <w:r>
        <w:rPr>
          <w:rtl w:val="true"/>
        </w:rPr>
        <w:t>إذا تجاوز بالشّدّ عليها موضع الحاجة،و خاف من نزعها جاز له المسح،</w:t>
      </w:r>
      <w:bookmarkEnd w:id="424"/>
    </w:p>
    <w:p>
      <w:pPr>
        <w:pStyle w:val="BookText"/>
        <w:rPr/>
      </w:pPr>
      <w:r>
        <w:rPr>
          <w:rFonts w:ascii="Amiri" w:hAnsi="Amiri" w:eastAsia="Amiri" w:cs="Amiri"/>
          <w:color w:val="111111"/>
          <w:sz w:val="28"/>
          <w:sz w:val="28"/>
          <w:szCs w:val="28"/>
          <w:rtl w:val="true"/>
          <w:lang w:bidi="ar-SA"/>
        </w:rPr>
        <w:t>عملا بالأصل النّافي للضّرر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يجب معه التّيمّم،خلافا لبعض الجمهور </w:t>
      </w:r>
      <w:r>
        <w:rPr>
          <w:rStyle w:val="FootnoteAnchor"/>
          <w:rtl w:val="true"/>
        </w:rPr>
        <w:footnoteReference w:id="719"/>
      </w:r>
      <w:r>
        <w:rPr>
          <w:rFonts w:ascii="IRNazanin" w:hAnsi="IRNazanin" w:eastAsia="IRNazanin"/>
          <w:color w:val="111111"/>
          <w:sz w:val="28"/>
          <w:sz w:val="28"/>
          <w:szCs w:val="28"/>
          <w:rtl w:val="true"/>
          <w:lang w:bidi="fa-IR"/>
        </w:rPr>
        <w:t>،لما قلناه</w:t>
      </w:r>
      <w:r>
        <w:rPr>
          <w:rFonts w:eastAsia="IRNazanin" w:cs="IRNazanin"/>
          <w:color w:val="111111"/>
          <w:sz w:val="28"/>
          <w:szCs w:val="28"/>
          <w:rtl w:val="true"/>
          <w:lang w:bidi="fa-IR"/>
        </w:rPr>
        <w:t>.</w:t>
      </w:r>
    </w:p>
    <w:p>
      <w:pPr>
        <w:pStyle w:val="Heading3"/>
        <w:numPr>
          <w:ilvl w:val="2"/>
          <w:numId w:val="1"/>
        </w:numPr>
        <w:rPr/>
      </w:pPr>
      <w:bookmarkStart w:id="425" w:name="__RefHeading___Toc795473_222507752"/>
      <w:bookmarkStart w:id="426" w:name="_Toc176"/>
      <w:bookmarkEnd w:id="425"/>
      <w:r>
        <w:rPr>
          <w:rtl w:val="true"/>
        </w:rPr>
        <w:t>مسألة</w:t>
      </w:r>
      <w:r>
        <w:rPr>
          <w:rtl w:val="true"/>
        </w:rPr>
        <w:t>:</w:t>
      </w:r>
      <w:r>
        <w:rPr>
          <w:rtl w:val="true"/>
        </w:rPr>
        <w:t>لا يجوز أن يوضّئه غيره</w:t>
      </w:r>
      <w:r>
        <w:rPr>
          <w:rtl w:val="true"/>
        </w:rPr>
        <w:t>.</w:t>
      </w:r>
      <w:bookmarkEnd w:id="426"/>
    </w:p>
    <w:p>
      <w:pPr>
        <w:pStyle w:val="BookText"/>
        <w:rPr/>
      </w:pPr>
      <w:r>
        <w:rPr>
          <w:rFonts w:ascii="Amiri" w:hAnsi="Amiri" w:eastAsia="Amiri" w:cs="Amiri"/>
          <w:color w:val="111111"/>
          <w:sz w:val="28"/>
          <w:sz w:val="28"/>
          <w:szCs w:val="28"/>
          <w:rtl w:val="true"/>
          <w:lang w:bidi="ar-SA"/>
        </w:rPr>
        <w:t xml:space="preserve">و هو مذهب علمائنا أجمع،و خالف فيه الفقهاء </w:t>
      </w:r>
      <w:r>
        <w:rPr>
          <w:rStyle w:val="FootnoteAnchor"/>
          <w:rtl w:val="true"/>
        </w:rPr>
        <w:footnoteReference w:id="7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 بالغسل لمريدي الصّلاة،و هو لا يتحقّق مع فعل الغير،و الأمر للوجوب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تعالى وَ أَنْ لَيْسَ لِلْإِنْسانِ إِلاّ ما سَعى </w:t>
      </w:r>
      <w:r>
        <w:rPr>
          <w:rStyle w:val="FootnoteAnchor"/>
          <w:rtl w:val="true"/>
        </w:rPr>
        <w:footnoteReference w:id="721"/>
      </w: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رواه الجمهور،عن غسل النّبيّ صلّى اللّه عليه و آله و مسحه بيده،رواه عثمان في وصف وضوء رسول اللّه صلّى اللّه عليه و آله </w:t>
      </w:r>
      <w:r>
        <w:rPr>
          <w:rStyle w:val="FootnoteAnchor"/>
          <w:rtl w:val="true"/>
        </w:rPr>
        <w:footnoteReference w:id="722"/>
      </w:r>
      <w:r>
        <w:rPr>
          <w:rFonts w:ascii="Amiri" w:hAnsi="Amiri" w:eastAsia="Amiri" w:cs="Amiri"/>
          <w:color w:val="111111"/>
          <w:sz w:val="28"/>
          <w:sz w:val="28"/>
          <w:szCs w:val="28"/>
          <w:rtl w:val="true"/>
          <w:lang w:bidi="ar-SA"/>
        </w:rPr>
        <w:t xml:space="preserve">و غيره </w:t>
      </w:r>
      <w:r>
        <w:rPr>
          <w:rStyle w:val="FootnoteAnchor"/>
          <w:rtl w:val="true"/>
        </w:rPr>
        <w:footnoteReference w:id="723"/>
      </w:r>
      <w:r>
        <w:rPr>
          <w:rFonts w:ascii="Amiri" w:hAnsi="Amiri" w:eastAsia="Amiri" w:cs="Amiri"/>
          <w:color w:val="111111"/>
          <w:sz w:val="28"/>
          <w:sz w:val="28"/>
          <w:szCs w:val="28"/>
          <w:rtl w:val="true"/>
          <w:lang w:bidi="ar-SA"/>
        </w:rPr>
        <w:t>،فكان هو الواجب</w:t>
      </w:r>
      <w:r>
        <w:rPr>
          <w:rFonts w:eastAsia="Amiri" w:cs="Amiri" w:ascii="Amiri" w:hAnsi="Amiri"/>
          <w:color w:val="111111"/>
          <w:sz w:val="28"/>
          <w:szCs w:val="28"/>
          <w:rtl w:val="true"/>
          <w:lang w:bidi="ar-SA"/>
        </w:rPr>
        <w:t xml:space="preserve">. </w:t>
      </w:r>
      <w:bookmarkStart w:id="427" w:name="pg12669_112925"/>
    </w:p>
    <w:p>
      <w:pPr>
        <w:pStyle w:val="BookText"/>
        <w:rPr/>
      </w:pPr>
      <w:bookmarkEnd w:id="427"/>
      <w:r>
        <w:rPr>
          <w:rFonts w:ascii="Amiri" w:hAnsi="Amiri" w:eastAsia="Amiri" w:cs="Amiri"/>
          <w:color w:val="111111"/>
          <w:sz w:val="28"/>
          <w:sz w:val="28"/>
          <w:szCs w:val="28"/>
          <w:rtl w:val="true"/>
          <w:lang w:bidi="ar-SA"/>
        </w:rPr>
        <w:t>و من طريق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رواية زرارة في صفة وضوء رسول اللّه صلّى اللّه عليه و آله </w:t>
      </w:r>
      <w:r>
        <w:rPr>
          <w:rStyle w:val="FootnoteAnchor"/>
          <w:rtl w:val="true"/>
        </w:rPr>
        <w:footnoteReference w:id="7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يجوز مع الضّرورة إجماعا،لأنّ في تكليفه بنفسه مشقّة،فيكون منفيّا</w:t>
      </w:r>
      <w:r>
        <w:rPr>
          <w:rFonts w:eastAsia="Amiri" w:cs="Amiri" w:ascii="Amiri" w:hAnsi="Amiri"/>
          <w:color w:val="111111"/>
          <w:sz w:val="28"/>
          <w:szCs w:val="28"/>
          <w:rtl w:val="true"/>
          <w:lang w:bidi="ar-SA"/>
        </w:rPr>
        <w:t>.</w:t>
      </w:r>
    </w:p>
    <w:p>
      <w:pPr>
        <w:pStyle w:val="Heading3"/>
        <w:numPr>
          <w:ilvl w:val="2"/>
          <w:numId w:val="1"/>
        </w:numPr>
        <w:rPr/>
      </w:pPr>
      <w:bookmarkStart w:id="428" w:name="__RefHeading___Toc795475_222507752"/>
      <w:bookmarkStart w:id="429" w:name="_Toc177"/>
      <w:bookmarkEnd w:id="428"/>
      <w:r>
        <w:rPr>
          <w:rtl w:val="true"/>
        </w:rPr>
        <w:t>مسألة</w:t>
      </w:r>
      <w:r>
        <w:rPr>
          <w:rtl w:val="true"/>
        </w:rPr>
        <w:t>:</w:t>
      </w:r>
      <w:r>
        <w:rPr>
          <w:rtl w:val="true"/>
        </w:rPr>
        <w:t>إذا توضّأ للنّافلة جاز أن يصلّي بها فريضة،</w:t>
      </w:r>
      <w:bookmarkEnd w:id="429"/>
    </w:p>
    <w:p>
      <w:pPr>
        <w:pStyle w:val="Heading4"/>
        <w:numPr>
          <w:ilvl w:val="3"/>
          <w:numId w:val="1"/>
        </w:numPr>
        <w:rPr/>
      </w:pPr>
      <w:bookmarkStart w:id="430" w:name="__RefHeading___Toc795477_222507752"/>
      <w:bookmarkStart w:id="431" w:name="_Toc178"/>
      <w:bookmarkEnd w:id="430"/>
      <w:r>
        <w:rPr>
          <w:rtl w:val="true"/>
        </w:rPr>
        <w:t>اشارة</w:t>
      </w:r>
      <w:bookmarkEnd w:id="431"/>
    </w:p>
    <w:p>
      <w:pPr>
        <w:pStyle w:val="BookText"/>
        <w:rPr/>
      </w:pPr>
      <w:r>
        <w:rPr>
          <w:rFonts w:ascii="Amiri" w:hAnsi="Amiri" w:eastAsia="Amiri" w:cs="Amiri"/>
          <w:color w:val="111111"/>
          <w:sz w:val="28"/>
          <w:sz w:val="28"/>
          <w:szCs w:val="28"/>
          <w:rtl w:val="true"/>
          <w:lang w:bidi="ar-SA"/>
        </w:rPr>
        <w:t>و كذا يصلّي بوضوء واحد ما شاء من الصّلوات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مذهب أهل العلم،خلافا للظّاهريّة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Style w:val="FootnoteAnchor"/>
          <w:rtl w:val="true"/>
        </w:rPr>
        <w:footnoteReference w:id="72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جدّد الطّهارة كان أفضل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يدلّ على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 في الموثّق،عن بكير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استيقنت انّك قد توضّأت فإيّاك أن تحدث وضوءا أبدا حتّى تستيقن انّك قد أحدثت</w:t>
      </w:r>
      <w:r>
        <w:rPr>
          <w:rFonts w:eastAsia="Amiri" w:cs="Amiri" w:ascii="Amiri" w:hAnsi="Amiri"/>
          <w:color w:val="111111"/>
          <w:sz w:val="28"/>
          <w:szCs w:val="28"/>
          <w:rtl w:val="true"/>
          <w:lang w:bidi="ar-SA"/>
        </w:rPr>
        <w:t xml:space="preserve">» </w:t>
      </w:r>
      <w:r>
        <w:rPr>
          <w:rStyle w:val="FootnoteAnchor"/>
          <w:rtl w:val="true"/>
        </w:rPr>
        <w:footnoteReference w:id="726"/>
      </w:r>
      <w:r>
        <w:rPr>
          <w:rFonts w:ascii="Amiri" w:hAnsi="Amiri" w:eastAsia="Amiri" w:cs="Amiri"/>
          <w:color w:val="111111"/>
          <w:sz w:val="28"/>
          <w:sz w:val="28"/>
          <w:szCs w:val="28"/>
          <w:rtl w:val="true"/>
          <w:lang w:bidi="ar-SA"/>
        </w:rPr>
        <w:t>و هذا عام في ذلك الوضوء السّابق و في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المفهوم منه،انّ المتشكّك في وضوئه لا يعيده لا ما ذكرتم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لأنّكم لا تقولون بما يدلّ عليه،لأنّه عليه السّلام حذّره عن الوضوء و أنتم تقولون باستحبابه،و ذلك تناف</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لأنّا نجيب عن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عام في ترك إعادة وضوئه و في تجديد وضوء آخر قبل الحدث،لأنّه نهاه عن التّجديد المؤبّد،و جعل الغاية فيه الأحداث،و الصّلاة الأولى </w:t>
      </w:r>
    </w:p>
    <w:p>
      <w:pPr>
        <w:pStyle w:val="BookText"/>
        <w:rPr/>
      </w:pPr>
      <w:r>
        <w:rPr>
          <w:rFonts w:ascii="Amiri" w:hAnsi="Amiri" w:eastAsia="Amiri" w:cs="Amiri"/>
          <w:color w:val="111111"/>
          <w:sz w:val="28"/>
          <w:sz w:val="28"/>
          <w:szCs w:val="28"/>
          <w:rtl w:val="true"/>
          <w:lang w:bidi="ar-SA"/>
        </w:rPr>
        <w:t>ليست بحدث،فجاز الدّخول به في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المراد منه النّهي عن التّجديد مع اعتقاد الوجوب،و نحن نقول بتحريمه لكونه بدعة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في الصّحيح،عن زرارة،عن أبي جعفر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قمت من الوضوء و فرغت منه و قد صرت في حال أخرى في الصّلاة أو في غيرها،فشككت في بعض ما سمّى اللّه ممّا أوجب اللّه عليك فيه وضوءه لا شيء عليك فيه</w:t>
      </w:r>
      <w:r>
        <w:rPr>
          <w:rFonts w:eastAsia="Amiri" w:cs="Amiri" w:ascii="Amiri" w:hAnsi="Amiri"/>
          <w:color w:val="111111"/>
          <w:sz w:val="28"/>
          <w:szCs w:val="28"/>
          <w:rtl w:val="true"/>
          <w:lang w:bidi="ar-SA"/>
        </w:rPr>
        <w:t xml:space="preserve">» </w:t>
      </w:r>
      <w:r>
        <w:rPr>
          <w:rStyle w:val="FootnoteAnchor"/>
          <w:rtl w:val="true"/>
        </w:rPr>
        <w:footnoteReference w:id="727"/>
      </w:r>
      <w:r>
        <w:rPr>
          <w:rFonts w:ascii="Amiri" w:hAnsi="Amiri" w:eastAsia="Amiri" w:cs="Amiri"/>
          <w:color w:val="111111"/>
          <w:sz w:val="28"/>
          <w:sz w:val="28"/>
          <w:szCs w:val="28"/>
          <w:rtl w:val="true"/>
          <w:lang w:bidi="ar-SA"/>
        </w:rPr>
        <w:t>و ذلك يدلّ على جواز استعمال الوضوء في الصّلوات المتعدّدة،فإنّ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صرت في حال أخرى في الصّلاة أو في غيرها،أي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غير الصّلاة الّتي قد وقع فيها الشّك،عامّ في كلّ ما غاير تلك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يحتمل أن يعود الضّمير إلى الحال و هي تؤنّث تارة و تذكّر اخرى و حينئذ لا يدلّ على الاجتزاء بذلك الوضوء إلاّ في تلك الصّلاة،و لأنّ الحكم معلّق على الشّك و هو خلاف قولكم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لأنّا نجيب عن الأوّل بأنّ الصّلاة أقرب فالعود إليه أولى،فإنّ النّحويين اتّفقوا على انّ قولنا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 زيد عمرا و أكرمته،يعود الضّمير فيه إلى عمرو لقربه،و لأنّ غير تلك الحال أيضا أعمّ من كونها في تلك الصّلاة أو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تقييد المعطوف عليه يستلزم تقييد العطف،لوجوب الاشتراك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نمنع ذلك،و الاشتراك إنّما يجب في الحكم الثّابت لهما و هو الاجتزاء بذلك الوضوء،أمّا في التّقييد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الاجزاء إذا وجد مع الشّكّ فمع اليقين أولى</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في الصّحيح،عن محمّد بن مسلم،قال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رجل شكّ في الوضوء بعد ما فرغ من الصّلاة؟قال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يمضي على صلاته و لا يعيد</w:t>
      </w:r>
      <w:r>
        <w:rPr>
          <w:rFonts w:eastAsia="Amiri" w:cs="Amiri" w:ascii="Amiri" w:hAnsi="Amiri"/>
          <w:color w:val="111111"/>
          <w:sz w:val="28"/>
          <w:szCs w:val="28"/>
          <w:rtl w:val="true"/>
          <w:lang w:bidi="ar-SA"/>
        </w:rPr>
        <w:t xml:space="preserve">» </w:t>
      </w:r>
      <w:r>
        <w:rPr>
          <w:rStyle w:val="FootnoteAnchor"/>
          <w:rtl w:val="true"/>
        </w:rPr>
        <w:footnoteReference w:id="728"/>
      </w:r>
      <w:r>
        <w:rPr>
          <w:rFonts w:ascii="Amiri" w:hAnsi="Amiri" w:eastAsia="Amiri" w:cs="Amiri"/>
          <w:color w:val="111111"/>
          <w:sz w:val="28"/>
          <w:sz w:val="28"/>
          <w:szCs w:val="28"/>
          <w:rtl w:val="true"/>
          <w:lang w:bidi="ar-SA"/>
        </w:rPr>
        <w:t>و النّهي عن الإعادة عامّ في الصّلاة و 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هو في الصّلاة أولى لوجهين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يمضي في صلاته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فتقدّم هذا يدلّ على صرف عدم الإعادة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لو حملناه على الوضوء لزم التّخصيص،و هو خلاف 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w:t>
      </w:r>
      <w:r>
        <w:rPr>
          <w:rStyle w:val="FootnoteAnchor"/>
          <w:rtl w:val="true"/>
        </w:rPr>
        <w:footnoteReference w:id="729"/>
      </w:r>
      <w:r>
        <w:rPr>
          <w:rFonts w:ascii="Amiri" w:hAnsi="Amiri" w:eastAsia="Amiri" w:cs="Amiri"/>
          <w:color w:val="111111"/>
          <w:sz w:val="28"/>
          <w:sz w:val="28"/>
          <w:szCs w:val="28"/>
          <w:rtl w:val="true"/>
          <w:lang w:bidi="ar-SA"/>
        </w:rPr>
        <w:t>من تجدّد حدثه يعيد وضوءه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لو حملناه على الصّلاة اندفع هذا المحذور،فإنّ تلك الصّلاة السّابقة لا تعاد بوجه البتّة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لأنّا نجيب عن الأوّل بأنّ ما ذكر تموه دليل على صرفه إلى الوضوء،و إلاّ لزم التّكرار الخالي عن الفائدة،لأنّ معنى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يمضي في صلاته،هو انّه لا يعيد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التّخصيص ثابت في البابين،فإنّ من صلّى و ذكر فوات بعض الأركان في الصّلاة أو الوضوء أعاد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ان التّخصيص إنّما يكون محذورا لو لم يدلّ دليل قاطع عليه،أمّا إذا دلّ و هو الإجماع على إعادة الوضوء للمحدث،فلا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انّا نمنع أن يكون ذلك إعادة،بل هو تجديد واجب آخر،فإنّ الوضوء الأوّل زال بزوال شرطه و هو الاستمرار على عدم الحدث،و نحن لا نسلّم انّ ذلك يسمّى إعادة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 الفريضة و النّافلة معا مفتقرتان إلى رفع الحدث،فتحقّق شرط الصّلاة و ارتفع المانع و هو الحدث،فأبيح له ما زاد</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استحباب التّجديد فهو متّفق عليه،إلاّ ما نقل عليّ بن سعيد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أحمد </w:t>
      </w:r>
    </w:p>
    <w:p>
      <w:pPr>
        <w:pStyle w:val="BookText"/>
        <w:rPr/>
      </w:pPr>
      <w:r>
        <w:rPr>
          <w:rFonts w:ascii="Amiri" w:hAnsi="Amiri" w:eastAsia="Amiri" w:cs="Amiri"/>
          <w:color w:val="111111"/>
          <w:sz w:val="28"/>
          <w:sz w:val="28"/>
          <w:szCs w:val="28"/>
          <w:rtl w:val="true"/>
          <w:lang w:bidi="ar-SA"/>
        </w:rPr>
        <w:t xml:space="preserve">انّه لا فضل فيه </w:t>
      </w:r>
      <w:r>
        <w:rPr>
          <w:rStyle w:val="FootnoteAnchor"/>
          <w:rtl w:val="true"/>
        </w:rPr>
        <w:footnoteReference w:id="730"/>
      </w:r>
      <w:r>
        <w:rPr>
          <w:rFonts w:ascii="Amiri" w:hAnsi="Amiri" w:eastAsia="Amiri" w:cs="Amiri"/>
          <w:color w:val="111111"/>
          <w:sz w:val="28"/>
          <w:sz w:val="28"/>
          <w:szCs w:val="28"/>
          <w:rtl w:val="true"/>
          <w:lang w:bidi="ar-SA"/>
        </w:rPr>
        <w:t>،و هي عندهم شاذّة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الجمهور عن غطيف الهذليّ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يوما ابن عمر توضّأ عند كلّ صلاة،فقلت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أصلحك اللّه،أ فريضة أم سنّة الوضوء عند كلّ صلاة؟فقال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لو توضّأت لصلاة الصّبح لصلّيت به الصّلوات كلّها ما لم أحدث،و لكن سمعت رسول اللّه صلّى اللّه عليه و آله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توضّأ على طهر فله عشر حسنات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إنّما رغبت في الحسنات </w:t>
      </w:r>
      <w:r>
        <w:rPr>
          <w:rStyle w:val="FootnoteAnchor"/>
          <w:rtl w:val="true"/>
        </w:rPr>
        <w:footnoteReference w:id="7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طريق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محمّد بن يعقوب في كتابه،عن سماعة،قال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عند أبي الحسن عليه السّلام فصلّى الظّهر و العصر بين يديّ و جلست عنده حتّى حضرت المغرب فدعا بوضوء فتوضّأ للصّلاة،ثمَّ 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توضّأ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فداك،أنا على وضوء،قال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كنت على وضوء،انّ من توضّأ للمغرب كان وضوؤه ذلك كفّارة لما مضى من ذنوبه في يومه إلاّ الكبائر،و من توضّأ للصّبح كان وضوؤه ذلك كفّارة لما مضى من ذنوبه في ليلته،إلاّ الكبائر</w:t>
      </w:r>
      <w:r>
        <w:rPr>
          <w:rFonts w:eastAsia="Amiri" w:cs="Amiri" w:ascii="Amiri" w:hAnsi="Amiri"/>
          <w:color w:val="111111"/>
          <w:sz w:val="28"/>
          <w:szCs w:val="28"/>
          <w:rtl w:val="true"/>
          <w:lang w:bidi="ar-SA"/>
        </w:rPr>
        <w:t xml:space="preserve">) </w:t>
      </w:r>
      <w:r>
        <w:rPr>
          <w:rStyle w:val="FootnoteAnchor"/>
          <w:rtl w:val="true"/>
        </w:rPr>
        <w:footnoteReference w:id="732"/>
      </w:r>
      <w:r>
        <w:rPr>
          <w:rFonts w:ascii="Amiri" w:hAnsi="Amiri" w:eastAsia="Amiri" w:cs="Amiri"/>
          <w:color w:val="111111"/>
          <w:sz w:val="28"/>
          <w:sz w:val="28"/>
          <w:szCs w:val="28"/>
          <w:rtl w:val="true"/>
          <w:lang w:bidi="ar-SA"/>
        </w:rPr>
        <w:t>و في هذا دلالة من حيث المفهوم على جواز الجمع بالوضوء الواحد،لقوله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الظّهر و العصر،ثمَّ دعا بطشت للمغرب،و لقوله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كنت على وضوء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 بثبوت الوضوء حينئذ،و لأنّه لو كان التّجديد واجبا لبيّنه</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أيضا في كتابه،عن سعدان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بعض أصحابه،عن أبي عبد اللّه </w:t>
      </w:r>
      <w:bookmarkStart w:id="432" w:name="pg12669_112929"/>
    </w:p>
    <w:p>
      <w:pPr>
        <w:pStyle w:val="BookText"/>
        <w:rPr/>
      </w:pPr>
      <w:bookmarkEnd w:id="432"/>
      <w:r>
        <w:rPr>
          <w:rFonts w:ascii="Amiri" w:hAnsi="Amiri" w:eastAsia="Amiri" w:cs="Amiri"/>
          <w:color w:val="111111"/>
          <w:sz w:val="28"/>
          <w:sz w:val="28"/>
          <w:szCs w:val="28"/>
          <w:rtl w:val="true"/>
          <w:lang w:bidi="ar-SA"/>
        </w:rPr>
        <w:t>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الطّهر على الطّهر عشر حسنات</w:t>
      </w:r>
      <w:r>
        <w:rPr>
          <w:rFonts w:eastAsia="Amiri" w:cs="Amiri" w:ascii="Amiri" w:hAnsi="Amiri"/>
          <w:color w:val="111111"/>
          <w:sz w:val="28"/>
          <w:szCs w:val="28"/>
          <w:rtl w:val="true"/>
          <w:lang w:bidi="ar-SA"/>
        </w:rPr>
        <w:t xml:space="preserve">» </w:t>
      </w:r>
      <w:r>
        <w:rPr>
          <w:rStyle w:val="FootnoteAnchor"/>
          <w:rtl w:val="true"/>
        </w:rPr>
        <w:footnoteReference w:id="73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33" w:name="__RefHeading___Toc795479_222507752"/>
      <w:bookmarkStart w:id="434" w:name="_Toc179"/>
      <w:bookmarkEnd w:id="433"/>
      <w:r>
        <w:rPr>
          <w:rtl w:val="true"/>
        </w:rPr>
        <w:t>مسألة</w:t>
      </w:r>
      <w:r>
        <w:rPr>
          <w:rtl w:val="true"/>
        </w:rPr>
        <w:t>:</w:t>
      </w:r>
      <w:r>
        <w:rPr>
          <w:rtl w:val="true"/>
        </w:rPr>
        <w:t>من دام به السّلس يتطهّر لكلّ صلاة</w:t>
      </w:r>
      <w:bookmarkEnd w:id="434"/>
    </w:p>
    <w:p>
      <w:pPr>
        <w:pStyle w:val="BookText"/>
        <w:rPr/>
      </w:pPr>
      <w:r>
        <w:rPr>
          <w:rFonts w:ascii="Amiri" w:hAnsi="Amiri" w:eastAsia="Amiri" w:cs="Amiri"/>
          <w:color w:val="111111"/>
          <w:sz w:val="28"/>
          <w:sz w:val="28"/>
          <w:szCs w:val="28"/>
          <w:rtl w:val="true"/>
          <w:lang w:bidi="ar-SA"/>
        </w:rPr>
        <w:t>،قال في الخلاف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المستحاضة و من به السّلس يجب عليه تجديد الوضوء عند كلّ صلاة فريضة،و لا يجوز أن يجمعا بين صلاتي فرض </w:t>
      </w:r>
      <w:r>
        <w:rPr>
          <w:rStyle w:val="FootnoteAnchor"/>
          <w:rtl w:val="true"/>
        </w:rPr>
        <w:footnoteReference w:id="73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في المبسوط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به السّلس يجوز أن يصلّي بوضوء واحد صلوات كثيرة </w:t>
      </w:r>
      <w:r>
        <w:rPr>
          <w:rStyle w:val="FootnoteAnchor"/>
          <w:rtl w:val="true"/>
        </w:rPr>
        <w:footnoteReference w:id="7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الحقّ عندي انّه يجمع بين الظّهر و العصر بوضوء واحد،و بين المغرب و العشاء بوضوء،و يفرد الصّبح بوضوء،و إذا صلّى غير هذه وجب تجديد الطّهارة لكلّ 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أبو جعفر بن بابويه في الصّحيح،عن حريز،عن أبي عبد اللّه عليه السّلام،انّه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الرّجل يقطر منه البول و الدّم إذا كان حين الصّلاة اتّخذ كيسا و جعل فيه قطنا،ثمَّ علّقه عليه،و أدخل ذكره فيه،ثمَّ صلّى يجمع بين الصّلاتين الظّهر و العصر،يؤخّر الظّهر و يعجّل العصر بأذان و إقامتين،و يؤخّر المغرب و يعجّل العشاء بأذان و إقامتين و يفعل ذلك في الصّبح</w:t>
      </w:r>
      <w:r>
        <w:rPr>
          <w:rFonts w:eastAsia="Amiri" w:cs="Amiri" w:ascii="Amiri" w:hAnsi="Amiri"/>
          <w:color w:val="111111"/>
          <w:sz w:val="28"/>
          <w:szCs w:val="28"/>
          <w:rtl w:val="true"/>
          <w:lang w:bidi="ar-SA"/>
        </w:rPr>
        <w:t xml:space="preserve">» </w:t>
      </w:r>
      <w:r>
        <w:rPr>
          <w:rStyle w:val="FootnoteAnchor"/>
          <w:rtl w:val="true"/>
        </w:rPr>
        <w:footnoteReference w:id="736"/>
      </w:r>
      <w:r>
        <w:rPr>
          <w:rFonts w:eastAsia="Times New Roman" w:cs="Times New Roman" w:ascii="Times New Roman" w:hAnsi="Times New Roman"/>
          <w:color w:val="111111"/>
          <w:sz w:val="28"/>
          <w:szCs w:val="28"/>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وجه ما قاله الشّيخ في الخلاف انّ البول حدث،فيعفى عنه عمّا وقع الاتّفاق عليه و هو الصّلاة الواحدة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نحن فلمّا صرنا إلى الحديث الصّحيح،لا جرم عملنا بما قاله الشّيخ في غير ما دلّ النّصّ عليه لقوّته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في المبسوط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دليل على وجوب تجديد الوضوء،و حمله على المستحاضة قياس لا نقول به </w:t>
      </w:r>
      <w:r>
        <w:rPr>
          <w:rStyle w:val="FootnoteAnchor"/>
          <w:rtl w:val="true"/>
        </w:rPr>
        <w:footnoteReference w:id="737"/>
      </w:r>
      <w:r>
        <w:rPr>
          <w:rFonts w:ascii="Amiri" w:hAnsi="Amiri" w:eastAsia="Amiri" w:cs="Amiri"/>
          <w:color w:val="111111"/>
          <w:sz w:val="28"/>
          <w:sz w:val="28"/>
          <w:szCs w:val="28"/>
          <w:rtl w:val="true"/>
          <w:lang w:bidi="ar-SA"/>
        </w:rPr>
        <w:t xml:space="preserve">،فإن أراد الشّيخ بالتّجديد التّجديد </w:t>
      </w:r>
    </w:p>
    <w:p>
      <w:pPr>
        <w:pStyle w:val="BookText"/>
        <w:rPr/>
      </w:pPr>
      <w:r>
        <w:rPr>
          <w:rFonts w:ascii="Amiri" w:hAnsi="Amiri" w:eastAsia="Amiri" w:cs="Amiri"/>
          <w:color w:val="111111"/>
          <w:sz w:val="28"/>
          <w:sz w:val="28"/>
          <w:szCs w:val="28"/>
          <w:rtl w:val="true"/>
          <w:lang w:bidi="ar-SA"/>
        </w:rPr>
        <w:t xml:space="preserve">عند كلّ صلاة،فالدّليل ما ذكره في الخلاف </w:t>
      </w:r>
      <w:r>
        <w:rPr>
          <w:rStyle w:val="FootnoteAnchor"/>
          <w:rtl w:val="true"/>
        </w:rPr>
        <w:footnoteReference w:id="738"/>
      </w:r>
      <w:r>
        <w:rPr>
          <w:rFonts w:ascii="Amiri" w:hAnsi="Amiri" w:eastAsia="Amiri" w:cs="Amiri"/>
          <w:color w:val="111111"/>
          <w:sz w:val="28"/>
          <w:sz w:val="28"/>
          <w:szCs w:val="28"/>
          <w:rtl w:val="true"/>
          <w:lang w:bidi="ar-SA"/>
        </w:rPr>
        <w:t>،و إن أراد التّجديد بين كلّ صلاتين من الحواضر،فالوجه ما رواه ابن بابويه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ابن يعقوب في كتابه في الحسن،عن منصور بن حازم،قال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الرّجل يعتريه البول و لا يقدر على حبسه؟قال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لم يقدر على حبسه فاللّه أولى بالعذر يجعل خريطة</w:t>
      </w:r>
      <w:r>
        <w:rPr>
          <w:rFonts w:eastAsia="Amiri" w:cs="Amiri" w:ascii="Amiri" w:hAnsi="Amiri"/>
          <w:color w:val="111111"/>
          <w:sz w:val="28"/>
          <w:szCs w:val="28"/>
          <w:rtl w:val="true"/>
          <w:lang w:bidi="ar-SA"/>
        </w:rPr>
        <w:t xml:space="preserve">» </w:t>
      </w:r>
      <w:r>
        <w:rPr>
          <w:rStyle w:val="FootnoteAnchor"/>
          <w:rtl w:val="true"/>
        </w:rPr>
        <w:footnoteReference w:id="7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يدلّ على سقوط الوضوء عند كلّ 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نسلّم دلالته على ذلك،بل يحمل على سقوط الوضوء عقيب الحدث المتجدّد للعذر،و أمّا الجمع فمستفاد من دليل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انّ هذا الحديث و الحديث الأوّل دالاّن على وجوب الاستظهار في منع التّعدّي بقدر الإمكان،و أمّا المبطون فإنّه يجدّد الوضوء لكلّ صلاة،لا يجمع بين صلاتي فرض،لأنّ الغائط حدث،فلا يستباح معه الصّلاة إلاّ مع الضّرورة،و هي متحقّقة في الواحدة دون غيرها،و لو تلبّس بالصّلاة،ثمَّ فجأه الحدث مستمرّا تطهّر و بنى،لما رواه ابن بابويه،عن محمّد بن مسلم،عن أبي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البطن الغالب يتوضأ و يبني على صلاته</w:t>
      </w:r>
      <w:r>
        <w:rPr>
          <w:rFonts w:eastAsia="Amiri" w:cs="Amiri" w:ascii="Amiri" w:hAnsi="Amiri"/>
          <w:color w:val="111111"/>
          <w:sz w:val="28"/>
          <w:szCs w:val="28"/>
          <w:rtl w:val="true"/>
          <w:lang w:bidi="ar-SA"/>
        </w:rPr>
        <w:t xml:space="preserve">» </w:t>
      </w:r>
      <w:r>
        <w:rPr>
          <w:rStyle w:val="FootnoteAnchor"/>
          <w:rtl w:val="true"/>
        </w:rPr>
        <w:footnoteReference w:id="740"/>
      </w: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عن الفضيل بن يسار انّه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أكون في الصّلاة فأجد غمزا في بطني أو أذى أو ضربانا؟فقال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انصرف ثمَّ توضّأ و ابن على ما مضى من صلاتك ما لم تنقض الصّلاة بالكلام متعمّدا،فإن تكلّمت ناسيا فلا شيء عليك و هو بمنزلة من تكلّم في الصّلاة ناسيا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قلب وجهه عن القبلة؟قال</w:t>
      </w:r>
      <w:r>
        <w:rPr>
          <w:rFonts w:eastAsia="Amiri" w:cs="Amiri" w:ascii="Amiri" w:hAnsi="Amiri"/>
          <w:color w:val="111111"/>
          <w:sz w:val="28"/>
          <w:szCs w:val="28"/>
          <w:rtl w:val="true"/>
          <w:lang w:bidi="ar-SA"/>
        </w:rPr>
        <w:t xml:space="preserve">: </w:t>
      </w:r>
      <w:bookmarkStart w:id="435" w:name="pg12669_112931"/>
    </w:p>
    <w:p>
      <w:pPr>
        <w:pStyle w:val="BookText"/>
        <w:rPr/>
      </w:pPr>
      <w:bookmarkEnd w:id="43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قلب وجهه عن القبلة</w:t>
      </w:r>
      <w:r>
        <w:rPr>
          <w:rFonts w:eastAsia="Amiri" w:cs="Amiri" w:ascii="Amiri" w:hAnsi="Amiri"/>
          <w:color w:val="111111"/>
          <w:sz w:val="28"/>
          <w:szCs w:val="28"/>
          <w:rtl w:val="true"/>
          <w:lang w:bidi="ar-SA"/>
        </w:rPr>
        <w:t xml:space="preserve">» </w:t>
      </w:r>
      <w:r>
        <w:rPr>
          <w:rStyle w:val="FootnoteAnchor"/>
          <w:rtl w:val="true"/>
        </w:rPr>
        <w:footnoteReference w:id="74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اعلم أنّ مجرّد ما يحصل في البطن من ذلك غير موجب للطّهارة،بل مع خروج الحدث،و يحمل ذلك على من لم يملك نفسه من التّحفّظ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حكم من يغلبه الحدث المستمرّ من الرّيح حكم المبطون</w:t>
      </w:r>
      <w:r>
        <w:rPr>
          <w:rFonts w:eastAsia="Amiri" w:cs="Amiri" w:ascii="Amiri" w:hAnsi="Amiri"/>
          <w:color w:val="111111"/>
          <w:sz w:val="28"/>
          <w:szCs w:val="28"/>
          <w:rtl w:val="true"/>
          <w:lang w:bidi="ar-SA"/>
        </w:rPr>
        <w:t>.</w:t>
      </w:r>
    </w:p>
    <w:p>
      <w:pPr>
        <w:pStyle w:val="Heading3"/>
        <w:numPr>
          <w:ilvl w:val="2"/>
          <w:numId w:val="1"/>
        </w:numPr>
        <w:rPr/>
      </w:pPr>
      <w:bookmarkStart w:id="436" w:name="__RefHeading___Toc795481_222507752"/>
      <w:bookmarkStart w:id="437" w:name="_Toc180"/>
      <w:bookmarkEnd w:id="436"/>
      <w:r>
        <w:rPr>
          <w:rtl w:val="true"/>
        </w:rPr>
        <w:t>البحث الخامس</w:t>
      </w:r>
      <w:r>
        <w:rPr>
          <w:rtl w:val="true"/>
        </w:rPr>
        <w:t>:</w:t>
      </w:r>
      <w:r>
        <w:rPr>
          <w:rtl w:val="true"/>
        </w:rPr>
        <w:t>في أحكامه و توابعه</w:t>
      </w:r>
      <w:bookmarkEnd w:id="437"/>
    </w:p>
    <w:p>
      <w:pPr>
        <w:pStyle w:val="Heading4"/>
        <w:numPr>
          <w:ilvl w:val="3"/>
          <w:numId w:val="1"/>
        </w:numPr>
        <w:rPr/>
      </w:pPr>
      <w:bookmarkStart w:id="438" w:name="__RefHeading___Toc795483_222507752"/>
      <w:bookmarkStart w:id="439" w:name="_Toc181"/>
      <w:bookmarkEnd w:id="438"/>
      <w:r>
        <w:rPr>
          <w:rtl w:val="true"/>
        </w:rPr>
        <w:t>مسألة</w:t>
      </w:r>
      <w:r>
        <w:rPr>
          <w:rtl w:val="true"/>
        </w:rPr>
        <w:t>:</w:t>
      </w:r>
      <w:r>
        <w:rPr>
          <w:rtl w:val="true"/>
        </w:rPr>
        <w:t>من تيقّن الطّهارة و شكّ في الحدث بنى على اليقين و ألقى الشّكّ</w:t>
      </w:r>
      <w:r>
        <w:rPr>
          <w:rtl w:val="true"/>
        </w:rPr>
        <w:t>.</w:t>
      </w:r>
      <w:bookmarkEnd w:id="439"/>
    </w:p>
    <w:p>
      <w:pPr>
        <w:pStyle w:val="Heading5"/>
        <w:numPr>
          <w:ilvl w:val="4"/>
          <w:numId w:val="1"/>
        </w:numPr>
        <w:rPr/>
      </w:pPr>
      <w:bookmarkStart w:id="440" w:name="__RefHeading___Toc795485_222507752"/>
      <w:bookmarkStart w:id="441" w:name="_Toc182"/>
      <w:bookmarkEnd w:id="440"/>
      <w:r>
        <w:rPr>
          <w:rtl w:val="true"/>
        </w:rPr>
        <w:t>اشارة</w:t>
      </w:r>
      <w:bookmarkEnd w:id="441"/>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هو قول علمائنا أجمع،و به قال الثّوريّ،و أهل العراق،و الأوزاعيّ </w:t>
      </w:r>
      <w:r>
        <w:rPr>
          <w:rStyle w:val="FootnoteAnchor"/>
          <w:rtl w:val="true"/>
        </w:rPr>
        <w:footnoteReference w:id="742"/>
      </w:r>
      <w:r>
        <w:rPr>
          <w:rFonts w:ascii="Amiri" w:hAnsi="Amiri" w:eastAsia="Amiri" w:cs="Amiri"/>
          <w:color w:val="111111"/>
          <w:sz w:val="28"/>
          <w:sz w:val="28"/>
          <w:szCs w:val="28"/>
          <w:rtl w:val="true"/>
          <w:lang w:bidi="ar-SA"/>
        </w:rPr>
        <w:t xml:space="preserve">،و الشّافعيّ </w:t>
      </w:r>
      <w:r>
        <w:rPr>
          <w:rStyle w:val="FootnoteAnchor"/>
          <w:rtl w:val="true"/>
        </w:rPr>
        <w:footnoteReference w:id="743"/>
      </w:r>
      <w:r>
        <w:rPr>
          <w:rFonts w:ascii="IRNazanin" w:hAnsi="IRNazanin" w:eastAsia="IRNazanin"/>
          <w:color w:val="111111"/>
          <w:sz w:val="28"/>
          <w:sz w:val="28"/>
          <w:szCs w:val="28"/>
          <w:rtl w:val="true"/>
          <w:lang w:bidi="fa-IR"/>
        </w:rPr>
        <w:t xml:space="preserve">،و سائر أهل العلم </w:t>
      </w:r>
      <w:r>
        <w:rPr>
          <w:rStyle w:val="FootnoteAnchor"/>
          <w:rtl w:val="true"/>
        </w:rPr>
        <w:footnoteReference w:id="744"/>
      </w:r>
      <w:r>
        <w:rPr>
          <w:rFonts w:ascii="Amiri" w:hAnsi="Amiri" w:eastAsia="Amiri" w:cs="Amiri"/>
          <w:color w:val="111111"/>
          <w:sz w:val="28"/>
          <w:sz w:val="28"/>
          <w:szCs w:val="28"/>
          <w:rtl w:val="true"/>
          <w:lang w:bidi="ar-SA"/>
        </w:rPr>
        <w:t>فيما علمنا،إلاّ الحسن و مالكا،فإنّ الحسن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شكّ في الحدث في الصّلاة مضى فيها،و إن كان قبل الدّخول توضّأ </w:t>
      </w:r>
      <w:r>
        <w:rPr>
          <w:rStyle w:val="FootnoteAnchor"/>
          <w:rtl w:val="true"/>
        </w:rPr>
        <w:footnoteReference w:id="74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مالك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الشّكّ في الحدث إن كان يستنكحه </w:t>
      </w:r>
      <w:r>
        <w:rPr>
          <w:rStyle w:val="FootnoteAnchor"/>
          <w:rtl w:val="true"/>
        </w:rPr>
        <w:footnoteReference w:id="746"/>
      </w:r>
      <w:r>
        <w:rPr>
          <w:rFonts w:ascii="Amiri" w:hAnsi="Amiri" w:eastAsia="Amiri" w:cs="Amiri"/>
          <w:color w:val="111111"/>
          <w:sz w:val="28"/>
          <w:sz w:val="28"/>
          <w:szCs w:val="28"/>
          <w:rtl w:val="true"/>
          <w:lang w:bidi="ar-SA"/>
        </w:rPr>
        <w:t xml:space="preserve">كثيرا فهو على وضوئه،و إن كان لا يستنكحه كثيرا توضّأ </w:t>
      </w:r>
      <w:r>
        <w:rPr>
          <w:rStyle w:val="FootnoteAnchor"/>
          <w:rtl w:val="true"/>
        </w:rPr>
        <w:footnoteReference w:id="74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الجمهور،عن عبد اللّه بن زيد،قال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شكي إلى النّبيّ صلّى اللّه عليه و آله الرّجل يخيّل إليه في الصّلاة أنّه يجد الشّيء؟قال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ينصرف حتّى يسمع صوتا أو يجد ريحا</w:t>
      </w:r>
      <w:r>
        <w:rPr>
          <w:rFonts w:eastAsia="Amiri" w:cs="Amiri" w:ascii="Amiri" w:hAnsi="Amiri"/>
          <w:color w:val="111111"/>
          <w:sz w:val="28"/>
          <w:szCs w:val="28"/>
          <w:rtl w:val="true"/>
          <w:lang w:bidi="ar-SA"/>
        </w:rPr>
        <w:t xml:space="preserve">» </w:t>
      </w:r>
      <w:r>
        <w:rPr>
          <w:rStyle w:val="FootnoteAnchor"/>
          <w:rtl w:val="true"/>
        </w:rPr>
        <w:footnoteReference w:id="7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رواه مسلم،عن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وجد أحدكم في بطنه شيئا فأشكل عليه أخرج منه أم لم يخرج،فلا يخرج من المسجد حتّى يسمع صوتا أو يجد ريحا</w:t>
      </w:r>
      <w:r>
        <w:rPr>
          <w:rFonts w:eastAsia="Amiri" w:cs="Amiri" w:ascii="Amiri" w:hAnsi="Amiri"/>
          <w:color w:val="111111"/>
          <w:sz w:val="28"/>
          <w:szCs w:val="28"/>
          <w:rtl w:val="true"/>
          <w:lang w:bidi="ar-SA"/>
        </w:rPr>
        <w:t xml:space="preserve">) </w:t>
      </w:r>
      <w:r>
        <w:rPr>
          <w:rStyle w:val="FootnoteAnchor"/>
          <w:rtl w:val="true"/>
        </w:rPr>
        <w:footnoteReference w:id="7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طريق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 في الموثّق،عن بكير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استيقنت أنّك قد توضّأت فإيّاك أن تحدث وضوءا أبدا حتّى تستيقن انّك قد أحدثت</w:t>
      </w:r>
      <w:r>
        <w:rPr>
          <w:rFonts w:eastAsia="Amiri" w:cs="Amiri" w:ascii="Amiri" w:hAnsi="Amiri"/>
          <w:color w:val="111111"/>
          <w:sz w:val="28"/>
          <w:szCs w:val="28"/>
          <w:rtl w:val="true"/>
          <w:lang w:bidi="ar-SA"/>
        </w:rPr>
        <w:t xml:space="preserve">» </w:t>
      </w:r>
      <w:r>
        <w:rPr>
          <w:rStyle w:val="FootnoteAnchor"/>
          <w:rtl w:val="true"/>
        </w:rPr>
        <w:footnoteReference w:id="7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في الموثّق،عن عبد اللّه بن أبي يعفور،عن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شككت في شيء من الوضوء و قد دخلت في غيره فليس شكّك بشيء إنّما الشّكّ إذا كنت في شيء لم تجزه</w:t>
      </w:r>
      <w:r>
        <w:rPr>
          <w:rFonts w:eastAsia="Amiri" w:cs="Amiri" w:ascii="Amiri" w:hAnsi="Amiri"/>
          <w:color w:val="111111"/>
          <w:sz w:val="28"/>
          <w:szCs w:val="28"/>
          <w:rtl w:val="true"/>
          <w:lang w:bidi="ar-SA"/>
        </w:rPr>
        <w:t xml:space="preserve">» </w:t>
      </w:r>
      <w:r>
        <w:rPr>
          <w:rStyle w:val="FootnoteAnchor"/>
          <w:rtl w:val="true"/>
        </w:rPr>
        <w:footnoteReference w:id="751"/>
      </w: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في الصّحيح،عن زرارة،عن أبي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تنقض الوضوء بالشّك</w:t>
      </w:r>
      <w:r>
        <w:rPr>
          <w:rFonts w:eastAsia="Amiri" w:cs="Amiri" w:ascii="Amiri" w:hAnsi="Amiri"/>
          <w:color w:val="111111"/>
          <w:sz w:val="28"/>
          <w:szCs w:val="28"/>
          <w:rtl w:val="true"/>
          <w:lang w:bidi="ar-SA"/>
        </w:rPr>
        <w:t xml:space="preserve">» </w:t>
      </w:r>
      <w:r>
        <w:rPr>
          <w:rStyle w:val="FootnoteAnchor"/>
          <w:rtl w:val="true"/>
        </w:rPr>
        <w:footnoteReference w:id="752"/>
      </w:r>
      <w:r>
        <w:rPr>
          <w:rFonts w:eastAsia="Times New Roman" w:cs="Times New Roman" w:ascii="Times New Roman" w:hAnsi="Times New Roman"/>
          <w:color w:val="111111"/>
          <w:sz w:val="28"/>
          <w:szCs w:val="28"/>
          <w:rtl w:val="true"/>
          <w:lang w:val="en-US" w:bidi="en-US"/>
        </w:rPr>
        <w:t xml:space="preserve">. </w:t>
      </w:r>
      <w:bookmarkStart w:id="442" w:name="pg12669_112933"/>
    </w:p>
    <w:p>
      <w:pPr>
        <w:pStyle w:val="BookText"/>
        <w:rPr/>
      </w:pPr>
      <w:bookmarkEnd w:id="442"/>
      <w:r>
        <w:rPr>
          <w:rFonts w:ascii="Amiri" w:hAnsi="Amiri" w:eastAsia="Amiri" w:cs="Amiri"/>
          <w:color w:val="111111"/>
          <w:sz w:val="28"/>
          <w:sz w:val="28"/>
          <w:szCs w:val="28"/>
          <w:rtl w:val="true"/>
          <w:lang w:bidi="ar-SA"/>
        </w:rPr>
        <w:t>و روى في الصّحيح،عن زرارة،عن أبي جعفر عليه السّلام،فإن حرّك إلى جنبه شيء و لم يعلم به؟قال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حتّى يستيقن انّه قد نام حتّى يجيء من ذلك 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w:t>
      </w:r>
      <w:r>
        <w:rPr>
          <w:rFonts w:eastAsia="Amiri" w:cs="Amiri" w:ascii="Amiri" w:hAnsi="Amiri"/>
          <w:color w:val="111111"/>
          <w:sz w:val="28"/>
          <w:szCs w:val="28"/>
          <w:rtl w:val="true"/>
          <w:lang w:bidi="ar-SA"/>
        </w:rPr>
        <w:t xml:space="preserve">] </w:t>
      </w:r>
      <w:r>
        <w:rPr>
          <w:rStyle w:val="FootnoteAnchor"/>
          <w:rtl w:val="true"/>
        </w:rPr>
        <w:footnoteReference w:id="753"/>
      </w:r>
      <w:r>
        <w:rPr>
          <w:rFonts w:ascii="Amiri" w:hAnsi="Amiri" w:eastAsia="Amiri" w:cs="Amiri"/>
          <w:color w:val="111111"/>
          <w:sz w:val="28"/>
          <w:sz w:val="28"/>
          <w:szCs w:val="28"/>
          <w:rtl w:val="true"/>
          <w:lang w:bidi="ar-SA"/>
        </w:rPr>
        <w:t>و إلاّ فإنّه على يقين من وضوئه،و لا ينقض اليقين أبدا بالشّك و لكن ينقضه بيقين آخر</w:t>
      </w:r>
      <w:r>
        <w:rPr>
          <w:rFonts w:eastAsia="Amiri" w:cs="Amiri" w:ascii="Amiri" w:hAnsi="Amiri"/>
          <w:color w:val="111111"/>
          <w:sz w:val="28"/>
          <w:szCs w:val="28"/>
          <w:rtl w:val="true"/>
          <w:lang w:bidi="ar-SA"/>
        </w:rPr>
        <w:t xml:space="preserve">» </w:t>
      </w:r>
      <w:r>
        <w:rPr>
          <w:rStyle w:val="FootnoteAnchor"/>
          <w:rtl w:val="true"/>
        </w:rPr>
        <w:footnoteReference w:id="754"/>
      </w:r>
      <w:r>
        <w:rPr>
          <w:rFonts w:ascii="Amiri" w:hAnsi="Amiri" w:eastAsia="Amiri" w:cs="Amiri"/>
          <w:color w:val="111111"/>
          <w:sz w:val="28"/>
          <w:sz w:val="28"/>
          <w:szCs w:val="28"/>
          <w:rtl w:val="true"/>
          <w:lang w:bidi="ar-SA"/>
        </w:rPr>
        <w:t>و لأنّ الشّك يتطرّق في أكثر الأحوال لأغلب النّاس،و ذلك يستلزم الحرج العظيم فيكون منفيّا،و لأنّه إذا شكّ تعارض الأمران و لا أولويّة لأحدهما فيجب سقوطهما و الأخذ بالمتيقّن كاليقين عنده</w:t>
      </w:r>
      <w:r>
        <w:rPr>
          <w:rFonts w:eastAsia="Amiri" w:cs="Amiri" w:ascii="Amiri" w:hAnsi="Amiri"/>
          <w:color w:val="111111"/>
          <w:sz w:val="28"/>
          <w:szCs w:val="28"/>
          <w:rtl w:val="true"/>
          <w:lang w:bidi="ar-SA"/>
        </w:rPr>
        <w:t>.</w:t>
      </w:r>
    </w:p>
    <w:p>
      <w:pPr>
        <w:pStyle w:val="Heading5"/>
        <w:numPr>
          <w:ilvl w:val="4"/>
          <w:numId w:val="1"/>
        </w:numPr>
        <w:rPr/>
      </w:pPr>
      <w:bookmarkStart w:id="443" w:name="__RefHeading___Toc795487_222507752"/>
      <w:bookmarkStart w:id="444" w:name="_Toc183"/>
      <w:bookmarkEnd w:id="443"/>
      <w:r>
        <w:rPr>
          <w:rtl w:val="true"/>
        </w:rPr>
        <w:t>فرع</w:t>
      </w:r>
      <w:r>
        <w:rPr>
          <w:rtl w:val="true"/>
        </w:rPr>
        <w:t>:</w:t>
      </w:r>
      <w:bookmarkEnd w:id="444"/>
    </w:p>
    <w:p>
      <w:pPr>
        <w:pStyle w:val="BookText"/>
        <w:rPr/>
      </w:pPr>
      <w:r>
        <w:rPr>
          <w:rFonts w:ascii="Amiri" w:hAnsi="Amiri" w:eastAsia="Amiri" w:cs="Amiri"/>
          <w:color w:val="111111"/>
          <w:sz w:val="28"/>
          <w:sz w:val="28"/>
          <w:szCs w:val="28"/>
          <w:rtl w:val="true"/>
          <w:lang w:bidi="ar-SA"/>
        </w:rPr>
        <w:t>لو ظنّ الحدث مع يقين الطّهارة لا يلتفت،</w:t>
      </w:r>
    </w:p>
    <w:p>
      <w:pPr>
        <w:pStyle w:val="BookText"/>
        <w:rPr/>
      </w:pPr>
      <w:r>
        <w:rPr>
          <w:rFonts w:ascii="Amiri" w:hAnsi="Amiri" w:eastAsia="Amiri" w:cs="Amiri"/>
          <w:color w:val="111111"/>
          <w:sz w:val="28"/>
          <w:sz w:val="28"/>
          <w:szCs w:val="28"/>
          <w:rtl w:val="true"/>
          <w:lang w:bidi="ar-SA"/>
        </w:rPr>
        <w:t>لأنّ الظّن إنّما يعتبر مع اعتبار الشّارع له كالشّهادة،لا كما لو ظنّ الحاكم ظنّا غير منوط بسبب اعتبره الشّارع،لأنّ في ذلك رجوعا عن المتيقّن إلى المظنون،و هو باطل</w:t>
      </w:r>
      <w:r>
        <w:rPr>
          <w:rFonts w:eastAsia="Amiri" w:cs="Amiri" w:ascii="Amiri" w:hAnsi="Amiri"/>
          <w:color w:val="111111"/>
          <w:sz w:val="28"/>
          <w:szCs w:val="28"/>
          <w:rtl w:val="true"/>
          <w:lang w:bidi="ar-SA"/>
        </w:rPr>
        <w:t>.</w:t>
      </w:r>
    </w:p>
    <w:p>
      <w:pPr>
        <w:pStyle w:val="Heading4"/>
        <w:numPr>
          <w:ilvl w:val="3"/>
          <w:numId w:val="1"/>
        </w:numPr>
        <w:rPr/>
      </w:pPr>
      <w:bookmarkStart w:id="445" w:name="__RefHeading___Toc795489_222507752"/>
      <w:bookmarkStart w:id="446" w:name="_Toc184"/>
      <w:bookmarkEnd w:id="445"/>
      <w:r>
        <w:rPr>
          <w:rtl w:val="true"/>
        </w:rPr>
        <w:t>مسألة</w:t>
      </w:r>
      <w:r>
        <w:rPr>
          <w:rtl w:val="true"/>
        </w:rPr>
        <w:t>:</w:t>
      </w:r>
      <w:r>
        <w:rPr>
          <w:rtl w:val="true"/>
        </w:rPr>
        <w:t>و لو تيقّن الطّهارة و الحدث معا و شكّ في المتقدّم،فالمشهور عند أصحابنا</w:t>
      </w:r>
      <w:bookmarkEnd w:id="446"/>
    </w:p>
    <w:p>
      <w:pPr>
        <w:pStyle w:val="Heading5"/>
        <w:numPr>
          <w:ilvl w:val="4"/>
          <w:numId w:val="1"/>
        </w:numPr>
        <w:rPr/>
      </w:pPr>
      <w:bookmarkStart w:id="447" w:name="__RefHeading___Toc795491_222507752"/>
      <w:bookmarkStart w:id="448" w:name="_Toc185"/>
      <w:bookmarkEnd w:id="447"/>
      <w:r>
        <w:rPr>
          <w:rtl w:val="true"/>
        </w:rPr>
        <w:t>اشارة</w:t>
      </w:r>
      <w:bookmarkEnd w:id="448"/>
    </w:p>
    <w:p>
      <w:pPr>
        <w:pStyle w:val="BookText"/>
        <w:rPr/>
      </w:pPr>
      <w:r>
        <w:rPr>
          <w:rFonts w:ascii="Amiri" w:hAnsi="Amiri" w:eastAsia="Amiri" w:cs="Amiri"/>
          <w:color w:val="111111"/>
          <w:sz w:val="28"/>
          <w:sz w:val="28"/>
          <w:szCs w:val="28"/>
          <w:rtl w:val="true"/>
          <w:lang w:bidi="ar-SA"/>
        </w:rPr>
        <w:t>الإعادة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أحد قولي الشّافعيّ </w:t>
      </w:r>
      <w:r>
        <w:rPr>
          <w:rStyle w:val="FootnoteAnchor"/>
          <w:rtl w:val="true"/>
        </w:rPr>
        <w:footnoteReference w:id="755"/>
      </w:r>
      <w:r>
        <w:rPr>
          <w:rFonts w:ascii="Amiri" w:hAnsi="Amiri" w:eastAsia="Amiri" w:cs="Amiri"/>
          <w:color w:val="111111"/>
          <w:sz w:val="28"/>
          <w:sz w:val="28"/>
          <w:szCs w:val="28"/>
          <w:rtl w:val="true"/>
          <w:lang w:bidi="ar-SA"/>
        </w:rPr>
        <w:t xml:space="preserve">،و هو الأقوى عندي،و القول الآخر للشّافعيّ الرّجوع إلى الزّمان السّابق على تصادم الاحتمالين،فإن كان حدثا بنى على الطّهارة،لأنّه تيقّن انتقاله عن تلك الحالة إلى الطّهارة،و لم يعلم تجدّد الانتقاض،فصار متيقّنا للطّهارة، شاكا في رفعها،فيبني على اليقين،و إن كان متطهّرا بنى على الحدث،لما قلناه </w:t>
      </w:r>
      <w:r>
        <w:rPr>
          <w:rStyle w:val="FootnoteAnchor"/>
          <w:rtl w:val="true"/>
        </w:rPr>
        <w:footnoteReference w:id="756"/>
      </w: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لنا انّه حالة الدّخول في الصّلاة غير متيقّن للطّهارة و لا ظانّا لها،فلم يسغ الدّخول حينئذ،و ما ذكروه ضعيف،لأنّه كما تيقّن انتقاله إلى الطّهارة فكذلك تيقّن حصول </w:t>
      </w:r>
      <w:bookmarkStart w:id="449" w:name="pg12669_112934"/>
    </w:p>
    <w:p>
      <w:pPr>
        <w:pStyle w:val="BookText"/>
        <w:rPr/>
      </w:pPr>
      <w:bookmarkEnd w:id="449"/>
      <w:r>
        <w:rPr>
          <w:rFonts w:ascii="Amiri" w:hAnsi="Amiri" w:eastAsia="Amiri" w:cs="Amiri"/>
          <w:color w:val="111111"/>
          <w:sz w:val="28"/>
          <w:sz w:val="28"/>
          <w:szCs w:val="28"/>
          <w:rtl w:val="true"/>
          <w:lang w:bidi="ar-SA"/>
        </w:rPr>
        <w:t>حدث بعد ذلك الحدث،فحينئذ يتساوى احتمال الطّهارة و عدمها،فلا يكون كافيا</w:t>
      </w:r>
      <w:r>
        <w:rPr>
          <w:rFonts w:eastAsia="Amiri" w:cs="Amiri" w:ascii="Amiri" w:hAnsi="Amiri"/>
          <w:color w:val="111111"/>
          <w:sz w:val="28"/>
          <w:szCs w:val="28"/>
          <w:rtl w:val="true"/>
          <w:lang w:bidi="ar-SA"/>
        </w:rPr>
        <w:t>.</w:t>
      </w:r>
    </w:p>
    <w:p>
      <w:pPr>
        <w:pStyle w:val="Heading5"/>
        <w:numPr>
          <w:ilvl w:val="4"/>
          <w:numId w:val="1"/>
        </w:numPr>
        <w:rPr/>
      </w:pPr>
      <w:bookmarkStart w:id="450" w:name="__RefHeading___Toc795493_222507752"/>
      <w:bookmarkStart w:id="451" w:name="_Toc186"/>
      <w:bookmarkEnd w:id="450"/>
      <w:r>
        <w:rPr>
          <w:rtl w:val="true"/>
        </w:rPr>
        <w:t>فرع</w:t>
      </w:r>
      <w:r>
        <w:rPr>
          <w:rtl w:val="true"/>
        </w:rPr>
        <w:t>:</w:t>
      </w:r>
      <w:bookmarkEnd w:id="451"/>
    </w:p>
    <w:p>
      <w:pPr>
        <w:pStyle w:val="BookText"/>
        <w:rPr/>
      </w:pPr>
      <w:r>
        <w:rPr>
          <w:rFonts w:ascii="Amiri" w:hAnsi="Amiri" w:eastAsia="Amiri" w:cs="Amiri"/>
          <w:color w:val="111111"/>
          <w:sz w:val="28"/>
          <w:sz w:val="28"/>
          <w:szCs w:val="28"/>
          <w:rtl w:val="true"/>
          <w:lang w:bidi="ar-SA"/>
        </w:rPr>
        <w:t>لو تيقّن انّه وقت الزّوال نقض طهارة،و توضّأ عن حدث،و شكّ في السّابق،فهاهنا</w:t>
      </w:r>
    </w:p>
    <w:p>
      <w:pPr>
        <w:pStyle w:val="BookText"/>
        <w:rPr/>
      </w:pPr>
      <w:r>
        <w:rPr>
          <w:rFonts w:ascii="IRNazanin" w:hAnsi="IRNazanin" w:eastAsia="IRNazanin"/>
          <w:color w:val="111111"/>
          <w:sz w:val="28"/>
          <w:sz w:val="28"/>
          <w:szCs w:val="28"/>
          <w:rtl w:val="true"/>
          <w:lang w:bidi="fa-IR"/>
        </w:rPr>
        <w:t>الوجه استصحاب حال السّابق</w:t>
      </w:r>
    </w:p>
    <w:p>
      <w:pPr>
        <w:pStyle w:val="BookText"/>
        <w:rPr/>
      </w:pPr>
      <w:r>
        <w:rPr>
          <w:rFonts w:ascii="Amiri" w:hAnsi="Amiri" w:eastAsia="Amiri" w:cs="Amiri"/>
          <w:color w:val="111111"/>
          <w:sz w:val="28"/>
          <w:sz w:val="28"/>
          <w:szCs w:val="28"/>
          <w:rtl w:val="true"/>
          <w:lang w:bidi="ar-SA"/>
        </w:rPr>
        <w:t>على الزّوال،فإن كان في تلك الحال متطهّرا فهو على طهارته،لأنّه تيقّن انّه نقض تلك الطّهارة،ثمَّ توضّأ،إذ لا يمكن أن يتوضّأ عن حدث مع بقاء تلك الطّهارة،و نقض هذه الطّهارة الثّانية مشكوك فيه فلا يزول عن اليقين بالشّكّ،و إن كان قبل الزّوال محدثا فهو الآن محدث،لأنّه تيقّن انّه انتقل عنه إلى طهارة ثمَّ نقضها،و الطّهارة بعد نقضها مشكوك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شكّ في يوم فلا يدري تطهّر فيه و أحدث أم لا؟نصّ الشّيخ في النّهاية على إعادة الطّهارة </w:t>
      </w:r>
      <w:r>
        <w:rPr>
          <w:rStyle w:val="FootnoteAnchor"/>
          <w:rtl w:val="true"/>
        </w:rPr>
        <w:footnoteReference w:id="757"/>
      </w:r>
      <w:r>
        <w:rPr>
          <w:rFonts w:ascii="Amiri" w:hAnsi="Amiri" w:eastAsia="Amiri" w:cs="Amiri"/>
          <w:color w:val="111111"/>
          <w:sz w:val="28"/>
          <w:sz w:val="28"/>
          <w:szCs w:val="28"/>
          <w:rtl w:val="true"/>
          <w:lang w:bidi="ar-SA"/>
        </w:rPr>
        <w:t>،لأنّه غير متيقّن لها،فلا تدخل في الصّلاة بشكّ 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الوجه عندي النّظر إلى ما قبل ذلك الزّمان،فإن كان متطهّرا بنى عليه لتيقّن الطّهارة و شكّ الحدث،و إن كان محدثا بنى على الحدث لذلك</w:t>
      </w:r>
      <w:r>
        <w:rPr>
          <w:rFonts w:eastAsia="Amiri" w:cs="Amiri" w:ascii="Amiri" w:hAnsi="Amiri"/>
          <w:color w:val="111111"/>
          <w:sz w:val="28"/>
          <w:szCs w:val="28"/>
          <w:rtl w:val="true"/>
          <w:lang w:bidi="ar-SA"/>
        </w:rPr>
        <w:t>.</w:t>
      </w:r>
    </w:p>
    <w:p>
      <w:pPr>
        <w:pStyle w:val="Heading4"/>
        <w:numPr>
          <w:ilvl w:val="3"/>
          <w:numId w:val="1"/>
        </w:numPr>
        <w:rPr/>
      </w:pPr>
      <w:bookmarkStart w:id="452" w:name="__RefHeading___Toc795495_222507752"/>
      <w:bookmarkStart w:id="453" w:name="_Toc187"/>
      <w:bookmarkEnd w:id="452"/>
      <w:r>
        <w:rPr>
          <w:rtl w:val="true"/>
        </w:rPr>
        <w:t>مسألة</w:t>
      </w:r>
      <w:r>
        <w:rPr>
          <w:rtl w:val="true"/>
        </w:rPr>
        <w:t>:</w:t>
      </w:r>
      <w:r>
        <w:rPr>
          <w:rtl w:val="true"/>
        </w:rPr>
        <w:t>و لو تيقّن الحدث و شكّ في الطّهارة وجب عليه الطّهارة</w:t>
      </w:r>
      <w:r>
        <w:rPr>
          <w:rtl w:val="true"/>
        </w:rPr>
        <w:t>.</w:t>
      </w:r>
      <w:bookmarkEnd w:id="453"/>
    </w:p>
    <w:p>
      <w:pPr>
        <w:pStyle w:val="Heading5"/>
        <w:numPr>
          <w:ilvl w:val="4"/>
          <w:numId w:val="1"/>
        </w:numPr>
        <w:rPr/>
      </w:pPr>
      <w:bookmarkStart w:id="454" w:name="__RefHeading___Toc795497_222507752"/>
      <w:bookmarkStart w:id="455" w:name="_Toc188"/>
      <w:bookmarkEnd w:id="454"/>
      <w:r>
        <w:rPr>
          <w:rtl w:val="true"/>
        </w:rPr>
        <w:t>اشارة</w:t>
      </w:r>
      <w:bookmarkEnd w:id="455"/>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إجماع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شكّ في شيء من أفعالها كغسل الوجه أو اليد،فإن كان على حال الطّهارة لم يفرغ أعاد على ما شكّ فيه و على ما بعده،و أمّا السّابق فإن حصلت الموالاة صحّ و إلاّ فلا،لأنّ الأصل عدم فعله و الحدث متيقّن،فيعمل على اليقين،لما رواه الشّيخ في الصّحيح،عن زرارة،عن أبي جعفر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كنت قاعدا على وضوئك فلم تدر أ غسلت ذراعيك أم لا فأعد عليهما و على جميع ما شككت فيه انّك لم تغسله أو تمسحه ممّا سمّاه اللّه ما دمت في حال الوضوء،فإذا قمت من الوضوء و فرغت منه و قد صرت في حال أخرى في الصّلاة أو في غيرها فشككت في بعض ما سمّى اللّه ممّا أوجب اللّه عليك فيه </w:t>
      </w:r>
    </w:p>
    <w:p>
      <w:pPr>
        <w:pStyle w:val="BookText"/>
        <w:rPr/>
      </w:pPr>
      <w:r>
        <w:rPr>
          <w:rFonts w:ascii="Amiri" w:hAnsi="Amiri" w:eastAsia="Amiri" w:cs="Amiri"/>
          <w:color w:val="111111"/>
          <w:sz w:val="28"/>
          <w:sz w:val="28"/>
          <w:szCs w:val="28"/>
          <w:rtl w:val="true"/>
          <w:lang w:bidi="ar-SA"/>
        </w:rPr>
        <w:t>وضوءه لا شيء عليك فيه</w:t>
      </w:r>
      <w:r>
        <w:rPr>
          <w:rFonts w:eastAsia="Amiri" w:cs="Amiri" w:ascii="Amiri" w:hAnsi="Amiri"/>
          <w:color w:val="111111"/>
          <w:sz w:val="28"/>
          <w:szCs w:val="28"/>
          <w:rtl w:val="true"/>
          <w:lang w:bidi="ar-SA"/>
        </w:rPr>
        <w:t xml:space="preserve">» </w:t>
      </w:r>
      <w:r>
        <w:rPr>
          <w:rStyle w:val="FootnoteAnchor"/>
          <w:rtl w:val="true"/>
        </w:rPr>
        <w:footnoteReference w:id="7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في الموثّق،عن عبد اللّه بن أبي يعفور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شككت في شيء من الوضوء و قد دخلت في غيره فليس شكّك في شيء،إنّما الشّكّ إذا كنت في شيء لم تجزه</w:t>
      </w:r>
      <w:r>
        <w:rPr>
          <w:rFonts w:eastAsia="Amiri" w:cs="Amiri" w:ascii="Amiri" w:hAnsi="Amiri"/>
          <w:color w:val="111111"/>
          <w:sz w:val="28"/>
          <w:szCs w:val="28"/>
          <w:rtl w:val="true"/>
          <w:lang w:bidi="ar-SA"/>
        </w:rPr>
        <w:t xml:space="preserve">» </w:t>
      </w:r>
      <w:r>
        <w:rPr>
          <w:rStyle w:val="FootnoteAnchor"/>
          <w:rtl w:val="true"/>
        </w:rPr>
        <w:footnoteReference w:id="75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كان قد فرغ و انصرف عن حاله لم يلتفت إلى الشّكّ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إجماع،و يدلّ عليه أيضا رواية زرارة و ابن أبي يعفور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الشّيخ في الصّحيح،عن محمّد بن مسلم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شكّ في الوضوء بعد ما فرغ من الصّلاة؟قال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يمضي على صلاته و لا يعيد</w:t>
      </w:r>
      <w:r>
        <w:rPr>
          <w:rFonts w:eastAsia="Amiri" w:cs="Amiri" w:ascii="Amiri" w:hAnsi="Amiri"/>
          <w:color w:val="111111"/>
          <w:sz w:val="28"/>
          <w:szCs w:val="28"/>
          <w:rtl w:val="true"/>
          <w:lang w:bidi="ar-SA"/>
        </w:rPr>
        <w:t xml:space="preserve">» </w:t>
      </w:r>
      <w:r>
        <w:rPr>
          <w:rStyle w:val="FootnoteAnchor"/>
          <w:rtl w:val="true"/>
        </w:rPr>
        <w:footnoteReference w:id="760"/>
      </w: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روى،عن بكير بن أعين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الرّجل يشكّ بعد ما يتوضّأ؟قال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حين يتوضّأ أذكر منه حين يشكّ</w:t>
      </w:r>
      <w:r>
        <w:rPr>
          <w:rFonts w:eastAsia="Amiri" w:cs="Amiri" w:ascii="Amiri" w:hAnsi="Amiri"/>
          <w:color w:val="111111"/>
          <w:sz w:val="28"/>
          <w:szCs w:val="28"/>
          <w:rtl w:val="true"/>
          <w:lang w:bidi="ar-SA"/>
        </w:rPr>
        <w:t xml:space="preserve">» </w:t>
      </w:r>
      <w:r>
        <w:rPr>
          <w:rStyle w:val="FootnoteAnchor"/>
          <w:rtl w:val="true"/>
        </w:rPr>
        <w:footnoteReference w:id="761"/>
      </w:r>
      <w:r>
        <w:rPr>
          <w:rFonts w:ascii="Amiri" w:hAnsi="Amiri" w:eastAsia="Amiri" w:cs="Amiri"/>
          <w:color w:val="111111"/>
          <w:sz w:val="28"/>
          <w:sz w:val="28"/>
          <w:szCs w:val="28"/>
          <w:rtl w:val="true"/>
          <w:lang w:bidi="ar-SA"/>
        </w:rPr>
        <w:t>و لأنّ الانفكاك من الشّك نادر،فيلزم وجوب الوضوء المتكرّر في أغلب الأحوال،و ذلك عسر و مشقّة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لو تيقّن ترك عضو أتى به و بما بعده،و أمّا السّابق فإن حصلت الموالاة صحّ و إلاّ فلا،سواء انصرف أو لا،صلّى به أو لا،و يعيد الصلاة،و لا نعرف خلافا في وجوب الإتيان،لأنّ المقتضي و هو الأمر موجود،فيوجد الأثر و هو الوجوب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يعضده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 في الحسن،عن الحلبيّ، 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ذكرت و أنت في صلاتك انّك قد تركت شيئا من وضوئك المفروض عليك فانصرف فأتمّ الّذي نسيته من وضوئك و أعد صلاتك، و يكفيك من مسح رأسك أن تأخذ من لحيتك بللها إذا نسيت أن تمسح رأسك فتمسح به </w:t>
      </w:r>
    </w:p>
    <w:p>
      <w:pPr>
        <w:pStyle w:val="BookText"/>
        <w:rPr/>
      </w:pPr>
      <w:r>
        <w:rPr>
          <w:rFonts w:ascii="Amiri" w:hAnsi="Amiri" w:eastAsia="Amiri" w:cs="Amiri"/>
          <w:color w:val="111111"/>
          <w:sz w:val="28"/>
          <w:sz w:val="28"/>
          <w:szCs w:val="28"/>
          <w:rtl w:val="true"/>
          <w:lang w:bidi="ar-SA"/>
        </w:rPr>
        <w:t>مقدّم رأسك</w:t>
      </w:r>
      <w:r>
        <w:rPr>
          <w:rFonts w:eastAsia="Amiri" w:cs="Amiri" w:ascii="Amiri" w:hAnsi="Amiri"/>
          <w:color w:val="111111"/>
          <w:sz w:val="28"/>
          <w:szCs w:val="28"/>
          <w:rtl w:val="true"/>
          <w:lang w:bidi="ar-SA"/>
        </w:rPr>
        <w:t xml:space="preserve">» </w:t>
      </w:r>
      <w:r>
        <w:rPr>
          <w:rStyle w:val="FootnoteAnchor"/>
          <w:rtl w:val="true"/>
        </w:rPr>
        <w:footnoteReference w:id="76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إعادة ما بعده فليحصل التّرتيب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الشّيخ في الحسن،عن الحلبي،عن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نسي الرّجل أن يغسل يمينه فغسل شماله و مسح رأسه و رجليه فذكر بعد ذلك،غسل يمينه و شماله و مسح رأسه و رجليه،و إن كان إنّما نسي شماله فليغسل الشّمال و لا يعيد على ما كان توضّأ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اتبع وضوءك بعضه بعضا</w:t>
      </w:r>
      <w:r>
        <w:rPr>
          <w:rFonts w:eastAsia="Amiri" w:cs="Amiri" w:ascii="Amiri" w:hAnsi="Amiri"/>
          <w:color w:val="111111"/>
          <w:sz w:val="28"/>
          <w:szCs w:val="28"/>
          <w:rtl w:val="true"/>
          <w:lang w:bidi="ar-SA"/>
        </w:rPr>
        <w:t xml:space="preserve">» </w:t>
      </w:r>
      <w:r>
        <w:rPr>
          <w:rStyle w:val="FootnoteAnchor"/>
          <w:rtl w:val="true"/>
        </w:rPr>
        <w:footnoteReference w:id="7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روى،عن زرارة،عن أبي عبد اللّه عليه السّلام في الرّجل ينسى مسح رأسه حتّى يدخل في الصّلاة؟قال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في لحيته بلل بقدر ما يمسح رأسه و رجليه فليفعل ذلك و ليصلّ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نسي شيئا من الوضوء المفروض فعليه أن يبدأ بما نسي و يعيد ما بقي لتمام الوضوء</w:t>
      </w:r>
      <w:r>
        <w:rPr>
          <w:rFonts w:eastAsia="Amiri" w:cs="Amiri" w:ascii="Amiri" w:hAnsi="Amiri"/>
          <w:color w:val="111111"/>
          <w:sz w:val="28"/>
          <w:szCs w:val="28"/>
          <w:rtl w:val="true"/>
          <w:lang w:bidi="ar-SA"/>
        </w:rPr>
        <w:t xml:space="preserve">» </w:t>
      </w:r>
      <w:r>
        <w:rPr>
          <w:rStyle w:val="FootnoteAnchor"/>
          <w:rtl w:val="true"/>
        </w:rPr>
        <w:footnoteReference w:id="7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في الصّحيح،عن منصور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عمّن نسي أن يمسح رأسه حتّى قام في الصّلاة،قال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ينصرف و يمسح رأسه و رجليه</w:t>
      </w:r>
      <w:r>
        <w:rPr>
          <w:rFonts w:eastAsia="Amiri" w:cs="Amiri" w:ascii="Amiri" w:hAnsi="Amiri"/>
          <w:color w:val="111111"/>
          <w:sz w:val="28"/>
          <w:szCs w:val="28"/>
          <w:rtl w:val="true"/>
          <w:lang w:bidi="ar-SA"/>
        </w:rPr>
        <w:t xml:space="preserve">» </w:t>
      </w:r>
      <w:r>
        <w:rPr>
          <w:rStyle w:val="FootnoteAnchor"/>
          <w:rtl w:val="true"/>
        </w:rPr>
        <w:footnoteReference w:id="765"/>
      </w:r>
      <w:r>
        <w:rPr>
          <w:rFonts w:eastAsia="Times New Roman" w:cs="Times New Roman" w:ascii="Times New Roman" w:hAnsi="Times New Roman"/>
          <w:color w:val="111111"/>
          <w:sz w:val="28"/>
          <w:szCs w:val="28"/>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في الصّحيح،عن منصور بن حازم،عن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الرّجل يتوضّأ فيبدأ بالشّمال قبل اليمين؟قال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يغسل اليمين و يعيد اليسار</w:t>
      </w:r>
      <w:r>
        <w:rPr>
          <w:rFonts w:eastAsia="Amiri" w:cs="Amiri" w:ascii="Amiri" w:hAnsi="Amiri"/>
          <w:color w:val="111111"/>
          <w:sz w:val="28"/>
          <w:szCs w:val="28"/>
          <w:rtl w:val="true"/>
          <w:lang w:bidi="ar-SA"/>
        </w:rPr>
        <w:t xml:space="preserve">» </w:t>
      </w:r>
      <w:r>
        <w:rPr>
          <w:rStyle w:val="FootnoteAnchor"/>
          <w:rtl w:val="true"/>
        </w:rPr>
        <w:footnoteReference w:id="766"/>
      </w:r>
      <w:r>
        <w:rPr>
          <w:rFonts w:ascii="Amiri" w:hAnsi="Amiri" w:eastAsia="Amiri" w:cs="Amiri"/>
          <w:color w:val="111111"/>
          <w:sz w:val="28"/>
          <w:sz w:val="28"/>
          <w:szCs w:val="28"/>
          <w:rtl w:val="true"/>
          <w:lang w:bidi="ar-SA"/>
        </w:rPr>
        <w:t xml:space="preserve">،و ذلك عامّ في النّاسي و العامد،لأنّ </w:t>
      </w:r>
      <w:r>
        <w:rPr>
          <w:rStyle w:val="FootnoteAnchor"/>
          <w:rtl w:val="true"/>
        </w:rPr>
        <w:footnoteReference w:id="767"/>
      </w:r>
      <w:r>
        <w:rPr>
          <w:rFonts w:ascii="Amiri" w:hAnsi="Amiri" w:eastAsia="Amiri" w:cs="Amiri"/>
          <w:color w:val="111111"/>
          <w:sz w:val="28"/>
          <w:sz w:val="28"/>
          <w:szCs w:val="28"/>
          <w:rtl w:val="true"/>
          <w:lang w:bidi="ar-SA"/>
        </w:rPr>
        <w:t xml:space="preserve">ترك الاستفصال يدلّ عليه،و إعادة الصّلاة مستفادة من رواية </w:t>
      </w:r>
      <w:bookmarkStart w:id="456" w:name="pg12669_112937"/>
    </w:p>
    <w:p>
      <w:pPr>
        <w:pStyle w:val="BookText"/>
        <w:rPr/>
      </w:pPr>
      <w:bookmarkEnd w:id="456"/>
      <w:r>
        <w:rPr>
          <w:rFonts w:ascii="Amiri" w:hAnsi="Amiri" w:eastAsia="Amiri" w:cs="Amiri"/>
          <w:color w:val="111111"/>
          <w:sz w:val="28"/>
          <w:sz w:val="28"/>
          <w:szCs w:val="28"/>
          <w:rtl w:val="true"/>
          <w:lang w:bidi="ar-SA"/>
        </w:rPr>
        <w:t>الحلبيّ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رواية زرارة الصّحيحة فإن دخله الشّكّ و هو في صلاته فليمض في صلاته و لا شيء عليه،و إن استيقن رجع فأعاد عليه الماء،و إن رآه و به بلّة مسح عليه و أعاد الصّلاة </w:t>
      </w:r>
      <w:r>
        <w:rPr>
          <w:rStyle w:val="FootnoteAnchor"/>
          <w:rtl w:val="true"/>
        </w:rPr>
        <w:footnoteReference w:id="7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الشّيخ في الصّحيح،عن عليّ بن جعفر،عن أخيه موسى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رجل توضّأ و نسي غسل يساره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يغسل يساره وحدها و لا يعيد وضوء شيء غيرها</w:t>
      </w:r>
      <w:r>
        <w:rPr>
          <w:rFonts w:eastAsia="Amiri" w:cs="Amiri" w:ascii="Amiri" w:hAnsi="Amiri"/>
          <w:color w:val="111111"/>
          <w:sz w:val="28"/>
          <w:szCs w:val="28"/>
          <w:rtl w:val="true"/>
          <w:lang w:bidi="ar-SA"/>
        </w:rPr>
        <w:t xml:space="preserve">» </w:t>
      </w:r>
      <w:r>
        <w:rPr>
          <w:rStyle w:val="FootnoteAnchor"/>
          <w:rtl w:val="true"/>
        </w:rPr>
        <w:footnoteReference w:id="769"/>
      </w: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يعيد وضوء شيء غيرها من الأعضاء المغسولة،جمعا بين الأدلّة</w:t>
      </w:r>
      <w:r>
        <w:rPr>
          <w:rFonts w:eastAsia="Amiri" w:cs="Amiri" w:ascii="Amiri" w:hAnsi="Amiri"/>
          <w:color w:val="111111"/>
          <w:sz w:val="28"/>
          <w:szCs w:val="28"/>
          <w:rtl w:val="true"/>
          <w:lang w:bidi="ar-SA"/>
        </w:rPr>
        <w:t>.</w:t>
      </w:r>
    </w:p>
    <w:p>
      <w:pPr>
        <w:pStyle w:val="Heading5"/>
        <w:numPr>
          <w:ilvl w:val="4"/>
          <w:numId w:val="1"/>
        </w:numPr>
        <w:rPr/>
      </w:pPr>
      <w:bookmarkStart w:id="457" w:name="__RefHeading___Toc795499_222507752"/>
      <w:bookmarkStart w:id="458" w:name="_Toc189"/>
      <w:bookmarkEnd w:id="457"/>
      <w:r>
        <w:rPr>
          <w:rtl w:val="true"/>
        </w:rPr>
        <w:t>فروع</w:t>
      </w:r>
      <w:r>
        <w:rPr>
          <w:rtl w:val="true"/>
        </w:rPr>
        <w:t>:</w:t>
      </w:r>
      <w:bookmarkEnd w:id="458"/>
    </w:p>
    <w:p>
      <w:pPr>
        <w:pStyle w:val="Heading6"/>
        <w:numPr>
          <w:ilvl w:val="5"/>
          <w:numId w:val="1"/>
        </w:numPr>
        <w:rPr/>
      </w:pPr>
      <w:bookmarkStart w:id="459" w:name="__RefHeading___Toc795501_222507752"/>
      <w:bookmarkStart w:id="460" w:name="_Toc190"/>
      <w:bookmarkEnd w:id="459"/>
      <w:r>
        <w:rPr>
          <w:rtl w:val="true"/>
        </w:rPr>
        <w:t>الأوّل</w:t>
      </w:r>
      <w:r>
        <w:rPr>
          <w:rtl w:val="true"/>
        </w:rPr>
        <w:t>:</w:t>
      </w:r>
      <w:r>
        <w:rPr>
          <w:rtl w:val="true"/>
        </w:rPr>
        <w:t>لو صلّى بطهارة،ثمَّ جدّد مستحبّا،ثمَّ صلّى اخرى،ثمَّ ذكر أنّه قد أخلّ</w:t>
      </w:r>
      <w:bookmarkEnd w:id="460"/>
    </w:p>
    <w:p>
      <w:pPr>
        <w:pStyle w:val="BookText"/>
        <w:rPr/>
      </w:pPr>
      <w:r>
        <w:rPr>
          <w:rFonts w:ascii="Amiri" w:hAnsi="Amiri" w:eastAsia="Amiri" w:cs="Amiri"/>
          <w:color w:val="111111"/>
          <w:sz w:val="28"/>
          <w:sz w:val="28"/>
          <w:szCs w:val="28"/>
          <w:rtl w:val="true"/>
          <w:lang w:bidi="ar-SA"/>
        </w:rPr>
        <w:t>بعضو من إحدى الطّهارتين،قال الشّيخ في المبسوط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يعيد الأولى خاصّة</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،لأنّ الإخلال إن كان من الأولى صحّت الثّانية بطهارتها و بطلت الاولى،و إن كان من الثّانية صحّت الصّلاتان معا بالأولى </w:t>
      </w:r>
      <w:r>
        <w:rPr>
          <w:rStyle w:val="FootnoteAnchor"/>
          <w:rtl w:val="true"/>
        </w:rPr>
        <w:footnoteReference w:id="770"/>
      </w:r>
      <w:r>
        <w:rPr>
          <w:rFonts w:ascii="Amiri" w:hAnsi="Amiri" w:eastAsia="Amiri" w:cs="Amiri"/>
          <w:color w:val="111111"/>
          <w:sz w:val="28"/>
          <w:sz w:val="28"/>
          <w:szCs w:val="28"/>
          <w:rtl w:val="true"/>
          <w:lang w:bidi="ar-SA"/>
        </w:rPr>
        <w:t>،و هو حقّ إن اكتفينا بنيّة القربة دون التّعيين للاستباحة أو رفع الحدث،أمّا مع القول بعدم الاكتفاء فالطّهارة الثّانية وجودها كعدمها،و حينئذ قال القائلون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يجب عليه الصّلاتان معا،لعدم التّيقّن بالطّهارة الاولى </w:t>
      </w:r>
      <w:r>
        <w:rPr>
          <w:rStyle w:val="FootnoteAnchor"/>
          <w:rtl w:val="true"/>
        </w:rPr>
        <w:footnoteReference w:id="771"/>
      </w:r>
      <w:r>
        <w:rPr>
          <w:rFonts w:ascii="Amiri" w:hAnsi="Amiri" w:eastAsia="Amiri" w:cs="Amiri"/>
          <w:color w:val="111111"/>
          <w:sz w:val="28"/>
          <w:sz w:val="28"/>
          <w:szCs w:val="28"/>
          <w:rtl w:val="true"/>
          <w:lang w:bidi="ar-SA"/>
        </w:rPr>
        <w:t xml:space="preserve">،و لا بأس به، إلاّ أنّ عندي فيه شكّا و هو انّه قد تيقّن الطّهارة و شكّ في بعض أعضائها بعد الانصراف،و لأنّ الشّك في إلحاق التّرك بالمعيّن منهما هو الشّك في ترك أحد الأعضاء </w:t>
      </w:r>
      <w:bookmarkStart w:id="461" w:name="pg12669_112938"/>
    </w:p>
    <w:p>
      <w:pPr>
        <w:pStyle w:val="BookText"/>
        <w:rPr/>
      </w:pPr>
      <w:bookmarkEnd w:id="461"/>
      <w:r>
        <w:rPr>
          <w:rFonts w:ascii="Amiri" w:hAnsi="Amiri" w:eastAsia="Amiri" w:cs="Amiri"/>
          <w:color w:val="111111"/>
          <w:sz w:val="28"/>
          <w:sz w:val="28"/>
          <w:szCs w:val="28"/>
          <w:rtl w:val="true"/>
          <w:lang w:bidi="ar-SA"/>
        </w:rPr>
        <w:t>الواجبة،فلا يلتفت،و هو قويّ</w:t>
      </w:r>
      <w:r>
        <w:rPr>
          <w:rFonts w:eastAsia="Amiri" w:cs="Amiri" w:ascii="Amiri" w:hAnsi="Amiri"/>
          <w:color w:val="111111"/>
          <w:sz w:val="28"/>
          <w:szCs w:val="28"/>
          <w:rtl w:val="true"/>
          <w:lang w:bidi="ar-SA"/>
        </w:rPr>
        <w:t>.</w:t>
      </w:r>
    </w:p>
    <w:p>
      <w:pPr>
        <w:pStyle w:val="Heading6"/>
        <w:numPr>
          <w:ilvl w:val="5"/>
          <w:numId w:val="1"/>
        </w:numPr>
        <w:rPr/>
      </w:pPr>
      <w:bookmarkStart w:id="462" w:name="__RefHeading___Toc795503_222507752"/>
      <w:bookmarkStart w:id="463" w:name="_Toc191"/>
      <w:bookmarkEnd w:id="462"/>
      <w:r>
        <w:rPr>
          <w:rtl w:val="true"/>
        </w:rPr>
        <w:t>الثّاني</w:t>
      </w:r>
      <w:r>
        <w:rPr>
          <w:rtl w:val="true"/>
        </w:rPr>
        <w:t>:</w:t>
      </w:r>
      <w:r>
        <w:rPr>
          <w:rtl w:val="true"/>
        </w:rPr>
        <w:t>لو تيقّن الحدث عقيب إحدى الطّهارتين الكاملتين مع تعدّد الصّلاة بهما</w:t>
      </w:r>
      <w:bookmarkEnd w:id="463"/>
    </w:p>
    <w:p>
      <w:pPr>
        <w:pStyle w:val="BookText"/>
        <w:rPr/>
      </w:pPr>
      <w:r>
        <w:rPr>
          <w:rFonts w:ascii="Amiri" w:hAnsi="Amiri" w:eastAsia="Amiri" w:cs="Amiri"/>
          <w:color w:val="111111"/>
          <w:sz w:val="28"/>
          <w:sz w:val="28"/>
          <w:szCs w:val="28"/>
          <w:rtl w:val="true"/>
          <w:lang w:bidi="ar-SA"/>
        </w:rPr>
        <w:t>على التّفريق،قال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يعيد الصّلاتين،</w:t>
      </w:r>
    </w:p>
    <w:p>
      <w:pPr>
        <w:pStyle w:val="BookText"/>
        <w:rPr/>
      </w:pPr>
      <w:r>
        <w:rPr>
          <w:rFonts w:ascii="Amiri" w:hAnsi="Amiri" w:eastAsia="Amiri" w:cs="Amiri"/>
          <w:color w:val="111111"/>
          <w:sz w:val="28"/>
          <w:sz w:val="28"/>
          <w:szCs w:val="28"/>
          <w:rtl w:val="true"/>
          <w:lang w:bidi="ar-SA"/>
        </w:rPr>
        <w:t xml:space="preserve">لأنّه لم يؤدّ واحدة منهما بيقين </w:t>
      </w:r>
      <w:r>
        <w:rPr>
          <w:rStyle w:val="FootnoteAnchor"/>
          <w:rtl w:val="true"/>
        </w:rPr>
        <w:footnoteReference w:id="7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الأقرب عندي انّه يعيد صلاة واحدة إن اتّفقتا عددا ينوي بها ما في ذمّته،و إلاّ فالصّلاتين معا،لما قاله الشّيخ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إعادة لواحدة منهما،أمّا الأولى فلأنّه صلاّها بطهارة أوقعها قطعا، و شكّ فيها بعد الصّلاة،فلا يلتفت إلى الشّكّ،لرواية محمّد بن مسلم،عن أبي عبد اللّه عليه السّلام في رجل شكّ في الوضوء بعد ما فرغ من الصّلاة؟قال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يمضي على صلاته و لا يعيد</w:t>
      </w:r>
      <w:r>
        <w:rPr>
          <w:rFonts w:eastAsia="Amiri" w:cs="Amiri" w:ascii="Amiri" w:hAnsi="Amiri"/>
          <w:color w:val="111111"/>
          <w:sz w:val="28"/>
          <w:szCs w:val="28"/>
          <w:rtl w:val="true"/>
          <w:lang w:bidi="ar-SA"/>
        </w:rPr>
        <w:t xml:space="preserve">» </w:t>
      </w:r>
      <w:r>
        <w:rPr>
          <w:rStyle w:val="FootnoteAnchor"/>
          <w:rtl w:val="true"/>
        </w:rPr>
        <w:footnoteReference w:id="773"/>
      </w:r>
      <w:r>
        <w:rPr>
          <w:rFonts w:ascii="Amiri" w:hAnsi="Amiri" w:eastAsia="Amiri" w:cs="Amiri"/>
          <w:color w:val="111111"/>
          <w:sz w:val="28"/>
          <w:sz w:val="28"/>
          <w:szCs w:val="28"/>
          <w:rtl w:val="true"/>
          <w:lang w:bidi="ar-SA"/>
        </w:rPr>
        <w:t>و هي صحيحة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الثّانية فلهذا المعنى أيضا،لأنّ الشّكّ في كون الحدث عقيب الطّهارة الأولى أو الثّانية،هو بعينه شكّ في زوال الثّانية بعد تيقّنها،بناء على الاكتفاء بنيّة القربة،فلا يلتفت إليه،للخبر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نعلم قطعا بطلان إحدى الطّهارتين،و تخصيص الاولى به دون الثّانية ترجيح من غير مرجّح،فوجب الحكم ببطلانهما معا مع الاختلاف عددا،و بطلان إحداهما مع التّساوي</w:t>
      </w:r>
      <w:r>
        <w:rPr>
          <w:rFonts w:eastAsia="Amiri" w:cs="Amiri" w:ascii="Amiri" w:hAnsi="Amiri"/>
          <w:color w:val="111111"/>
          <w:sz w:val="28"/>
          <w:szCs w:val="28"/>
          <w:rtl w:val="true"/>
          <w:lang w:bidi="ar-SA"/>
        </w:rPr>
        <w:t>.</w:t>
      </w:r>
    </w:p>
    <w:p>
      <w:pPr>
        <w:pStyle w:val="Heading6"/>
        <w:numPr>
          <w:ilvl w:val="5"/>
          <w:numId w:val="1"/>
        </w:numPr>
        <w:rPr/>
      </w:pPr>
      <w:bookmarkStart w:id="464" w:name="__RefHeading___Toc795505_222507752"/>
      <w:bookmarkStart w:id="465" w:name="_Toc192"/>
      <w:bookmarkEnd w:id="464"/>
      <w:r>
        <w:rPr>
          <w:rtl w:val="true"/>
        </w:rPr>
        <w:t>فرع</w:t>
      </w:r>
      <w:r>
        <w:rPr>
          <w:rtl w:val="true"/>
        </w:rPr>
        <w:t>:</w:t>
      </w:r>
      <w:r>
        <w:rPr>
          <w:rtl w:val="true"/>
        </w:rPr>
        <w:t>لا يجوز لمثل هذا الشّاك أن يصلّي صلاة ثالثة إلاّ بطهارة مستأنفة،</w:t>
      </w:r>
      <w:bookmarkEnd w:id="465"/>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القضاء لإحداهما</w:t>
      </w:r>
      <w:r>
        <w:rPr>
          <w:rFonts w:eastAsia="IRNazanin" w:cs="IRNazanin"/>
          <w:color w:val="111111"/>
          <w:sz w:val="28"/>
          <w:szCs w:val="28"/>
          <w:rtl w:val="true"/>
          <w:lang w:bidi="fa-IR"/>
        </w:rPr>
        <w:t xml:space="preserve">) </w:t>
      </w:r>
      <w:r>
        <w:rPr>
          <w:rStyle w:val="FootnoteAnchor"/>
          <w:rtl w:val="true"/>
        </w:rPr>
        <w:footnoteReference w:id="774"/>
      </w:r>
      <w:r>
        <w:rPr>
          <w:rFonts w:ascii="Amiri" w:hAnsi="Amiri" w:eastAsia="Amiri" w:cs="Amiri"/>
          <w:color w:val="111111"/>
          <w:sz w:val="28"/>
          <w:sz w:val="28"/>
          <w:szCs w:val="28"/>
          <w:rtl w:val="true"/>
          <w:lang w:bidi="ar-SA"/>
        </w:rPr>
        <w:t xml:space="preserve">أيضا إلاّ بأخرى غير المشكوك فيها،لأنّه قد تيقّن الطّهارة و الحدث و شكّ في المتقدّم فيعيد على قولنا،و على أحد قولي الشّافعيّ كذلك </w:t>
      </w:r>
      <w:r>
        <w:rPr>
          <w:rStyle w:val="FootnoteAnchor"/>
          <w:rtl w:val="true"/>
        </w:rPr>
        <w:footnoteReference w:id="775"/>
      </w:r>
      <w:r>
        <w:rPr>
          <w:rFonts w:ascii="Amiri" w:hAnsi="Amiri" w:eastAsia="Amiri" w:cs="Amiri"/>
          <w:color w:val="111111"/>
          <w:sz w:val="28"/>
          <w:sz w:val="28"/>
          <w:szCs w:val="28"/>
          <w:rtl w:val="true"/>
          <w:lang w:bidi="ar-SA"/>
        </w:rPr>
        <w:t xml:space="preserve">أيضا،لأنّه ينظر إلى </w:t>
      </w:r>
      <w:bookmarkStart w:id="466" w:name="pg12669_112939"/>
    </w:p>
    <w:p>
      <w:pPr>
        <w:pStyle w:val="BookText"/>
        <w:rPr/>
      </w:pPr>
      <w:bookmarkEnd w:id="466"/>
      <w:r>
        <w:rPr>
          <w:rFonts w:ascii="Amiri" w:hAnsi="Amiri" w:eastAsia="Amiri" w:cs="Amiri"/>
          <w:color w:val="111111"/>
          <w:sz w:val="28"/>
          <w:sz w:val="28"/>
          <w:szCs w:val="28"/>
          <w:rtl w:val="true"/>
          <w:lang w:bidi="ar-SA"/>
        </w:rPr>
        <w:t>السّابق على الاحتمالين و يحكم بالخلاف،و السّابق هاهنا 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صلّى بطهارة،ثمَّ أحدث فتوضّأ ثمَّ صلّى اخرى و ذكر انّه قد أخلّ بعضو من إحداهما،فالحكم فيه كما في الثّاني،و الشّكّ و الإيراد فيه كما سبق </w:t>
      </w:r>
      <w:r>
        <w:rPr>
          <w:rStyle w:val="FootnoteAnchor"/>
          <w:rtl w:val="true"/>
        </w:rPr>
        <w:footnoteReference w:id="77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67" w:name="__RefHeading___Toc795507_222507752"/>
      <w:bookmarkStart w:id="468" w:name="_Toc193"/>
      <w:bookmarkEnd w:id="467"/>
      <w:r>
        <w:rPr>
          <w:rtl w:val="true"/>
        </w:rPr>
        <w:t>الرّابع</w:t>
      </w:r>
      <w:r>
        <w:rPr>
          <w:rtl w:val="true"/>
        </w:rPr>
        <w:t>:</w:t>
      </w:r>
      <w:r>
        <w:rPr>
          <w:rtl w:val="true"/>
        </w:rPr>
        <w:t>لو جدّد مستحبّا،ثمَّ صلّى عقيبها و تيقّن ترك عضو من إحداهما،أعاد</w:t>
      </w:r>
      <w:bookmarkEnd w:id="468"/>
    </w:p>
    <w:p>
      <w:pPr>
        <w:pStyle w:val="BookText"/>
        <w:rPr/>
      </w:pPr>
      <w:r>
        <w:rPr>
          <w:rFonts w:ascii="Amiri" w:hAnsi="Amiri" w:eastAsia="Amiri" w:cs="Amiri"/>
          <w:color w:val="111111"/>
          <w:sz w:val="28"/>
          <w:sz w:val="28"/>
          <w:szCs w:val="28"/>
          <w:rtl w:val="true"/>
          <w:lang w:bidi="ar-SA"/>
        </w:rPr>
        <w:t>الصّلاة،</w:t>
      </w:r>
    </w:p>
    <w:p>
      <w:pPr>
        <w:pStyle w:val="BookText"/>
        <w:rPr/>
      </w:pPr>
      <w:r>
        <w:rPr>
          <w:rFonts w:ascii="Amiri" w:hAnsi="Amiri" w:eastAsia="Amiri" w:cs="Amiri"/>
          <w:color w:val="111111"/>
          <w:sz w:val="28"/>
          <w:sz w:val="28"/>
          <w:szCs w:val="28"/>
          <w:rtl w:val="true"/>
          <w:lang w:bidi="ar-SA"/>
        </w:rPr>
        <w:t>لاحتمال أن يكون من الطّهارة الأولى فتبطل،و الثّانية غير صحيحة،لأنّ نيّة الاستباحة مفقودة،و هذا حقّ مع الاشتراط،أمّا مع عدمه فلا إعادة،لأنّ التّرك في أيّهما كان صحّت الصّلاة بالآخر</w:t>
      </w:r>
      <w:r>
        <w:rPr>
          <w:rFonts w:eastAsia="Amiri" w:cs="Amiri" w:ascii="Amiri" w:hAnsi="Amiri"/>
          <w:color w:val="111111"/>
          <w:sz w:val="28"/>
          <w:szCs w:val="28"/>
          <w:rtl w:val="true"/>
          <w:lang w:bidi="ar-SA"/>
        </w:rPr>
        <w:t>.</w:t>
      </w:r>
    </w:p>
    <w:p>
      <w:pPr>
        <w:pStyle w:val="Heading6"/>
        <w:numPr>
          <w:ilvl w:val="5"/>
          <w:numId w:val="1"/>
        </w:numPr>
        <w:rPr/>
      </w:pPr>
      <w:bookmarkStart w:id="469" w:name="__RefHeading___Toc795509_222507752"/>
      <w:bookmarkStart w:id="470" w:name="_Toc194"/>
      <w:bookmarkEnd w:id="469"/>
      <w:r>
        <w:rPr>
          <w:rtl w:val="true"/>
        </w:rPr>
        <w:t>الخامس</w:t>
      </w:r>
      <w:r>
        <w:rPr>
          <w:rtl w:val="true"/>
        </w:rPr>
        <w:t>:</w:t>
      </w:r>
      <w:r>
        <w:rPr>
          <w:rtl w:val="true"/>
        </w:rPr>
        <w:t>لو صلّى الخمس بوضوء متعدّد بعددها و تيقّن الحدث عقيب إحدى</w:t>
      </w:r>
      <w:bookmarkEnd w:id="470"/>
    </w:p>
    <w:p>
      <w:pPr>
        <w:pStyle w:val="BookText"/>
        <w:rPr/>
      </w:pPr>
      <w:r>
        <w:rPr>
          <w:rFonts w:ascii="Amiri" w:hAnsi="Amiri" w:eastAsia="Amiri" w:cs="Amiri"/>
          <w:color w:val="111111"/>
          <w:sz w:val="28"/>
          <w:sz w:val="28"/>
          <w:szCs w:val="28"/>
          <w:rtl w:val="true"/>
          <w:lang w:bidi="ar-SA"/>
        </w:rPr>
        <w:t>الطّهارات،قال في المبسوط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يعيد الخمس </w:t>
      </w:r>
      <w:r>
        <w:rPr>
          <w:rFonts w:eastAsia="Amiri" w:cs="Amiri" w:ascii="Amiri" w:hAnsi="Amiri"/>
          <w:color w:val="111111"/>
          <w:sz w:val="28"/>
          <w:szCs w:val="28"/>
          <w:rtl w:val="true"/>
          <w:lang w:bidi="ar-SA"/>
        </w:rPr>
        <w:t>.</w:t>
      </w:r>
    </w:p>
    <w:p>
      <w:pPr>
        <w:pStyle w:val="BookText"/>
        <w:rPr/>
      </w:pPr>
      <w:r>
        <w:rPr>
          <w:rStyle w:val="FootnoteAnchor"/>
          <w:rtl w:val="true"/>
        </w:rPr>
        <w:footnoteReference w:id="7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القول بإعادة ركعتين و أربعا و ثلاثا،كالنّاسي لفريضة مجهولة من يوم،و لو كان مسافرا كفاه اثنتان و ثلاث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لو تطهّر للخمس عقيب حدث و تيقّن الإخلال المجهول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لو صلّى الخمس بطهارات متعدّدة متعاقبة و ذكر الإخلال من واحدة،أعاد الاولى لا غير لما قلناه،و فيه الخلاف السّابق </w:t>
      </w:r>
      <w:r>
        <w:rPr>
          <w:rStyle w:val="FootnoteAnchor"/>
          <w:rtl w:val="true"/>
        </w:rPr>
        <w:footnoteReference w:id="77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ذكر التّرك من طهارتين أعاد الاولى و الثّانية،و هكذا</w:t>
      </w:r>
      <w:r>
        <w:rPr>
          <w:rFonts w:eastAsia="Amiri" w:cs="Amiri" w:ascii="Amiri" w:hAnsi="Amiri"/>
          <w:color w:val="111111"/>
          <w:sz w:val="28"/>
          <w:szCs w:val="28"/>
          <w:rtl w:val="true"/>
          <w:lang w:bidi="ar-SA"/>
        </w:rPr>
        <w:t>.</w:t>
      </w:r>
    </w:p>
    <w:p>
      <w:pPr>
        <w:pStyle w:val="Heading6"/>
        <w:numPr>
          <w:ilvl w:val="5"/>
          <w:numId w:val="1"/>
        </w:numPr>
        <w:rPr/>
      </w:pPr>
      <w:bookmarkStart w:id="471" w:name="__RefHeading___Toc795511_222507752"/>
      <w:bookmarkStart w:id="472" w:name="_Toc195"/>
      <w:bookmarkEnd w:id="471"/>
      <w:r>
        <w:rPr>
          <w:rtl w:val="true"/>
        </w:rPr>
        <w:t>السّادس</w:t>
      </w:r>
      <w:r>
        <w:rPr>
          <w:rtl w:val="true"/>
        </w:rPr>
        <w:t>:</w:t>
      </w:r>
      <w:r>
        <w:rPr>
          <w:rtl w:val="true"/>
        </w:rPr>
        <w:t>لو شكّ في الطّهارة فصلّى حينئذ،ثمَّ ذكر في الأثناء أو بعد الفراغ انّه</w:t>
      </w:r>
      <w:bookmarkEnd w:id="472"/>
    </w:p>
    <w:p>
      <w:pPr>
        <w:pStyle w:val="BookText"/>
        <w:rPr/>
      </w:pPr>
      <w:r>
        <w:rPr>
          <w:rFonts w:ascii="Amiri" w:hAnsi="Amiri" w:eastAsia="Amiri" w:cs="Amiri"/>
          <w:color w:val="111111"/>
          <w:sz w:val="28"/>
          <w:sz w:val="28"/>
          <w:szCs w:val="28"/>
          <w:rtl w:val="true"/>
          <w:lang w:bidi="ar-SA"/>
        </w:rPr>
        <w:t>متطهّر أعاد الصّلاة،</w:t>
      </w:r>
    </w:p>
    <w:p>
      <w:pPr>
        <w:pStyle w:val="BookText"/>
        <w:rPr/>
      </w:pPr>
      <w:r>
        <w:rPr>
          <w:rFonts w:ascii="Amiri" w:hAnsi="Amiri" w:eastAsia="Amiri" w:cs="Amiri"/>
          <w:color w:val="111111"/>
          <w:sz w:val="28"/>
          <w:sz w:val="28"/>
          <w:szCs w:val="28"/>
          <w:rtl w:val="true"/>
          <w:lang w:bidi="ar-SA"/>
        </w:rPr>
        <w:t>لأنّه دخل فيها مع الشّكّ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قول الشّافعيّ </w:t>
      </w:r>
      <w:r>
        <w:rPr>
          <w:rStyle w:val="FootnoteAnchor"/>
          <w:rtl w:val="true"/>
        </w:rPr>
        <w:footnoteReference w:id="77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73" w:name="__RefHeading___Toc795513_222507752"/>
      <w:bookmarkStart w:id="474" w:name="_Toc196"/>
      <w:bookmarkEnd w:id="473"/>
      <w:r>
        <w:rPr>
          <w:rtl w:val="true"/>
        </w:rPr>
        <w:t>السّابع</w:t>
      </w:r>
      <w:r>
        <w:rPr>
          <w:rtl w:val="true"/>
        </w:rPr>
        <w:t>:</w:t>
      </w:r>
      <w:r>
        <w:rPr>
          <w:rtl w:val="true"/>
        </w:rPr>
        <w:t>لو تيقّن ترك العضو من طهارتين و كان قد صلّى الخمس بخمس طهارات</w:t>
      </w:r>
      <w:bookmarkEnd w:id="474"/>
    </w:p>
    <w:p>
      <w:pPr>
        <w:pStyle w:val="BookText"/>
        <w:rPr/>
      </w:pPr>
      <w:r>
        <w:rPr>
          <w:rFonts w:ascii="Amiri" w:hAnsi="Amiri" w:eastAsia="Amiri" w:cs="Amiri"/>
          <w:color w:val="111111"/>
          <w:sz w:val="28"/>
          <w:sz w:val="28"/>
          <w:szCs w:val="28"/>
          <w:rtl w:val="true"/>
          <w:lang w:bidi="ar-SA"/>
        </w:rPr>
        <w:t>عقيب الأحداث،فالتّقادير عشرة</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يكتفي بصبح،و مغرب،و أربع مرّتين ينوي بكلّ واحدة إحدى الثّلاث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نوى بواحدة منهما الظّهر أو العصر،و بالأخرى العصر أو </w:t>
      </w:r>
      <w:bookmarkStart w:id="475" w:name="pg12669_112940"/>
    </w:p>
    <w:p>
      <w:pPr>
        <w:pStyle w:val="BookText"/>
        <w:rPr/>
      </w:pPr>
      <w:bookmarkEnd w:id="475"/>
      <w:r>
        <w:rPr>
          <w:rFonts w:ascii="Amiri" w:hAnsi="Amiri" w:eastAsia="Amiri" w:cs="Amiri"/>
          <w:color w:val="111111"/>
          <w:sz w:val="28"/>
          <w:sz w:val="28"/>
          <w:szCs w:val="28"/>
          <w:rtl w:val="true"/>
          <w:lang w:bidi="ar-SA"/>
        </w:rPr>
        <w:t>العشاء أو الظهر أو العشاء صحّ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نوى بواحدة منهما الظّهر مثلا،لم يكتف في الإطلاق الثّاني بأخرى،بل لا بدّ من أربع مرّتين،إمّا بأن يعيّن كلّ واحدة من الباقين فتوزّع المرّتين عليهما،أو يأتي بالإطلاق الثّاني فيهما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لم يعلم هل هما ليومه أو ليومه و أمسه،وجب عن يومه أربع صلوات و عن أمسه ثلاث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لم يعلم هل هما ليومه أو لأمسه،وجب عليه أربع لا غير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جهل الجمع و التّفريق،صلّى عن كلّ يوم ثلاث صلوات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البحث لو توضّأ خمسا لكلّ صلاة طهارة من حدث،ثمَّ ذكر تخلّل حدث بين الطّهارة و الصّلاة و اشتبه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صلّى الخمس بثلاث طهارات،فإن جمع بين رباعيّتين بطهارة،صلّى أربعا صبحا و مغربا،و أربعا مرّتين،و إلاّ اكتفى بالثّلاث</w:t>
      </w:r>
      <w:r>
        <w:rPr>
          <w:rFonts w:eastAsia="Amiri" w:cs="Amiri" w:ascii="Amiri" w:hAnsi="Amiri"/>
          <w:color w:val="111111"/>
          <w:sz w:val="28"/>
          <w:szCs w:val="28"/>
          <w:rtl w:val="true"/>
          <w:lang w:bidi="ar-SA"/>
        </w:rPr>
        <w:t>.</w:t>
      </w:r>
    </w:p>
    <w:p>
      <w:pPr>
        <w:pStyle w:val="Heading5"/>
        <w:numPr>
          <w:ilvl w:val="4"/>
          <w:numId w:val="1"/>
        </w:numPr>
        <w:rPr/>
      </w:pPr>
      <w:bookmarkStart w:id="476" w:name="__RefHeading___Toc795515_222507752"/>
      <w:bookmarkStart w:id="477" w:name="_Toc197"/>
      <w:bookmarkEnd w:id="476"/>
      <w:r>
        <w:rPr>
          <w:rtl w:val="true"/>
        </w:rPr>
        <w:t>مسألة</w:t>
      </w:r>
      <w:r>
        <w:rPr>
          <w:rtl w:val="true"/>
        </w:rPr>
        <w:t>:</w:t>
      </w:r>
      <w:r>
        <w:rPr>
          <w:rtl w:val="true"/>
        </w:rPr>
        <w:t>لو ترك غسل أحد المخرجين و صلّى،أعاد الصّلاة</w:t>
      </w:r>
      <w:bookmarkEnd w:id="477"/>
    </w:p>
    <w:p>
      <w:pPr>
        <w:pStyle w:val="BookText"/>
        <w:rPr/>
      </w:pPr>
      <w:r>
        <w:rPr>
          <w:rFonts w:ascii="Amiri" w:hAnsi="Amiri" w:eastAsia="Amiri" w:cs="Amiri"/>
          <w:color w:val="111111"/>
          <w:sz w:val="28"/>
          <w:sz w:val="28"/>
          <w:szCs w:val="28"/>
          <w:rtl w:val="true"/>
          <w:lang w:bidi="ar-SA"/>
        </w:rPr>
        <w:t>لا الوضوء،سواء كان التّرك عمدا أو سهوا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ابن بابويه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يعيد الوضوء </w:t>
      </w:r>
      <w:r>
        <w:rPr>
          <w:rStyle w:val="FootnoteAnchor"/>
          <w:rtl w:val="true"/>
        </w:rPr>
        <w:footnoteReference w:id="7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 على إعادة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 في الصّحيح،عن زرارة،قال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توضّأت يوما و لم أغسل ذكري ثمَّ صليت فسألت أبا عبد اللّه عليه السّلام عن ذلك،فقال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اغسل ذكرك و أعد صلاتك</w:t>
      </w:r>
      <w:r>
        <w:rPr>
          <w:rFonts w:eastAsia="Amiri" w:cs="Amiri" w:ascii="Amiri" w:hAnsi="Amiri"/>
          <w:color w:val="111111"/>
          <w:sz w:val="28"/>
          <w:szCs w:val="28"/>
          <w:rtl w:val="true"/>
          <w:lang w:bidi="ar-SA"/>
        </w:rPr>
        <w:t xml:space="preserve">» </w:t>
      </w:r>
      <w:r>
        <w:rPr>
          <w:rStyle w:val="FootnoteAnchor"/>
          <w:rtl w:val="true"/>
        </w:rPr>
        <w:footnoteReference w:id="781"/>
      </w:r>
      <w:r>
        <w:rPr>
          <w:rFonts w:eastAsia="Times New Roman" w:cs="Times New Roman" w:ascii="Times New Roman" w:hAnsi="Times New Roman"/>
          <w:color w:val="111111"/>
          <w:sz w:val="28"/>
          <w:szCs w:val="28"/>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الصّحيح،عن ابن أذينة،قال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أبو مريم الأنصاريّ انّ الحكم بن عتيبة بال يوما و لم يغسل ذكره فذكرت ذلك لأبي عبد اللّه عليه السّلام،فقال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بئس ما صنع،عليه أن يغسل ذكره و يعيد صلاته و لا يعيد وضوءه</w:t>
      </w:r>
      <w:r>
        <w:rPr>
          <w:rFonts w:eastAsia="Amiri" w:cs="Amiri" w:ascii="Amiri" w:hAnsi="Amiri"/>
          <w:color w:val="111111"/>
          <w:sz w:val="28"/>
          <w:szCs w:val="28"/>
          <w:rtl w:val="true"/>
          <w:lang w:bidi="ar-SA"/>
        </w:rPr>
        <w:t xml:space="preserve">» </w:t>
      </w:r>
      <w:r>
        <w:rPr>
          <w:rStyle w:val="FootnoteAnchor"/>
          <w:rtl w:val="true"/>
        </w:rPr>
        <w:footnoteReference w:id="78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لأنّ طهارة البدن شرط في الصّلاة و لم يحصل</w:t>
      </w:r>
      <w:r>
        <w:rPr>
          <w:rFonts w:eastAsia="Amiri" w:cs="Amiri" w:ascii="Amiri" w:hAnsi="Amiri"/>
          <w:color w:val="111111"/>
          <w:sz w:val="28"/>
          <w:szCs w:val="28"/>
          <w:rtl w:val="true"/>
          <w:lang w:bidi="ar-SA"/>
        </w:rPr>
        <w:t xml:space="preserve">. </w:t>
      </w:r>
      <w:bookmarkStart w:id="478" w:name="pg12669_112941"/>
    </w:p>
    <w:p>
      <w:pPr>
        <w:pStyle w:val="BookText"/>
        <w:rPr/>
      </w:pPr>
      <w:bookmarkEnd w:id="478"/>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روى الشّيخ في الصّحيح،عن عليّ بن جعفر،عن أخيه موسى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رجل ذكر و هو في صلاته انّه لم يستنج من الخلاء؟قال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ينصرف و يستنجي من الخلاء و يعيد الصّلاة،و إن ذكر و قد فرغ من صلاته أجزأه ذلك و لا إعادة عليه</w:t>
      </w:r>
      <w:r>
        <w:rPr>
          <w:rFonts w:eastAsia="Amiri" w:cs="Amiri" w:ascii="Amiri" w:hAnsi="Amiri"/>
          <w:color w:val="111111"/>
          <w:sz w:val="28"/>
          <w:szCs w:val="28"/>
          <w:rtl w:val="true"/>
          <w:lang w:bidi="ar-SA"/>
        </w:rPr>
        <w:t xml:space="preserve">» </w:t>
      </w:r>
      <w:r>
        <w:rPr>
          <w:rStyle w:val="FootnoteAnchor"/>
          <w:rtl w:val="true"/>
        </w:rPr>
        <w:footnoteReference w:id="7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روى،عن هشام بن سالم،عن أبي عبد اللّه عليه السّلام في الرّجل يتوضّأ و ينسى أن يغسل ذكره و قد بال؟فقال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يغسل ذكره و لا يعيد الصّلاة</w:t>
      </w:r>
      <w:r>
        <w:rPr>
          <w:rFonts w:eastAsia="Amiri" w:cs="Amiri" w:ascii="Amiri" w:hAnsi="Amiri"/>
          <w:color w:val="111111"/>
          <w:sz w:val="28"/>
          <w:szCs w:val="28"/>
          <w:rtl w:val="true"/>
          <w:lang w:bidi="ar-SA"/>
        </w:rPr>
        <w:t xml:space="preserve">» </w:t>
      </w:r>
      <w:r>
        <w:rPr>
          <w:rStyle w:val="FootnoteAnchor"/>
          <w:rtl w:val="true"/>
        </w:rPr>
        <w:footnoteReference w:id="7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لأنّا نجيب عن الأولى بأنّها منافية للمذهب من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دلّت عليه ظاهرا من ترك الإعادة مع الإكمال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الفرق بين الإكمال و عدمه،و إذا كان كذلك وجب تأويلها بالمحتمل و هو أمران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أراد الاستنجاء بالماء و إن كان قد استنجى بالحجر فيستحبّ له الانصراف ما دام في مقدّمات صلاته كالأذان و التّكبيرات السّبع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الحمل على من لم يعلم بالحدث كالمغمى عليه،جمعا بين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ففي طريقها أحمد بن هلال،و هو ضعيف </w:t>
      </w:r>
      <w:r>
        <w:rPr>
          <w:rStyle w:val="FootnoteAnchor"/>
          <w:rtl w:val="true"/>
        </w:rPr>
        <w:footnoteReference w:id="78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أمّا عدم إعادة الوضوء فقد تقدّم </w:t>
      </w:r>
      <w:r>
        <w:rPr>
          <w:rStyle w:val="FootnoteAnchor"/>
          <w:rtl w:val="true"/>
        </w:rPr>
        <w:footnoteReference w:id="78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79" w:name="__RefHeading___Toc795517_222507752"/>
      <w:bookmarkStart w:id="480" w:name="_Toc198"/>
      <w:bookmarkEnd w:id="479"/>
      <w:r>
        <w:rPr>
          <w:rtl w:val="true"/>
        </w:rPr>
        <w:t>مسألة</w:t>
      </w:r>
      <w:r>
        <w:rPr>
          <w:rtl w:val="true"/>
        </w:rPr>
        <w:t>:</w:t>
      </w:r>
      <w:r>
        <w:rPr>
          <w:rtl w:val="true"/>
        </w:rPr>
        <w:t>يجوز الطّهارة في المسجد لكن يكره من الغائط و البول</w:t>
      </w:r>
      <w:r>
        <w:rPr>
          <w:rtl w:val="true"/>
        </w:rPr>
        <w:t>.</w:t>
      </w:r>
      <w:bookmarkEnd w:id="480"/>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مذهب علماء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ابن يعقوب في كتابه في الصّحيح،عن رفاعة بن موسى،قال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w:t>
      </w:r>
      <w:bookmarkStart w:id="481" w:name="pg12669_112942"/>
    </w:p>
    <w:p>
      <w:pPr>
        <w:pStyle w:val="BookText"/>
        <w:rPr/>
      </w:pPr>
      <w:bookmarkEnd w:id="481"/>
      <w:r>
        <w:rPr>
          <w:rFonts w:ascii="Amiri" w:hAnsi="Amiri" w:eastAsia="Amiri" w:cs="Amiri"/>
          <w:color w:val="111111"/>
          <w:sz w:val="28"/>
          <w:sz w:val="28"/>
          <w:szCs w:val="28"/>
          <w:rtl w:val="true"/>
          <w:lang w:bidi="ar-SA"/>
        </w:rPr>
        <w:t xml:space="preserve">أبا عبد اللّه عليه السّلام عن الوضوء في المسجد،فكرهه من الغائط و البول </w:t>
      </w:r>
      <w:r>
        <w:rPr>
          <w:rStyle w:val="FootnoteAnchor"/>
          <w:rtl w:val="true"/>
        </w:rPr>
        <w:footnoteReference w:id="78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82" w:name="__RefHeading___Toc795519_222507752"/>
      <w:bookmarkStart w:id="483" w:name="_Toc199"/>
      <w:bookmarkEnd w:id="482"/>
      <w:r>
        <w:rPr>
          <w:rtl w:val="true"/>
        </w:rPr>
        <w:t>مسألة</w:t>
      </w:r>
      <w:r>
        <w:rPr>
          <w:rtl w:val="true"/>
        </w:rPr>
        <w:t>:</w:t>
      </w:r>
      <w:r>
        <w:rPr>
          <w:rtl w:val="true"/>
        </w:rPr>
        <w:t>اختلف الأصحاب في جواز مسّ كتابة المصحف للمحدث،</w:t>
      </w:r>
      <w:bookmarkEnd w:id="483"/>
    </w:p>
    <w:p>
      <w:pPr>
        <w:pStyle w:val="Heading6"/>
        <w:numPr>
          <w:ilvl w:val="5"/>
          <w:numId w:val="1"/>
        </w:numPr>
        <w:rPr/>
      </w:pPr>
      <w:bookmarkStart w:id="484" w:name="__RefHeading___Toc795521_222507752"/>
      <w:bookmarkStart w:id="485" w:name="_Toc200"/>
      <w:bookmarkEnd w:id="484"/>
      <w:r>
        <w:rPr>
          <w:rtl w:val="true"/>
        </w:rPr>
        <w:t>اشارة</w:t>
      </w:r>
      <w:bookmarkEnd w:id="485"/>
    </w:p>
    <w:p>
      <w:pPr>
        <w:pStyle w:val="BookText"/>
        <w:rPr/>
      </w:pPr>
      <w:r>
        <w:rPr>
          <w:rFonts w:ascii="Amiri" w:hAnsi="Amiri" w:eastAsia="Amiri" w:cs="Amiri"/>
          <w:color w:val="111111"/>
          <w:sz w:val="28"/>
          <w:sz w:val="28"/>
          <w:szCs w:val="28"/>
          <w:rtl w:val="true"/>
          <w:lang w:bidi="ar-SA"/>
        </w:rPr>
        <w:t>فقال الشّيخ في المبسوط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يكره </w:t>
      </w:r>
      <w:r>
        <w:rPr>
          <w:rStyle w:val="FootnoteAnchor"/>
          <w:rtl w:val="true"/>
        </w:rPr>
        <w:footnoteReference w:id="788"/>
      </w:r>
      <w:r>
        <w:rPr>
          <w:rFonts w:ascii="Amiri" w:hAnsi="Amiri" w:eastAsia="Amiri" w:cs="Amiri"/>
          <w:color w:val="111111"/>
          <w:sz w:val="28"/>
          <w:sz w:val="28"/>
          <w:szCs w:val="28"/>
          <w:rtl w:val="true"/>
          <w:lang w:bidi="ar-SA"/>
        </w:rPr>
        <w:t xml:space="preserve">،و حرّمه في التّهذيب و الخلاف </w:t>
      </w:r>
      <w:r>
        <w:rPr>
          <w:rStyle w:val="FootnoteAnchor"/>
          <w:rtl w:val="true"/>
        </w:rPr>
        <w:footnoteReference w:id="789"/>
      </w:r>
      <w:r>
        <w:rPr>
          <w:rFonts w:ascii="Amiri" w:hAnsi="Amiri" w:eastAsia="Amiri" w:cs="Amiri"/>
          <w:color w:val="111111"/>
          <w:sz w:val="28"/>
          <w:sz w:val="28"/>
          <w:szCs w:val="28"/>
          <w:rtl w:val="true"/>
          <w:lang w:bidi="ar-SA"/>
        </w:rPr>
        <w:t xml:space="preserve">،و هو الظّاهر من كلام ابن بابويه </w:t>
      </w:r>
      <w:r>
        <w:rPr>
          <w:rStyle w:val="FootnoteAnchor"/>
          <w:rtl w:val="true"/>
        </w:rPr>
        <w:footnoteReference w:id="790"/>
      </w:r>
      <w:r>
        <w:rPr>
          <w:rFonts w:ascii="Amiri" w:hAnsi="Amiri" w:eastAsia="Amiri" w:cs="Amiri"/>
          <w:color w:val="111111"/>
          <w:sz w:val="28"/>
          <w:sz w:val="28"/>
          <w:szCs w:val="28"/>
          <w:rtl w:val="true"/>
          <w:lang w:bidi="ar-SA"/>
        </w:rPr>
        <w:t xml:space="preserve">،و هو الأقوى عندي،و هو مرويّ،عن ابن عمر،و الحسن،و عطاء، و طاوس،و الشّعبيّ </w:t>
      </w:r>
      <w:r>
        <w:rPr>
          <w:rStyle w:val="FootnoteAnchor"/>
          <w:rtl w:val="true"/>
        </w:rPr>
        <w:footnoteReference w:id="79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Style w:val="FootnoteAnchor"/>
          <w:rtl w:val="true"/>
        </w:rPr>
        <w:footnoteReference w:id="792"/>
      </w:r>
      <w:r>
        <w:rPr>
          <w:rFonts w:ascii="Amiri" w:hAnsi="Amiri" w:eastAsia="Amiri" w:cs="Amiri"/>
          <w:color w:val="111111"/>
          <w:sz w:val="28"/>
          <w:sz w:val="28"/>
          <w:szCs w:val="28"/>
          <w:rtl w:val="true"/>
          <w:lang w:bidi="ar-SA"/>
        </w:rPr>
        <w:t xml:space="preserve">قول مالك </w:t>
      </w:r>
      <w:r>
        <w:rPr>
          <w:rStyle w:val="FootnoteAnchor"/>
          <w:rtl w:val="true"/>
        </w:rPr>
        <w:footnoteReference w:id="793"/>
      </w:r>
      <w:r>
        <w:rPr>
          <w:rFonts w:ascii="Amiri" w:hAnsi="Amiri" w:eastAsia="Amiri" w:cs="Amiri"/>
          <w:color w:val="111111"/>
          <w:sz w:val="28"/>
          <w:sz w:val="28"/>
          <w:szCs w:val="28"/>
          <w:rtl w:val="true"/>
          <w:lang w:bidi="ar-SA"/>
        </w:rPr>
        <w:t xml:space="preserve">،و الشّافعيّ </w:t>
      </w:r>
      <w:r>
        <w:rPr>
          <w:rStyle w:val="FootnoteAnchor"/>
          <w:rtl w:val="true"/>
        </w:rPr>
        <w:footnoteReference w:id="794"/>
      </w:r>
      <w:r>
        <w:rPr>
          <w:rFonts w:ascii="Amiri" w:hAnsi="Amiri" w:eastAsia="Amiri" w:cs="Amiri"/>
          <w:color w:val="111111"/>
          <w:sz w:val="28"/>
          <w:sz w:val="28"/>
          <w:szCs w:val="28"/>
          <w:rtl w:val="true"/>
          <w:lang w:bidi="ar-SA"/>
        </w:rPr>
        <w:t xml:space="preserve">،و أصحاب الرّأي </w:t>
      </w:r>
      <w:r>
        <w:rPr>
          <w:rStyle w:val="FootnoteAnchor"/>
          <w:rtl w:val="true"/>
        </w:rPr>
        <w:footnoteReference w:id="795"/>
      </w:r>
      <w:r>
        <w:rPr>
          <w:rFonts w:ascii="Amiri" w:hAnsi="Amiri" w:eastAsia="Amiri" w:cs="Amiri"/>
          <w:color w:val="111111"/>
          <w:sz w:val="28"/>
          <w:sz w:val="28"/>
          <w:szCs w:val="28"/>
          <w:rtl w:val="true"/>
          <w:lang w:bidi="ar-SA"/>
        </w:rPr>
        <w:t xml:space="preserve">إلاّ داود فإنّه أجاز مسّه </w:t>
      </w:r>
      <w:r>
        <w:rPr>
          <w:rStyle w:val="FootnoteAnchor"/>
          <w:rtl w:val="true"/>
        </w:rPr>
        <w:footnoteReference w:id="7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تعالى لا يَمَسُّهُ إِلاَّ الْمُطَهَّرُونَ </w:t>
      </w:r>
      <w:r>
        <w:rPr>
          <w:rStyle w:val="FootnoteAnchor"/>
          <w:rtl w:val="true"/>
        </w:rPr>
        <w:footnoteReference w:id="797"/>
      </w: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رواه الجمهور،عن أبي عبيد،قال في كتاب النّبيّ صلّى اللّه عليه و آله و سلّم </w:t>
      </w:r>
    </w:p>
    <w:p>
      <w:pPr>
        <w:pStyle w:val="BookText"/>
        <w:rPr/>
      </w:pPr>
      <w:r>
        <w:rPr>
          <w:rFonts w:ascii="IRNazanin" w:hAnsi="IRNazanin" w:eastAsia="IRNazanin"/>
          <w:color w:val="111111"/>
          <w:sz w:val="28"/>
          <w:sz w:val="28"/>
          <w:szCs w:val="28"/>
          <w:rtl w:val="true"/>
          <w:lang w:bidi="fa-IR"/>
        </w:rPr>
        <w:t xml:space="preserve">لعمرو بن حزم </w:t>
      </w:r>
      <w:r>
        <w:rPr>
          <w:rStyle w:val="FootnoteAnchor"/>
          <w:rtl w:val="true"/>
        </w:rPr>
        <w:footnoteReference w:id="79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لا يمسّ القرآن،إلاّ طاهر</w:t>
      </w:r>
      <w:r>
        <w:rPr>
          <w:rFonts w:eastAsia="Amiri" w:cs="Amiri" w:ascii="Amiri" w:hAnsi="Amiri"/>
          <w:color w:val="111111"/>
          <w:sz w:val="28"/>
          <w:szCs w:val="28"/>
          <w:rtl w:val="true"/>
          <w:lang w:bidi="ar-SA"/>
        </w:rPr>
        <w:t xml:space="preserve">) </w:t>
      </w:r>
      <w:r>
        <w:rPr>
          <w:rStyle w:val="FootnoteAnchor"/>
          <w:rtl w:val="true"/>
        </w:rPr>
        <w:footnoteReference w:id="7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طريق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الشّيخ،عن أبي بصير،قال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عمّن قرأ في المصحف و هو على غير وضوء؟قال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بأس،و لا يمسّ الكتاب</w:t>
      </w:r>
      <w:r>
        <w:rPr>
          <w:rFonts w:eastAsia="Amiri" w:cs="Amiri" w:ascii="Amiri" w:hAnsi="Amiri"/>
          <w:color w:val="111111"/>
          <w:sz w:val="28"/>
          <w:szCs w:val="28"/>
          <w:rtl w:val="true"/>
          <w:lang w:bidi="ar-SA"/>
        </w:rPr>
        <w:t xml:space="preserve">» </w:t>
      </w:r>
      <w:r>
        <w:rPr>
          <w:rStyle w:val="FootnoteAnchor"/>
          <w:rtl w:val="true"/>
        </w:rPr>
        <w:footnoteReference w:id="800"/>
      </w:r>
      <w:r>
        <w:rPr>
          <w:rFonts w:ascii="Amiri" w:hAnsi="Amiri" w:eastAsia="Amiri" w:cs="Amiri"/>
          <w:color w:val="111111"/>
          <w:sz w:val="28"/>
          <w:sz w:val="28"/>
          <w:szCs w:val="28"/>
          <w:rtl w:val="true"/>
          <w:lang w:bidi="ar-SA"/>
        </w:rPr>
        <w:t>و في الطّريق الحسين بن المختار،قال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واقفيّ </w:t>
      </w:r>
      <w:r>
        <w:rPr>
          <w:rStyle w:val="FootnoteAnchor"/>
          <w:rtl w:val="true"/>
        </w:rPr>
        <w:footnoteReference w:id="8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رواه الشّيخ في الصّحيح،عن عليّ بن جعفر،عن أخيه موسى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الرّجل يحلّ له أن يكتب القرآن في الألواح و الصّحيفة و هو على غير وضوء؟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Style w:val="FootnoteAnchor"/>
          <w:rtl w:val="true"/>
        </w:rPr>
        <w:footnoteReference w:id="802"/>
      </w: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روى،عن حريز،عمّن أخبره،عن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إسماعيل بن أبي عبد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 اقرأ المصحف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لست على </w:t>
      </w:r>
    </w:p>
    <w:p>
      <w:pPr>
        <w:pStyle w:val="BookText"/>
        <w:rPr/>
      </w:pPr>
      <w:r>
        <w:rPr>
          <w:rFonts w:ascii="Amiri" w:hAnsi="Amiri" w:eastAsia="Amiri" w:cs="Amiri"/>
          <w:color w:val="111111"/>
          <w:sz w:val="28"/>
          <w:sz w:val="28"/>
          <w:szCs w:val="28"/>
          <w:rtl w:val="true"/>
          <w:lang w:bidi="ar-SA"/>
        </w:rPr>
        <w:t>وضوء؟فقال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تمسّ الكتاب و مسّ الورق و اقرأه</w:t>
      </w:r>
      <w:r>
        <w:rPr>
          <w:rFonts w:eastAsia="Amiri" w:cs="Amiri" w:ascii="Amiri" w:hAnsi="Amiri"/>
          <w:color w:val="111111"/>
          <w:sz w:val="28"/>
          <w:szCs w:val="28"/>
          <w:rtl w:val="true"/>
          <w:lang w:bidi="ar-SA"/>
        </w:rPr>
        <w:t xml:space="preserve">» </w:t>
      </w:r>
      <w:r>
        <w:rPr>
          <w:rStyle w:val="FootnoteAnchor"/>
          <w:rtl w:val="true"/>
        </w:rPr>
        <w:footnoteReference w:id="8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روى،عن إبراهيم بن عبد الحميد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الحسن عليه السّلام،قال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المصحف لا تمسّه على غير طهر و لا جنبا و لا تمسّ خطّه </w:t>
      </w:r>
      <w:r>
        <w:rPr>
          <w:rStyle w:val="FootnoteAnchor"/>
          <w:rtl w:val="true"/>
        </w:rPr>
        <w:footnoteReference w:id="804"/>
      </w:r>
      <w:r>
        <w:rPr>
          <w:rFonts w:ascii="Amiri" w:hAnsi="Amiri" w:eastAsia="Amiri" w:cs="Amiri"/>
          <w:color w:val="111111"/>
          <w:sz w:val="28"/>
          <w:sz w:val="28"/>
          <w:szCs w:val="28"/>
          <w:rtl w:val="true"/>
          <w:lang w:bidi="ar-SA"/>
        </w:rPr>
        <w:t xml:space="preserve">و لا تعلّقه،انّ اللّه يقول لا يَمَسُّهُ إِلاَّ الْمُطَهَّرُونَ </w:t>
      </w:r>
      <w:r>
        <w:rPr>
          <w:rStyle w:val="FootnoteAnchor"/>
          <w:rtl w:val="true"/>
        </w:rPr>
        <w:footnoteReference w:id="805"/>
      </w:r>
      <w:r>
        <w:rPr>
          <w:rStyle w:val="FootnoteAnchor"/>
          <w:rtl w:val="true"/>
        </w:rPr>
        <w:footnoteReference w:id="806"/>
      </w:r>
      <w:r>
        <w:rPr>
          <w:rFonts w:ascii="Amiri" w:hAnsi="Amiri" w:eastAsia="Amiri" w:cs="Amiri"/>
          <w:color w:val="111111"/>
          <w:sz w:val="28"/>
          <w:sz w:val="28"/>
          <w:szCs w:val="28"/>
          <w:rtl w:val="true"/>
          <w:lang w:bidi="ar-SA"/>
        </w:rPr>
        <w:t>و في الطّريق عليّ بن فضّال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فطحي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احتجّ داود </w:t>
      </w:r>
      <w:r>
        <w:rPr>
          <w:rStyle w:val="FootnoteAnchor"/>
          <w:rtl w:val="true"/>
        </w:rPr>
        <w:footnoteReference w:id="807"/>
      </w:r>
      <w:r>
        <w:rPr>
          <w:rFonts w:ascii="Amiri" w:hAnsi="Amiri" w:eastAsia="Amiri" w:cs="Amiri"/>
          <w:color w:val="111111"/>
          <w:sz w:val="28"/>
          <w:sz w:val="28"/>
          <w:szCs w:val="28"/>
          <w:rtl w:val="true"/>
          <w:lang w:bidi="ar-SA"/>
        </w:rPr>
        <w:t>بأنّ النّبيّ صلّى اللّه عليه و آله كتب إلى المشركين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يَا أَهْلَ الْكِتَاب</w:t>
      </w:r>
      <w:r>
        <w:rPr>
          <w:rFonts w:eastAsia="Amiri" w:cs="Amiri" w:ascii="Amiri" w:hAnsi="Amiri"/>
          <w:color w:val="111111"/>
          <w:sz w:val="28"/>
          <w:szCs w:val="28"/>
          <w:rtl w:val="true"/>
          <w:lang w:bidi="ar-SA"/>
        </w:rPr>
        <w:t xml:space="preserve">» </w:t>
      </w:r>
      <w:r>
        <w:rPr>
          <w:rStyle w:val="FootnoteAnchor"/>
          <w:rtl w:val="true"/>
        </w:rPr>
        <w:footnoteReference w:id="808"/>
      </w:r>
      <w:r>
        <w:rPr>
          <w:rStyle w:val="FootnoteAnchor"/>
          <w:rtl w:val="true"/>
        </w:rPr>
        <w:footnoteReference w:id="809"/>
      </w:r>
      <w:r>
        <w:rPr>
          <w:rFonts w:ascii="IRNazanin" w:hAnsi="IRNazanin" w:eastAsia="IRNazanin"/>
          <w:color w:val="111111"/>
          <w:sz w:val="28"/>
          <w:sz w:val="28"/>
          <w:szCs w:val="28"/>
          <w:rtl w:val="true"/>
          <w:lang w:bidi="fa-IR"/>
        </w:rPr>
        <w:t>و هذه قرآن و هم محدثون</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عليه السّلام لم يقصد القرآن بل المراسلة</w:t>
      </w:r>
      <w:r>
        <w:rPr>
          <w:rFonts w:eastAsia="Amiri" w:cs="Amiri" w:ascii="Amiri" w:hAnsi="Amiri"/>
          <w:color w:val="111111"/>
          <w:sz w:val="28"/>
          <w:szCs w:val="28"/>
          <w:rtl w:val="true"/>
          <w:lang w:bidi="ar-SA"/>
        </w:rPr>
        <w:t xml:space="preserve">. </w:t>
      </w:r>
      <w:bookmarkStart w:id="486" w:name="pg12669_112945"/>
    </w:p>
    <w:p>
      <w:pPr>
        <w:pStyle w:val="Heading6"/>
        <w:numPr>
          <w:ilvl w:val="5"/>
          <w:numId w:val="1"/>
        </w:numPr>
        <w:rPr/>
      </w:pPr>
      <w:bookmarkStart w:id="487" w:name="__RefHeading___Toc795523_222507752"/>
      <w:bookmarkStart w:id="488" w:name="_Toc201"/>
      <w:bookmarkEnd w:id="486"/>
      <w:bookmarkEnd w:id="487"/>
      <w:r>
        <w:rPr>
          <w:rtl w:val="true"/>
        </w:rPr>
        <w:t>فروع</w:t>
      </w:r>
      <w:r>
        <w:rPr>
          <w:rtl w:val="true"/>
        </w:rPr>
        <w:t>:</w:t>
      </w:r>
      <w:bookmarkEnd w:id="488"/>
    </w:p>
    <w:p>
      <w:pPr>
        <w:pStyle w:val="Heading6"/>
        <w:numPr>
          <w:ilvl w:val="5"/>
          <w:numId w:val="1"/>
        </w:numPr>
        <w:rPr/>
      </w:pPr>
      <w:bookmarkStart w:id="489" w:name="__RefHeading___Toc795525_222507752"/>
      <w:bookmarkStart w:id="490" w:name="_Toc202"/>
      <w:bookmarkEnd w:id="489"/>
      <w:r>
        <w:rPr>
          <w:rtl w:val="true"/>
        </w:rPr>
        <w:t>الأوّل</w:t>
      </w:r>
      <w:r>
        <w:rPr>
          <w:rtl w:val="true"/>
        </w:rPr>
        <w:t>:</w:t>
      </w:r>
      <w:r>
        <w:rPr>
          <w:rtl w:val="true"/>
        </w:rPr>
        <w:t>يجوز للمحدث مسّ ما عدا الكتابة،</w:t>
      </w:r>
      <w:bookmarkEnd w:id="490"/>
    </w:p>
    <w:p>
      <w:pPr>
        <w:pStyle w:val="BookText"/>
        <w:rPr/>
      </w:pPr>
      <w:r>
        <w:rPr>
          <w:rFonts w:ascii="Amiri" w:hAnsi="Amiri" w:eastAsia="Amiri" w:cs="Amiri"/>
          <w:color w:val="111111"/>
          <w:sz w:val="28"/>
          <w:sz w:val="28"/>
          <w:szCs w:val="28"/>
          <w:rtl w:val="true"/>
          <w:lang w:bidi="ar-SA"/>
        </w:rPr>
        <w:t>كالهامش،و يجوز حمله و تعليقه على كراهيّة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قول علمائنا أجمع،و أبي حنيفة </w:t>
      </w:r>
      <w:r>
        <w:rPr>
          <w:rStyle w:val="FootnoteAnchor"/>
          <w:rtl w:val="true"/>
        </w:rPr>
        <w:footnoteReference w:id="810"/>
      </w:r>
      <w:r>
        <w:rPr>
          <w:rFonts w:ascii="Amiri" w:hAnsi="Amiri" w:eastAsia="Amiri" w:cs="Amiri"/>
          <w:color w:val="111111"/>
          <w:sz w:val="28"/>
          <w:sz w:val="28"/>
          <w:szCs w:val="28"/>
          <w:rtl w:val="true"/>
          <w:lang w:bidi="ar-SA"/>
        </w:rPr>
        <w:t xml:space="preserve">،و الحسن،و عطاء،و طاوس، و الشّعبيّ،و القاسم،و أبي وائل </w:t>
      </w:r>
      <w:r>
        <w:rPr>
          <w:rStyle w:val="FootnoteAnchor"/>
          <w:rtl w:val="true"/>
        </w:rPr>
        <w:footnoteReference w:id="811"/>
      </w:r>
      <w:r>
        <w:rPr>
          <w:rFonts w:ascii="Amiri" w:hAnsi="Amiri" w:eastAsia="Amiri" w:cs="Amiri"/>
          <w:color w:val="111111"/>
          <w:sz w:val="28"/>
          <w:sz w:val="28"/>
          <w:szCs w:val="28"/>
          <w:rtl w:val="true"/>
          <w:lang w:bidi="ar-SA"/>
        </w:rPr>
        <w:t xml:space="preserve">،و الحكم،و حمّاد </w:t>
      </w:r>
      <w:r>
        <w:rPr>
          <w:rStyle w:val="FootnoteAnchor"/>
          <w:rtl w:val="true"/>
        </w:rPr>
        <w:footnoteReference w:id="81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منع الأوزاعيّ </w:t>
      </w:r>
      <w:r>
        <w:rPr>
          <w:rStyle w:val="FootnoteAnchor"/>
          <w:rtl w:val="true"/>
        </w:rPr>
        <w:footnoteReference w:id="813"/>
      </w:r>
      <w:r>
        <w:rPr>
          <w:rFonts w:ascii="Amiri" w:hAnsi="Amiri" w:eastAsia="Amiri" w:cs="Amiri"/>
          <w:color w:val="111111"/>
          <w:sz w:val="28"/>
          <w:sz w:val="28"/>
          <w:szCs w:val="28"/>
          <w:rtl w:val="true"/>
          <w:lang w:bidi="ar-SA"/>
        </w:rPr>
        <w:t xml:space="preserve">، و الشّافعي من مسّ هامشه و جلده و صندوقه إذا كان فيه،و خريطته كذلك </w:t>
      </w:r>
      <w:r>
        <w:rPr>
          <w:rStyle w:val="FootnoteAnchor"/>
          <w:rtl w:val="true"/>
        </w:rPr>
        <w:footnoteReference w:id="81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كان في صندوق الأقمشة أو عدل معكم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،ففي جواز مسّه للشّافعيّ وجهان </w:t>
      </w:r>
      <w:r>
        <w:rPr>
          <w:rStyle w:val="FootnoteAnchor"/>
          <w:rtl w:val="true"/>
        </w:rPr>
        <w:footnoteReference w:id="8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مالك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أحسن ما سمعت انّه لا يحمل المصحف بعلاقته و لا في غلافه إلاّ و هو طاهر،و ليس ذلك لأنّه يدنّسه و لكن تعظيما للقرآن </w:t>
      </w:r>
      <w:r>
        <w:rPr>
          <w:rStyle w:val="FootnoteAnchor"/>
          <w:rtl w:val="true"/>
        </w:rPr>
        <w:footnoteReference w:id="8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 على جواز مسّ الهامش و الورق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الجمهور،عن النّبيّ صلّى اللّه عليه و آله انّه كتب كتابا فيه آية إلى قيصر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أباح الحكم،و حمّاد،مسّه بظاهر الكفّ </w:t>
      </w:r>
      <w:r>
        <w:rPr>
          <w:rStyle w:val="FootnoteAnchor"/>
          <w:rtl w:val="true"/>
        </w:rPr>
        <w:footnoteReference w:id="8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طريق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رواية حريز،قال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تمسّ الكتاب و مسّ الورق</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رواية إبراهيم بن عبد الحميد ضعيفة السّند،فلا تعارض الأصل الّذي هو الجواز</w:t>
      </w:r>
      <w:r>
        <w:rPr>
          <w:rFonts w:eastAsia="Amiri" w:cs="Amiri" w:ascii="Amiri" w:hAnsi="Amiri"/>
          <w:color w:val="111111"/>
          <w:sz w:val="28"/>
          <w:szCs w:val="28"/>
          <w:rtl w:val="true"/>
          <w:lang w:bidi="ar-SA"/>
        </w:rPr>
        <w:t xml:space="preserve">. </w:t>
      </w:r>
      <w:bookmarkStart w:id="491" w:name="pg12669_112946"/>
    </w:p>
    <w:p>
      <w:pPr>
        <w:pStyle w:val="BookText"/>
        <w:rPr/>
      </w:pPr>
      <w:bookmarkEnd w:id="491"/>
      <w:r>
        <w:rPr>
          <w:rFonts w:ascii="Amiri" w:hAnsi="Amiri" w:eastAsia="Amiri" w:cs="Amiri"/>
          <w:color w:val="111111"/>
          <w:sz w:val="28"/>
          <w:sz w:val="28"/>
          <w:szCs w:val="28"/>
          <w:rtl w:val="true"/>
          <w:lang w:bidi="ar-SA"/>
        </w:rPr>
        <w:t xml:space="preserve">و لنا على جواز حمله و أخذه بغلافه انّه غير ماسّ </w:t>
      </w:r>
      <w:r>
        <w:rPr>
          <w:rStyle w:val="FootnoteAnchor"/>
          <w:rtl w:val="true"/>
        </w:rPr>
        <w:footnoteReference w:id="818"/>
      </w:r>
      <w:r>
        <w:rPr>
          <w:rFonts w:ascii="Amiri" w:hAnsi="Amiri" w:eastAsia="Amiri" w:cs="Amiri"/>
          <w:color w:val="111111"/>
          <w:sz w:val="28"/>
          <w:sz w:val="28"/>
          <w:szCs w:val="28"/>
          <w:rtl w:val="true"/>
          <w:lang w:bidi="ar-SA"/>
        </w:rPr>
        <w:t>له،فكان كما لو حمله في رحله، و لأنّ النّهي تناول المسّ،و الحمل مغاير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احتجّ الشّافعيّ بأنّه مكلّف محدث قاصد لحمل المصحف،فلم يجز كما لو حمله مع مسّه </w:t>
      </w:r>
      <w:r>
        <w:rPr>
          <w:rStyle w:val="FootnoteAnchor"/>
          <w:rtl w:val="true"/>
        </w:rPr>
        <w:footnoteReference w:id="8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القياس فاسد،لأنّ العلّة في الأصل هي المسّ،و هي غير موجودة في الفرع،و الحمل لا أثر له في التّعليل</w:t>
      </w:r>
      <w:r>
        <w:rPr>
          <w:rFonts w:eastAsia="Amiri" w:cs="Amiri" w:ascii="Amiri" w:hAnsi="Amiri"/>
          <w:color w:val="111111"/>
          <w:sz w:val="28"/>
          <w:szCs w:val="28"/>
          <w:rtl w:val="true"/>
          <w:lang w:bidi="ar-SA"/>
        </w:rPr>
        <w:t>.</w:t>
      </w:r>
    </w:p>
    <w:p>
      <w:pPr>
        <w:pStyle w:val="Heading6"/>
        <w:numPr>
          <w:ilvl w:val="5"/>
          <w:numId w:val="1"/>
        </w:numPr>
        <w:rPr/>
      </w:pPr>
      <w:bookmarkStart w:id="492" w:name="__RefHeading___Toc795527_222507752"/>
      <w:bookmarkStart w:id="493" w:name="_Toc203"/>
      <w:bookmarkEnd w:id="492"/>
      <w:r>
        <w:rPr>
          <w:rtl w:val="true"/>
        </w:rPr>
        <w:t>الثّاني</w:t>
      </w:r>
      <w:r>
        <w:rPr>
          <w:rtl w:val="true"/>
        </w:rPr>
        <w:t>:</w:t>
      </w:r>
      <w:r>
        <w:rPr>
          <w:rtl w:val="true"/>
        </w:rPr>
        <w:t>المسّ قيل</w:t>
      </w:r>
      <w:r>
        <w:rPr>
          <w:rtl w:val="true"/>
        </w:rPr>
        <w:t>:</w:t>
      </w:r>
      <w:r>
        <w:rPr>
          <w:rtl w:val="true"/>
        </w:rPr>
        <w:t xml:space="preserve">يختص بالملاقاة بباطن الكفّ </w:t>
      </w:r>
      <w:r>
        <w:rPr>
          <w:rtl w:val="true"/>
        </w:rPr>
        <w:t>.</w:t>
      </w:r>
      <w:bookmarkEnd w:id="493"/>
    </w:p>
    <w:p>
      <w:pPr>
        <w:pStyle w:val="BookText"/>
        <w:rPr/>
      </w:pPr>
      <w:r>
        <w:rPr>
          <w:rStyle w:val="FootnoteAnchor"/>
          <w:rtl w:val="true"/>
        </w:rPr>
        <w:footnoteReference w:id="820"/>
      </w:r>
      <w:r>
        <w:rPr>
          <w:rStyle w:val="FootnoteAnchor"/>
          <w:rtl w:val="true"/>
        </w:rPr>
        <w:footnoteReference w:id="8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هو اسم للملاقاة مطلقا </w:t>
      </w:r>
      <w:r>
        <w:rPr>
          <w:rStyle w:val="FootnoteAnchor"/>
          <w:rtl w:val="true"/>
        </w:rPr>
        <w:footnoteReference w:id="822"/>
      </w:r>
      <w:r>
        <w:rPr>
          <w:rFonts w:ascii="Amiri" w:hAnsi="Amiri" w:eastAsia="Amiri" w:cs="Amiri"/>
          <w:color w:val="111111"/>
          <w:sz w:val="28"/>
          <w:sz w:val="28"/>
          <w:szCs w:val="28"/>
          <w:rtl w:val="true"/>
          <w:lang w:bidi="ar-SA"/>
        </w:rPr>
        <w:t>،و هو الأقرب من حيث اللّغة</w:t>
      </w:r>
      <w:r>
        <w:rPr>
          <w:rFonts w:eastAsia="Amiri" w:cs="Amiri" w:ascii="Amiri" w:hAnsi="Amiri"/>
          <w:color w:val="111111"/>
          <w:sz w:val="28"/>
          <w:szCs w:val="28"/>
          <w:rtl w:val="true"/>
          <w:lang w:bidi="ar-SA"/>
        </w:rPr>
        <w:t>.</w:t>
      </w:r>
    </w:p>
    <w:p>
      <w:pPr>
        <w:pStyle w:val="Heading6"/>
        <w:numPr>
          <w:ilvl w:val="5"/>
          <w:numId w:val="1"/>
        </w:numPr>
        <w:rPr/>
      </w:pPr>
      <w:bookmarkStart w:id="494" w:name="__RefHeading___Toc795529_222507752"/>
      <w:bookmarkStart w:id="495" w:name="_Toc204"/>
      <w:bookmarkEnd w:id="494"/>
      <w:r>
        <w:rPr>
          <w:rtl w:val="true"/>
        </w:rPr>
        <w:t>الثّالث</w:t>
      </w:r>
      <w:r>
        <w:rPr>
          <w:rtl w:val="true"/>
        </w:rPr>
        <w:t>:</w:t>
      </w:r>
      <w:r>
        <w:rPr>
          <w:rtl w:val="true"/>
        </w:rPr>
        <w:t>يمنع الصّبيّ من مسّ كتابه القرآن</w:t>
      </w:r>
      <w:bookmarkEnd w:id="495"/>
    </w:p>
    <w:p>
      <w:pPr>
        <w:pStyle w:val="BookText"/>
        <w:rPr/>
      </w:pPr>
      <w:r>
        <w:rPr>
          <w:rFonts w:ascii="Amiri" w:hAnsi="Amiri" w:eastAsia="Amiri" w:cs="Amiri"/>
          <w:color w:val="111111"/>
          <w:sz w:val="28"/>
          <w:sz w:val="28"/>
          <w:szCs w:val="28"/>
          <w:rtl w:val="true"/>
          <w:lang w:bidi="ar-SA"/>
        </w:rPr>
        <w:t>لعدم الشّرط في حقّه،و لا يتوجّه النّهي إليه،لعدم قبوله للتّكليف،و كذا المجنون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أحد وجهي الشّافعيّة،و في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يجوز،لحاجتهم إلى حفظه،فلو لم يشرع إلاّ بطهارة لزم التّعسّر</w:t>
      </w:r>
      <w:r>
        <w:rPr>
          <w:rFonts w:eastAsia="Amiri" w:cs="Amiri" w:ascii="Amiri" w:hAnsi="Amiri"/>
          <w:color w:val="111111"/>
          <w:sz w:val="28"/>
          <w:szCs w:val="28"/>
          <w:rtl w:val="true"/>
          <w:lang w:bidi="ar-SA"/>
        </w:rPr>
        <w:t xml:space="preserve">. </w:t>
      </w:r>
      <w:r>
        <w:rPr>
          <w:rStyle w:val="FootnoteAnchor"/>
          <w:rtl w:val="true"/>
        </w:rPr>
        <w:footnoteReference w:id="823"/>
      </w:r>
      <w:r>
        <w:rPr>
          <w:rFonts w:ascii="Amiri" w:hAnsi="Amiri" w:eastAsia="Amiri" w:cs="Amiri"/>
          <w:color w:val="111111"/>
          <w:sz w:val="28"/>
          <w:sz w:val="28"/>
          <w:szCs w:val="28"/>
          <w:rtl w:val="true"/>
          <w:lang w:bidi="ar-SA"/>
        </w:rPr>
        <w:t>و لو توضّأ الصّبيّ جاز له المسّ،لارتفاع حدثه على إشكال</w:t>
      </w:r>
      <w:r>
        <w:rPr>
          <w:rFonts w:eastAsia="Amiri" w:cs="Amiri" w:ascii="Amiri" w:hAnsi="Amiri"/>
          <w:color w:val="111111"/>
          <w:sz w:val="28"/>
          <w:szCs w:val="28"/>
          <w:rtl w:val="true"/>
          <w:lang w:bidi="ar-SA"/>
        </w:rPr>
        <w:t>.</w:t>
      </w:r>
    </w:p>
    <w:p>
      <w:pPr>
        <w:pStyle w:val="Heading6"/>
        <w:numPr>
          <w:ilvl w:val="5"/>
          <w:numId w:val="1"/>
        </w:numPr>
        <w:rPr/>
      </w:pPr>
      <w:bookmarkStart w:id="496" w:name="__RefHeading___Toc795531_222507752"/>
      <w:bookmarkStart w:id="497" w:name="_Toc205"/>
      <w:bookmarkEnd w:id="496"/>
      <w:r>
        <w:rPr>
          <w:rtl w:val="true"/>
        </w:rPr>
        <w:t>الرّابع</w:t>
      </w:r>
      <w:r>
        <w:rPr>
          <w:rtl w:val="true"/>
        </w:rPr>
        <w:t>:</w:t>
      </w:r>
      <w:r>
        <w:rPr>
          <w:rtl w:val="true"/>
        </w:rPr>
        <w:t>لو حمله بحائل لا يتبعه في البيع جاز</w:t>
      </w:r>
      <w:bookmarkEnd w:id="497"/>
    </w:p>
    <w:p>
      <w:pPr>
        <w:pStyle w:val="BookText"/>
        <w:rPr/>
      </w:pPr>
      <w:r>
        <w:rPr>
          <w:rFonts w:ascii="Amiri" w:hAnsi="Amiri" w:eastAsia="Amiri" w:cs="Amiri"/>
          <w:color w:val="111111"/>
          <w:sz w:val="28"/>
          <w:sz w:val="28"/>
          <w:szCs w:val="28"/>
          <w:rtl w:val="true"/>
          <w:lang w:bidi="ar-SA"/>
        </w:rPr>
        <w:t xml:space="preserve">،و هو عندنا ظاهر،و هو اختيار أبي حنيفة </w:t>
      </w:r>
      <w:r>
        <w:rPr>
          <w:rStyle w:val="FootnoteAnchor"/>
          <w:rtl w:val="true"/>
        </w:rPr>
        <w:footnoteReference w:id="824"/>
      </w:r>
      <w:r>
        <w:rPr>
          <w:rFonts w:ascii="Amiri" w:hAnsi="Amiri" w:eastAsia="Amiri" w:cs="Amiri"/>
          <w:color w:val="111111"/>
          <w:sz w:val="28"/>
          <w:sz w:val="28"/>
          <w:szCs w:val="28"/>
          <w:rtl w:val="true"/>
          <w:lang w:bidi="ar-SA"/>
        </w:rPr>
        <w:t xml:space="preserve">،خلافا للشّافعيّ </w:t>
      </w:r>
      <w:r>
        <w:rPr>
          <w:rStyle w:val="FootnoteAnchor"/>
          <w:rtl w:val="true"/>
        </w:rPr>
        <w:footnoteReference w:id="825"/>
      </w:r>
      <w:r>
        <w:rPr>
          <w:rFonts w:ascii="Amiri" w:hAnsi="Amiri" w:eastAsia="Amiri" w:cs="Amiri"/>
          <w:color w:val="111111"/>
          <w:sz w:val="28"/>
          <w:sz w:val="28"/>
          <w:szCs w:val="28"/>
          <w:rtl w:val="true"/>
          <w:lang w:bidi="ar-SA"/>
        </w:rPr>
        <w:t>،و وجه القولين ما تقدّم في الغلاف</w:t>
      </w:r>
      <w:r>
        <w:rPr>
          <w:rFonts w:eastAsia="Amiri" w:cs="Amiri" w:ascii="Amiri" w:hAnsi="Amiri"/>
          <w:color w:val="111111"/>
          <w:sz w:val="28"/>
          <w:szCs w:val="28"/>
          <w:rtl w:val="true"/>
          <w:lang w:bidi="ar-SA"/>
        </w:rPr>
        <w:t>.</w:t>
      </w:r>
    </w:p>
    <w:p>
      <w:pPr>
        <w:pStyle w:val="Heading6"/>
        <w:numPr>
          <w:ilvl w:val="5"/>
          <w:numId w:val="1"/>
        </w:numPr>
        <w:rPr/>
      </w:pPr>
      <w:bookmarkStart w:id="498" w:name="__RefHeading___Toc795533_222507752"/>
      <w:bookmarkStart w:id="499" w:name="_Toc206"/>
      <w:bookmarkEnd w:id="498"/>
      <w:r>
        <w:rPr>
          <w:rtl w:val="true"/>
        </w:rPr>
        <w:t>الخامس</w:t>
      </w:r>
      <w:r>
        <w:rPr>
          <w:rtl w:val="true"/>
        </w:rPr>
        <w:t>:</w:t>
      </w:r>
      <w:r>
        <w:rPr>
          <w:rtl w:val="true"/>
        </w:rPr>
        <w:t>قيل</w:t>
      </w:r>
      <w:r>
        <w:rPr>
          <w:rtl w:val="true"/>
        </w:rPr>
        <w:t>:</w:t>
      </w:r>
      <w:r>
        <w:rPr>
          <w:rtl w:val="true"/>
        </w:rPr>
        <w:t>يكره المسافرة بالمصحف إلى أرض العدوّ،</w:t>
      </w:r>
      <w:bookmarkEnd w:id="499"/>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لئلاّ تناله أيدي </w:t>
      </w:r>
      <w:bookmarkStart w:id="500" w:name="pg12669_112947"/>
    </w:p>
    <w:p>
      <w:pPr>
        <w:pStyle w:val="BookText"/>
        <w:rPr/>
      </w:pPr>
      <w:bookmarkEnd w:id="500"/>
      <w:r>
        <w:rPr>
          <w:rFonts w:ascii="Amiri" w:hAnsi="Amiri" w:eastAsia="Amiri" w:cs="Amiri"/>
          <w:color w:val="111111"/>
          <w:sz w:val="28"/>
          <w:sz w:val="28"/>
          <w:szCs w:val="28"/>
          <w:rtl w:val="true"/>
          <w:lang w:bidi="ar-SA"/>
        </w:rPr>
        <w:t xml:space="preserve">المشركين </w:t>
      </w:r>
      <w:r>
        <w:rPr>
          <w:rStyle w:val="FootnoteAnchor"/>
          <w:rtl w:val="true"/>
        </w:rPr>
        <w:footnoteReference w:id="82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01" w:name="__RefHeading___Toc795535_222507752"/>
      <w:bookmarkStart w:id="502" w:name="_Toc207"/>
      <w:bookmarkEnd w:id="501"/>
      <w:r>
        <w:rPr>
          <w:rtl w:val="true"/>
        </w:rPr>
        <w:t>السّادس</w:t>
      </w:r>
      <w:r>
        <w:rPr>
          <w:rtl w:val="true"/>
        </w:rPr>
        <w:t>:</w:t>
      </w:r>
      <w:r>
        <w:rPr>
          <w:rtl w:val="true"/>
        </w:rPr>
        <w:t>يجوز تقليبه بعود و مسّه به،و كتب المصحف بيده</w:t>
      </w:r>
      <w:bookmarkEnd w:id="502"/>
    </w:p>
    <w:p>
      <w:pPr>
        <w:pStyle w:val="BookText"/>
        <w:rPr/>
      </w:pPr>
      <w:r>
        <w:rPr>
          <w:rFonts w:ascii="Amiri" w:hAnsi="Amiri" w:eastAsia="Amiri" w:cs="Amiri"/>
          <w:color w:val="111111"/>
          <w:sz w:val="28"/>
          <w:sz w:val="28"/>
          <w:szCs w:val="28"/>
          <w:rtl w:val="true"/>
          <w:lang w:bidi="ar-SA"/>
        </w:rPr>
        <w:t>من غير أن يمسّه، عملا بالأصل السّالم عن معارضة تناول النّهي له</w:t>
      </w:r>
      <w:r>
        <w:rPr>
          <w:rFonts w:eastAsia="Amiri" w:cs="Amiri" w:ascii="Amiri" w:hAnsi="Amiri"/>
          <w:color w:val="111111"/>
          <w:sz w:val="28"/>
          <w:szCs w:val="28"/>
          <w:rtl w:val="true"/>
          <w:lang w:bidi="ar-SA"/>
        </w:rPr>
        <w:t>.</w:t>
      </w:r>
    </w:p>
    <w:p>
      <w:pPr>
        <w:pStyle w:val="Heading6"/>
        <w:numPr>
          <w:ilvl w:val="5"/>
          <w:numId w:val="1"/>
        </w:numPr>
        <w:rPr/>
      </w:pPr>
      <w:bookmarkStart w:id="503" w:name="__RefHeading___Toc795537_222507752"/>
      <w:bookmarkStart w:id="504" w:name="_Toc208"/>
      <w:bookmarkEnd w:id="503"/>
      <w:r>
        <w:rPr>
          <w:rtl w:val="true"/>
        </w:rPr>
        <w:t>السّابع</w:t>
      </w:r>
      <w:r>
        <w:rPr>
          <w:rtl w:val="true"/>
        </w:rPr>
        <w:t>:</w:t>
      </w:r>
      <w:r>
        <w:rPr>
          <w:rtl w:val="true"/>
        </w:rPr>
        <w:t>لو تصفّحه بكمّه لم يكن به بأس،</w:t>
      </w:r>
      <w:bookmarkEnd w:id="504"/>
    </w:p>
    <w:p>
      <w:pPr>
        <w:pStyle w:val="BookText"/>
        <w:rPr/>
      </w:pPr>
      <w:r>
        <w:rPr>
          <w:rFonts w:ascii="Amiri" w:hAnsi="Amiri" w:eastAsia="Amiri" w:cs="Amiri"/>
          <w:color w:val="111111"/>
          <w:sz w:val="28"/>
          <w:sz w:val="28"/>
          <w:szCs w:val="28"/>
          <w:rtl w:val="true"/>
          <w:lang w:bidi="ar-SA"/>
        </w:rPr>
        <w:t>عملا بالأصل السّالم عن معارضة المسّ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فيه للجمهور خلاف </w:t>
      </w:r>
      <w:r>
        <w:rPr>
          <w:rStyle w:val="FootnoteAnchor"/>
          <w:rtl w:val="true"/>
        </w:rPr>
        <w:footnoteReference w:id="82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05" w:name="__RefHeading___Toc795539_222507752"/>
      <w:bookmarkStart w:id="506" w:name="_Toc209"/>
      <w:bookmarkEnd w:id="505"/>
      <w:r>
        <w:rPr>
          <w:rtl w:val="true"/>
        </w:rPr>
        <w:t>الثّامن</w:t>
      </w:r>
      <w:r>
        <w:rPr>
          <w:rtl w:val="true"/>
        </w:rPr>
        <w:t>:</w:t>
      </w:r>
      <w:r>
        <w:rPr>
          <w:rtl w:val="true"/>
        </w:rPr>
        <w:t>يجوز مسّ كتب التّفسير و أحاديث النّبيّ صلّى اللّه عليه و آله و كتب الفقه</w:t>
      </w:r>
      <w:bookmarkEnd w:id="506"/>
    </w:p>
    <w:p>
      <w:pPr>
        <w:pStyle w:val="BookText"/>
        <w:rPr/>
      </w:pPr>
      <w:r>
        <w:rPr>
          <w:rFonts w:ascii="Amiri" w:hAnsi="Amiri" w:eastAsia="Amiri" w:cs="Amiri"/>
          <w:color w:val="111111"/>
          <w:sz w:val="28"/>
          <w:sz w:val="28"/>
          <w:szCs w:val="28"/>
          <w:rtl w:val="true"/>
          <w:lang w:bidi="ar-SA"/>
        </w:rPr>
        <w:t>و غيرها</w:t>
      </w:r>
    </w:p>
    <w:p>
      <w:pPr>
        <w:pStyle w:val="BookText"/>
        <w:rPr/>
      </w:pPr>
      <w:r>
        <w:rPr>
          <w:rFonts w:ascii="Amiri" w:hAnsi="Amiri" w:eastAsia="Amiri" w:cs="Amiri"/>
          <w:color w:val="111111"/>
          <w:sz w:val="28"/>
          <w:sz w:val="28"/>
          <w:szCs w:val="28"/>
          <w:rtl w:val="true"/>
          <w:lang w:bidi="ar-SA"/>
        </w:rPr>
        <w:t xml:space="preserve">،و الرّسائل و إن كان فيها آيات من القرآن،للمحدث و الجنب،عملا بالأصل، و لأنّه لا يقع عليها اسم المصحف و لا تثبت لها حرمة،أمّا الآيات الموجودة في الكتب إذا مسّها </w:t>
      </w:r>
      <w:r>
        <w:rPr>
          <w:rStyle w:val="FootnoteAnchor"/>
          <w:rtl w:val="true"/>
        </w:rPr>
        <w:footnoteReference w:id="828"/>
      </w:r>
      <w:r>
        <w:rPr>
          <w:rFonts w:ascii="Amiri" w:hAnsi="Amiri" w:eastAsia="Amiri" w:cs="Amiri"/>
          <w:color w:val="111111"/>
          <w:sz w:val="28"/>
          <w:sz w:val="28"/>
          <w:szCs w:val="28"/>
          <w:rtl w:val="true"/>
          <w:lang w:bidi="ar-SA"/>
        </w:rPr>
        <w:t xml:space="preserve">ففي تناول التّحريم له تردّد،أقربه التّحريم،لأنّ النّهي تعلّق بكلّ آيات القرآن،ضرورة عدم المسّ </w:t>
      </w:r>
      <w:r>
        <w:rPr>
          <w:rStyle w:val="FootnoteAnchor"/>
          <w:rtl w:val="true"/>
        </w:rPr>
        <w:footnoteReference w:id="829"/>
      </w:r>
      <w:r>
        <w:rPr>
          <w:rFonts w:ascii="Amiri" w:hAnsi="Amiri" w:eastAsia="Amiri" w:cs="Amiri"/>
          <w:color w:val="111111"/>
          <w:sz w:val="28"/>
          <w:sz w:val="28"/>
          <w:szCs w:val="28"/>
          <w:rtl w:val="true"/>
          <w:lang w:bidi="ar-SA"/>
        </w:rPr>
        <w:t>له دفعة واحدة،و بانضمام غيرها إليها لا تخرج عن كونها قرآنا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قالت الشّافعيّة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كانت الآيات مكتوبة بخطّ غليظ و التّفسير بدقيق حرم مسّها كالمصحف،و إلاّ فلا </w:t>
      </w:r>
      <w:r>
        <w:rPr>
          <w:rStyle w:val="FootnoteAnchor"/>
          <w:rtl w:val="true"/>
        </w:rPr>
        <w:footnoteReference w:id="83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07" w:name="__RefHeading___Toc795541_222507752"/>
      <w:bookmarkStart w:id="508" w:name="_Toc210"/>
      <w:bookmarkEnd w:id="507"/>
      <w:r>
        <w:rPr>
          <w:rtl w:val="true"/>
        </w:rPr>
        <w:t>التّاسع</w:t>
      </w:r>
      <w:r>
        <w:rPr>
          <w:rtl w:val="true"/>
        </w:rPr>
        <w:t>:</w:t>
      </w:r>
      <w:r>
        <w:rPr>
          <w:rtl w:val="true"/>
        </w:rPr>
        <w:t>الدّراهم المكتوب عليها القرآن يتناولها المنع من المسّ،</w:t>
      </w:r>
      <w:bookmarkEnd w:id="508"/>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 قلناه،و لأنّ القرآن مكتوب عليها فأشبهت الورق،و هو اختيار أبي حنيفة </w:t>
      </w:r>
      <w:r>
        <w:rPr>
          <w:rStyle w:val="FootnoteAnchor"/>
          <w:rtl w:val="true"/>
        </w:rPr>
        <w:footnoteReference w:id="83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بعض الجمهور بالجواز،لأنّه لا يقع عليها اسم المصحف فأشبهت كتب الفقه،و للمشقّة الحاصلة من </w:t>
      </w:r>
      <w:bookmarkStart w:id="509" w:name="pg12669_112948"/>
    </w:p>
    <w:p>
      <w:pPr>
        <w:pStyle w:val="BookText"/>
        <w:rPr/>
      </w:pPr>
      <w:bookmarkEnd w:id="509"/>
      <w:r>
        <w:rPr>
          <w:rFonts w:ascii="IRNazanin" w:hAnsi="IRNazanin" w:eastAsia="IRNazanin"/>
          <w:color w:val="111111"/>
          <w:sz w:val="28"/>
          <w:sz w:val="28"/>
          <w:szCs w:val="28"/>
          <w:rtl w:val="true"/>
          <w:lang w:bidi="fa-IR"/>
        </w:rPr>
        <w:t xml:space="preserve">الاحتراز </w:t>
      </w:r>
      <w:r>
        <w:rPr>
          <w:rStyle w:val="FootnoteAnchor"/>
          <w:rtl w:val="true"/>
        </w:rPr>
        <w:footnoteReference w:id="83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البحث في ألواح الصّبيان في الكتاتيب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للشّافعيّة فيها وجهان </w:t>
      </w:r>
      <w:r>
        <w:rPr>
          <w:rStyle w:val="FootnoteAnchor"/>
          <w:rtl w:val="true"/>
        </w:rPr>
        <w:footnoteReference w:id="83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10" w:name="__RefHeading___Toc795543_222507752"/>
      <w:bookmarkStart w:id="511" w:name="_Toc211"/>
      <w:bookmarkEnd w:id="510"/>
      <w:r>
        <w:rPr>
          <w:rtl w:val="true"/>
        </w:rPr>
        <w:t>العاشر</w:t>
      </w:r>
      <w:r>
        <w:rPr>
          <w:rtl w:val="true"/>
        </w:rPr>
        <w:t>:</w:t>
      </w:r>
      <w:r>
        <w:rPr>
          <w:rtl w:val="true"/>
        </w:rPr>
        <w:t>لو غسل المحدث بعض أعضائه لم يخرج عن المنع،</w:t>
      </w:r>
      <w:bookmarkEnd w:id="511"/>
    </w:p>
    <w:p>
      <w:pPr>
        <w:pStyle w:val="BookText"/>
        <w:rPr/>
      </w:pPr>
      <w:r>
        <w:rPr>
          <w:rFonts w:ascii="Amiri" w:hAnsi="Amiri" w:eastAsia="Amiri" w:cs="Amiri"/>
          <w:color w:val="111111"/>
          <w:sz w:val="28"/>
          <w:sz w:val="28"/>
          <w:szCs w:val="28"/>
          <w:rtl w:val="true"/>
          <w:lang w:bidi="ar-SA"/>
        </w:rPr>
        <w:t>لأنّه غير متطهّر إلاّ بغسل الجميع</w:t>
      </w:r>
      <w:r>
        <w:rPr>
          <w:rFonts w:eastAsia="Amiri" w:cs="Amiri" w:ascii="Amiri" w:hAnsi="Amiri"/>
          <w:color w:val="111111"/>
          <w:sz w:val="28"/>
          <w:szCs w:val="28"/>
          <w:rtl w:val="true"/>
          <w:lang w:bidi="ar-SA"/>
        </w:rPr>
        <w:t>.</w:t>
      </w:r>
    </w:p>
    <w:p>
      <w:pPr>
        <w:pStyle w:val="Heading6"/>
        <w:numPr>
          <w:ilvl w:val="5"/>
          <w:numId w:val="1"/>
        </w:numPr>
        <w:rPr/>
      </w:pPr>
      <w:bookmarkStart w:id="512" w:name="__RefHeading___Toc795545_222507752"/>
      <w:bookmarkStart w:id="513" w:name="_Toc212"/>
      <w:bookmarkEnd w:id="512"/>
      <w:r>
        <w:rPr>
          <w:rtl w:val="true"/>
        </w:rPr>
        <w:t>الحادي عشر</w:t>
      </w:r>
      <w:r>
        <w:rPr>
          <w:rtl w:val="true"/>
        </w:rPr>
        <w:t>:</w:t>
      </w:r>
      <w:r>
        <w:rPr>
          <w:rtl w:val="true"/>
        </w:rPr>
        <w:t>لا يحرم مسّ كتابة التّوراة و الإنجيل على الجنب و المحدث</w:t>
      </w:r>
      <w:r>
        <w:rPr>
          <w:rtl w:val="true"/>
        </w:rPr>
        <w:t>.</w:t>
      </w:r>
      <w:bookmarkEnd w:id="513"/>
    </w:p>
    <w:p>
      <w:pPr>
        <w:pStyle w:val="BookText"/>
        <w:rPr/>
      </w:pPr>
      <w:r>
        <w:rPr>
          <w:rFonts w:ascii="Amiri" w:hAnsi="Amiri" w:eastAsia="Amiri" w:cs="Amiri"/>
          <w:color w:val="111111"/>
          <w:sz w:val="28"/>
          <w:sz w:val="28"/>
          <w:szCs w:val="28"/>
          <w:rtl w:val="true"/>
          <w:lang w:bidi="ar-SA"/>
        </w:rPr>
        <w:t xml:space="preserve">و به قال الشّافعيّ </w:t>
      </w:r>
      <w:r>
        <w:rPr>
          <w:rStyle w:val="FootnoteAnchor"/>
          <w:rtl w:val="true"/>
        </w:rPr>
        <w:footnoteReference w:id="834"/>
      </w:r>
      <w:r>
        <w:rPr>
          <w:rFonts w:ascii="Amiri" w:hAnsi="Amiri" w:eastAsia="Amiri" w:cs="Amiri"/>
          <w:color w:val="111111"/>
          <w:sz w:val="28"/>
          <w:sz w:val="28"/>
          <w:szCs w:val="28"/>
          <w:rtl w:val="true"/>
          <w:lang w:bidi="ar-SA"/>
        </w:rPr>
        <w:t>،لأنّها منسوخة</w:t>
      </w:r>
      <w:r>
        <w:rPr>
          <w:rFonts w:eastAsia="Amiri" w:cs="Amiri" w:ascii="Amiri" w:hAnsi="Amiri"/>
          <w:color w:val="111111"/>
          <w:sz w:val="28"/>
          <w:szCs w:val="28"/>
          <w:rtl w:val="true"/>
          <w:lang w:bidi="ar-SA"/>
        </w:rPr>
        <w:t>.</w:t>
      </w:r>
    </w:p>
    <w:p>
      <w:pPr>
        <w:pStyle w:val="Heading6"/>
        <w:numPr>
          <w:ilvl w:val="5"/>
          <w:numId w:val="1"/>
        </w:numPr>
        <w:rPr/>
      </w:pPr>
      <w:bookmarkStart w:id="514" w:name="__RefHeading___Toc795547_222507752"/>
      <w:bookmarkStart w:id="515" w:name="_Toc213"/>
      <w:bookmarkEnd w:id="514"/>
      <w:r>
        <w:rPr>
          <w:rtl w:val="true"/>
        </w:rPr>
        <w:t>الثّاني عشر</w:t>
      </w:r>
      <w:r>
        <w:rPr>
          <w:rtl w:val="true"/>
        </w:rPr>
        <w:t>:</w:t>
      </w:r>
      <w:r>
        <w:rPr>
          <w:rtl w:val="true"/>
        </w:rPr>
        <w:t>المنسوخ حكمه خاصّة يحرم مسّه،</w:t>
      </w:r>
      <w:bookmarkEnd w:id="515"/>
    </w:p>
    <w:p>
      <w:pPr>
        <w:pStyle w:val="BookText"/>
        <w:rPr/>
      </w:pPr>
      <w:r>
        <w:rPr>
          <w:rFonts w:ascii="Amiri" w:hAnsi="Amiri" w:eastAsia="Amiri" w:cs="Amiri"/>
          <w:color w:val="111111"/>
          <w:sz w:val="28"/>
          <w:sz w:val="28"/>
          <w:szCs w:val="28"/>
          <w:rtl w:val="true"/>
          <w:lang w:bidi="ar-SA"/>
        </w:rPr>
        <w:t>لأنّ له حرمة القرآن،و المنسوخ تلاوته يجوز مسّه و إن بقي حكمه،لخروجه عن كونه قرآنا</w:t>
      </w:r>
      <w:r>
        <w:rPr>
          <w:rFonts w:eastAsia="Amiri" w:cs="Amiri" w:ascii="Amiri" w:hAnsi="Amiri"/>
          <w:color w:val="111111"/>
          <w:sz w:val="28"/>
          <w:szCs w:val="28"/>
          <w:rtl w:val="true"/>
          <w:lang w:bidi="ar-SA"/>
        </w:rPr>
        <w:t>.</w:t>
      </w:r>
    </w:p>
    <w:p>
      <w:pPr>
        <w:pStyle w:val="Heading5"/>
        <w:numPr>
          <w:ilvl w:val="4"/>
          <w:numId w:val="1"/>
        </w:numPr>
        <w:rPr/>
      </w:pPr>
      <w:bookmarkStart w:id="516" w:name="__RefHeading___Toc795549_222507752"/>
      <w:bookmarkStart w:id="517" w:name="_Toc214"/>
      <w:bookmarkEnd w:id="516"/>
      <w:r>
        <w:rPr>
          <w:rtl w:val="true"/>
        </w:rPr>
        <w:t>مسألة</w:t>
      </w:r>
      <w:r>
        <w:rPr>
          <w:rtl w:val="true"/>
        </w:rPr>
        <w:t>:</w:t>
      </w:r>
      <w:r>
        <w:rPr>
          <w:rtl w:val="true"/>
        </w:rPr>
        <w:t>يستحبّ الوضوء في أماكن</w:t>
      </w:r>
      <w:r>
        <w:rPr>
          <w:rtl w:val="true"/>
        </w:rPr>
        <w:t>:</w:t>
      </w:r>
      <w:bookmarkEnd w:id="517"/>
    </w:p>
    <w:p>
      <w:pPr>
        <w:pStyle w:val="BookText"/>
        <w:rPr/>
      </w:pPr>
      <w:r>
        <w:rPr>
          <w:rFonts w:ascii="Amiri" w:hAnsi="Amiri" w:eastAsia="Amiri" w:cs="Amiri"/>
          <w:color w:val="111111"/>
          <w:sz w:val="28"/>
          <w:sz w:val="28"/>
          <w:szCs w:val="28"/>
          <w:rtl w:val="true"/>
          <w:lang w:bidi="ar-SA"/>
        </w:rPr>
        <w:t>للصّلاة و الطّواف المندوبين،لأنّها شرط فيهما،فلا يصحّان بدونها،و الأصل مندوب فالفرع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لطلب الحوائج،لما رواه الشّيخ،عن عبد اللّه بن سنان،عن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طلب حاجة و هو على غير وضوء فلم تقض فلا يلومنّ إلاّ نفسه</w:t>
      </w:r>
      <w:r>
        <w:rPr>
          <w:rFonts w:eastAsia="Amiri" w:cs="Amiri" w:ascii="Amiri" w:hAnsi="Amiri"/>
          <w:color w:val="111111"/>
          <w:sz w:val="28"/>
          <w:szCs w:val="28"/>
          <w:rtl w:val="true"/>
          <w:lang w:bidi="ar-SA"/>
        </w:rPr>
        <w:t xml:space="preserve">» </w:t>
      </w:r>
      <w:r>
        <w:rPr>
          <w:rStyle w:val="FootnoteAnchor"/>
          <w:rtl w:val="true"/>
        </w:rPr>
        <w:footnoteReference w:id="835"/>
      </w:r>
      <w:r>
        <w:rPr>
          <w:rFonts w:eastAsia="Times New Roman" w:cs="Times New Roman" w:ascii="Times New Roman" w:hAnsi="Times New Roman"/>
          <w:color w:val="111111"/>
          <w:sz w:val="28"/>
          <w:szCs w:val="28"/>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تجديده مع بقاء حكمه عند كلّ صلاة،لما رواه سعدان،عن بعض أصحابه،عن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الطّهر على الطّهر عشر حسنات</w:t>
      </w:r>
      <w:r>
        <w:rPr>
          <w:rFonts w:eastAsia="Amiri" w:cs="Amiri" w:ascii="Amiri" w:hAnsi="Amiri"/>
          <w:color w:val="111111"/>
          <w:sz w:val="28"/>
          <w:szCs w:val="28"/>
          <w:rtl w:val="true"/>
          <w:lang w:bidi="ar-SA"/>
        </w:rPr>
        <w:t xml:space="preserve">» </w:t>
      </w:r>
      <w:r>
        <w:rPr>
          <w:rStyle w:val="FootnoteAnchor"/>
          <w:rtl w:val="true"/>
        </w:rPr>
        <w:footnoteReference w:id="83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لحمل المصحف،لأنّه مناسب للتّعظيم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لأفعال الحجّ عدا الطّواف الواجب و صلاته،لوجوبه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للكون على طهارة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لدخول المساجد،لما رواه ابن بابويه،عن كليب الصّيداويّ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مكتوب في التّوراة انّ بيوتي في الأرض المساجد فطوبى لمن تطهّر في بيته ثمَّ زارني،و حقّ على المزور أن يكرم الزّائر</w:t>
      </w:r>
      <w:r>
        <w:rPr>
          <w:rFonts w:eastAsia="Amiri" w:cs="Amiri" w:ascii="Amiri" w:hAnsi="Amiri"/>
          <w:color w:val="111111"/>
          <w:sz w:val="28"/>
          <w:szCs w:val="28"/>
          <w:rtl w:val="true"/>
          <w:lang w:bidi="ar-SA"/>
        </w:rPr>
        <w:t xml:space="preserve">» </w:t>
      </w:r>
      <w:r>
        <w:rPr>
          <w:rStyle w:val="FootnoteAnchor"/>
          <w:rtl w:val="true"/>
        </w:rPr>
        <w:footnoteReference w:id="837"/>
      </w:r>
      <w:r>
        <w:rPr>
          <w:rFonts w:ascii="Amiri" w:hAnsi="Amiri" w:eastAsia="Amiri" w:cs="Amiri"/>
          <w:color w:val="111111"/>
          <w:sz w:val="28"/>
          <w:sz w:val="28"/>
          <w:szCs w:val="28"/>
          <w:rtl w:val="true"/>
          <w:lang w:bidi="ar-SA"/>
        </w:rPr>
        <w:t>و لأنّه يستحبّ الصّلاة تحيّة،و هي مفتقرة إلى الطّهارة،و الطّهارة مكروهة في المسجد،فاستحبّ التّقديم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للنّوم،لما رواه ابن بابويه في ثواب الأعمال،عن محمّد بن كردوس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توضّأ ثمَّ آوى إلى فراشه،بات و فراشه كمسجده</w:t>
      </w:r>
      <w:r>
        <w:rPr>
          <w:rFonts w:eastAsia="Amiri" w:cs="Amiri" w:ascii="Amiri" w:hAnsi="Amiri"/>
          <w:color w:val="111111"/>
          <w:sz w:val="28"/>
          <w:szCs w:val="28"/>
          <w:rtl w:val="true"/>
          <w:lang w:bidi="ar-SA"/>
        </w:rPr>
        <w:t xml:space="preserve">» </w:t>
      </w:r>
      <w:r>
        <w:rPr>
          <w:rStyle w:val="FootnoteAnchor"/>
          <w:rtl w:val="true"/>
        </w:rPr>
        <w:footnoteReference w:id="8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للصّلاة على الجنائز </w:t>
      </w:r>
      <w:r>
        <w:rPr>
          <w:rStyle w:val="FootnoteAnchor"/>
          <w:rtl w:val="true"/>
        </w:rPr>
        <w:footnoteReference w:id="83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لزيارة قبور المؤمنين </w:t>
      </w:r>
      <w:r>
        <w:rPr>
          <w:rStyle w:val="FootnoteAnchor"/>
          <w:rtl w:val="true"/>
        </w:rPr>
        <w:footnoteReference w:id="84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لقراءة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لنوم الجنب، لما رواه الشّيخ،عن سماعة،قال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الجنب يجنب،ثمَّ يريد النّوم؟فقال</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أحبّ أن يتوضّأ فليفعل و الغسل أفضل من ذلك،و إن هو نام و لم يتوضّأ و لم يغتسل فليس عليه شيء إن شاء اللّه تعالى</w:t>
      </w:r>
      <w:r>
        <w:rPr>
          <w:rFonts w:eastAsia="Amiri" w:cs="Amiri" w:ascii="Amiri" w:hAnsi="Amiri"/>
          <w:color w:val="111111"/>
          <w:sz w:val="28"/>
          <w:szCs w:val="28"/>
          <w:rtl w:val="true"/>
          <w:lang w:bidi="ar-SA"/>
        </w:rPr>
        <w:t xml:space="preserve">» </w:t>
      </w:r>
      <w:r>
        <w:rPr>
          <w:rStyle w:val="FootnoteAnchor"/>
          <w:rtl w:val="true"/>
        </w:rPr>
        <w:footnoteReference w:id="84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لأكل الجنب،لما رواه الشّيخ،عن عبد الرّحمن بن أبي عبد اللّه عن أبي عبد اللّه عليه السّلام،قلت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يأكل الجنب قبل أن يتوضّأ؟قال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لنكسل </w:t>
      </w:r>
      <w:r>
        <w:rPr>
          <w:rStyle w:val="FootnoteAnchor"/>
          <w:rtl w:val="true"/>
        </w:rPr>
        <w:footnoteReference w:id="842"/>
      </w:r>
      <w:r>
        <w:rPr>
          <w:rFonts w:ascii="Amiri" w:hAnsi="Amiri" w:eastAsia="Amiri" w:cs="Amiri"/>
          <w:color w:val="111111"/>
          <w:sz w:val="28"/>
          <w:sz w:val="28"/>
          <w:szCs w:val="28"/>
          <w:rtl w:val="true"/>
          <w:lang w:bidi="ar-SA"/>
        </w:rPr>
        <w:t>و لكن ليغسل يده،و الوضوء أفضل</w:t>
      </w:r>
      <w:r>
        <w:rPr>
          <w:rFonts w:eastAsia="Amiri" w:cs="Amiri" w:ascii="Amiri" w:hAnsi="Amiri"/>
          <w:color w:val="111111"/>
          <w:sz w:val="28"/>
          <w:szCs w:val="28"/>
          <w:rtl w:val="true"/>
          <w:lang w:bidi="ar-SA"/>
        </w:rPr>
        <w:t xml:space="preserve">» </w:t>
      </w:r>
      <w:r>
        <w:rPr>
          <w:rStyle w:val="FootnoteAnchor"/>
          <w:rtl w:val="true"/>
        </w:rPr>
        <w:footnoteReference w:id="8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لجماع المحتلم و الحامل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جماع غاسل الميّت و لم يغتسل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لمريد غسل الميّت و هو جنب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للحائض تجلس في مصلاّها تذكر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للتأهّب لصلاة الفرض قبل وقته،لاستحباب الصّلاة في أوّل وقتها،و هو غير ممكن إلاّ بتقديم الوضوء على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خاتمة تتعلّق بثواب الوضوء و علّته</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محمّد بن يعقوب في كتابه،عن محمّد بن بشير،قال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جعفر عليه السّلام يقول و هو يحدّث النّاس بمكّة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رسول اللّه صلّى اللّه عليه و آله الفجر ثمَّ جلس مع أصحابه حتّى طلعت الشّمس فجعل يقوم الرّجل بعد الرّجل حتّى لم يبق معه إلاّ رجلان أنصاريّ و ثقفيّ،فقال لهما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علمت انّ لكما حاجة تريدان أن تسألا عنها فإن شئتما أخبرتكما بحاجتكما قبل أن تسألا و إن شئتما فاسألا عنها؟قالا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تخبرنا قبل أن نسألك عنها،فإنّ ذلك أجلى للعمى،و أبعد من الارتياب،و أثبت للإيمان،قال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أنت يا أخا ثقيف فإنّك جئت تسألني عن وضوئك و صلاتك مالك في ذلك من الخير،إمّا وضوؤك فإنّك إذا وضعت يدك في الإناء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اللّه،تناثرت منها ما اكتسبت من الذّنوب و إذا غسلت وجهك تناثرت الذّنوب الّتي اكتسبتها عيناك الّتي تنظر بها،و فوك،فإذا غسلت ذراعيك تناثرت الذّنوب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بطشت بها يداك</w:t>
      </w:r>
      <w:r>
        <w:rPr>
          <w:rFonts w:eastAsia="Amiri" w:cs="Amiri" w:ascii="Amiri" w:hAnsi="Amiri"/>
          <w:color w:val="111111"/>
          <w:sz w:val="28"/>
          <w:szCs w:val="28"/>
          <w:rtl w:val="true"/>
          <w:lang w:bidi="ar-SA"/>
        </w:rPr>
        <w:t xml:space="preserve">) </w:t>
      </w:r>
      <w:r>
        <w:rPr>
          <w:rStyle w:val="FootnoteAnchor"/>
          <w:rtl w:val="true"/>
        </w:rPr>
        <w:footnoteReference w:id="844"/>
      </w:r>
      <w:r>
        <w:rPr>
          <w:rFonts w:ascii="Amiri" w:hAnsi="Amiri" w:eastAsia="Amiri" w:cs="Amiri"/>
          <w:color w:val="111111"/>
          <w:sz w:val="28"/>
          <w:sz w:val="28"/>
          <w:szCs w:val="28"/>
          <w:rtl w:val="true"/>
          <w:lang w:bidi="ar-SA"/>
        </w:rPr>
        <w:t xml:space="preserve">،فإذا مسحت على رأسك </w:t>
      </w:r>
    </w:p>
    <w:p>
      <w:pPr>
        <w:pStyle w:val="BookText"/>
        <w:rPr/>
      </w:pPr>
      <w:r>
        <w:rPr>
          <w:rFonts w:ascii="Amiri" w:hAnsi="Amiri" w:eastAsia="Amiri" w:cs="Amiri"/>
          <w:color w:val="111111"/>
          <w:sz w:val="28"/>
          <w:sz w:val="28"/>
          <w:szCs w:val="28"/>
          <w:rtl w:val="true"/>
          <w:lang w:bidi="ar-SA"/>
        </w:rPr>
        <w:t>و قدميك تناثرت الذّنوب الّتي مشيت إليها على قدميك،فهذا لك في وضوئك</w:t>
      </w:r>
      <w:r>
        <w:rPr>
          <w:rFonts w:eastAsia="Amiri" w:cs="Amiri" w:ascii="Amiri" w:hAnsi="Amiri"/>
          <w:color w:val="111111"/>
          <w:sz w:val="28"/>
          <w:szCs w:val="28"/>
          <w:rtl w:val="true"/>
          <w:lang w:bidi="ar-SA"/>
        </w:rPr>
        <w:t xml:space="preserve">» </w:t>
      </w:r>
      <w:r>
        <w:rPr>
          <w:rStyle w:val="FootnoteAnchor"/>
          <w:rtl w:val="true"/>
        </w:rPr>
        <w:footnoteReference w:id="8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روى،عن سماعة،عن أبي الحسن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توضّأ للمغرب كان وضوؤه ذلك كفّارة لما مضى من ذنوبه في يومه إلاّ الكبائر،و من توضّأ للصّبح كان وضوؤه ذلك كفّارة لما مضى من ذنوبه في ليله إلاّ الكبائر</w:t>
      </w:r>
      <w:r>
        <w:rPr>
          <w:rFonts w:eastAsia="Amiri" w:cs="Amiri" w:ascii="Amiri" w:hAnsi="Amiri"/>
          <w:color w:val="111111"/>
          <w:sz w:val="28"/>
          <w:szCs w:val="28"/>
          <w:rtl w:val="true"/>
          <w:lang w:bidi="ar-SA"/>
        </w:rPr>
        <w:t xml:space="preserve">» </w:t>
      </w:r>
      <w:r>
        <w:rPr>
          <w:rStyle w:val="FootnoteAnchor"/>
          <w:rtl w:val="true"/>
        </w:rPr>
        <w:footnoteReference w:id="8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ابن بابويه،عن عبد الرّحمن بن كثير الهاشميّ،عن أبي عبد اللّه عليه السّلام لمّا وصف وضوء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محمّد </w:t>
      </w:r>
      <w:r>
        <w:rPr>
          <w:rStyle w:val="FootnoteAnchor"/>
          <w:rtl w:val="true"/>
        </w:rPr>
        <w:footnoteReference w:id="847"/>
      </w:r>
      <w:r>
        <w:rPr>
          <w:rFonts w:ascii="Amiri" w:hAnsi="Amiri" w:eastAsia="Amiri" w:cs="Amiri"/>
          <w:color w:val="111111"/>
          <w:sz w:val="28"/>
          <w:sz w:val="28"/>
          <w:szCs w:val="28"/>
          <w:rtl w:val="true"/>
          <w:lang w:bidi="ar-SA"/>
        </w:rPr>
        <w:t>،من توضّأ مثل وضوئي و قال مثل قولي،خلق اللّه عزّ و جلّ من كلّ قطرة ملكا يسبّحه و يقدّسه و يكبّره و يكتب اللّه له ثواب ذلك إلى يوم القيامة</w:t>
      </w:r>
      <w:r>
        <w:rPr>
          <w:rFonts w:eastAsia="Amiri" w:cs="Amiri" w:ascii="Amiri" w:hAnsi="Amiri"/>
          <w:color w:val="111111"/>
          <w:sz w:val="28"/>
          <w:szCs w:val="28"/>
          <w:rtl w:val="true"/>
          <w:lang w:bidi="ar-SA"/>
        </w:rPr>
        <w:t xml:space="preserve">» </w:t>
      </w:r>
      <w:r>
        <w:rPr>
          <w:rStyle w:val="FootnoteAnchor"/>
          <w:rtl w:val="true"/>
        </w:rPr>
        <w:footnoteReference w:id="8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ابن بابويه،عن أبي بصير،عن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توضّأ فذكر اسم اللّه طهر جميع جسده و كان الوضوء إلى الوضوء كفّارة لما بينهما من الذّنوب و من لم يسمّ لم يطهر من جسده إلاّ ما أصابه الماء</w:t>
      </w:r>
      <w:r>
        <w:rPr>
          <w:rFonts w:eastAsia="Amiri" w:cs="Amiri" w:ascii="Amiri" w:hAnsi="Amiri"/>
          <w:color w:val="111111"/>
          <w:sz w:val="28"/>
          <w:szCs w:val="28"/>
          <w:rtl w:val="true"/>
          <w:lang w:bidi="ar-SA"/>
        </w:rPr>
        <w:t xml:space="preserve">» </w:t>
      </w:r>
      <w:r>
        <w:rPr>
          <w:rStyle w:val="FootnoteAnchor"/>
          <w:rtl w:val="true"/>
        </w:rPr>
        <w:footnoteReference w:id="849"/>
      </w:r>
      <w:r>
        <w:rPr>
          <w:rFonts w:eastAsia="Times New Roman" w:cs="Times New Roman" w:ascii="Times New Roman" w:hAnsi="Times New Roman"/>
          <w:color w:val="111111"/>
          <w:sz w:val="28"/>
          <w:szCs w:val="28"/>
          <w:rtl w:val="true"/>
          <w:lang w:val="en-US" w:bidi="en-US"/>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ابن بابويه في الصّحيح،عن عليّ بن جعفر،عن أخيه موسى عليه السّلام، عن أبيه جعفر بن محمّد عليهما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w:t>
      </w:r>
    </w:p>
    <w:p>
      <w:pPr>
        <w:pStyle w:val="BookText"/>
        <w:rPr/>
      </w:pPr>
      <w:r>
        <w:rPr>
          <w:rFonts w:ascii="Amiri" w:hAnsi="Amiri" w:eastAsia="Amiri" w:cs="Amiri"/>
          <w:color w:val="111111"/>
          <w:sz w:val="28"/>
          <w:sz w:val="28"/>
          <w:szCs w:val="28"/>
          <w:rtl w:val="true"/>
          <w:lang w:bidi="ar-SA"/>
        </w:rPr>
        <w:t>أسبغ وضوءه،و أحسن صلاته،و أدّى زكاة ماله،و كفّ غضبه،و سجن لسانه، و استغفر لذنبه،و أدّى النّصيحة لأهل بيت نبيّه،فقد استكمل حقائق الايمان و أبواب الجنّة مفتّحة له</w:t>
      </w:r>
      <w:r>
        <w:rPr>
          <w:rFonts w:eastAsia="Amiri" w:cs="Amiri" w:ascii="Amiri" w:hAnsi="Amiri"/>
          <w:color w:val="111111"/>
          <w:sz w:val="28"/>
          <w:szCs w:val="28"/>
          <w:rtl w:val="true"/>
          <w:lang w:bidi="ar-SA"/>
        </w:rPr>
        <w:t xml:space="preserve">» </w:t>
      </w:r>
      <w:r>
        <w:rPr>
          <w:rStyle w:val="FootnoteAnchor"/>
          <w:rtl w:val="true"/>
        </w:rPr>
        <w:footnoteReference w:id="8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روى،عن السّكونيّ عن جعفر بن محمّد،عن أبيه،عن آبائه صلوات اللّه عليهم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ليبالغ أحدكم في المضمضة و الاستنشاق فإنّه غفران لكم و منفرة للشّيطان</w:t>
      </w:r>
      <w:r>
        <w:rPr>
          <w:rFonts w:eastAsia="Amiri" w:cs="Amiri" w:ascii="Amiri" w:hAnsi="Amiri"/>
          <w:color w:val="111111"/>
          <w:sz w:val="28"/>
          <w:szCs w:val="28"/>
          <w:rtl w:val="true"/>
          <w:lang w:bidi="ar-SA"/>
        </w:rPr>
        <w:t xml:space="preserve">» </w:t>
      </w:r>
      <w:r>
        <w:rPr>
          <w:rStyle w:val="FootnoteAnchor"/>
          <w:rtl w:val="true"/>
        </w:rPr>
        <w:footnoteReference w:id="8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ابن بابويه انّه جاء نفر من اليهود إلى رسول اللّه صلّى اللّه عليه و آله فسألوه عن مسائل و كان فيما سألوه،أخبرنا يا محمّد لأيّ علّة توضّأ هذه الجوارح الأربع و هي أنظف المواضع في الجسد؟قال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أن وسوس الشّيطان إلى آدم عليه السّلام دنا من الشّجرة فنظر إليها فذهب ماء وجهه،ثمَّ قام و مشى إليها و هي أوّل قدم مشت إلى الخطيئة،ثمَّ تناول بيده منها ما عليها و أكل فطار الحليّ و الحلل عن جسده فوضع آدم يده على أمّ رأسه و بكى،فلمّا تاب اللّه عزّ و جلّ عليه فرض اللّه عليه و على ذرّيّته تطهير هذه الجوارح الأربع فأمره اللّه عزّ و جلّ بغسل الوجه لمّا نظر إلى الشّجرة،و أمره بغسل اليدين إلى المرفقين لمّا تناول منها،و أمره بمسح الرّأس لمّا وضع يده على أمّ رأسه،و أمره بمسح القدمين لمّا مشى بهما إلى الخطيئة</w:t>
      </w:r>
      <w:r>
        <w:rPr>
          <w:rFonts w:eastAsia="Amiri" w:cs="Amiri" w:ascii="Amiri" w:hAnsi="Amiri"/>
          <w:color w:val="111111"/>
          <w:sz w:val="28"/>
          <w:szCs w:val="28"/>
          <w:rtl w:val="true"/>
          <w:lang w:bidi="ar-SA"/>
        </w:rPr>
        <w:t xml:space="preserve">» </w:t>
      </w:r>
      <w:r>
        <w:rPr>
          <w:rStyle w:val="FootnoteAnchor"/>
          <w:rtl w:val="true"/>
        </w:rPr>
        <w:footnoteReference w:id="852"/>
      </w:r>
      <w:r>
        <w:rPr>
          <w:rFonts w:eastAsia="Times New Roman" w:cs="Times New Roman" w:ascii="Times New Roman" w:hAnsi="Times New Roman"/>
          <w:color w:val="111111"/>
          <w:sz w:val="28"/>
          <w:szCs w:val="28"/>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كتب أبو الحسن عليّ بن موسى الرّضا عليه السّلام إلى محمّد بن سنان فيما كتب من جواب مسائله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علّة الوضوء الّتي من أجلها صار على العبد غسل الوجه و الذّراعين و مسح الرّأس و القدمين،فلقيامه بين يدي اللّه عزّ و جلّ و استقباله إيّاه بجوارحه الظّاهرة و ملاقاته بها الكرام الكاتبين فيغسل الوجه للسّجود و الخضوع و يغسل </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اليدين ليقلبهما و يرغب بهما و يرهب و يتبتّل و يمسح الرّأس و القدمين لأنّهما ظاهران مكشوفان يستقبل بهما كلّ حالاته و ليس فيهما من الخضوع و التّبتّل ما في الوجه و الذّراعين</w:t>
      </w:r>
      <w:r>
        <w:rPr>
          <w:rFonts w:eastAsia="Amiri" w:cs="Amiri" w:ascii="Amiri" w:hAnsi="Amiri"/>
          <w:color w:val="111111"/>
          <w:sz w:val="28"/>
          <w:szCs w:val="28"/>
          <w:rtl w:val="true"/>
          <w:lang w:bidi="ar-SA"/>
        </w:rPr>
        <w:t xml:space="preserve">» </w:t>
      </w:r>
      <w:r>
        <w:rPr>
          <w:rStyle w:val="FootnoteAnchor"/>
          <w:rtl w:val="true"/>
        </w:rPr>
        <w:footnoteReference w:id="853"/>
      </w:r>
      <w:r>
        <w:rPr>
          <w:rFonts w:eastAsia="Times New Roman" w:cs="Times New Roman" w:ascii="Times New Roman" w:hAnsi="Times New Roman"/>
          <w:color w:val="111111"/>
          <w:sz w:val="28"/>
          <w:szCs w:val="28"/>
          <w:rtl w:val="true"/>
          <w:lang w:val="en-US" w:bidi="en-US"/>
        </w:rPr>
        <w:t xml:space="preserve">. </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18" w:name="pg12669_112955"/>
      <w:bookmarkStart w:id="519" w:name="pg12669_112955"/>
      <w:bookmarkEnd w:id="519"/>
    </w:p>
    <w:p>
      <w:pPr>
        <w:pStyle w:val="Heading3"/>
        <w:numPr>
          <w:ilvl w:val="2"/>
          <w:numId w:val="1"/>
        </w:numPr>
        <w:rPr/>
      </w:pPr>
      <w:bookmarkStart w:id="520" w:name="pg12669_112955"/>
      <w:bookmarkStart w:id="521" w:name="__RefHeading___Toc795551_222507752"/>
      <w:bookmarkStart w:id="522" w:name="_Toc215"/>
      <w:bookmarkEnd w:id="520"/>
      <w:bookmarkEnd w:id="521"/>
      <w:r>
        <w:rPr>
          <w:rtl w:val="true"/>
        </w:rPr>
        <w:t>المقصد الثالث</w:t>
      </w:r>
      <w:r>
        <w:rPr>
          <w:rtl w:val="true"/>
        </w:rPr>
        <w:t xml:space="preserve">: </w:t>
      </w:r>
      <w:r>
        <w:rPr>
          <w:rtl w:val="true"/>
        </w:rPr>
        <w:t>في الغسل و النّظر في أنواعه و احكام أنواعه</w:t>
      </w:r>
      <w:bookmarkEnd w:id="522"/>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23" w:name="__RefHeading___Toc795553_222507752"/>
      <w:bookmarkStart w:id="524" w:name="_Toc216"/>
      <w:bookmarkEnd w:id="523"/>
      <w:r>
        <w:rPr>
          <w:rtl w:val="true"/>
        </w:rPr>
        <w:t>اشارة</w:t>
      </w:r>
      <w:bookmarkEnd w:id="524"/>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25" w:name="pg12669_112957"/>
      <w:bookmarkStart w:id="526" w:name="pg12669_112957"/>
      <w:bookmarkEnd w:id="526"/>
    </w:p>
    <w:p>
      <w:pPr>
        <w:pStyle w:val="BookText"/>
        <w:rPr/>
      </w:pPr>
      <w:bookmarkStart w:id="527" w:name="pg12669_112957"/>
      <w:bookmarkEnd w:id="527"/>
      <w:r>
        <w:rPr>
          <w:rFonts w:ascii="Amiri" w:hAnsi="Amiri" w:eastAsia="Amiri" w:cs="Amiri"/>
          <w:color w:val="111111"/>
          <w:sz w:val="28"/>
          <w:sz w:val="28"/>
          <w:szCs w:val="28"/>
          <w:rtl w:val="true"/>
          <w:lang w:bidi="ar-SA"/>
        </w:rPr>
        <w:t>اعلم انّ الغسل على ضربين،واجب،و ندب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فالواجب ستّة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غسل الجنابة،و الحيض،و الاستحاضة،و النّفاس،و مسّ الأموات بعد بردهم بالموت و قبل تطهيرهم بالغسل،و غسل الموتى،فهاهنا فصول</w:t>
      </w:r>
      <w:r>
        <w:rPr>
          <w:rFonts w:eastAsia="Amiri" w:cs="Amiri" w:ascii="Amiri" w:hAnsi="Amiri"/>
          <w:color w:val="111111"/>
          <w:sz w:val="28"/>
          <w:szCs w:val="28"/>
          <w:rtl w:val="true"/>
          <w:lang w:bidi="ar-SA"/>
        </w:rPr>
        <w:t>:</w:t>
      </w:r>
    </w:p>
    <w:p>
      <w:pPr>
        <w:pStyle w:val="Heading4"/>
        <w:numPr>
          <w:ilvl w:val="3"/>
          <w:numId w:val="1"/>
        </w:numPr>
        <w:rPr/>
      </w:pPr>
      <w:bookmarkStart w:id="528" w:name="__RefHeading___Toc795555_222507752"/>
      <w:bookmarkStart w:id="529" w:name="_Toc217"/>
      <w:bookmarkEnd w:id="528"/>
      <w:r>
        <w:rPr>
          <w:rtl w:val="true"/>
        </w:rPr>
        <w:t>الأوّل</w:t>
      </w:r>
      <w:r>
        <w:rPr>
          <w:rtl w:val="true"/>
        </w:rPr>
        <w:t>:</w:t>
      </w:r>
      <w:r>
        <w:rPr>
          <w:rtl w:val="true"/>
        </w:rPr>
        <w:t>في الجنابة،</w:t>
      </w:r>
      <w:bookmarkEnd w:id="529"/>
    </w:p>
    <w:p>
      <w:pPr>
        <w:pStyle w:val="Heading5"/>
        <w:numPr>
          <w:ilvl w:val="4"/>
          <w:numId w:val="1"/>
        </w:numPr>
        <w:rPr/>
      </w:pPr>
      <w:bookmarkStart w:id="530" w:name="__RefHeading___Toc795557_222507752"/>
      <w:bookmarkStart w:id="531" w:name="_Toc218"/>
      <w:bookmarkEnd w:id="530"/>
      <w:r>
        <w:rPr>
          <w:rtl w:val="true"/>
        </w:rPr>
        <w:t>اشارة</w:t>
      </w:r>
      <w:bookmarkEnd w:id="531"/>
    </w:p>
    <w:p>
      <w:pPr>
        <w:pStyle w:val="BookText"/>
        <w:rPr/>
      </w:pPr>
      <w:r>
        <w:rPr>
          <w:rFonts w:ascii="Amiri" w:hAnsi="Amiri" w:eastAsia="Amiri" w:cs="Amiri"/>
          <w:color w:val="111111"/>
          <w:sz w:val="28"/>
          <w:sz w:val="28"/>
          <w:szCs w:val="28"/>
          <w:rtl w:val="true"/>
          <w:lang w:bidi="ar-SA"/>
        </w:rPr>
        <w:t xml:space="preserve">و قد اتّفق علماء الأمصار على انّ الجنابة سبب موجب للغسل و القرآن دلّ عليه،قال اللّه تعالى وَ إِنْ كُنْتُمْ جُنُباً فَاطَّهَّرُوا </w:t>
      </w:r>
      <w:r>
        <w:rPr>
          <w:rStyle w:val="FootnoteAnchor"/>
          <w:rtl w:val="true"/>
        </w:rPr>
        <w:footnoteReference w:id="8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الكلام هاهنا يقع في ثلاثة مباحث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الموجب للجنابة،و كيفيّة الغسل المزيل لها،و أحكام الجنب</w:t>
      </w:r>
      <w:r>
        <w:rPr>
          <w:rFonts w:eastAsia="Amiri" w:cs="Amiri" w:ascii="Amiri" w:hAnsi="Amiri"/>
          <w:color w:val="111111"/>
          <w:sz w:val="28"/>
          <w:szCs w:val="28"/>
          <w:rtl w:val="true"/>
          <w:lang w:bidi="ar-SA"/>
        </w:rPr>
        <w:t>.</w:t>
      </w:r>
    </w:p>
    <w:p>
      <w:pPr>
        <w:pStyle w:val="Heading5"/>
        <w:numPr>
          <w:ilvl w:val="4"/>
          <w:numId w:val="1"/>
        </w:numPr>
        <w:rPr/>
      </w:pPr>
      <w:bookmarkStart w:id="532" w:name="__RefHeading___Toc795559_222507752"/>
      <w:bookmarkStart w:id="533" w:name="_Toc219"/>
      <w:bookmarkEnd w:id="532"/>
      <w:r>
        <w:rPr>
          <w:rtl w:val="true"/>
        </w:rPr>
        <w:t>البحث الأوّل</w:t>
      </w:r>
      <w:r>
        <w:rPr>
          <w:rtl w:val="true"/>
        </w:rPr>
        <w:t>:</w:t>
      </w:r>
      <w:r>
        <w:rPr>
          <w:rtl w:val="true"/>
        </w:rPr>
        <w:t>في الموجب</w:t>
      </w:r>
      <w:r>
        <w:rPr>
          <w:rtl w:val="true"/>
        </w:rPr>
        <w:t>:</w:t>
      </w:r>
      <w:bookmarkEnd w:id="533"/>
    </w:p>
    <w:p>
      <w:pPr>
        <w:pStyle w:val="Heading6"/>
        <w:numPr>
          <w:ilvl w:val="5"/>
          <w:numId w:val="1"/>
        </w:numPr>
        <w:rPr/>
      </w:pPr>
      <w:bookmarkStart w:id="534" w:name="__RefHeading___Toc795561_222507752"/>
      <w:bookmarkStart w:id="535" w:name="_Toc220"/>
      <w:bookmarkEnd w:id="534"/>
      <w:r>
        <w:rPr>
          <w:rtl w:val="true"/>
        </w:rPr>
        <w:t>اشارة</w:t>
      </w:r>
      <w:bookmarkEnd w:id="535"/>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هي تكون تارة بسبب إنزال المنيّ و هو الماء الغليظ الدّافق غالبا،يخرج عند اشتداد الشّهوة،يشبه رائحته رطبا رائحة الطّلع،و يابسا رائحة البيض،و سمّي منيّا لأنّه يمنى،أي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يراق،و لهذا سمّيت منى منى،لإراقة الدّماء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منيّ المرأة رقيق أصفر،و عليه إجماع أهل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مسلم في صحيحه انّ أمّ سليم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حدّثت أنّها سألت النّبيّ صلّى اللّه عليه و آله عن المرأة ترى في منامها ما يرى الرّجل؟فقال رسول </w:t>
      </w:r>
    </w:p>
    <w:p>
      <w:pPr>
        <w:pStyle w:val="BookText"/>
        <w:rPr/>
      </w:pPr>
      <w:r>
        <w:rPr>
          <w:rFonts w:ascii="Amiri" w:hAnsi="Amiri" w:eastAsia="Amiri" w:cs="Amiri"/>
          <w:color w:val="111111"/>
          <w:sz w:val="28"/>
          <w:sz w:val="28"/>
          <w:szCs w:val="28"/>
          <w:rtl w:val="true"/>
          <w:lang w:bidi="ar-SA"/>
        </w:rPr>
        <w:t>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رأت ذلك المرأة فلتغتسل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فقالت أمّ سليم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استحييت من ذلك و هل يكون هذا؟فقال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نعم،فمن أين يكون الشّبه؟ ماء الرّجل غليظ أبيض،و ماء المرأة رقيق أصفر فمن أيّهما علا أو سبق يكون منه الشّبه</w:t>
      </w:r>
      <w:r>
        <w:rPr>
          <w:rFonts w:eastAsia="Amiri" w:cs="Amiri" w:ascii="Amiri" w:hAnsi="Amiri"/>
          <w:color w:val="111111"/>
          <w:sz w:val="28"/>
          <w:szCs w:val="28"/>
          <w:rtl w:val="true"/>
          <w:lang w:bidi="ar-SA"/>
        </w:rPr>
        <w:t xml:space="preserve">) </w:t>
      </w:r>
      <w:r>
        <w:rPr>
          <w:rStyle w:val="FootnoteAnchor"/>
          <w:rtl w:val="true"/>
        </w:rPr>
        <w:footnoteReference w:id="8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روت أيضا عنه صلّى اللّه عليه و آله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على المرأة من غسل إذا هي احتلمت؟فقال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نعم،إذا هي رأت الماء</w:t>
      </w:r>
      <w:r>
        <w:rPr>
          <w:rFonts w:eastAsia="Amiri" w:cs="Amiri" w:ascii="Amiri" w:hAnsi="Amiri"/>
          <w:color w:val="111111"/>
          <w:sz w:val="28"/>
          <w:szCs w:val="28"/>
          <w:rtl w:val="true"/>
          <w:lang w:bidi="ar-SA"/>
        </w:rPr>
        <w:t xml:space="preserve">) </w:t>
      </w:r>
      <w:r>
        <w:rPr>
          <w:rStyle w:val="FootnoteAnchor"/>
          <w:rtl w:val="true"/>
        </w:rPr>
        <w:footnoteReference w:id="856"/>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الماء من الماء</w:t>
      </w:r>
      <w:r>
        <w:rPr>
          <w:rFonts w:eastAsia="Amiri" w:cs="Amiri" w:ascii="Amiri" w:hAnsi="Amiri"/>
          <w:color w:val="111111"/>
          <w:sz w:val="28"/>
          <w:szCs w:val="28"/>
          <w:rtl w:val="true"/>
          <w:lang w:bidi="ar-SA"/>
        </w:rPr>
        <w:t xml:space="preserve">) </w:t>
      </w:r>
      <w:r>
        <w:rPr>
          <w:rStyle w:val="FootnoteAnchor"/>
          <w:rtl w:val="true"/>
        </w:rPr>
        <w:footnoteReference w:id="8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طريق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 في الصّحيح،عن عليّ بن جعفر،عن أخيه موسى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الرّجل يلعب مع المرأة و يقبّلها فيخرج منه المنيّ، فما عليه؟قال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جاءت الشّهوة و لها دفع و فتر لخروجه فعليه الغسل،و إن كان إنّما هو شيء لم يجد له فترة و لا شهوة،فلا بأس</w:t>
      </w:r>
      <w:r>
        <w:rPr>
          <w:rFonts w:eastAsia="Amiri" w:cs="Amiri" w:ascii="Amiri" w:hAnsi="Amiri"/>
          <w:color w:val="111111"/>
          <w:sz w:val="28"/>
          <w:szCs w:val="28"/>
          <w:rtl w:val="true"/>
          <w:lang w:bidi="ar-SA"/>
        </w:rPr>
        <w:t xml:space="preserve">» </w:t>
      </w:r>
      <w:r>
        <w:rPr>
          <w:rStyle w:val="FootnoteAnchor"/>
          <w:rtl w:val="true"/>
        </w:rPr>
        <w:footnoteReference w:id="858"/>
      </w:r>
      <w:r>
        <w:rPr>
          <w:rFonts w:ascii="Amiri" w:hAnsi="Amiri" w:eastAsia="Amiri" w:cs="Amiri"/>
          <w:color w:val="111111"/>
          <w:sz w:val="28"/>
          <w:sz w:val="28"/>
          <w:szCs w:val="28"/>
          <w:rtl w:val="true"/>
          <w:lang w:bidi="ar-SA"/>
        </w:rPr>
        <w:t>معناه إذا لم يكن الخارج هو الماء الأكبر،لاستبعاد خروج الماء الأكبر بغير شهوة و لذّة و فتور،و أشار بذلك إلى انّ من اشتبه عليه اعتبره بالشّهوة</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في الصّحيح،عن عبد اللّه بن سنان،قال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المرأة ترى انّ الرّجل يجامعها في المنام في فرجها حتّى تنزل؟قال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تغتسل</w:t>
      </w:r>
      <w:r>
        <w:rPr>
          <w:rFonts w:eastAsia="Amiri" w:cs="Amiri" w:ascii="Amiri" w:hAnsi="Amiri"/>
          <w:color w:val="111111"/>
          <w:sz w:val="28"/>
          <w:szCs w:val="28"/>
          <w:rtl w:val="true"/>
          <w:lang w:bidi="ar-SA"/>
        </w:rPr>
        <w:t xml:space="preserve">» </w:t>
      </w:r>
      <w:r>
        <w:rPr>
          <w:rStyle w:val="FootnoteAnchor"/>
          <w:rtl w:val="true"/>
        </w:rPr>
        <w:footnoteReference w:id="85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روى في الصّحيح،عن أديم </w:t>
      </w:r>
      <w:r>
        <w:rPr>
          <w:rStyle w:val="FootnoteAnchor"/>
          <w:rtl w:val="true"/>
        </w:rPr>
        <w:footnoteReference w:id="860"/>
      </w:r>
      <w:r>
        <w:rPr>
          <w:rFonts w:ascii="Amiri" w:hAnsi="Amiri" w:eastAsia="Amiri" w:cs="Amiri"/>
          <w:color w:val="111111"/>
          <w:sz w:val="28"/>
          <w:sz w:val="28"/>
          <w:szCs w:val="28"/>
          <w:rtl w:val="true"/>
          <w:lang w:bidi="ar-SA"/>
        </w:rPr>
        <w:t>بن الحرّ،قال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المرأة ترى في منامها ما يرى الرّجل،عليها غسل؟قال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نعم،و لا تحدّثوهنّ فيتّخذنه علّة</w:t>
      </w:r>
      <w:r>
        <w:rPr>
          <w:rFonts w:eastAsia="Amiri" w:cs="Amiri" w:ascii="Amiri" w:hAnsi="Amiri"/>
          <w:color w:val="111111"/>
          <w:sz w:val="28"/>
          <w:szCs w:val="28"/>
          <w:rtl w:val="true"/>
          <w:lang w:bidi="ar-SA"/>
        </w:rPr>
        <w:t xml:space="preserve">» </w:t>
      </w:r>
      <w:r>
        <w:rPr>
          <w:rStyle w:val="FootnoteAnchor"/>
          <w:rtl w:val="true"/>
        </w:rPr>
        <w:footnoteReference w:id="8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روى في الحسن،عن محمّد </w:t>
      </w:r>
      <w:r>
        <w:rPr>
          <w:rStyle w:val="FootnoteAnchor"/>
          <w:rtl w:val="true"/>
        </w:rPr>
        <w:footnoteReference w:id="862"/>
      </w:r>
      <w:r>
        <w:rPr>
          <w:rFonts w:ascii="Amiri" w:hAnsi="Amiri" w:eastAsia="Amiri" w:cs="Amiri"/>
          <w:color w:val="111111"/>
          <w:sz w:val="28"/>
          <w:sz w:val="28"/>
          <w:szCs w:val="28"/>
          <w:rtl w:val="true"/>
          <w:lang w:bidi="ar-SA"/>
        </w:rPr>
        <w:t>بن الفضيل،عن أبي الحسن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تلزمني المرأة أو الجارية من خلفي و أنا متّكئ على جنبي فتحرّك على ظهري فتأتيها الشّهوة و تنزل الماء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Style w:val="FootnoteAnchor"/>
          <w:rtl w:val="true"/>
        </w:rPr>
        <w:footnoteReference w:id="863"/>
      </w:r>
      <w:r>
        <w:rPr>
          <w:rFonts w:ascii="Amiri" w:hAnsi="Amiri" w:eastAsia="Amiri" w:cs="Amiri"/>
          <w:color w:val="111111"/>
          <w:sz w:val="28"/>
          <w:sz w:val="28"/>
          <w:szCs w:val="28"/>
          <w:rtl w:val="true"/>
          <w:lang w:bidi="ar-SA"/>
        </w:rPr>
        <w:t>فعليها غسل أم لا؟قال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نعم،إذا جاءت الشّهوة و أنزلت الماء وجب عليها الغسل</w:t>
      </w:r>
      <w:r>
        <w:rPr>
          <w:rFonts w:eastAsia="Amiri" w:cs="Amiri" w:ascii="Amiri" w:hAnsi="Amiri"/>
          <w:color w:val="111111"/>
          <w:sz w:val="28"/>
          <w:szCs w:val="28"/>
          <w:rtl w:val="true"/>
          <w:lang w:bidi="ar-SA"/>
        </w:rPr>
        <w:t xml:space="preserve">» </w:t>
      </w:r>
      <w:r>
        <w:rPr>
          <w:rStyle w:val="FootnoteAnchor"/>
          <w:rtl w:val="true"/>
        </w:rPr>
        <w:footnoteReference w:id="864"/>
      </w:r>
      <w:r>
        <w:rPr>
          <w:rFonts w:eastAsia="Times New Roman" w:cs="Times New Roman" w:ascii="Times New Roman" w:hAnsi="Times New Roman"/>
          <w:color w:val="111111"/>
          <w:sz w:val="28"/>
          <w:szCs w:val="28"/>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روى معاوية </w:t>
      </w:r>
      <w:r>
        <w:rPr>
          <w:rStyle w:val="FootnoteAnchor"/>
          <w:rtl w:val="true"/>
        </w:rPr>
        <w:footnoteReference w:id="86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أمنت المرأة </w:t>
      </w:r>
    </w:p>
    <w:p>
      <w:pPr>
        <w:pStyle w:val="BookText"/>
        <w:rPr/>
      </w:pPr>
      <w:r>
        <w:rPr>
          <w:rFonts w:ascii="Amiri" w:hAnsi="Amiri" w:eastAsia="Amiri" w:cs="Amiri"/>
          <w:color w:val="111111"/>
          <w:sz w:val="28"/>
          <w:sz w:val="28"/>
          <w:szCs w:val="28"/>
          <w:rtl w:val="true"/>
          <w:lang w:bidi="ar-SA"/>
        </w:rPr>
        <w:t>و الأمة من شهوة جامعها الرّجل أو لم يجامعها،في نوم كان أو في يقظة،فإنّ عليها الغسل</w:t>
      </w:r>
      <w:r>
        <w:rPr>
          <w:rFonts w:eastAsia="Amiri" w:cs="Amiri" w:ascii="Amiri" w:hAnsi="Amiri"/>
          <w:color w:val="111111"/>
          <w:sz w:val="28"/>
          <w:szCs w:val="28"/>
          <w:rtl w:val="true"/>
          <w:lang w:bidi="ar-SA"/>
        </w:rPr>
        <w:t xml:space="preserve">» </w:t>
      </w:r>
      <w:r>
        <w:rPr>
          <w:rStyle w:val="FootnoteAnchor"/>
          <w:rtl w:val="true"/>
        </w:rPr>
        <w:footnoteReference w:id="8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في الصّحيح،عن محمّد بن إسماعيل بن بزيع،قال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الرّضا عليه السّلام عن الرّجل يجامع المرأة فيما دون الفرج فتنزل المرأة،هل عليها غسل؟قال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Style w:val="FootnoteAnchor"/>
          <w:rtl w:val="true"/>
        </w:rPr>
        <w:footnoteReference w:id="8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في الصّحيح،عن محمّد بن إسماعيل بن بزيع،قال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الحسن عليه السّلام عن المرأة ترى في منامها فتنزل،عليها غسل؟قال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Style w:val="FootnoteAnchor"/>
          <w:rtl w:val="true"/>
        </w:rPr>
        <w:footnoteReference w:id="8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في الحسن،عن الحلبيّ،قال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المفخّذ أ عليه غسل؟قال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نعم،إذا أنزل</w:t>
      </w:r>
      <w:r>
        <w:rPr>
          <w:rFonts w:eastAsia="Amiri" w:cs="Amiri" w:ascii="Amiri" w:hAnsi="Amiri"/>
          <w:color w:val="111111"/>
          <w:sz w:val="28"/>
          <w:szCs w:val="28"/>
          <w:rtl w:val="true"/>
          <w:lang w:bidi="ar-SA"/>
        </w:rPr>
        <w:t xml:space="preserve">» </w:t>
      </w:r>
      <w:r>
        <w:rPr>
          <w:rStyle w:val="FootnoteAnchor"/>
          <w:rtl w:val="true"/>
        </w:rPr>
        <w:footnoteReference w:id="869"/>
      </w:r>
      <w:r>
        <w:rPr>
          <w:rFonts w:ascii="Amiri" w:hAnsi="Amiri" w:eastAsia="Amiri" w:cs="Amiri"/>
          <w:color w:val="111111"/>
          <w:sz w:val="28"/>
          <w:sz w:val="28"/>
          <w:szCs w:val="28"/>
          <w:rtl w:val="true"/>
          <w:lang w:bidi="ar-SA"/>
        </w:rPr>
        <w:t>فخروج المنيّ الدّافق بشهوة يوجب الغسل من الرّجل و المرأة في يقظة أو في نوم،لا نعرف فيه خلافا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روى الشّيخ في الصّحيح،عن عمر بن يزيد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الرّجل يضع ذكره على فرج المرأة فيمني،عليها غسل؟فقال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أصابها من الماء شيء فلتغسله،و ليس عليها شيء إلاّ أن يدخله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أمنت هي و لم يدخله؟قال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عليها الغسل</w:t>
      </w:r>
      <w:r>
        <w:rPr>
          <w:rFonts w:eastAsia="Amiri" w:cs="Amiri" w:ascii="Amiri" w:hAnsi="Amiri"/>
          <w:color w:val="111111"/>
          <w:sz w:val="28"/>
          <w:szCs w:val="28"/>
          <w:rtl w:val="true"/>
          <w:lang w:bidi="ar-SA"/>
        </w:rPr>
        <w:t xml:space="preserve">» </w:t>
      </w:r>
      <w:r>
        <w:rPr>
          <w:rStyle w:val="FootnoteAnchor"/>
          <w:rtl w:val="true"/>
        </w:rPr>
        <w:footnoteReference w:id="870"/>
      </w:r>
      <w:r>
        <w:rPr>
          <w:rFonts w:eastAsia="Times New Roman" w:cs="Times New Roman" w:ascii="Times New Roman" w:hAnsi="Times New Roman"/>
          <w:color w:val="111111"/>
          <w:sz w:val="28"/>
          <w:szCs w:val="28"/>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في الصّحيح،عن محمّد بن مسلم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جعفر 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كيف جعل على المرأة إذا رأت في النّوم انّ الرّجل يجامعها في فرجها الغسل و لم يجعل عليها الغسل إذا جامعها دون الفرج في اليقظة فأمنت؟قال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لأنّها رأت في منامها انّ الرّجل يجامعها في فرجها،فوجب عليها الغسل،و الآخر إنّما جامعها دون الفرج فلم يجب عليها الغسل لأنّه لم يدخله،و لو كان أدخله في اليقظة وجب عليها الغسل،أمنت أو لم تمن</w:t>
      </w:r>
      <w:r>
        <w:rPr>
          <w:rFonts w:eastAsia="Amiri" w:cs="Amiri" w:ascii="Amiri" w:hAnsi="Amiri"/>
          <w:color w:val="111111"/>
          <w:sz w:val="28"/>
          <w:szCs w:val="28"/>
          <w:rtl w:val="true"/>
          <w:lang w:bidi="ar-SA"/>
        </w:rPr>
        <w:t xml:space="preserve">» </w:t>
      </w:r>
      <w:r>
        <w:rPr>
          <w:rStyle w:val="FootnoteAnchor"/>
          <w:rtl w:val="true"/>
        </w:rPr>
        <w:footnoteReference w:id="8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في الصّحيح،عن عمر بن أذينة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المرأة تحتلم في المنام فيهريق الماء الأعظم؟قال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عليها الغسل</w:t>
      </w:r>
      <w:r>
        <w:rPr>
          <w:rFonts w:eastAsia="Amiri" w:cs="Amiri" w:ascii="Amiri" w:hAnsi="Amiri"/>
          <w:color w:val="111111"/>
          <w:sz w:val="28"/>
          <w:szCs w:val="28"/>
          <w:rtl w:val="true"/>
          <w:lang w:bidi="ar-SA"/>
        </w:rPr>
        <w:t xml:space="preserve">» </w:t>
      </w:r>
      <w:r>
        <w:rPr>
          <w:rStyle w:val="FootnoteAnchor"/>
          <w:rtl w:val="true"/>
        </w:rPr>
        <w:footnoteReference w:id="8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لأنّا نجيب عن ذلك كلّه بأنّ هذه أخبار آحاد عارضت إجماع المسلمين،فتكون مردودة بالاتّفاق،على انّه يحتمل انّه إنّما قال فإن أمذت هي،و السّامع لم يفهم ذلك، و عمر بن يزيد هذا قد روى بغير هذا اللّفظ،قال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اغتسلت يوم الجمعة بالمدينة و لبست ثيابي و تطيّبت فمرّت بي وصيفة ففخّذت لها فأمذيت أنا و أمنت هي فدخلني من ذلك ضيق،فسألت أبا عبد اللّه عليه السّلام عن ذلك؟فقال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عليك وضوء و لا عليها غسل</w:t>
      </w:r>
      <w:r>
        <w:rPr>
          <w:rFonts w:eastAsia="Amiri" w:cs="Amiri" w:ascii="Amiri" w:hAnsi="Amiri"/>
          <w:color w:val="111111"/>
          <w:sz w:val="28"/>
          <w:szCs w:val="28"/>
          <w:rtl w:val="true"/>
          <w:lang w:bidi="ar-SA"/>
        </w:rPr>
        <w:t xml:space="preserve">» </w:t>
      </w:r>
      <w:r>
        <w:rPr>
          <w:rStyle w:val="FootnoteAnchor"/>
          <w:rtl w:val="true"/>
        </w:rPr>
        <w:footnoteReference w:id="87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فاختلاف روايته دالّ على عدم الضّبط فوجب إطراحها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يمكن أن يحمل المنيّ على المذي الّذي هو شبيه في بعض الأحوال و المصاحب له بالمجاز</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يحتمل انّه عليه السّلام أجابه عمّا هو الثّابت في نفس الأمر لا على اعتقاد السّائل،فلعلّه اعتقد ما ليس بمنيّ منيّا </w:t>
      </w:r>
      <w:r>
        <w:rPr>
          <w:rStyle w:val="FootnoteAnchor"/>
          <w:rtl w:val="true"/>
        </w:rPr>
        <w:footnoteReference w:id="874"/>
      </w:r>
      <w:r>
        <w:rPr>
          <w:rFonts w:ascii="Amiri" w:hAnsi="Amiri" w:eastAsia="Amiri" w:cs="Amiri"/>
          <w:color w:val="111111"/>
          <w:sz w:val="28"/>
          <w:sz w:val="28"/>
          <w:szCs w:val="28"/>
          <w:rtl w:val="true"/>
          <w:lang w:bidi="ar-SA"/>
        </w:rPr>
        <w:t>،و هذا هو الجواب عن الحديث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 الثّالث باحتمال انّها رأت في النّوم الإنزال،و لمّا استيقظت ظهر لها </w:t>
      </w:r>
      <w:bookmarkStart w:id="536" w:name="pg12669_112962"/>
    </w:p>
    <w:p>
      <w:pPr>
        <w:pStyle w:val="BookText"/>
        <w:rPr/>
      </w:pPr>
      <w:bookmarkEnd w:id="536"/>
      <w:r>
        <w:rPr>
          <w:rFonts w:ascii="Amiri" w:hAnsi="Amiri" w:eastAsia="Amiri" w:cs="Amiri"/>
          <w:color w:val="111111"/>
          <w:sz w:val="28"/>
          <w:sz w:val="28"/>
          <w:szCs w:val="28"/>
          <w:rtl w:val="true"/>
          <w:lang w:bidi="ar-SA"/>
        </w:rPr>
        <w:t>بطلانه،لا انّها وجدته في حال اليقظة</w:t>
      </w:r>
      <w:r>
        <w:rPr>
          <w:rFonts w:eastAsia="Amiri" w:cs="Amiri" w:ascii="Amiri" w:hAnsi="Amiri"/>
          <w:color w:val="111111"/>
          <w:sz w:val="28"/>
          <w:szCs w:val="28"/>
          <w:rtl w:val="true"/>
          <w:lang w:bidi="ar-SA"/>
        </w:rPr>
        <w:t>.</w:t>
      </w:r>
    </w:p>
    <w:p>
      <w:pPr>
        <w:pStyle w:val="Heading6"/>
        <w:numPr>
          <w:ilvl w:val="5"/>
          <w:numId w:val="1"/>
        </w:numPr>
        <w:rPr/>
      </w:pPr>
      <w:bookmarkStart w:id="537" w:name="__RefHeading___Toc795563_222507752"/>
      <w:bookmarkStart w:id="538" w:name="_Toc221"/>
      <w:bookmarkEnd w:id="537"/>
      <w:r>
        <w:rPr>
          <w:rtl w:val="true"/>
        </w:rPr>
        <w:t>فروع</w:t>
      </w:r>
      <w:r>
        <w:rPr>
          <w:rtl w:val="true"/>
        </w:rPr>
        <w:t>:</w:t>
      </w:r>
      <w:bookmarkEnd w:id="538"/>
    </w:p>
    <w:p>
      <w:pPr>
        <w:pStyle w:val="Heading6"/>
        <w:numPr>
          <w:ilvl w:val="5"/>
          <w:numId w:val="1"/>
        </w:numPr>
        <w:rPr/>
      </w:pPr>
      <w:bookmarkStart w:id="539" w:name="__RefHeading___Toc795565_222507752"/>
      <w:bookmarkStart w:id="540" w:name="_Toc222"/>
      <w:bookmarkEnd w:id="539"/>
      <w:r>
        <w:rPr>
          <w:rtl w:val="true"/>
        </w:rPr>
        <w:t>الأوّل</w:t>
      </w:r>
      <w:r>
        <w:rPr>
          <w:rtl w:val="true"/>
        </w:rPr>
        <w:t>:</w:t>
      </w:r>
      <w:r>
        <w:rPr>
          <w:rtl w:val="true"/>
        </w:rPr>
        <w:t>قال علماؤنا</w:t>
      </w:r>
      <w:r>
        <w:rPr>
          <w:rtl w:val="true"/>
        </w:rPr>
        <w:t>:</w:t>
      </w:r>
      <w:r>
        <w:rPr>
          <w:rtl w:val="true"/>
        </w:rPr>
        <w:t>خروج المنيّ مطلقا موجب للغسل</w:t>
      </w:r>
      <w:bookmarkEnd w:id="540"/>
    </w:p>
    <w:p>
      <w:pPr>
        <w:pStyle w:val="BookText"/>
        <w:rPr/>
      </w:pPr>
      <w:r>
        <w:rPr>
          <w:rFonts w:ascii="Amiri" w:hAnsi="Amiri" w:eastAsia="Amiri" w:cs="Amiri"/>
          <w:color w:val="111111"/>
          <w:sz w:val="28"/>
          <w:sz w:val="28"/>
          <w:szCs w:val="28"/>
          <w:rtl w:val="true"/>
          <w:lang w:bidi="ar-SA"/>
        </w:rPr>
        <w:t>،سواء قارنته الشّهوة أو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به قال الشّافعيّ </w:t>
      </w:r>
      <w:r>
        <w:rPr>
          <w:rStyle w:val="FootnoteAnchor"/>
          <w:rtl w:val="true"/>
        </w:rPr>
        <w:footnoteReference w:id="87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أبو حنيفة </w:t>
      </w:r>
      <w:r>
        <w:rPr>
          <w:rStyle w:val="FootnoteAnchor"/>
          <w:rtl w:val="true"/>
        </w:rPr>
        <w:footnoteReference w:id="876"/>
      </w:r>
      <w:r>
        <w:rPr>
          <w:rFonts w:ascii="IRNazanin" w:hAnsi="IRNazanin" w:eastAsia="IRNazanin"/>
          <w:color w:val="111111"/>
          <w:sz w:val="28"/>
          <w:sz w:val="28"/>
          <w:szCs w:val="28"/>
          <w:rtl w:val="true"/>
          <w:lang w:bidi="fa-IR"/>
        </w:rPr>
        <w:t xml:space="preserve">،و أحمد </w:t>
      </w:r>
      <w:r>
        <w:rPr>
          <w:rStyle w:val="FootnoteAnchor"/>
          <w:rtl w:val="true"/>
        </w:rPr>
        <w:footnoteReference w:id="877"/>
      </w:r>
      <w:r>
        <w:rPr>
          <w:rFonts w:ascii="Amiri" w:hAnsi="Amiri" w:eastAsia="Amiri" w:cs="Amiri"/>
          <w:color w:val="111111"/>
          <w:sz w:val="28"/>
          <w:sz w:val="28"/>
          <w:szCs w:val="28"/>
          <w:rtl w:val="true"/>
          <w:lang w:bidi="ar-SA"/>
        </w:rPr>
        <w:t>،و مالك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يجب إلاّ مع الشّهوة و الدّفق </w:t>
      </w:r>
      <w:r>
        <w:rPr>
          <w:rStyle w:val="FootnoteAnchor"/>
          <w:rtl w:val="true"/>
        </w:rPr>
        <w:footnoteReference w:id="8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الجمهور،عنه عليه السّلام انّه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الماء من الماء</w:t>
      </w:r>
      <w:r>
        <w:rPr>
          <w:rFonts w:eastAsia="Amiri" w:cs="Amiri" w:ascii="Amiri" w:hAnsi="Amiri"/>
          <w:color w:val="111111"/>
          <w:sz w:val="28"/>
          <w:szCs w:val="28"/>
          <w:rtl w:val="true"/>
          <w:lang w:bidi="ar-SA"/>
        </w:rPr>
        <w:t xml:space="preserve">) </w:t>
      </w:r>
      <w:r>
        <w:rPr>
          <w:rStyle w:val="FootnoteAnchor"/>
          <w:rtl w:val="true"/>
        </w:rPr>
        <w:footnoteReference w:id="879"/>
      </w:r>
      <w:r>
        <w:rPr>
          <w:rFonts w:ascii="Amiri" w:hAnsi="Amiri" w:eastAsia="Amiri" w:cs="Amiri"/>
          <w:color w:val="111111"/>
          <w:sz w:val="28"/>
          <w:sz w:val="28"/>
          <w:szCs w:val="28"/>
          <w:rtl w:val="true"/>
          <w:lang w:bidi="ar-SA"/>
        </w:rPr>
        <w:t>و رووا،عنه عليه السّلام انّه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المنيّ الغسل</w:t>
      </w:r>
      <w:r>
        <w:rPr>
          <w:rFonts w:eastAsia="Amiri" w:cs="Amiri" w:ascii="Amiri" w:hAnsi="Amiri"/>
          <w:color w:val="111111"/>
          <w:sz w:val="28"/>
          <w:szCs w:val="28"/>
          <w:rtl w:val="true"/>
          <w:lang w:bidi="ar-SA"/>
        </w:rPr>
        <w:t xml:space="preserve">) </w:t>
      </w:r>
      <w:r>
        <w:rPr>
          <w:rStyle w:val="FootnoteAnchor"/>
          <w:rtl w:val="true"/>
        </w:rPr>
        <w:footnoteReference w:id="88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 عليه السّلام لامّ سليم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رأت المرأة ذلك فلتغتسل</w:t>
      </w:r>
      <w:r>
        <w:rPr>
          <w:rFonts w:eastAsia="Amiri" w:cs="Amiri" w:ascii="Amiri" w:hAnsi="Amiri"/>
          <w:color w:val="111111"/>
          <w:sz w:val="28"/>
          <w:szCs w:val="28"/>
          <w:rtl w:val="true"/>
          <w:lang w:bidi="ar-SA"/>
        </w:rPr>
        <w:t xml:space="preserve">) </w:t>
      </w:r>
      <w:r>
        <w:rPr>
          <w:rStyle w:val="FootnoteAnchor"/>
          <w:rtl w:val="true"/>
        </w:rPr>
        <w:footnoteReference w:id="881"/>
      </w:r>
      <w:r>
        <w:rPr>
          <w:rFonts w:ascii="Amiri" w:hAnsi="Amiri" w:eastAsia="Amiri" w:cs="Amiri"/>
          <w:color w:val="111111"/>
          <w:sz w:val="28"/>
          <w:sz w:val="28"/>
          <w:szCs w:val="28"/>
          <w:rtl w:val="true"/>
          <w:lang w:bidi="ar-SA"/>
        </w:rPr>
        <w:t>و لم يعلّق الحكم على غير الرّؤية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 عليه السّلام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إذا هي رأت الماء</w:t>
      </w:r>
      <w:r>
        <w:rPr>
          <w:rFonts w:eastAsia="Amiri" w:cs="Amiri" w:ascii="Amiri" w:hAnsi="Amiri"/>
          <w:color w:val="111111"/>
          <w:sz w:val="28"/>
          <w:szCs w:val="28"/>
          <w:rtl w:val="true"/>
          <w:lang w:bidi="ar-SA"/>
        </w:rPr>
        <w:t xml:space="preserve">) </w:t>
      </w:r>
      <w:r>
        <w:rPr>
          <w:rStyle w:val="FootnoteAnchor"/>
          <w:rtl w:val="true"/>
        </w:rPr>
        <w:footnoteReference w:id="882"/>
      </w:r>
      <w:r>
        <w:rPr>
          <w:rFonts w:ascii="Amiri" w:hAnsi="Amiri" w:eastAsia="Amiri" w:cs="Amiri"/>
          <w:color w:val="111111"/>
          <w:sz w:val="28"/>
          <w:sz w:val="28"/>
          <w:szCs w:val="28"/>
          <w:rtl w:val="true"/>
          <w:lang w:bidi="ar-SA"/>
        </w:rPr>
        <w:t>و لم يعلّق على الشّهوة</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طريق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تقدّم من الأحاديث الدّالّة على إيجاب الغسل مطلقا </w:t>
      </w:r>
      <w:r>
        <w:rPr>
          <w:rStyle w:val="FootnoteAnchor"/>
          <w:rtl w:val="true"/>
        </w:rPr>
        <w:footnoteReference w:id="883"/>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لا ينافي ذلك،الأحاديث الدّالّة على الإيجاب مع قيد الشّهوة،لأنّ دليل الخطاب ضعيف و بالخصوص مع المنطوق الدّالّ على الخلاف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لأنّه منيّ خارج فأوجب الغسل كما لو خرج حال الإغماء،و لأنّه منيّ </w:t>
      </w:r>
      <w:r>
        <w:rPr>
          <w:rStyle w:val="FootnoteAnchor"/>
          <w:rtl w:val="true"/>
        </w:rPr>
        <w:footnoteReference w:id="884"/>
      </w:r>
      <w:r>
        <w:rPr>
          <w:rFonts w:ascii="Amiri" w:hAnsi="Amiri" w:eastAsia="Amiri" w:cs="Amiri"/>
          <w:color w:val="111111"/>
          <w:sz w:val="28"/>
          <w:sz w:val="28"/>
          <w:szCs w:val="28"/>
          <w:rtl w:val="true"/>
          <w:lang w:bidi="ar-SA"/>
        </w:rPr>
        <w:t>نجس خارج من إحدى السّبيلين فلا يعتبر في إيجابه الشّهوة كالحيض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احتجّ أبو حنيفة </w:t>
      </w:r>
      <w:r>
        <w:rPr>
          <w:rStyle w:val="FootnoteAnchor"/>
          <w:rtl w:val="true"/>
        </w:rPr>
        <w:footnoteReference w:id="885"/>
      </w:r>
      <w:r>
        <w:rPr>
          <w:rFonts w:ascii="Amiri" w:hAnsi="Amiri" w:eastAsia="Amiri" w:cs="Amiri"/>
          <w:color w:val="111111"/>
          <w:sz w:val="28"/>
          <w:sz w:val="28"/>
          <w:szCs w:val="28"/>
          <w:rtl w:val="true"/>
          <w:lang w:bidi="ar-SA"/>
        </w:rPr>
        <w:t>بما روي،عن أمّ سليم انّها سألت النّبيّ صلّى اللّه عليه و آله عن المرأة ترى في منامها مثل ما يرى الرّجل؟فقال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تجد لذّة بذلك؟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فلتغتسل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علّق الاغتسال باللّذّة،و لأنّه ليس بمنيّ بل يشبهه،لأنّ المنيّ هو الماء الّذي تدفعه الشّهوة،فإذا انعدمت الشّهوة لا يكون منيّا بل أشبه البول،فيجب منه 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 عن الأوّل بأنّ تعليق الحكم على وجدان اللّذة لا يدلّ على نفيه عمّا عداه،إذ ذلك دليل الخطاب لا يعمل به المحقّقون،على انّ السّؤال هاهنا ليس لتعليق الحكم عليه و اعتبار اللذّة،بل هو استعلام لما يشتبه حاله،لا ما يتيقّن انّه منيّ،على انّ الشّهوة لا تعتبر في النّوم اتّفاقا</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الاسم معلّق على الحقيقة المعيّنة لا باعتبار مقارنة الشّهوة أو عدمها كما في حقّ النّائم و المغمى عليه و غيرهما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العجب انّ أبا حنيفة يذهب إلى انّ الزّيادة على النّصّ نسخ </w:t>
      </w:r>
      <w:r>
        <w:rPr>
          <w:rStyle w:val="FootnoteAnchor"/>
          <w:rtl w:val="true"/>
        </w:rPr>
        <w:footnoteReference w:id="88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فتقييد الماء بالشّهوة زيادة لم يتناولها النّصّ،مستفادة من مفهوم 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تجد لذّة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انّ المفهوم اختلفوا في انّه هل هو حجة أم لا؟و على القول بأنّه حجّة،اختلفوا في انّه هل يجوز التّخصيص به أم لا؟فكيف جوّز النّسخ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برهان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خروج المنيّ موجب للغسل مطلقا،عملا بالدّوران في طرفي الوجود و العدم،أمّا في الوجود ففي حال الإنزال مع الإغماء و النّوم،و أمّا عدما فظاهر، و الدّوران يقتضي العلّيّة،لأنّ مدارا ما من المدارات على ما ذكرنا من التّفسير علّة للدّائر قطعا،فنقول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ثبت عدم علّيّة غير هذا المدار من المدارات منضمّا إلى علّيّة مدار ما، </w:t>
      </w:r>
    </w:p>
    <w:p>
      <w:pPr>
        <w:pStyle w:val="BookText"/>
        <w:rPr/>
      </w:pPr>
      <w:r>
        <w:rPr>
          <w:rFonts w:ascii="Amiri" w:hAnsi="Amiri" w:eastAsia="Amiri" w:cs="Amiri"/>
          <w:color w:val="111111"/>
          <w:sz w:val="28"/>
          <w:sz w:val="28"/>
          <w:szCs w:val="28"/>
          <w:rtl w:val="true"/>
          <w:lang w:bidi="ar-SA"/>
        </w:rPr>
        <w:t>و إلى عدم علّيّة كلّ ما ليس بعلّة في نفس الأمر،يلزم علّية هذا المدار،و يلزم من هذا أن يكون علّة في نفس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المقدّمة الاولى فلأنّ كلّ ما ليس بعلّة في نفس الأمر فهو ليس بعلّة على هذا التّقدير،فينعكس بالنّقيض إلى انّ كلّ ما هو علّة على هذا التّقدير فهو علّة في نفس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المقدّمة 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فلأنّ هذا المدار علّة على هذا التّقدير و كلّ ما هو علّة على هذا التّقدير فهو علّة في نفس الأمر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إن قال </w:t>
      </w:r>
      <w:r>
        <w:rPr>
          <w:rStyle w:val="FootnoteAnchor"/>
          <w:rtl w:val="true"/>
        </w:rPr>
        <w:footnoteReference w:id="88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الإنزال مع الشّهوة موجب لعدم الغسل بالدّوران وجودا و عدما، أمّا وجودا ففي صورة عدم الإنزال مطلقا،و أمّا عدما ففي صورة الإنزال مع الشّهوة،و إذا كان الإنزال مع الشّهوة مدارا،لم يكن مطلق الإنزال مدارا،و إلاّ لزم وجود الحكم و عدمه في صورة النّزاع</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لا يتمّ بالخلف،و تقريره أن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 عدم الإنزال مع الشّهوة موجبا لعدم الغسل لزم أحد الأمرين،و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 عدم وجوب الغسل في صورة النّزاع،أو عدم إيجاب الإنزال مطلقا للغسل،لدلالة الدّليل على كلّ واحد منهما،أمّا على الأوّل فلأنّ الأصل ترتّب المسبّب على سببه،و أمّا الثّاني فلأنّه لو كان الإنزال مطلقا حينئذ موجبا للغسل،لزم التّعارض بين الموجب للوجوب،و الموجب لعدم الوجوب،و هو على خلاف الأصل،فثبت دلالة الدّليل على كلّ واحد منهما،فثبت أحدهما،و يلزم من هذه الملازمة عدم موجبيّة الإنزال مع الشّهوة لعدم الغسل،لأنّه لو ثبت أحد الأمرين و هو إمّا موجبيّة عدم الإنزال مع الشّهوة لعدم وجوب الغسل،أو عدم وجوب الغسل في صورة النّزاع،لثبت عدم وجوب الغسل في فصل النّائم و المغمى عليه،عملا بالعلّة السّالمة عن المعارض دعواه،و اللازم منتف فينتفي أحدهما،و إنّما كان يلزم انتفاء موجبيّة عدم الإنزال مع الشّهوة لعدم وجوب الغسل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إذا كان الواقع انتفاء موجبيّته لعدم وجوب </w:t>
      </w:r>
      <w:bookmarkStart w:id="541" w:name="pg12669_112965"/>
    </w:p>
    <w:p>
      <w:pPr>
        <w:pStyle w:val="BookText"/>
        <w:rPr/>
      </w:pPr>
      <w:bookmarkEnd w:id="541"/>
      <w:r>
        <w:rPr>
          <w:rFonts w:ascii="Amiri" w:hAnsi="Amiri" w:eastAsia="Amiri" w:cs="Amiri"/>
          <w:color w:val="111111"/>
          <w:sz w:val="28"/>
          <w:sz w:val="28"/>
          <w:szCs w:val="28"/>
          <w:rtl w:val="true"/>
          <w:lang w:bidi="ar-SA"/>
        </w:rPr>
        <w:t xml:space="preserve">الغسل فظاهر،و أمّا إذا كان الواقع انتفاء عدم وجوب الغسل في صورة النّزاع فلأنّ ما ذكرنا </w:t>
      </w:r>
      <w:r>
        <w:rPr>
          <w:rStyle w:val="FootnoteAnchor"/>
          <w:rtl w:val="true"/>
        </w:rPr>
        <w:footnoteReference w:id="88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الإنزال مطلقا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حينئذ يكون موجبا لوجوب الغسل لما ذكرنا من الدّوران السّالم عن معارضة عدم وجوب الغسل في صورة النّزاع،فيظهر من هذا انّ المدار إذا كان معيّنا </w:t>
      </w:r>
      <w:r>
        <w:rPr>
          <w:rStyle w:val="FootnoteAnchor"/>
          <w:rtl w:val="true"/>
        </w:rPr>
        <w:footnoteReference w:id="889"/>
      </w:r>
      <w:r>
        <w:rPr>
          <w:rFonts w:ascii="Amiri" w:hAnsi="Amiri" w:eastAsia="Amiri" w:cs="Amiri"/>
          <w:color w:val="111111"/>
          <w:sz w:val="28"/>
          <w:sz w:val="28"/>
          <w:szCs w:val="28"/>
          <w:rtl w:val="true"/>
          <w:lang w:bidi="ar-SA"/>
        </w:rPr>
        <w:t>و المقابل له شيء يتخلّف عنه ضدّ المدّعى تمَّ و إلاّ فلا</w:t>
      </w:r>
      <w:r>
        <w:rPr>
          <w:rFonts w:eastAsia="Amiri" w:cs="Amiri" w:ascii="Amiri" w:hAnsi="Amiri"/>
          <w:color w:val="111111"/>
          <w:sz w:val="28"/>
          <w:szCs w:val="28"/>
          <w:rtl w:val="true"/>
          <w:lang w:bidi="ar-SA"/>
        </w:rPr>
        <w:t>.</w:t>
      </w:r>
    </w:p>
    <w:p>
      <w:pPr>
        <w:pStyle w:val="Heading6"/>
        <w:numPr>
          <w:ilvl w:val="5"/>
          <w:numId w:val="1"/>
        </w:numPr>
        <w:rPr/>
      </w:pPr>
      <w:bookmarkStart w:id="542" w:name="__RefHeading___Toc795567_222507752"/>
      <w:bookmarkStart w:id="543" w:name="_Toc223"/>
      <w:bookmarkEnd w:id="542"/>
      <w:r>
        <w:rPr>
          <w:rtl w:val="true"/>
        </w:rPr>
        <w:t>الفرع الثّاني</w:t>
      </w:r>
      <w:r>
        <w:rPr>
          <w:rtl w:val="true"/>
        </w:rPr>
        <w:t>:</w:t>
      </w:r>
      <w:r>
        <w:rPr>
          <w:rtl w:val="true"/>
        </w:rPr>
        <w:t>إذا تيقّن انّ الخارج منيّ وجب الغسل،</w:t>
      </w:r>
      <w:bookmarkEnd w:id="543"/>
    </w:p>
    <w:p>
      <w:pPr>
        <w:pStyle w:val="BookText"/>
        <w:rPr/>
      </w:pPr>
      <w:r>
        <w:rPr>
          <w:rFonts w:ascii="Amiri" w:hAnsi="Amiri" w:eastAsia="Amiri" w:cs="Amiri"/>
          <w:color w:val="111111"/>
          <w:sz w:val="28"/>
          <w:sz w:val="28"/>
          <w:szCs w:val="28"/>
          <w:rtl w:val="true"/>
          <w:lang w:bidi="ar-SA"/>
        </w:rPr>
        <w:t>سواء خرج دافقا أو لا،بشهوة أو لا،في يقظة أو نوم،بعلّة كالضّرب أو لا،لأنّ السّبب و هو الخروج موجود في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اشتبه اعتبره الصّحيح،باللّذّة و الدّفق و فتور الجسد،لرواية عليّ بن جعفر،عن أخيه موسى عليه السّلام و قد تقدّمت </w:t>
      </w:r>
      <w:r>
        <w:rPr>
          <w:rStyle w:val="FootnoteAnchor"/>
          <w:rtl w:val="true"/>
        </w:rPr>
        <w:footnoteReference w:id="89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لأنّ هذه الأمور مقارنة للمنيّ في أغلب الأحوال، فمع حصول الاشتباه يستند إليها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المريض فلا يعتبر الدّفق في حقّه لضعف قوّته، فالدّفق غير ملازم للمنيّ في حقّه فلا يستند إليه،و لا بدّ من الآخرين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لما رواه الشّيخ في الصّحيح،عن عبد اللّه بن أبي يعفور،عن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الرّجل يرى في المنام و يجد الشّهوة فيستيقظ فينظر فلا يجد شيئا،ثمَّ يمكث الهوين بعد فيخرج؟قال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مريضا فليغتسل،و إن لم يكن مريضا فلا شيء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الفرق بينهما؟قال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الرّجل إذا كان صحيحا جاء الماء بدفقة قويّة و إن كان مريضا لم يجيء إلاّ بعد</w:t>
      </w:r>
      <w:r>
        <w:rPr>
          <w:rFonts w:eastAsia="Amiri" w:cs="Amiri" w:ascii="Amiri" w:hAnsi="Amiri"/>
          <w:color w:val="111111"/>
          <w:sz w:val="28"/>
          <w:szCs w:val="28"/>
          <w:rtl w:val="true"/>
          <w:lang w:bidi="ar-SA"/>
        </w:rPr>
        <w:t xml:space="preserve">» </w:t>
      </w:r>
      <w:r>
        <w:rPr>
          <w:rStyle w:val="FootnoteAnchor"/>
          <w:rtl w:val="true"/>
        </w:rPr>
        <w:footnoteReference w:id="891"/>
      </w:r>
      <w:r>
        <w:rPr>
          <w:rFonts w:eastAsia="Times New Roman" w:cs="Times New Roman" w:ascii="Times New Roman" w:hAnsi="Times New Roman"/>
          <w:color w:val="111111"/>
          <w:sz w:val="28"/>
          <w:szCs w:val="28"/>
          <w:rtl w:val="true"/>
          <w:lang w:val="en-US" w:bidi="en-US"/>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الشّيخ في الصّحيح،عن معاوية بن عمّار،قال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الرّجل احتلم فلمّا انتبه وجد بللا قليلا؟قال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بشيء إلاّ أن يكون مريضا فإنّه يضعف فعليه الغسل</w:t>
      </w:r>
      <w:r>
        <w:rPr>
          <w:rFonts w:eastAsia="Amiri" w:cs="Amiri" w:ascii="Amiri" w:hAnsi="Amiri"/>
          <w:color w:val="111111"/>
          <w:sz w:val="28"/>
          <w:szCs w:val="28"/>
          <w:rtl w:val="true"/>
          <w:lang w:bidi="ar-SA"/>
        </w:rPr>
        <w:t xml:space="preserve">» </w:t>
      </w:r>
      <w:r>
        <w:rPr>
          <w:rStyle w:val="FootnoteAnchor"/>
          <w:rtl w:val="true"/>
        </w:rPr>
        <w:footnoteReference w:id="892"/>
      </w:r>
      <w:r>
        <w:rPr>
          <w:rFonts w:eastAsia="Times New Roman" w:cs="Times New Roman" w:ascii="Times New Roman" w:hAnsi="Times New Roman"/>
          <w:color w:val="111111"/>
          <w:sz w:val="28"/>
          <w:szCs w:val="28"/>
          <w:rtl w:val="true"/>
          <w:lang w:val="en-US" w:bidi="en-US"/>
        </w:rPr>
        <w:t xml:space="preserve">. </w:t>
      </w:r>
      <w:bookmarkStart w:id="544" w:name="pg12669_112966"/>
    </w:p>
    <w:p>
      <w:pPr>
        <w:pStyle w:val="Heading6"/>
        <w:numPr>
          <w:ilvl w:val="5"/>
          <w:numId w:val="1"/>
        </w:numPr>
        <w:rPr/>
      </w:pPr>
      <w:bookmarkStart w:id="545" w:name="__RefHeading___Toc795569_222507752"/>
      <w:bookmarkStart w:id="546" w:name="_Toc224"/>
      <w:bookmarkEnd w:id="544"/>
      <w:bookmarkEnd w:id="545"/>
      <w:r>
        <w:rPr>
          <w:rtl w:val="true"/>
        </w:rPr>
        <w:t>الثّالث</w:t>
      </w:r>
      <w:r>
        <w:rPr>
          <w:rtl w:val="true"/>
        </w:rPr>
        <w:t>:</w:t>
      </w:r>
      <w:r>
        <w:rPr>
          <w:rtl w:val="true"/>
        </w:rPr>
        <w:t>لو أحسّ بانتقال المنيّ عند الشّهوة،فأمسك ذكره فلم يخرج فلا غسل</w:t>
      </w:r>
      <w:r>
        <w:rPr>
          <w:rtl w:val="true"/>
        </w:rPr>
        <w:t>.</w:t>
      </w:r>
      <w:bookmarkEnd w:id="546"/>
    </w:p>
    <w:p>
      <w:pPr>
        <w:pStyle w:val="BookText"/>
        <w:rPr/>
      </w:pPr>
      <w:r>
        <w:rPr>
          <w:rFonts w:ascii="Amiri" w:hAnsi="Amiri" w:eastAsia="Amiri" w:cs="Amiri"/>
          <w:color w:val="111111"/>
          <w:sz w:val="28"/>
          <w:sz w:val="28"/>
          <w:szCs w:val="28"/>
          <w:rtl w:val="true"/>
          <w:lang w:bidi="ar-SA"/>
        </w:rPr>
        <w:t xml:space="preserve">و هو قول أكثر الفقهاء </w:t>
      </w:r>
      <w:r>
        <w:rPr>
          <w:rStyle w:val="FootnoteAnchor"/>
          <w:rtl w:val="true"/>
        </w:rPr>
        <w:footnoteReference w:id="893"/>
      </w:r>
      <w:r>
        <w:rPr>
          <w:rFonts w:ascii="IRNazanin" w:hAnsi="IRNazanin" w:eastAsia="IRNazanin"/>
          <w:color w:val="111111"/>
          <w:sz w:val="28"/>
          <w:sz w:val="28"/>
          <w:szCs w:val="28"/>
          <w:rtl w:val="true"/>
          <w:lang w:bidi="fa-IR"/>
        </w:rPr>
        <w:t xml:space="preserve">خلافا لأحمد </w:t>
      </w:r>
      <w:r>
        <w:rPr>
          <w:rStyle w:val="FootnoteAnchor"/>
          <w:rtl w:val="true"/>
        </w:rPr>
        <w:footnoteReference w:id="894"/>
      </w:r>
      <w:r>
        <w:rPr>
          <w:rFonts w:ascii="Amiri" w:hAnsi="Amiri" w:eastAsia="Amiri" w:cs="Amiri"/>
          <w:color w:val="111111"/>
          <w:sz w:val="28"/>
          <w:sz w:val="28"/>
          <w:szCs w:val="28"/>
          <w:rtl w:val="true"/>
          <w:lang w:bidi="ar-SA"/>
        </w:rPr>
        <w:t>،فإنّه أوجب الغسل و أنكر رجوع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الجمهور،عن النّبيّ صلّى اللّه عليه و آله في خبر أمّ سليم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رأت المرأة ذلك فلتغتسل</w:t>
      </w:r>
      <w:r>
        <w:rPr>
          <w:rFonts w:eastAsia="Amiri" w:cs="Amiri" w:ascii="Amiri" w:hAnsi="Amiri"/>
          <w:color w:val="111111"/>
          <w:sz w:val="28"/>
          <w:szCs w:val="28"/>
          <w:rtl w:val="true"/>
          <w:lang w:bidi="ar-SA"/>
        </w:rPr>
        <w:t xml:space="preserve">) </w:t>
      </w:r>
      <w:r>
        <w:rPr>
          <w:rStyle w:val="FootnoteAnchor"/>
          <w:rtl w:val="true"/>
        </w:rPr>
        <w:footnoteReference w:id="895"/>
      </w:r>
      <w:r>
        <w:rPr>
          <w:rFonts w:ascii="Amiri" w:hAnsi="Amiri" w:eastAsia="Amiri" w:cs="Amiri"/>
          <w:color w:val="111111"/>
          <w:sz w:val="28"/>
          <w:sz w:val="28"/>
          <w:szCs w:val="28"/>
          <w:rtl w:val="true"/>
          <w:lang w:bidi="ar-SA"/>
        </w:rPr>
        <w:t>علّق على الرّؤية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رواه أبو داود،عن النّبيّ صلّى اللّه عليه و آله انّه قال لعليّ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فضخت الماء فاغتسل</w:t>
      </w:r>
      <w:r>
        <w:rPr>
          <w:rFonts w:eastAsia="Amiri" w:cs="Amiri" w:ascii="Amiri" w:hAnsi="Amiri"/>
          <w:color w:val="111111"/>
          <w:sz w:val="28"/>
          <w:szCs w:val="28"/>
          <w:rtl w:val="true"/>
          <w:lang w:bidi="ar-SA"/>
        </w:rPr>
        <w:t xml:space="preserve">) </w:t>
      </w:r>
      <w:r>
        <w:rPr>
          <w:rStyle w:val="FootnoteAnchor"/>
          <w:rtl w:val="true"/>
        </w:rPr>
        <w:footnoteReference w:id="896"/>
      </w:r>
      <w:r>
        <w:rPr>
          <w:rFonts w:ascii="Amiri" w:hAnsi="Amiri" w:eastAsia="Amiri" w:cs="Amiri"/>
          <w:color w:val="111111"/>
          <w:sz w:val="28"/>
          <w:sz w:val="28"/>
          <w:szCs w:val="28"/>
          <w:rtl w:val="true"/>
          <w:lang w:bidi="ar-SA"/>
        </w:rPr>
        <w:t>و الفضخ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خروجه على وجه الشدّة،و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خروجه بالعجلة </w:t>
      </w:r>
      <w:r>
        <w:rPr>
          <w:rStyle w:val="FootnoteAnchor"/>
          <w:rtl w:val="true"/>
        </w:rPr>
        <w:footnoteReference w:id="89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بالجملة فالحكم معلّق على الخروج،فينتفي عند انتفائه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طريق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 في الحسن،عن الحسين بن أبي العلاء،قال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عبد اللّه عليه السّلام عن الرّجل يرى في المنام حتّى يجد الشّهوة و هو يرى انّه قد احتلم فإذا استيقظ لم ير في ثوبه الماء و لا في جسده؟قال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عليه الغسل</w:t>
      </w:r>
      <w:r>
        <w:rPr>
          <w:rFonts w:eastAsia="Amiri" w:cs="Amiri" w:ascii="Amiri" w:hAnsi="Amiri"/>
          <w:color w:val="111111"/>
          <w:sz w:val="28"/>
          <w:szCs w:val="28"/>
          <w:rtl w:val="true"/>
          <w:lang w:bidi="ar-SA"/>
        </w:rPr>
        <w:t xml:space="preserve">» </w:t>
      </w:r>
      <w:r>
        <w:rPr>
          <w:rStyle w:val="FootnoteAnchor"/>
          <w:rtl w:val="true"/>
        </w:rPr>
        <w:footnoteReference w:id="8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احتجّ أحمد بأنّ الجنابة تباعد الماء عن محلّه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الجنابة في اللّغة البعد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وجد، و لأنّ الغسل تراعى فيه الشّهوة و قد حصلت بانتقاله،فأشبه ما لو ظهر </w:t>
      </w:r>
      <w:r>
        <w:rPr>
          <w:rStyle w:val="FootnoteAnchor"/>
          <w:rtl w:val="true"/>
        </w:rPr>
        <w:footnoteReference w:id="899"/>
      </w:r>
      <w:r>
        <w:rPr>
          <w:rFonts w:eastAsia="Times New Roman" w:cs="Times New Roman" w:ascii="Times New Roman" w:hAnsi="Times New Roman"/>
          <w:color w:val="111111"/>
          <w:sz w:val="28"/>
          <w:szCs w:val="28"/>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الجواب عن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لا يصحّ،لجواز أن يسمّى جنبا لمجانبته الماء،و ذلك لا </w:t>
      </w:r>
      <w:bookmarkStart w:id="547" w:name="pg12669_112967"/>
    </w:p>
    <w:p>
      <w:pPr>
        <w:pStyle w:val="BookText"/>
        <w:rPr/>
      </w:pPr>
      <w:bookmarkEnd w:id="547"/>
      <w:r>
        <w:rPr>
          <w:rFonts w:ascii="Amiri" w:hAnsi="Amiri" w:eastAsia="Amiri" w:cs="Amiri"/>
          <w:color w:val="111111"/>
          <w:sz w:val="28"/>
          <w:sz w:val="28"/>
          <w:szCs w:val="28"/>
          <w:rtl w:val="true"/>
          <w:lang w:bidi="ar-SA"/>
        </w:rPr>
        <w:t>يحصل إلاّ بخروجه منه،أو لمجانبته المساجد و الصّلاة و القرآن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بالمنع من اعتبار الشّهوة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بيّناه فيما مضى </w:t>
      </w:r>
      <w:r>
        <w:rPr>
          <w:rStyle w:val="FootnoteAnchor"/>
          <w:rtl w:val="true"/>
        </w:rPr>
        <w:footnoteReference w:id="90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سلّمنا لكن مراعاتها لا يلزم منه استقلالها به،فإنّ أحد وصفي العلّة و شرط الحكم مراعى له،و لا يستقلّ بالحكم،و يبطل بما إذا وجدت الشّهوة من غير انتقال،فإنّها لا تستقل للحكم مع مراعاتها فيه</w:t>
      </w:r>
      <w:r>
        <w:rPr>
          <w:rFonts w:eastAsia="Amiri" w:cs="Amiri" w:ascii="Amiri" w:hAnsi="Amiri"/>
          <w:color w:val="111111"/>
          <w:sz w:val="28"/>
          <w:szCs w:val="28"/>
          <w:rtl w:val="true"/>
          <w:lang w:bidi="ar-SA"/>
        </w:rPr>
        <w:t>.</w:t>
      </w:r>
    </w:p>
    <w:p>
      <w:pPr>
        <w:pStyle w:val="Heading6"/>
        <w:numPr>
          <w:ilvl w:val="5"/>
          <w:numId w:val="1"/>
        </w:numPr>
        <w:rPr/>
      </w:pPr>
      <w:bookmarkStart w:id="548" w:name="__RefHeading___Toc795571_222507752"/>
      <w:bookmarkStart w:id="549" w:name="_Toc225"/>
      <w:bookmarkEnd w:id="548"/>
      <w:r>
        <w:rPr>
          <w:rtl w:val="true"/>
        </w:rPr>
        <w:t>الرّابع</w:t>
      </w:r>
      <w:r>
        <w:rPr>
          <w:rtl w:val="true"/>
        </w:rPr>
        <w:t>:</w:t>
      </w:r>
      <w:r>
        <w:rPr>
          <w:rtl w:val="true"/>
        </w:rPr>
        <w:t>لو خرج المنيّ بعد الانتقال و الإمساك لزمه الغسل</w:t>
      </w:r>
      <w:bookmarkEnd w:id="549"/>
    </w:p>
    <w:p>
      <w:pPr>
        <w:pStyle w:val="BookText"/>
        <w:rPr/>
      </w:pPr>
      <w:r>
        <w:rPr>
          <w:rFonts w:ascii="Amiri" w:hAnsi="Amiri" w:eastAsia="Amiri" w:cs="Amiri"/>
          <w:color w:val="111111"/>
          <w:sz w:val="28"/>
          <w:sz w:val="28"/>
          <w:szCs w:val="28"/>
          <w:rtl w:val="true"/>
          <w:lang w:bidi="ar-SA"/>
        </w:rPr>
        <w:t>،سواء اغتسل أو لم يغتسل،لوجود السّبب و هو الخروج،و سواء قارنته الشّهوة أو لا،و سواء بال أو 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بعض الجمهور في الّذي أحسّ بانتقال المنيّ فأمسك ذكره فاغتسل ثمَّ خرج منه المنيّ من غير مقارنة شهوة بعد البول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غسل عليه </w:t>
      </w:r>
      <w:r>
        <w:rPr>
          <w:rStyle w:val="FootnoteAnchor"/>
          <w:rtl w:val="true"/>
        </w:rPr>
        <w:footnoteReference w:id="90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قول أبي يوسف </w:t>
      </w:r>
      <w:r>
        <w:rPr>
          <w:rStyle w:val="FootnoteAnchor"/>
          <w:rtl w:val="true"/>
        </w:rPr>
        <w:footnoteReference w:id="90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أبو حنيفة و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الغسل </w:t>
      </w:r>
      <w:r>
        <w:rPr>
          <w:rStyle w:val="FootnoteAnchor"/>
          <w:rtl w:val="true"/>
        </w:rPr>
        <w:footnoteReference w:id="90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قولنا لما قدّمناه </w:t>
      </w:r>
      <w:r>
        <w:rPr>
          <w:rStyle w:val="FootnoteAnchor"/>
          <w:rtl w:val="true"/>
        </w:rPr>
        <w:footnoteReference w:id="904"/>
      </w:r>
      <w:r>
        <w:rPr>
          <w:rFonts w:ascii="Amiri" w:hAnsi="Amiri" w:eastAsia="Amiri" w:cs="Amiri"/>
          <w:color w:val="111111"/>
          <w:sz w:val="28"/>
          <w:sz w:val="28"/>
          <w:szCs w:val="28"/>
          <w:rtl w:val="true"/>
          <w:lang w:bidi="ar-SA"/>
        </w:rPr>
        <w:t>،و لأمر النّبي صلّى اللّه عليه و آله بالغسل عند رؤية الماء و فضخه،و قد وجد في هذه الحالات</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كذا لو خرج منه الماء فاغتسل ثمَّ خرج أيضا شيء آخر منه وجب أن يعيد الغسل،ذهب إليه علماؤنا،و به قال الشّافعيّ </w:t>
      </w:r>
      <w:r>
        <w:rPr>
          <w:rStyle w:val="FootnoteAnchor"/>
          <w:rtl w:val="true"/>
        </w:rPr>
        <w:footnoteReference w:id="90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أبو حنيفة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خرج قبل البول وجب أن يعيد الغسل،لأنّه بقيّة ما خرج بالدّفق و الشّهوة،و إن خرج بعد البول لم يجب به الغسل،لأنّه خرج بغير دفق و لا شهوة </w:t>
      </w:r>
      <w:r>
        <w:rPr>
          <w:rStyle w:val="FootnoteAnchor"/>
          <w:rtl w:val="true"/>
        </w:rPr>
        <w:footnoteReference w:id="90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به قال الأوزاعيّ </w:t>
      </w:r>
      <w:r>
        <w:rPr>
          <w:rStyle w:val="FootnoteAnchor"/>
          <w:rtl w:val="true"/>
        </w:rPr>
        <w:footnoteReference w:id="90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قال </w:t>
      </w:r>
      <w:bookmarkStart w:id="550" w:name="pg12669_112968"/>
    </w:p>
    <w:p>
      <w:pPr>
        <w:pStyle w:val="BookText"/>
        <w:rPr/>
      </w:pPr>
      <w:bookmarkEnd w:id="550"/>
      <w:r>
        <w:rPr>
          <w:rFonts w:ascii="Amiri" w:hAnsi="Amiri" w:eastAsia="Amiri" w:cs="Amiri"/>
          <w:color w:val="111111"/>
          <w:sz w:val="28"/>
          <w:sz w:val="28"/>
          <w:szCs w:val="28"/>
          <w:rtl w:val="true"/>
          <w:lang w:bidi="ar-SA"/>
        </w:rPr>
        <w:t>مالك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غسل عليه سواء خرج بعد البول أو قبله،لأنّه اغتسل منه فلا يجب أن يغتسل منه مرّة أخرى </w:t>
      </w:r>
      <w:r>
        <w:rPr>
          <w:rStyle w:val="FootnoteAnchor"/>
          <w:rtl w:val="true"/>
        </w:rPr>
        <w:footnoteReference w:id="90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في الوضوء روايتان </w:t>
      </w:r>
      <w:r>
        <w:rPr>
          <w:rStyle w:val="FootnoteAnchor"/>
          <w:rtl w:val="true"/>
        </w:rPr>
        <w:footnoteReference w:id="909"/>
      </w:r>
      <w:r>
        <w:rPr>
          <w:rFonts w:ascii="Amiri" w:hAnsi="Amiri" w:eastAsia="Amiri" w:cs="Amiri"/>
          <w:color w:val="111111"/>
          <w:sz w:val="28"/>
          <w:sz w:val="28"/>
          <w:szCs w:val="28"/>
          <w:rtl w:val="true"/>
          <w:lang w:bidi="ar-SA"/>
        </w:rPr>
        <w:t xml:space="preserve">،و هو مذهب أبي يوسف و محمّد و إسحاق </w:t>
      </w:r>
      <w:r>
        <w:rPr>
          <w:rStyle w:val="FootnoteAnchor"/>
          <w:rtl w:val="true"/>
        </w:rPr>
        <w:footnoteReference w:id="91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غلط لأنّ الاعتبار بخروجه كسائر الأحداث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تقطّر من بوله نقطة بعد نقطة أعاد الوضوء،و اعتبار الشّهوة قد بيّنا بطلانه </w:t>
      </w:r>
      <w:r>
        <w:rPr>
          <w:rStyle w:val="FootnoteAnchor"/>
          <w:rtl w:val="true"/>
        </w:rPr>
        <w:footnoteReference w:id="91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51" w:name="__RefHeading___Toc795573_222507752"/>
      <w:bookmarkStart w:id="552" w:name="_Toc226"/>
      <w:bookmarkEnd w:id="551"/>
      <w:r>
        <w:rPr>
          <w:rtl w:val="true"/>
        </w:rPr>
        <w:t>الخامس</w:t>
      </w:r>
      <w:r>
        <w:rPr>
          <w:rtl w:val="true"/>
        </w:rPr>
        <w:t>:</w:t>
      </w:r>
      <w:r>
        <w:rPr>
          <w:rtl w:val="true"/>
        </w:rPr>
        <w:t>لو رأى انّه قد احتلم فاستيقظ فلم يجد منيّا لم يجب عليه الغسل</w:t>
      </w:r>
      <w:r>
        <w:rPr>
          <w:rtl w:val="true"/>
        </w:rPr>
        <w:t>.</w:t>
      </w:r>
      <w:bookmarkEnd w:id="552"/>
    </w:p>
    <w:p>
      <w:pPr>
        <w:pStyle w:val="BookText"/>
        <w:rPr/>
      </w:pPr>
      <w:r>
        <w:rPr>
          <w:rFonts w:ascii="Amiri" w:hAnsi="Amiri" w:eastAsia="Amiri" w:cs="Amiri"/>
          <w:color w:val="111111"/>
          <w:sz w:val="28"/>
          <w:sz w:val="28"/>
          <w:szCs w:val="28"/>
          <w:rtl w:val="true"/>
          <w:lang w:bidi="ar-SA"/>
        </w:rPr>
        <w:t xml:space="preserve">و أجمع عليه كلّ من يحفظ عنه العلم،لأنّه لم يحصل السّبب و هو الخروج،و لا اعتبار برؤيا </w:t>
      </w:r>
      <w:r>
        <w:rPr>
          <w:rStyle w:val="FootnoteAnchor"/>
          <w:rtl w:val="true"/>
        </w:rPr>
        <w:footnoteReference w:id="912"/>
      </w:r>
      <w:r>
        <w:rPr>
          <w:rFonts w:ascii="Amiri" w:hAnsi="Amiri" w:eastAsia="Amiri" w:cs="Amiri"/>
          <w:color w:val="111111"/>
          <w:sz w:val="28"/>
          <w:sz w:val="28"/>
          <w:szCs w:val="28"/>
          <w:rtl w:val="true"/>
          <w:lang w:bidi="ar-SA"/>
        </w:rPr>
        <w:t>النّائم في إيجاب الأحكام على المكلّف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لما روى الشّيخ في الحسن،عن الحسين بن أبي العلاء،قال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الرّجل كان يرى في المنام حتّى يجد الشّهوة و هو يرى انّه قد احتلم فإذا استيقظ لم ير في ثوبه الماء و لا في جسده؟قال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عليه الغسل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عليّ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الغسل من الماء الأكبر فإذا رأى في منامه و لم ير الماء الأكبر فليس عليه الغسل</w:t>
      </w:r>
      <w:r>
        <w:rPr>
          <w:rFonts w:eastAsia="Amiri" w:cs="Amiri" w:ascii="Amiri" w:hAnsi="Amiri"/>
          <w:color w:val="111111"/>
          <w:sz w:val="28"/>
          <w:szCs w:val="28"/>
          <w:rtl w:val="true"/>
          <w:lang w:bidi="ar-SA"/>
        </w:rPr>
        <w:t xml:space="preserve">» </w:t>
      </w:r>
      <w:r>
        <w:rPr>
          <w:rStyle w:val="FootnoteAnchor"/>
          <w:rtl w:val="true"/>
        </w:rPr>
        <w:footnoteReference w:id="913"/>
      </w:r>
      <w:r>
        <w:rPr>
          <w:rFonts w:eastAsia="Times New Roman" w:cs="Times New Roman" w:ascii="Times New Roman" w:hAnsi="Times New Roman"/>
          <w:color w:val="111111"/>
          <w:sz w:val="28"/>
          <w:szCs w:val="28"/>
          <w:rtl w:val="true"/>
          <w:lang w:val="en-US" w:bidi="en-US"/>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في الصّحيح،عن الحلبيّ،قال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المرأة ترى في المنام ما يرى الرّجل؟قال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أنزلت فعليها الغسل و إن لم تنزل فليس عليها الغسل</w:t>
      </w:r>
      <w:r>
        <w:rPr>
          <w:rFonts w:eastAsia="Amiri" w:cs="Amiri" w:ascii="Amiri" w:hAnsi="Amiri"/>
          <w:color w:val="111111"/>
          <w:sz w:val="28"/>
          <w:szCs w:val="28"/>
          <w:rtl w:val="true"/>
          <w:lang w:bidi="ar-SA"/>
        </w:rPr>
        <w:t xml:space="preserve">» </w:t>
      </w:r>
      <w:r>
        <w:rPr>
          <w:rStyle w:val="FootnoteAnchor"/>
          <w:rtl w:val="true"/>
        </w:rPr>
        <w:footnoteReference w:id="914"/>
      </w:r>
      <w:r>
        <w:rPr>
          <w:rFonts w:eastAsia="Times New Roman" w:cs="Times New Roman" w:ascii="Times New Roman" w:hAnsi="Times New Roman"/>
          <w:color w:val="111111"/>
          <w:sz w:val="28"/>
          <w:szCs w:val="28"/>
          <w:rtl w:val="true"/>
          <w:lang w:val="en-US" w:bidi="en-US"/>
        </w:rPr>
        <w:t xml:space="preserve">. </w:t>
      </w:r>
      <w:bookmarkStart w:id="553" w:name="pg12669_112969"/>
    </w:p>
    <w:p>
      <w:pPr>
        <w:pStyle w:val="Heading6"/>
        <w:numPr>
          <w:ilvl w:val="5"/>
          <w:numId w:val="1"/>
        </w:numPr>
        <w:rPr/>
      </w:pPr>
      <w:bookmarkStart w:id="554" w:name="__RefHeading___Toc795575_222507752"/>
      <w:bookmarkStart w:id="555" w:name="_Toc227"/>
      <w:bookmarkEnd w:id="553"/>
      <w:bookmarkEnd w:id="554"/>
      <w:r>
        <w:rPr>
          <w:rtl w:val="true"/>
        </w:rPr>
        <w:t>السّادس</w:t>
      </w:r>
      <w:r>
        <w:rPr>
          <w:rtl w:val="true"/>
        </w:rPr>
        <w:t>:</w:t>
      </w:r>
      <w:r>
        <w:rPr>
          <w:rtl w:val="true"/>
        </w:rPr>
        <w:t>لو استيقظ الرّائي فوجد المنيّ وجب الغسل</w:t>
      </w:r>
      <w:bookmarkEnd w:id="555"/>
    </w:p>
    <w:p>
      <w:pPr>
        <w:pStyle w:val="BookText"/>
        <w:rPr/>
      </w:pPr>
      <w:r>
        <w:rPr>
          <w:rFonts w:ascii="Amiri" w:hAnsi="Amiri" w:eastAsia="Amiri" w:cs="Amiri"/>
          <w:color w:val="111111"/>
          <w:sz w:val="28"/>
          <w:sz w:val="28"/>
          <w:szCs w:val="28"/>
          <w:rtl w:val="true"/>
          <w:lang w:bidi="ar-SA"/>
        </w:rPr>
        <w:t>،لأنّه منه و لا اعتبار بالعلم بالخروج في وقته،لما رواه الجمهور،عن عائشة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رسول اللّه صلّى اللّه عليه و آله عن الرّجل يجد البلل و لا يذكر احتلاما؟قال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يغتسل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الرّجل يرى انّه قد احتلم و لا يجد بللا؟قال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غسل عليه</w:t>
      </w:r>
      <w:r>
        <w:rPr>
          <w:rFonts w:eastAsia="Amiri" w:cs="Amiri" w:ascii="Amiri" w:hAnsi="Amiri"/>
          <w:color w:val="111111"/>
          <w:sz w:val="28"/>
          <w:szCs w:val="28"/>
          <w:rtl w:val="true"/>
          <w:lang w:bidi="ar-SA"/>
        </w:rPr>
        <w:t xml:space="preserve">) </w:t>
      </w:r>
      <w:r>
        <w:rPr>
          <w:rStyle w:val="FootnoteAnchor"/>
          <w:rtl w:val="true"/>
        </w:rPr>
        <w:footnoteReference w:id="9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طريق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الشّيخ،عن سماعة،عن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الرّجل يرى في ثوبه المنيّ بعد ما يصبح و لم يكن رأى في منامه انّه احتلم؟قال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فليغتسل و ليغسل ثوبه و يعيد صلاته</w:t>
      </w:r>
      <w:r>
        <w:rPr>
          <w:rFonts w:eastAsia="Amiri" w:cs="Amiri" w:ascii="Amiri" w:hAnsi="Amiri"/>
          <w:color w:val="111111"/>
          <w:sz w:val="28"/>
          <w:szCs w:val="28"/>
          <w:rtl w:val="true"/>
          <w:lang w:bidi="ar-SA"/>
        </w:rPr>
        <w:t xml:space="preserve">» </w:t>
      </w:r>
      <w:r>
        <w:rPr>
          <w:rStyle w:val="FootnoteAnchor"/>
          <w:rtl w:val="true"/>
        </w:rPr>
        <w:footnoteReference w:id="916"/>
      </w:r>
      <w:r>
        <w:rPr>
          <w:rFonts w:ascii="Amiri" w:hAnsi="Amiri" w:eastAsia="Amiri" w:cs="Amiri"/>
          <w:color w:val="111111"/>
          <w:sz w:val="28"/>
          <w:sz w:val="28"/>
          <w:szCs w:val="28"/>
          <w:rtl w:val="true"/>
          <w:lang w:bidi="ar-SA"/>
        </w:rPr>
        <w:t xml:space="preserve">و في سماعه قول </w:t>
      </w:r>
      <w:r>
        <w:rPr>
          <w:rStyle w:val="FootnoteAnchor"/>
          <w:rtl w:val="true"/>
        </w:rPr>
        <w:footnoteReference w:id="917"/>
      </w:r>
      <w:r>
        <w:rPr>
          <w:rFonts w:ascii="Amiri" w:hAnsi="Amiri" w:eastAsia="Amiri" w:cs="Amiri"/>
          <w:color w:val="111111"/>
          <w:sz w:val="28"/>
          <w:sz w:val="28"/>
          <w:szCs w:val="28"/>
          <w:rtl w:val="true"/>
          <w:lang w:bidi="ar-SA"/>
        </w:rPr>
        <w:t>،إلاّ انّ روايته هذه متقبّلة عند الأصحاب و النّظر يؤيّدها،فيجب المصير إليها</w:t>
      </w:r>
      <w:r>
        <w:rPr>
          <w:rFonts w:eastAsia="Amiri" w:cs="Amiri" w:ascii="Amiri" w:hAnsi="Amiri"/>
          <w:color w:val="111111"/>
          <w:sz w:val="28"/>
          <w:szCs w:val="28"/>
          <w:rtl w:val="true"/>
          <w:lang w:bidi="ar-SA"/>
        </w:rPr>
        <w:t>.</w:t>
      </w:r>
    </w:p>
    <w:p>
      <w:pPr>
        <w:pStyle w:val="Heading6"/>
        <w:numPr>
          <w:ilvl w:val="5"/>
          <w:numId w:val="1"/>
        </w:numPr>
        <w:rPr/>
      </w:pPr>
      <w:bookmarkStart w:id="556" w:name="__RefHeading___Toc795577_222507752"/>
      <w:bookmarkStart w:id="557" w:name="_Toc228"/>
      <w:bookmarkEnd w:id="556"/>
      <w:r>
        <w:rPr>
          <w:rtl w:val="true"/>
        </w:rPr>
        <w:t>السّابع</w:t>
      </w:r>
      <w:r>
        <w:rPr>
          <w:rtl w:val="true"/>
        </w:rPr>
        <w:t>:</w:t>
      </w:r>
      <w:r>
        <w:rPr>
          <w:rtl w:val="true"/>
        </w:rPr>
        <w:t>لو استيقظ فرأى مذيا لم يجب عليه الغسل</w:t>
      </w:r>
      <w:bookmarkEnd w:id="557"/>
    </w:p>
    <w:p>
      <w:pPr>
        <w:pStyle w:val="BookText"/>
        <w:rPr/>
      </w:pPr>
      <w:r>
        <w:rPr>
          <w:rFonts w:ascii="Amiri" w:hAnsi="Amiri" w:eastAsia="Amiri" w:cs="Amiri"/>
          <w:color w:val="111111"/>
          <w:sz w:val="28"/>
          <w:sz w:val="28"/>
          <w:szCs w:val="28"/>
          <w:rtl w:val="true"/>
          <w:lang w:bidi="ar-SA"/>
        </w:rPr>
        <w:t>،لأنّ الحكم معلّق على المنيّ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حنيفة و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يجب الغسل احتياطا تذكّر الاحتلام أو لم يتذكّر </w:t>
      </w:r>
      <w:r>
        <w:rPr>
          <w:rStyle w:val="FootnoteAnchor"/>
          <w:rtl w:val="true"/>
        </w:rPr>
        <w:footnoteReference w:id="91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أبو يوسف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غسل عليه حتّى يستيقن الاحتلام </w:t>
      </w:r>
      <w:r>
        <w:rPr>
          <w:rStyle w:val="FootnoteAnchor"/>
          <w:rtl w:val="true"/>
        </w:rPr>
        <w:footnoteReference w:id="91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كلاهما ضعيفان</w:t>
      </w:r>
      <w:r>
        <w:rPr>
          <w:rFonts w:eastAsia="Amiri" w:cs="Amiri" w:ascii="Amiri" w:hAnsi="Amiri"/>
          <w:color w:val="111111"/>
          <w:sz w:val="28"/>
          <w:szCs w:val="28"/>
          <w:rtl w:val="true"/>
          <w:lang w:bidi="ar-SA"/>
        </w:rPr>
        <w:t>.</w:t>
      </w:r>
    </w:p>
    <w:p>
      <w:pPr>
        <w:pStyle w:val="Heading6"/>
        <w:numPr>
          <w:ilvl w:val="5"/>
          <w:numId w:val="1"/>
        </w:numPr>
        <w:rPr/>
      </w:pPr>
      <w:bookmarkStart w:id="558" w:name="__RefHeading___Toc795579_222507752"/>
      <w:bookmarkStart w:id="559" w:name="_Toc229"/>
      <w:bookmarkEnd w:id="558"/>
      <w:r>
        <w:rPr>
          <w:rtl w:val="true"/>
        </w:rPr>
        <w:t>الثّامن</w:t>
      </w:r>
      <w:r>
        <w:rPr>
          <w:rtl w:val="true"/>
        </w:rPr>
        <w:t>:</w:t>
      </w:r>
      <w:r>
        <w:rPr>
          <w:rtl w:val="true"/>
        </w:rPr>
        <w:t>لو وجد بللا لا يتحقّق انّه منيّ لم يجب عليه شيء،</w:t>
      </w:r>
      <w:bookmarkEnd w:id="559"/>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لأنّ الطّهارة متيقّنة و الحدث مشكوك فيه،فلا اعتبار به و هو قول مجاهد و قتادة </w:t>
      </w:r>
      <w:r>
        <w:rPr>
          <w:rStyle w:val="FootnoteAnchor"/>
          <w:rtl w:val="true"/>
        </w:rPr>
        <w:footnoteReference w:id="92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أحمد في بعض الرّوايات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وجد بلّة اغتسل إلاّ أن يكون قد لاعب أهله فربّما خرج منه المذي فلا بأس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كذلك إن كان انتشر من أوّل اللّيل بتذكّر أو رؤية لا غسل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قول </w:t>
      </w:r>
      <w:bookmarkStart w:id="560" w:name="pg12669_112970"/>
    </w:p>
    <w:p>
      <w:pPr>
        <w:pStyle w:val="BookText"/>
        <w:rPr/>
      </w:pPr>
      <w:bookmarkEnd w:id="560"/>
      <w:r>
        <w:rPr>
          <w:rFonts w:ascii="Amiri" w:hAnsi="Amiri" w:eastAsia="Amiri" w:cs="Amiri"/>
          <w:color w:val="111111"/>
          <w:sz w:val="28"/>
          <w:sz w:val="28"/>
          <w:szCs w:val="28"/>
          <w:rtl w:val="true"/>
          <w:lang w:bidi="ar-SA"/>
        </w:rPr>
        <w:t>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لم يكن وجد ذلك فعليه الغسل </w:t>
      </w:r>
      <w:r>
        <w:rPr>
          <w:rStyle w:val="FootnoteAnchor"/>
          <w:rtl w:val="true"/>
        </w:rPr>
        <w:footnoteReference w:id="92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الحقّ ما قلناه أوّلا،و هذا التّفصيل لا نعرفه لعدم الدّلالة</w:t>
      </w:r>
      <w:r>
        <w:rPr>
          <w:rFonts w:eastAsia="Amiri" w:cs="Amiri" w:ascii="Amiri" w:hAnsi="Amiri"/>
          <w:color w:val="111111"/>
          <w:sz w:val="28"/>
          <w:szCs w:val="28"/>
          <w:rtl w:val="true"/>
          <w:lang w:bidi="ar-SA"/>
        </w:rPr>
        <w:t>.</w:t>
      </w:r>
    </w:p>
    <w:p>
      <w:pPr>
        <w:pStyle w:val="Heading6"/>
        <w:numPr>
          <w:ilvl w:val="5"/>
          <w:numId w:val="1"/>
        </w:numPr>
        <w:rPr/>
      </w:pPr>
      <w:bookmarkStart w:id="561" w:name="__RefHeading___Toc795581_222507752"/>
      <w:bookmarkStart w:id="562" w:name="_Toc230"/>
      <w:bookmarkEnd w:id="561"/>
      <w:r>
        <w:rPr>
          <w:rtl w:val="true"/>
        </w:rPr>
        <w:t>التّاسع</w:t>
      </w:r>
      <w:r>
        <w:rPr>
          <w:rtl w:val="true"/>
        </w:rPr>
        <w:t>:</w:t>
      </w:r>
      <w:r>
        <w:rPr>
          <w:rtl w:val="true"/>
        </w:rPr>
        <w:t>الحكم إنّما يتعلّق بالبالغ أو ممّن قاربه،</w:t>
      </w:r>
      <w:bookmarkEnd w:id="562"/>
    </w:p>
    <w:p>
      <w:pPr>
        <w:pStyle w:val="BookText"/>
        <w:rPr/>
      </w:pPr>
      <w:r>
        <w:rPr>
          <w:rFonts w:ascii="Amiri" w:hAnsi="Amiri" w:eastAsia="Amiri" w:cs="Amiri"/>
          <w:color w:val="111111"/>
          <w:sz w:val="28"/>
          <w:sz w:val="28"/>
          <w:szCs w:val="28"/>
          <w:rtl w:val="true"/>
          <w:lang w:bidi="ar-SA"/>
        </w:rPr>
        <w:t>كابن ثلاث عشرة سنة أو اثني عشر فإذا وجد مثل هؤلاء المنيّ بعد الاستيقاظ نسب إليهم،لأنّ الصّبيّ هاهنا وجد دليل البلوغ،و هو محتمل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إذا كان أقلّ من ذلك،بحيث لا يحتمل انّه منه غالبا،حمل على انّه من غيره،فلا يلحقه الحكم</w:t>
      </w:r>
      <w:r>
        <w:rPr>
          <w:rFonts w:eastAsia="Amiri" w:cs="Amiri" w:ascii="Amiri" w:hAnsi="Amiri"/>
          <w:color w:val="111111"/>
          <w:sz w:val="28"/>
          <w:szCs w:val="28"/>
          <w:rtl w:val="true"/>
          <w:lang w:bidi="ar-SA"/>
        </w:rPr>
        <w:t>.</w:t>
      </w:r>
    </w:p>
    <w:p>
      <w:pPr>
        <w:pStyle w:val="Heading6"/>
        <w:numPr>
          <w:ilvl w:val="5"/>
          <w:numId w:val="1"/>
        </w:numPr>
        <w:rPr/>
      </w:pPr>
      <w:bookmarkStart w:id="563" w:name="__RefHeading___Toc795583_222507752"/>
      <w:bookmarkStart w:id="564" w:name="_Toc231"/>
      <w:bookmarkEnd w:id="563"/>
      <w:r>
        <w:rPr>
          <w:rtl w:val="true"/>
        </w:rPr>
        <w:t>العاشر</w:t>
      </w:r>
      <w:r>
        <w:rPr>
          <w:rtl w:val="true"/>
        </w:rPr>
        <w:t>:</w:t>
      </w:r>
      <w:r>
        <w:rPr>
          <w:rtl w:val="true"/>
        </w:rPr>
        <w:t>لو احتلم فاستيقظ فلم ير شيئا لكن خرج بعد استيقاظه،</w:t>
      </w:r>
      <w:bookmarkEnd w:id="564"/>
    </w:p>
    <w:p>
      <w:pPr>
        <w:pStyle w:val="BookText"/>
        <w:rPr/>
      </w:pPr>
      <w:r>
        <w:rPr>
          <w:rFonts w:ascii="Amiri" w:hAnsi="Amiri" w:eastAsia="Amiri" w:cs="Amiri"/>
          <w:color w:val="111111"/>
          <w:sz w:val="28"/>
          <w:sz w:val="28"/>
          <w:szCs w:val="28"/>
          <w:rtl w:val="true"/>
          <w:lang w:bidi="ar-SA"/>
        </w:rPr>
        <w:t>أو مشى فخرج منه المنيّ،وجب عليه الغسل لوجود السّبب</w:t>
      </w:r>
      <w:r>
        <w:rPr>
          <w:rFonts w:eastAsia="Amiri" w:cs="Amiri" w:ascii="Amiri" w:hAnsi="Amiri"/>
          <w:color w:val="111111"/>
          <w:sz w:val="28"/>
          <w:szCs w:val="28"/>
          <w:rtl w:val="true"/>
          <w:lang w:bidi="ar-SA"/>
        </w:rPr>
        <w:t>.</w:t>
      </w:r>
    </w:p>
    <w:p>
      <w:pPr>
        <w:pStyle w:val="Heading6"/>
        <w:numPr>
          <w:ilvl w:val="5"/>
          <w:numId w:val="1"/>
        </w:numPr>
        <w:rPr/>
      </w:pPr>
      <w:bookmarkStart w:id="565" w:name="__RefHeading___Toc795585_222507752"/>
      <w:bookmarkStart w:id="566" w:name="_Toc232"/>
      <w:bookmarkEnd w:id="565"/>
      <w:r>
        <w:rPr>
          <w:rtl w:val="true"/>
        </w:rPr>
        <w:t>الحادي عشر</w:t>
      </w:r>
      <w:r>
        <w:rPr>
          <w:rtl w:val="true"/>
        </w:rPr>
        <w:t>:</w:t>
      </w:r>
      <w:r>
        <w:rPr>
          <w:rtl w:val="true"/>
        </w:rPr>
        <w:t>لو رأى منيّا في ثوبه فإن اختصّ به وجب عليه الغسل</w:t>
      </w:r>
      <w:bookmarkEnd w:id="566"/>
    </w:p>
    <w:p>
      <w:pPr>
        <w:pStyle w:val="BookText"/>
        <w:rPr/>
      </w:pPr>
      <w:r>
        <w:rPr>
          <w:rFonts w:ascii="Amiri" w:hAnsi="Amiri" w:eastAsia="Amiri" w:cs="Amiri"/>
          <w:color w:val="111111"/>
          <w:sz w:val="28"/>
          <w:sz w:val="28"/>
          <w:szCs w:val="28"/>
          <w:rtl w:val="true"/>
          <w:lang w:bidi="ar-SA"/>
        </w:rPr>
        <w:t xml:space="preserve">،و ذكر شارح الطّحاوي خلافا بين أبي حنيفة و محمّد،و بين أبي يوسف فيمن وجد على ثوبه </w:t>
      </w:r>
      <w:r>
        <w:rPr>
          <w:rStyle w:val="FootnoteAnchor"/>
          <w:rtl w:val="true"/>
        </w:rPr>
        <w:footnoteReference w:id="922"/>
      </w:r>
      <w:r>
        <w:rPr>
          <w:rFonts w:ascii="Amiri" w:hAnsi="Amiri" w:eastAsia="Amiri" w:cs="Amiri"/>
          <w:color w:val="111111"/>
          <w:sz w:val="28"/>
          <w:sz w:val="28"/>
          <w:szCs w:val="28"/>
          <w:rtl w:val="true"/>
          <w:lang w:bidi="ar-SA"/>
        </w:rPr>
        <w:t>منيّا،فقال أبو حنيفة و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الغسل،و خالف أبو يوسف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رواه الجمهور انّ عمر و عثمان اغتسلا حين رأياه في ثوبهما </w:t>
      </w:r>
      <w:r>
        <w:rPr>
          <w:rStyle w:val="FootnoteAnchor"/>
          <w:rtl w:val="true"/>
        </w:rPr>
        <w:footnoteReference w:id="923"/>
      </w:r>
      <w:r>
        <w:rPr>
          <w:rFonts w:ascii="Amiri" w:hAnsi="Amiri" w:eastAsia="Amiri" w:cs="Amiri"/>
          <w:color w:val="111111"/>
          <w:sz w:val="28"/>
          <w:sz w:val="28"/>
          <w:szCs w:val="28"/>
          <w:rtl w:val="true"/>
          <w:lang w:bidi="ar-SA"/>
        </w:rPr>
        <w:t>،و رواية سماعة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تقدّمت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لأنّه لا يحتمل أن يكون من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لو شاركه في الثّوب غيره فلا غسل عليه و لا على الآخر،لأنّ كلّ واحد منهما بانفراده يحتمل ألاّ يكون منه، فوجوب الغسل عليه مشكوك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نعم،يستحبّ الغسل لهما احتياطا</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الشّيخ،عن أبي بصير،قال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الرّجل يصيب بثوبه منيّا و لم يعلم انّه احتلم؟قال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يغسل ما وجد بثوبه و ليتوضّأ</w:t>
      </w:r>
      <w:r>
        <w:rPr>
          <w:rFonts w:eastAsia="Amiri" w:cs="Amiri" w:ascii="Amiri" w:hAnsi="Amiri"/>
          <w:color w:val="111111"/>
          <w:sz w:val="28"/>
          <w:szCs w:val="28"/>
          <w:rtl w:val="true"/>
          <w:lang w:bidi="ar-SA"/>
        </w:rPr>
        <w:t xml:space="preserve">» </w:t>
      </w:r>
      <w:r>
        <w:rPr>
          <w:rStyle w:val="FootnoteAnchor"/>
          <w:rtl w:val="true"/>
        </w:rPr>
        <w:footnoteReference w:id="924"/>
      </w:r>
      <w:r>
        <w:rPr>
          <w:rFonts w:eastAsia="Times New Roman" w:cs="Times New Roman" w:ascii="Times New Roman" w:hAnsi="Times New Roman"/>
          <w:color w:val="111111"/>
          <w:sz w:val="28"/>
          <w:szCs w:val="28"/>
          <w:rtl w:val="true"/>
          <w:lang w:val="en-US" w:bidi="en-US"/>
        </w:rPr>
        <w:t xml:space="preserve">. </w:t>
      </w:r>
      <w:bookmarkStart w:id="567" w:name="pg12669_112971"/>
    </w:p>
    <w:p>
      <w:pPr>
        <w:pStyle w:val="Heading6"/>
        <w:numPr>
          <w:ilvl w:val="5"/>
          <w:numId w:val="1"/>
        </w:numPr>
        <w:rPr/>
      </w:pPr>
      <w:bookmarkStart w:id="568" w:name="__RefHeading___Toc795587_222507752"/>
      <w:bookmarkStart w:id="569" w:name="_Toc233"/>
      <w:bookmarkEnd w:id="567"/>
      <w:bookmarkEnd w:id="568"/>
      <w:r>
        <w:rPr>
          <w:rtl w:val="true"/>
        </w:rPr>
        <w:t>الثّاني عشر</w:t>
      </w:r>
      <w:r>
        <w:rPr>
          <w:rtl w:val="true"/>
        </w:rPr>
        <w:t>:</w:t>
      </w:r>
      <w:r>
        <w:rPr>
          <w:rtl w:val="true"/>
        </w:rPr>
        <w:t>قال الشّيخ في المبسوط</w:t>
      </w:r>
      <w:r>
        <w:rPr>
          <w:rtl w:val="true"/>
        </w:rPr>
        <w:t>:</w:t>
      </w:r>
      <w:r>
        <w:rPr>
          <w:rtl w:val="true"/>
        </w:rPr>
        <w:t>يعيد المنفرد بالثّوب كلّ صلاة من عند آخر</w:t>
      </w:r>
      <w:bookmarkEnd w:id="569"/>
    </w:p>
    <w:p>
      <w:pPr>
        <w:pStyle w:val="BookText"/>
        <w:rPr/>
      </w:pPr>
      <w:r>
        <w:rPr>
          <w:rFonts w:ascii="IRNazanin" w:hAnsi="IRNazanin" w:eastAsia="IRNazanin"/>
          <w:color w:val="111111"/>
          <w:sz w:val="28"/>
          <w:sz w:val="28"/>
          <w:szCs w:val="28"/>
          <w:rtl w:val="true"/>
          <w:lang w:bidi="fa-IR"/>
        </w:rPr>
        <w:t>غسل رفع به الحدث،</w:t>
      </w:r>
    </w:p>
    <w:p>
      <w:pPr>
        <w:pStyle w:val="BookText"/>
        <w:rPr/>
      </w:pPr>
      <w:r>
        <w:rPr>
          <w:rFonts w:ascii="Amiri" w:hAnsi="Amiri" w:eastAsia="Amiri" w:cs="Amiri"/>
          <w:color w:val="111111"/>
          <w:sz w:val="28"/>
          <w:sz w:val="28"/>
          <w:szCs w:val="28"/>
          <w:rtl w:val="true"/>
          <w:lang w:bidi="ar-SA"/>
        </w:rPr>
        <w:t>هذا بالنّظر إلى كونه جنبا،أمّا بالنّظر إلى حكم الثّوب، فالواجب أن يعيد الصّلوات الّتي صلاّها من آخر نومة نامها فيه،لأنّه لا يقوم إلى صلاة إلاّ مع غلبة الظّنّ انّ ثوبه طاهر،قال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قلنا انّه لا يجب عليه إعادة شيء من الصّلوات بالنّظر إلى الثّوب خاصّة كان قويا،و هو الّذي أعمل به،لأنّ إيجاب الإعادة يحتاج إلى دليل شرعيّ،و لما ثبت من عدم الإعادة على المصليّ في النّجس إذا كان جاهلا إلاّ إذا كان في وقته </w:t>
      </w:r>
      <w:r>
        <w:rPr>
          <w:rStyle w:val="FootnoteAnchor"/>
          <w:rtl w:val="true"/>
        </w:rPr>
        <w:footnoteReference w:id="92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فتلخّص من هذا انّ الشّيخ يذهب إلى وجوب الإعادة عليه من آخر غسل،و ليس بجيّد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الحقّ انّه يعيد الصّلاة من آخر نومة إلاّ أن يرى أمارة تدلّ على القبليّة،فيعيد من أدنى نومة يحتمل انّه منها،لأنّ الصّلاة قبل ما حدّدناه وقعت مشروعة،فلا يبطلها التّجويز المتجدّد</w:t>
      </w:r>
      <w:r>
        <w:rPr>
          <w:rFonts w:eastAsia="Amiri" w:cs="Amiri" w:ascii="Amiri" w:hAnsi="Amiri"/>
          <w:color w:val="111111"/>
          <w:sz w:val="28"/>
          <w:szCs w:val="28"/>
          <w:rtl w:val="true"/>
          <w:lang w:bidi="ar-SA"/>
        </w:rPr>
        <w:t>.</w:t>
      </w:r>
    </w:p>
    <w:p>
      <w:pPr>
        <w:pStyle w:val="Heading6"/>
        <w:numPr>
          <w:ilvl w:val="5"/>
          <w:numId w:val="1"/>
        </w:numPr>
        <w:rPr/>
      </w:pPr>
      <w:bookmarkStart w:id="570" w:name="__RefHeading___Toc795589_222507752"/>
      <w:bookmarkStart w:id="571" w:name="_Toc234"/>
      <w:bookmarkEnd w:id="570"/>
      <w:r>
        <w:rPr>
          <w:rtl w:val="true"/>
        </w:rPr>
        <w:t>الثّالث عشر</w:t>
      </w:r>
      <w:r>
        <w:rPr>
          <w:rtl w:val="true"/>
        </w:rPr>
        <w:t>:</w:t>
      </w:r>
      <w:r>
        <w:rPr>
          <w:rtl w:val="true"/>
        </w:rPr>
        <w:t>هل يجوز لواجد المنيّ في الثّوب المشترك الائتمام بصاحبه</w:t>
      </w:r>
      <w:bookmarkEnd w:id="571"/>
    </w:p>
    <w:p>
      <w:pPr>
        <w:pStyle w:val="BookText"/>
        <w:rPr/>
      </w:pPr>
      <w:r>
        <w:rPr>
          <w:rFonts w:ascii="Amiri" w:hAnsi="Amiri" w:eastAsia="Amiri" w:cs="Amiri"/>
          <w:color w:val="111111"/>
          <w:sz w:val="28"/>
          <w:sz w:val="28"/>
          <w:szCs w:val="28"/>
          <w:rtl w:val="true"/>
          <w:lang w:bidi="ar-SA"/>
        </w:rPr>
        <w:t>في الصّلاة؟قال بعض الجمهور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لا،لعلمنا بأنّ أحدهما جنب فلا تصحّ صلاتهما </w:t>
      </w:r>
      <w:r>
        <w:rPr>
          <w:rStyle w:val="FootnoteAnchor"/>
          <w:rtl w:val="true"/>
        </w:rPr>
        <w:footnoteReference w:id="9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عندي فيه إشكال،فإنّ الشّارع أسقط نظره عن هذه الجنابة و لم يعتد بها في أحكام الجنب،فإنّ لكلّ واحد منهما الدّخول في المساجد،و قراءة العزائم،و غير ذلك من المحرّمات على الجنب،فلو كان حكم الجنابة باقيا لما ساغ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تقدير التّسليم، فصلاة الإمام صحيحة قطعا كما لو لم يأتمّ،و المأموم ائتمّ بصلاة يعلم صحّتها شرعا فساغ ذلك،و مع التّسليم،فالّذي ذكروه يقتضي بطلان صلاة المأموم خاصّة</w:t>
      </w:r>
      <w:r>
        <w:rPr>
          <w:rFonts w:eastAsia="Amiri" w:cs="Amiri" w:ascii="Amiri" w:hAnsi="Amiri"/>
          <w:color w:val="111111"/>
          <w:sz w:val="28"/>
          <w:szCs w:val="28"/>
          <w:rtl w:val="true"/>
          <w:lang w:bidi="ar-SA"/>
        </w:rPr>
        <w:t>.</w:t>
      </w:r>
    </w:p>
    <w:p>
      <w:pPr>
        <w:pStyle w:val="Heading6"/>
        <w:numPr>
          <w:ilvl w:val="5"/>
          <w:numId w:val="1"/>
        </w:numPr>
        <w:rPr/>
      </w:pPr>
      <w:bookmarkStart w:id="572" w:name="__RefHeading___Toc795591_222507752"/>
      <w:bookmarkStart w:id="573" w:name="_Toc235"/>
      <w:bookmarkEnd w:id="572"/>
      <w:r>
        <w:rPr>
          <w:rtl w:val="true"/>
        </w:rPr>
        <w:t>الرّابع عشر</w:t>
      </w:r>
      <w:r>
        <w:rPr>
          <w:rtl w:val="true"/>
        </w:rPr>
        <w:t>:</w:t>
      </w:r>
      <w:r>
        <w:rPr>
          <w:rtl w:val="true"/>
        </w:rPr>
        <w:t>لو خرج منيّ الرّجل من فرج المرأة بعد الاغتسال لم يجب عليها</w:t>
      </w:r>
      <w:bookmarkEnd w:id="573"/>
    </w:p>
    <w:p>
      <w:pPr>
        <w:pStyle w:val="BookText"/>
        <w:rPr/>
      </w:pPr>
      <w:r>
        <w:rPr>
          <w:rFonts w:ascii="IRNazanin" w:hAnsi="IRNazanin" w:eastAsia="IRNazanin"/>
          <w:color w:val="111111"/>
          <w:sz w:val="28"/>
          <w:sz w:val="28"/>
          <w:szCs w:val="28"/>
          <w:rtl w:val="true"/>
          <w:lang w:bidi="fa-IR"/>
        </w:rPr>
        <w:t>الغسل</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،سواء جامعها في فرجها أو في غيره فنزل فيه،ثمَّ خرج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مذهب قتادة، </w:t>
      </w:r>
      <w:bookmarkStart w:id="574" w:name="pg12669_112972"/>
    </w:p>
    <w:p>
      <w:pPr>
        <w:pStyle w:val="BookText"/>
        <w:rPr/>
      </w:pPr>
      <w:bookmarkEnd w:id="574"/>
      <w:r>
        <w:rPr>
          <w:rFonts w:ascii="Amiri" w:hAnsi="Amiri" w:eastAsia="Amiri" w:cs="Amiri"/>
          <w:color w:val="111111"/>
          <w:sz w:val="28"/>
          <w:sz w:val="28"/>
          <w:szCs w:val="28"/>
          <w:rtl w:val="true"/>
          <w:lang w:bidi="ar-SA"/>
        </w:rPr>
        <w:t xml:space="preserve">و الأوزاعيّ،و إسحاق </w:t>
      </w:r>
      <w:r>
        <w:rPr>
          <w:rStyle w:val="FootnoteAnchor"/>
          <w:rtl w:val="true"/>
        </w:rPr>
        <w:footnoteReference w:id="9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تغتسل </w:t>
      </w:r>
      <w:r>
        <w:rPr>
          <w:rStyle w:val="FootnoteAnchor"/>
          <w:rtl w:val="true"/>
        </w:rPr>
        <w:footnoteReference w:id="92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الشّافعيّ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تتوضّأ </w:t>
      </w:r>
      <w:r>
        <w:rPr>
          <w:rStyle w:val="FootnoteAnchor"/>
          <w:rtl w:val="true"/>
        </w:rPr>
        <w:footnoteReference w:id="9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ليس منها فأشبه غير المنيّ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الشّيخ،عن عبد الرّحمن بن أبي عبد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المرأة تغتسل من الجنابة ثمَّ ترى نطفة الرّجل بعد ذلك،هل عليها غسل؟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Style w:val="FootnoteAnchor"/>
          <w:rtl w:val="true"/>
        </w:rPr>
        <w:footnoteReference w:id="93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75" w:name="__RefHeading___Toc795593_222507752"/>
      <w:bookmarkStart w:id="576" w:name="_Toc236"/>
      <w:bookmarkEnd w:id="575"/>
      <w:r>
        <w:rPr>
          <w:rtl w:val="true"/>
        </w:rPr>
        <w:t>الخامس عشر</w:t>
      </w:r>
      <w:r>
        <w:rPr>
          <w:rtl w:val="true"/>
        </w:rPr>
        <w:t>:</w:t>
      </w:r>
      <w:r>
        <w:rPr>
          <w:rtl w:val="true"/>
        </w:rPr>
        <w:t>لو أمذى لم يجب عليه شيء،</w:t>
      </w:r>
      <w:bookmarkEnd w:id="576"/>
    </w:p>
    <w:p>
      <w:pPr>
        <w:pStyle w:val="BookText"/>
        <w:rPr/>
      </w:pPr>
      <w:r>
        <w:rPr>
          <w:rFonts w:ascii="Amiri" w:hAnsi="Amiri" w:eastAsia="Amiri" w:cs="Amiri"/>
          <w:color w:val="111111"/>
          <w:sz w:val="28"/>
          <w:sz w:val="28"/>
          <w:szCs w:val="28"/>
          <w:rtl w:val="true"/>
          <w:lang w:bidi="ar-SA"/>
        </w:rPr>
        <w:t>لأنّ المذي عندنا طاهر بلا خلاف بين علمائنا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الجمهور القائلون بنجاسته فقد اختلفوا فيه،فقال الشّافعيّ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يجب غسل موضع المذي خاصّة،لأنّه خارج لا يوجب غسل جميع البدن،فلا يوجب غسل ما لم يصبه </w:t>
      </w:r>
      <w:r>
        <w:rPr>
          <w:rStyle w:val="FootnoteAnchor"/>
          <w:rtl w:val="true"/>
        </w:rPr>
        <w:footnoteReference w:id="93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مالك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يجب عليه غسل الذّكر </w:t>
      </w:r>
      <w:r>
        <w:rPr>
          <w:rStyle w:val="FootnoteAnchor"/>
          <w:rtl w:val="true"/>
        </w:rPr>
        <w:footnoteReference w:id="93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يجب عليه غسل الذّكر و الأنثيين </w:t>
      </w:r>
      <w:r>
        <w:rPr>
          <w:rStyle w:val="FootnoteAnchor"/>
          <w:rtl w:val="true"/>
        </w:rPr>
        <w:footnoteReference w:id="933"/>
      </w:r>
      <w:r>
        <w:rPr>
          <w:rFonts w:ascii="Amiri" w:hAnsi="Amiri" w:eastAsia="Amiri" w:cs="Amiri"/>
          <w:color w:val="111111"/>
          <w:sz w:val="28"/>
          <w:sz w:val="28"/>
          <w:szCs w:val="28"/>
          <w:rtl w:val="true"/>
          <w:lang w:bidi="ar-SA"/>
        </w:rPr>
        <w:t>،لما رووه،عن عليّ عليه السّلام و قد سأل له المقداد رسول اللّه صلّى اللّه عليه و آله،فقال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يغسل ذكره و يتوضّأ</w:t>
      </w:r>
      <w:r>
        <w:rPr>
          <w:rFonts w:eastAsia="Amiri" w:cs="Amiri" w:ascii="Amiri" w:hAnsi="Amiri"/>
          <w:color w:val="111111"/>
          <w:sz w:val="28"/>
          <w:szCs w:val="28"/>
          <w:rtl w:val="true"/>
          <w:lang w:bidi="ar-SA"/>
        </w:rPr>
        <w:t xml:space="preserve">) </w:t>
      </w:r>
      <w:r>
        <w:rPr>
          <w:rStyle w:val="FootnoteAnchor"/>
          <w:rtl w:val="true"/>
        </w:rPr>
        <w:footnoteReference w:id="934"/>
      </w:r>
      <w:r>
        <w:rPr>
          <w:rFonts w:ascii="Amiri" w:hAnsi="Amiri" w:eastAsia="Amiri" w:cs="Amiri"/>
          <w:color w:val="111111"/>
          <w:sz w:val="28"/>
          <w:sz w:val="28"/>
          <w:szCs w:val="28"/>
          <w:rtl w:val="true"/>
          <w:lang w:bidi="ar-SA"/>
        </w:rPr>
        <w:t>و في رواية 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يغسل ذكره و أنثييه و يتوضّأ</w:t>
      </w:r>
      <w:r>
        <w:rPr>
          <w:rFonts w:eastAsia="Amiri" w:cs="Amiri" w:ascii="Amiri" w:hAnsi="Amiri"/>
          <w:color w:val="111111"/>
          <w:sz w:val="28"/>
          <w:szCs w:val="28"/>
          <w:rtl w:val="true"/>
          <w:lang w:bidi="ar-SA"/>
        </w:rPr>
        <w:t xml:space="preserve">) </w:t>
      </w:r>
      <w:r>
        <w:rPr>
          <w:rStyle w:val="FootnoteAnchor"/>
          <w:rtl w:val="true"/>
        </w:rPr>
        <w:footnoteReference w:id="9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بيّنا في طرقنا انّه لا وضوء فيه</w:t>
      </w:r>
      <w:r>
        <w:rPr>
          <w:rFonts w:eastAsia="Amiri" w:cs="Amiri" w:ascii="Amiri" w:hAnsi="Amiri"/>
          <w:color w:val="111111"/>
          <w:sz w:val="28"/>
          <w:szCs w:val="28"/>
          <w:rtl w:val="true"/>
          <w:lang w:bidi="ar-SA"/>
        </w:rPr>
        <w:t>.</w:t>
      </w:r>
    </w:p>
    <w:p>
      <w:pPr>
        <w:pStyle w:val="Heading6"/>
        <w:numPr>
          <w:ilvl w:val="5"/>
          <w:numId w:val="1"/>
        </w:numPr>
        <w:rPr/>
      </w:pPr>
      <w:bookmarkStart w:id="577" w:name="__RefHeading___Toc795595_222507752"/>
      <w:bookmarkStart w:id="578" w:name="_Toc237"/>
      <w:bookmarkEnd w:id="577"/>
      <w:r>
        <w:rPr>
          <w:rtl w:val="true"/>
        </w:rPr>
        <w:t>السّادس عشر</w:t>
      </w:r>
      <w:r>
        <w:rPr>
          <w:rtl w:val="true"/>
        </w:rPr>
        <w:t>:</w:t>
      </w:r>
      <w:r>
        <w:rPr>
          <w:rtl w:val="true"/>
        </w:rPr>
        <w:t>لو خرج المنيّ من ثقبة في الإحليل غير المعتاد،</w:t>
      </w:r>
      <w:bookmarkEnd w:id="578"/>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في خصيتيه،أو </w:t>
      </w:r>
      <w:bookmarkStart w:id="579" w:name="pg12669_112973"/>
    </w:p>
    <w:p>
      <w:pPr>
        <w:pStyle w:val="BookText"/>
        <w:rPr/>
      </w:pPr>
      <w:bookmarkEnd w:id="579"/>
      <w:r>
        <w:rPr>
          <w:rFonts w:ascii="Amiri" w:hAnsi="Amiri" w:eastAsia="Amiri" w:cs="Amiri"/>
          <w:color w:val="111111"/>
          <w:sz w:val="28"/>
          <w:sz w:val="28"/>
          <w:szCs w:val="28"/>
          <w:rtl w:val="true"/>
          <w:lang w:bidi="ar-SA"/>
        </w:rPr>
        <w:t>في صلبه،فالأقرب وجوب الغسل،لقوله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الماء من الماء</w:t>
      </w:r>
      <w:r>
        <w:rPr>
          <w:rFonts w:eastAsia="Amiri" w:cs="Amiri" w:ascii="Amiri" w:hAnsi="Amiri"/>
          <w:color w:val="111111"/>
          <w:sz w:val="28"/>
          <w:szCs w:val="28"/>
          <w:rtl w:val="true"/>
          <w:lang w:bidi="ar-SA"/>
        </w:rPr>
        <w:t xml:space="preserve">) </w:t>
      </w:r>
      <w:r>
        <w:rPr>
          <w:rStyle w:val="FootnoteAnchor"/>
          <w:rtl w:val="true"/>
        </w:rPr>
        <w:footnoteReference w:id="9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يحتمل إحالته على الخارج من السّبيلين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قول الشّافعيّة </w:t>
      </w:r>
      <w:r>
        <w:rPr>
          <w:rStyle w:val="FootnoteAnchor"/>
          <w:rtl w:val="true"/>
        </w:rPr>
        <w:footnoteReference w:id="93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80" w:name="__RefHeading___Toc795597_222507752"/>
      <w:bookmarkStart w:id="581" w:name="_Toc238"/>
      <w:bookmarkEnd w:id="580"/>
      <w:r>
        <w:rPr>
          <w:rtl w:val="true"/>
        </w:rPr>
        <w:t>مسألة</w:t>
      </w:r>
      <w:r>
        <w:rPr>
          <w:rtl w:val="true"/>
        </w:rPr>
        <w:t>:</w:t>
      </w:r>
      <w:r>
        <w:rPr>
          <w:rtl w:val="true"/>
        </w:rPr>
        <w:t>و الجماع في الفرج سبب موجب للجنابة على الرّجل و المرأة،</w:t>
      </w:r>
      <w:bookmarkEnd w:id="581"/>
    </w:p>
    <w:p>
      <w:pPr>
        <w:pStyle w:val="BookText"/>
        <w:rPr/>
      </w:pPr>
      <w:r>
        <w:rPr>
          <w:rFonts w:ascii="Amiri" w:hAnsi="Amiri" w:eastAsia="Amiri" w:cs="Amiri"/>
          <w:color w:val="111111"/>
          <w:sz w:val="28"/>
          <w:sz w:val="28"/>
          <w:szCs w:val="28"/>
          <w:rtl w:val="true"/>
          <w:lang w:bidi="ar-SA"/>
        </w:rPr>
        <w:t>و حدّه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التقاء الختانين،و المراد به المحاذاة،و يعلم بغيبوبة الحشفة،سواء أنزل أو لم ينزل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مذهب عامّة العلماء إلاّ داود و نفرا يسيرا من الصّحابة شرطوا الإنزال </w:t>
      </w:r>
      <w:r>
        <w:rPr>
          <w:rStyle w:val="FootnoteAnchor"/>
          <w:rtl w:val="true"/>
        </w:rPr>
        <w:footnoteReference w:id="9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الجمهور،عن عائشة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التقى الختانان وجب الغسل</w:t>
      </w:r>
      <w:r>
        <w:rPr>
          <w:rFonts w:eastAsia="Amiri" w:cs="Amiri" w:ascii="Amiri" w:hAnsi="Amiri"/>
          <w:color w:val="111111"/>
          <w:sz w:val="28"/>
          <w:szCs w:val="28"/>
          <w:rtl w:val="true"/>
          <w:lang w:bidi="ar-SA"/>
        </w:rPr>
        <w:t xml:space="preserve">) </w:t>
      </w:r>
      <w:r>
        <w:rPr>
          <w:rStyle w:val="FootnoteAnchor"/>
          <w:rtl w:val="true"/>
        </w:rPr>
        <w:footnoteReference w:id="9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عنها انّها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التقى الختانان وجب الغسل،فعلته أنا و رسول الله صلّى الله عليه و آله فاغتسلنا </w:t>
      </w:r>
      <w:r>
        <w:rPr>
          <w:rStyle w:val="FootnoteAnchor"/>
          <w:rtl w:val="true"/>
        </w:rPr>
        <w:footnoteReference w:id="9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عنها انّها،قالت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جلس بين شعبها الأربع و مسّ الختان الختان فقد وجب الغسل</w:t>
      </w:r>
      <w:r>
        <w:rPr>
          <w:rFonts w:eastAsia="Amiri" w:cs="Amiri" w:ascii="Amiri" w:hAnsi="Amiri"/>
          <w:color w:val="111111"/>
          <w:sz w:val="28"/>
          <w:szCs w:val="28"/>
          <w:rtl w:val="true"/>
          <w:lang w:bidi="ar-SA"/>
        </w:rPr>
        <w:t xml:space="preserve">) </w:t>
      </w:r>
      <w:r>
        <w:rPr>
          <w:rStyle w:val="FootnoteAnchor"/>
          <w:rtl w:val="true"/>
        </w:rPr>
        <w:footnoteReference w:id="9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حديث عمر انّه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خالف في ذلك فقد جعلته نكالا </w:t>
      </w:r>
      <w:r>
        <w:rPr>
          <w:rStyle w:val="FootnoteAnchor"/>
          <w:rtl w:val="true"/>
        </w:rPr>
        <w:footnoteReference w:id="942"/>
      </w:r>
      <w:r>
        <w:rPr>
          <w:rFonts w:eastAsia="Times New Roman" w:cs="Times New Roman" w:ascii="Times New Roman" w:hAnsi="Times New Roman"/>
          <w:color w:val="111111"/>
          <w:sz w:val="28"/>
          <w:szCs w:val="28"/>
          <w:rtl w:val="true"/>
          <w:lang w:val="en-US" w:bidi="en-US"/>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مسلم،عن أبي هريرة،قال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w:t>
      </w:r>
    </w:p>
    <w:p>
      <w:pPr>
        <w:pStyle w:val="BookText"/>
        <w:rPr/>
      </w:pPr>
      <w:r>
        <w:rPr>
          <w:rFonts w:ascii="Amiri" w:hAnsi="Amiri" w:eastAsia="Amiri" w:cs="Amiri"/>
          <w:color w:val="111111"/>
          <w:sz w:val="28"/>
          <w:sz w:val="28"/>
          <w:szCs w:val="28"/>
          <w:rtl w:val="true"/>
          <w:lang w:bidi="ar-SA"/>
        </w:rPr>
        <w:t>قعد بين شعبها الأربع فقد وجب عليه الغسل و إن لم ينزل</w:t>
      </w:r>
      <w:r>
        <w:rPr>
          <w:rFonts w:eastAsia="Amiri" w:cs="Amiri" w:ascii="Amiri" w:hAnsi="Amiri"/>
          <w:color w:val="111111"/>
          <w:sz w:val="28"/>
          <w:szCs w:val="28"/>
          <w:rtl w:val="true"/>
          <w:lang w:bidi="ar-SA"/>
        </w:rPr>
        <w:t xml:space="preserve">) </w:t>
      </w:r>
      <w:r>
        <w:rPr>
          <w:rStyle w:val="FootnoteAnchor"/>
          <w:rtl w:val="true"/>
        </w:rPr>
        <w:footnoteReference w:id="943"/>
      </w:r>
      <w:r>
        <w:rPr>
          <w:rFonts w:ascii="Amiri" w:hAnsi="Amiri" w:eastAsia="Amiri" w:cs="Amiri"/>
          <w:color w:val="111111"/>
          <w:sz w:val="28"/>
          <w:sz w:val="28"/>
          <w:szCs w:val="28"/>
          <w:rtl w:val="true"/>
          <w:lang w:bidi="ar-SA"/>
        </w:rPr>
        <w:t>و هذا نصّ،قال الأزهريّ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أراد بين شعبتي رجليها و شعبتي شفريها </w:t>
      </w:r>
      <w:r>
        <w:rPr>
          <w:rStyle w:val="FootnoteAnchor"/>
          <w:rtl w:val="true"/>
        </w:rPr>
        <w:footnoteReference w:id="9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طريق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 في الصّحيح،عن محمّد بن مسلم،عن أحدهما عليهما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متى يجب الغسل على الرّجل و المرأة؟فقال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أدخله فقد وجب الغسل و المهر و الرّجم</w:t>
      </w:r>
      <w:r>
        <w:rPr>
          <w:rFonts w:eastAsia="Amiri" w:cs="Amiri" w:ascii="Amiri" w:hAnsi="Amiri"/>
          <w:color w:val="111111"/>
          <w:sz w:val="28"/>
          <w:szCs w:val="28"/>
          <w:rtl w:val="true"/>
          <w:lang w:bidi="ar-SA"/>
        </w:rPr>
        <w:t xml:space="preserve">» </w:t>
      </w:r>
      <w:r>
        <w:rPr>
          <w:rStyle w:val="FootnoteAnchor"/>
          <w:rtl w:val="true"/>
        </w:rPr>
        <w:footnoteReference w:id="9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في الصّحيح،عن محمّد بن إسماعيل،قال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الرّضا عليه السّلام عن الرّجل يجامع المرأة قريبا من الفرج فلا ينزلان متى يجب الغسل؟فقال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التقى الختانان فقد وجب الغسل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التقاء الختانين هو غيبوبة الحشفة؟قال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Style w:val="FootnoteAnchor"/>
          <w:rtl w:val="true"/>
        </w:rPr>
        <w:footnoteReference w:id="946"/>
      </w:r>
      <w:r>
        <w:rPr>
          <w:rFonts w:eastAsia="Times New Roman" w:cs="Times New Roman" w:ascii="Times New Roman" w:hAnsi="Times New Roman"/>
          <w:color w:val="111111"/>
          <w:sz w:val="28"/>
          <w:szCs w:val="28"/>
          <w:rtl w:val="true"/>
          <w:lang w:val="en-US" w:bidi="en-US"/>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في الصّحيح،عن عليّ بن يقطين،قال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الحسن عليه السّلام عن الرّجل يصيب الجارية البكر لا يفضي إليها،أ عليها غسل؟قال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وضع الختان على الختان فقد وجب الغسل،البكر و غير البكر</w:t>
      </w:r>
      <w:r>
        <w:rPr>
          <w:rFonts w:eastAsia="Amiri" w:cs="Amiri" w:ascii="Amiri" w:hAnsi="Amiri"/>
          <w:color w:val="111111"/>
          <w:sz w:val="28"/>
          <w:szCs w:val="28"/>
          <w:rtl w:val="true"/>
          <w:lang w:bidi="ar-SA"/>
        </w:rPr>
        <w:t xml:space="preserve">» </w:t>
      </w:r>
      <w:r>
        <w:rPr>
          <w:rStyle w:val="FootnoteAnchor"/>
          <w:rtl w:val="true"/>
        </w:rPr>
        <w:footnoteReference w:id="947"/>
      </w:r>
      <w:r>
        <w:rPr>
          <w:rFonts w:eastAsia="Times New Roman" w:cs="Times New Roman" w:ascii="Times New Roman" w:hAnsi="Times New Roman"/>
          <w:color w:val="111111"/>
          <w:sz w:val="28"/>
          <w:szCs w:val="28"/>
          <w:rtl w:val="true"/>
          <w:lang w:val="en-US" w:bidi="en-US"/>
        </w:rPr>
        <w:t xml:space="preserve">. </w:t>
      </w:r>
      <w:bookmarkStart w:id="582" w:name="pg12669_112975"/>
    </w:p>
    <w:p>
      <w:pPr>
        <w:pStyle w:val="BookText"/>
        <w:rPr/>
      </w:pPr>
      <w:bookmarkEnd w:id="582"/>
      <w:r>
        <w:rPr>
          <w:rFonts w:ascii="Amiri" w:hAnsi="Amiri" w:eastAsia="Amiri" w:cs="Amiri"/>
          <w:color w:val="111111"/>
          <w:sz w:val="28"/>
          <w:sz w:val="28"/>
          <w:szCs w:val="28"/>
          <w:rtl w:val="true"/>
          <w:lang w:bidi="ar-SA"/>
        </w:rPr>
        <w:t>و في الصّحيح،عن زرارة،عن أبي جعفر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عمر بن الخطاب أصحاب النّبيّ صلّى اللّه عليه و آله،فقال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تقولون في الرّجل يأتي أهله فيخالطها و لا ينزل؟فقالت الأنصار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الماء من الماء،و قال المهاجرون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التقى الختانان فقد وجب الغسل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عمر لعليّ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تقول يا أبا الحسن؟فقال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توجبون عليه الرّجم و الحدّ و لا توجبون عليه صاعا من ماء؟إذا التقى الختانان،فقد وجب عليه الغسل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القول ما قال المهاجرون و دعوا ما قالت الأنصار </w:t>
      </w:r>
      <w:r>
        <w:rPr>
          <w:rStyle w:val="FootnoteAnchor"/>
          <w:rtl w:val="true"/>
        </w:rPr>
        <w:footnoteReference w:id="94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83" w:name="__RefHeading___Toc795599_222507752"/>
      <w:bookmarkStart w:id="584" w:name="_Toc239"/>
      <w:bookmarkEnd w:id="583"/>
      <w:r>
        <w:rPr>
          <w:rtl w:val="true"/>
        </w:rPr>
        <w:t>فروع</w:t>
      </w:r>
      <w:r>
        <w:rPr>
          <w:rtl w:val="true"/>
        </w:rPr>
        <w:t>:</w:t>
      </w:r>
      <w:bookmarkEnd w:id="584"/>
    </w:p>
    <w:p>
      <w:pPr>
        <w:pStyle w:val="Heading6"/>
        <w:numPr>
          <w:ilvl w:val="5"/>
          <w:numId w:val="1"/>
        </w:numPr>
        <w:rPr/>
      </w:pPr>
      <w:bookmarkStart w:id="585" w:name="__RefHeading___Toc795601_222507752"/>
      <w:bookmarkStart w:id="586" w:name="_Toc240"/>
      <w:bookmarkEnd w:id="585"/>
      <w:r>
        <w:rPr>
          <w:rtl w:val="true"/>
        </w:rPr>
        <w:t>الأوّل</w:t>
      </w:r>
      <w:r>
        <w:rPr>
          <w:rtl w:val="true"/>
        </w:rPr>
        <w:t>:</w:t>
      </w:r>
      <w:r>
        <w:rPr>
          <w:rtl w:val="true"/>
        </w:rPr>
        <w:t>لو جامع في دبر المرأة و لم ينزل،قال السّيّد المرتضى</w:t>
      </w:r>
      <w:r>
        <w:rPr>
          <w:rtl w:val="true"/>
        </w:rPr>
        <w:t>:</w:t>
      </w:r>
      <w:r>
        <w:rPr>
          <w:rtl w:val="true"/>
        </w:rPr>
        <w:t>يجب الغسل ،</w:t>
      </w:r>
      <w:bookmarkEnd w:id="586"/>
    </w:p>
    <w:p>
      <w:pPr>
        <w:pStyle w:val="BookText"/>
        <w:rPr/>
      </w:pPr>
      <w:r>
        <w:rPr>
          <w:rStyle w:val="FootnoteAnchor"/>
          <w:rtl w:val="true"/>
        </w:rPr>
        <w:footnoteReference w:id="9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به قال الشّافعيّ </w:t>
      </w:r>
      <w:r>
        <w:rPr>
          <w:rStyle w:val="FootnoteAnchor"/>
          <w:rtl w:val="true"/>
        </w:rPr>
        <w:footnoteReference w:id="95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الشّيخ في المبسوط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لأصحابنا فيه روايتان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الوجوب و عدمه </w:t>
      </w:r>
      <w:r>
        <w:rPr>
          <w:rStyle w:val="FootnoteAnchor"/>
          <w:rtl w:val="true"/>
        </w:rPr>
        <w:footnoteReference w:id="95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في النّهاية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جامع فيما دون الفرج لم يجب الغسل إلاّ مع الإنزال </w:t>
      </w:r>
      <w:r>
        <w:rPr>
          <w:rStyle w:val="FootnoteAnchor"/>
          <w:rtl w:val="true"/>
        </w:rPr>
        <w:footnoteReference w:id="952"/>
      </w:r>
      <w:r>
        <w:rPr>
          <w:rFonts w:ascii="Amiri" w:hAnsi="Amiri" w:eastAsia="Amiri" w:cs="Amiri"/>
          <w:color w:val="111111"/>
          <w:sz w:val="28"/>
          <w:sz w:val="28"/>
          <w:szCs w:val="28"/>
          <w:rtl w:val="true"/>
          <w:lang w:bidi="ar-SA"/>
        </w:rPr>
        <w:t>،قال ابن إدريس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أراد بالفرج ما يعمّ القبل و الدّبر معا فصحيح،و إلاّ فلا </w:t>
      </w:r>
      <w:r>
        <w:rPr>
          <w:rStyle w:val="FootnoteAnchor"/>
          <w:rtl w:val="true"/>
        </w:rPr>
        <w:footnoteReference w:id="95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الأقرب ما ذهب إليه السّيّد المرتضى</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تعالى أَوْ لامَسْتُمُ النِّساءَ فَلَمْ تَجِدُوا ماءً فَتَيَمَّمُوا </w:t>
      </w:r>
      <w:r>
        <w:rPr>
          <w:rStyle w:val="FootnoteAnchor"/>
          <w:rtl w:val="true"/>
        </w:rPr>
        <w:footnoteReference w:id="954"/>
      </w:r>
      <w:r>
        <w:rPr>
          <w:rFonts w:ascii="Amiri" w:hAnsi="Amiri" w:eastAsia="Amiri" w:cs="Amiri"/>
          <w:color w:val="111111"/>
          <w:sz w:val="28"/>
          <w:sz w:val="28"/>
          <w:szCs w:val="28"/>
          <w:rtl w:val="true"/>
          <w:lang w:bidi="ar-SA"/>
        </w:rPr>
        <w:t xml:space="preserve">و التّيمّم بدل من الغسل فوجوبه تابع لوجوب الأصل،و الملامسة هي الجماع مطلقا،خرج عنه ما </w:t>
      </w:r>
    </w:p>
    <w:p>
      <w:pPr>
        <w:pStyle w:val="BookText"/>
        <w:rPr/>
      </w:pPr>
      <w:r>
        <w:rPr>
          <w:rFonts w:ascii="Amiri" w:hAnsi="Amiri" w:eastAsia="Amiri" w:cs="Amiri"/>
          <w:color w:val="111111"/>
          <w:sz w:val="28"/>
          <w:sz w:val="28"/>
          <w:szCs w:val="28"/>
          <w:rtl w:val="true"/>
          <w:lang w:bidi="ar-SA"/>
        </w:rPr>
        <w:t>ليس بمعتاد،لعدم انصراف اللّفظ إليه،فيبقى الباقي على حكمه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رواه الشّيخ في الصّحيح،عن محمّد بن مسلم،عن أحدهما عليهما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متى يجب الغسل على الرّجل و المرأة؟فقال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أدخله فقد وجب الغسل و المهر و الرّجم</w:t>
      </w:r>
      <w:r>
        <w:rPr>
          <w:rFonts w:eastAsia="Amiri" w:cs="Amiri" w:ascii="Amiri" w:hAnsi="Amiri"/>
          <w:color w:val="111111"/>
          <w:sz w:val="28"/>
          <w:szCs w:val="28"/>
          <w:rtl w:val="true"/>
          <w:lang w:bidi="ar-SA"/>
        </w:rPr>
        <w:t xml:space="preserve">» </w:t>
      </w:r>
      <w:r>
        <w:rPr>
          <w:rStyle w:val="FootnoteAnchor"/>
          <w:rtl w:val="true"/>
        </w:rPr>
        <w:footnoteReference w:id="955"/>
      </w:r>
      <w:r>
        <w:rPr>
          <w:rFonts w:ascii="Amiri" w:hAnsi="Amiri" w:eastAsia="Amiri" w:cs="Amiri"/>
          <w:color w:val="111111"/>
          <w:sz w:val="28"/>
          <w:sz w:val="28"/>
          <w:szCs w:val="28"/>
          <w:rtl w:val="true"/>
          <w:lang w:bidi="ar-SA"/>
        </w:rPr>
        <w:t>أشار بذلك إلى الإدخال في الفرج و هو موضع الحدث،سواء كان قبلا أو دبرا،و قول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توجبون عليه الحدّ و الرّجم و لا توجبون عليه صاعا من 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يدلّ من حيث المفهوم على الوجوب بوطء الدّبر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احتجّ الشّيخ بما رواه أحمد بن محمّد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البرقيّ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رفعه إلى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أتى الرّجل المرأة في دبرها فلم ينزل فلا غسل عليهما،و إن أنزل فعليه الغسل و لا غسل عليها</w:t>
      </w:r>
      <w:r>
        <w:rPr>
          <w:rFonts w:eastAsia="Amiri" w:cs="Amiri" w:ascii="Amiri" w:hAnsi="Amiri"/>
          <w:color w:val="111111"/>
          <w:sz w:val="28"/>
          <w:szCs w:val="28"/>
          <w:rtl w:val="true"/>
          <w:lang w:bidi="ar-SA"/>
        </w:rPr>
        <w:t xml:space="preserve">» </w:t>
      </w:r>
      <w:r>
        <w:rPr>
          <w:rStyle w:val="FootnoteAnchor"/>
          <w:rtl w:val="true"/>
        </w:rPr>
        <w:footnoteReference w:id="956"/>
      </w:r>
      <w:r>
        <w:rPr>
          <w:rFonts w:eastAsia="Times New Roman" w:cs="Times New Roman" w:ascii="Times New Roman" w:hAnsi="Times New Roman"/>
          <w:color w:val="111111"/>
          <w:sz w:val="28"/>
          <w:szCs w:val="28"/>
          <w:rtl w:val="true"/>
          <w:lang w:val="en-US" w:bidi="en-US"/>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رواه في الصّحيح،عن الحلبيّ،قال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أبو عبد اللّه عليه السّلام عن الرّجل يصيب المرأة فيما دون الفرج أ عليها غسل إن هو أنزل و لم تنزل هي؟قال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w:t>
      </w:r>
      <w:bookmarkStart w:id="587" w:name="pg12669_112977"/>
    </w:p>
    <w:p>
      <w:pPr>
        <w:pStyle w:val="BookText"/>
        <w:rPr/>
      </w:pPr>
      <w:bookmarkEnd w:id="587"/>
      <w:r>
        <w:rPr>
          <w:rFonts w:ascii="Amiri" w:hAnsi="Amiri" w:eastAsia="Amiri" w:cs="Amiri"/>
          <w:color w:val="111111"/>
          <w:sz w:val="28"/>
          <w:sz w:val="28"/>
          <w:szCs w:val="28"/>
          <w:rtl w:val="true"/>
          <w:lang w:bidi="ar-SA"/>
        </w:rPr>
        <w:t>عليها غسل،و إن لم ينزل هو فليس عليه غسل</w:t>
      </w:r>
      <w:r>
        <w:rPr>
          <w:rFonts w:eastAsia="Amiri" w:cs="Amiri" w:ascii="Amiri" w:hAnsi="Amiri"/>
          <w:color w:val="111111"/>
          <w:sz w:val="28"/>
          <w:szCs w:val="28"/>
          <w:rtl w:val="true"/>
          <w:lang w:bidi="ar-SA"/>
        </w:rPr>
        <w:t xml:space="preserve">» </w:t>
      </w:r>
      <w:r>
        <w:rPr>
          <w:rStyle w:val="FootnoteAnchor"/>
          <w:rtl w:val="true"/>
        </w:rPr>
        <w:footnoteReference w:id="9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الجواب عن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انّها مرسلة،فلا تعارض 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نقول بموجبة،و نمنع من اختصاص اسم الفرج بالقبل</w:t>
      </w:r>
      <w:r>
        <w:rPr>
          <w:rFonts w:eastAsia="Amiri" w:cs="Amiri" w:ascii="Amiri" w:hAnsi="Amiri"/>
          <w:color w:val="111111"/>
          <w:sz w:val="28"/>
          <w:szCs w:val="28"/>
          <w:rtl w:val="true"/>
          <w:lang w:bidi="ar-SA"/>
        </w:rPr>
        <w:t>.</w:t>
      </w:r>
    </w:p>
    <w:p>
      <w:pPr>
        <w:pStyle w:val="Heading6"/>
        <w:numPr>
          <w:ilvl w:val="5"/>
          <w:numId w:val="1"/>
        </w:numPr>
        <w:rPr/>
      </w:pPr>
      <w:bookmarkStart w:id="588" w:name="__RefHeading___Toc795603_222507752"/>
      <w:bookmarkStart w:id="589" w:name="_Toc241"/>
      <w:bookmarkEnd w:id="588"/>
      <w:r>
        <w:rPr>
          <w:rtl w:val="true"/>
        </w:rPr>
        <w:t>الثّاني</w:t>
      </w:r>
      <w:r>
        <w:rPr>
          <w:rtl w:val="true"/>
        </w:rPr>
        <w:t>:</w:t>
      </w:r>
      <w:r>
        <w:rPr>
          <w:rtl w:val="true"/>
        </w:rPr>
        <w:t>لو وطئ الغلام في دبره،قال السّيّد المرتضى</w:t>
      </w:r>
      <w:r>
        <w:rPr>
          <w:rtl w:val="true"/>
        </w:rPr>
        <w:t>:</w:t>
      </w:r>
      <w:r>
        <w:rPr>
          <w:rtl w:val="true"/>
        </w:rPr>
        <w:t xml:space="preserve">يجب الغسل </w:t>
      </w:r>
      <w:r>
        <w:rPr>
          <w:rtl w:val="true"/>
        </w:rPr>
        <w:t>.</w:t>
      </w:r>
      <w:bookmarkEnd w:id="589"/>
    </w:p>
    <w:p>
      <w:pPr>
        <w:pStyle w:val="BookText"/>
        <w:rPr/>
      </w:pPr>
      <w:r>
        <w:rPr>
          <w:rStyle w:val="FootnoteAnchor"/>
          <w:rtl w:val="true"/>
        </w:rPr>
        <w:footnoteReference w:id="9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الشيخ في المبسوط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لأصحابنا فيه روايتان </w:t>
      </w:r>
      <w:r>
        <w:rPr>
          <w:rStyle w:val="FootnoteAnchor"/>
          <w:rtl w:val="true"/>
        </w:rPr>
        <w:footnoteReference w:id="959"/>
      </w:r>
      <w:r>
        <w:rPr>
          <w:rFonts w:ascii="Amiri" w:hAnsi="Amiri" w:eastAsia="Amiri" w:cs="Amiri"/>
          <w:color w:val="111111"/>
          <w:sz w:val="28"/>
          <w:sz w:val="28"/>
          <w:szCs w:val="28"/>
          <w:rtl w:val="true"/>
          <w:lang w:bidi="ar-SA"/>
        </w:rPr>
        <w:t xml:space="preserve">،و عندي فيه تردّد،و الأقرب ما قاله السّيّد،و هو قول الشّافعيّ </w:t>
      </w:r>
      <w:r>
        <w:rPr>
          <w:rStyle w:val="FootnoteAnchor"/>
          <w:rtl w:val="true"/>
        </w:rPr>
        <w:footnoteReference w:id="960"/>
      </w:r>
      <w:r>
        <w:rPr>
          <w:rFonts w:ascii="Amiri" w:hAnsi="Amiri" w:eastAsia="Amiri" w:cs="Amiri"/>
          <w:color w:val="111111"/>
          <w:sz w:val="28"/>
          <w:sz w:val="28"/>
          <w:szCs w:val="28"/>
          <w:rtl w:val="true"/>
          <w:lang w:bidi="ar-SA"/>
        </w:rPr>
        <w:t xml:space="preserve">،و أبي حنيفة </w:t>
      </w:r>
      <w:r>
        <w:rPr>
          <w:rStyle w:val="FootnoteAnchor"/>
          <w:rtl w:val="true"/>
        </w:rPr>
        <w:footnoteReference w:id="961"/>
      </w:r>
      <w:r>
        <w:rPr>
          <w:rFonts w:ascii="IRNazanin" w:hAnsi="IRNazanin" w:eastAsia="IRNazanin"/>
          <w:color w:val="111111"/>
          <w:sz w:val="28"/>
          <w:sz w:val="28"/>
          <w:szCs w:val="28"/>
          <w:rtl w:val="true"/>
          <w:lang w:bidi="fa-IR"/>
        </w:rPr>
        <w:t xml:space="preserve">،و أحمد </w:t>
      </w:r>
      <w:r>
        <w:rPr>
          <w:rStyle w:val="FootnoteAnchor"/>
          <w:rtl w:val="true"/>
        </w:rPr>
        <w:footnoteReference w:id="9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استدل السّيّد عليه بالإجماع،قال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من أوجب الغسل بوطء دبر المرأة أوجبه بوطء دبر الغلام،و قد بيّنّا الحكم الأوّل،فيثبت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يدلّ عليه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توجبون عليه الحدّ و الرّجم و لا توجبون عليه صاعا من 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لأنّه دبر آدميّ فأشبه دبر المرأة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الشّيخ تمسّك بالأصل و هو ضعيف مع وجود ما ينافيه</w:t>
      </w:r>
      <w:r>
        <w:rPr>
          <w:rFonts w:eastAsia="Amiri" w:cs="Amiri" w:ascii="Amiri" w:hAnsi="Amiri"/>
          <w:color w:val="111111"/>
          <w:sz w:val="28"/>
          <w:szCs w:val="28"/>
          <w:rtl w:val="true"/>
          <w:lang w:bidi="ar-SA"/>
        </w:rPr>
        <w:t>.</w:t>
      </w:r>
    </w:p>
    <w:p>
      <w:pPr>
        <w:pStyle w:val="Heading6"/>
        <w:numPr>
          <w:ilvl w:val="5"/>
          <w:numId w:val="1"/>
        </w:numPr>
        <w:rPr/>
      </w:pPr>
      <w:bookmarkStart w:id="590" w:name="__RefHeading___Toc795605_222507752"/>
      <w:bookmarkStart w:id="591" w:name="_Toc242"/>
      <w:bookmarkEnd w:id="590"/>
      <w:r>
        <w:rPr>
          <w:rtl w:val="true"/>
        </w:rPr>
        <w:t>الثّالث</w:t>
      </w:r>
      <w:r>
        <w:rPr>
          <w:rtl w:val="true"/>
        </w:rPr>
        <w:t>:</w:t>
      </w:r>
      <w:r>
        <w:rPr>
          <w:rtl w:val="true"/>
        </w:rPr>
        <w:t>هل يجب على المرأة الموطوءة في الدّبر الغسل مع عدم الإنزال؟فيه تردّد،</w:t>
      </w:r>
      <w:bookmarkEnd w:id="591"/>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يلوح من كلام ابن إدريس الوجوب </w:t>
      </w:r>
      <w:r>
        <w:rPr>
          <w:rStyle w:val="FootnoteAnchor"/>
          <w:rtl w:val="true"/>
        </w:rPr>
        <w:footnoteReference w:id="963"/>
      </w:r>
      <w:r>
        <w:rPr>
          <w:rFonts w:ascii="Amiri" w:hAnsi="Amiri" w:eastAsia="Amiri" w:cs="Amiri"/>
          <w:color w:val="111111"/>
          <w:sz w:val="28"/>
          <w:sz w:val="28"/>
          <w:szCs w:val="28"/>
          <w:rtl w:val="true"/>
          <w:lang w:bidi="ar-SA"/>
        </w:rPr>
        <w:t xml:space="preserve">،و يدلّ عليه كلام أمير المؤمنين عليه السّلام، فإنّ الحدّ و الرّجم مشترك بينهما،و هو قول الشّافعيّ </w:t>
      </w:r>
      <w:r>
        <w:rPr>
          <w:rStyle w:val="FootnoteAnchor"/>
          <w:rtl w:val="true"/>
        </w:rPr>
        <w:footnoteReference w:id="964"/>
      </w:r>
      <w:r>
        <w:rPr>
          <w:rFonts w:ascii="Amiri" w:hAnsi="Amiri" w:eastAsia="Amiri" w:cs="Amiri"/>
          <w:color w:val="111111"/>
          <w:sz w:val="28"/>
          <w:sz w:val="28"/>
          <w:szCs w:val="28"/>
          <w:rtl w:val="true"/>
          <w:lang w:bidi="ar-SA"/>
        </w:rPr>
        <w:t xml:space="preserve">،و أبي حنيفة </w:t>
      </w:r>
      <w:r>
        <w:rPr>
          <w:rStyle w:val="FootnoteAnchor"/>
          <w:rtl w:val="true"/>
        </w:rPr>
        <w:footnoteReference w:id="965"/>
      </w:r>
      <w:r>
        <w:rPr>
          <w:rFonts w:ascii="IRNazanin" w:hAnsi="IRNazanin" w:eastAsia="IRNazanin"/>
          <w:color w:val="111111"/>
          <w:sz w:val="28"/>
          <w:sz w:val="28"/>
          <w:szCs w:val="28"/>
          <w:rtl w:val="true"/>
          <w:lang w:bidi="fa-IR"/>
        </w:rPr>
        <w:t xml:space="preserve">،و أحمد </w:t>
      </w:r>
      <w:r>
        <w:rPr>
          <w:rStyle w:val="FootnoteAnchor"/>
          <w:rtl w:val="true"/>
        </w:rPr>
        <w:footnoteReference w:id="966"/>
      </w:r>
      <w:r>
        <w:rPr>
          <w:rFonts w:eastAsia="Times New Roman" w:cs="Times New Roman" w:ascii="Times New Roman" w:hAnsi="Times New Roman"/>
          <w:color w:val="111111"/>
          <w:sz w:val="28"/>
          <w:szCs w:val="28"/>
          <w:rtl w:val="true"/>
          <w:lang w:val="en-US" w:bidi="en-US"/>
        </w:rPr>
        <w:t xml:space="preserve">. </w:t>
      </w:r>
      <w:bookmarkStart w:id="592" w:name="pg12669_112978"/>
    </w:p>
    <w:p>
      <w:pPr>
        <w:pStyle w:val="BookText"/>
        <w:rPr/>
      </w:pPr>
      <w:bookmarkEnd w:id="592"/>
      <w:r>
        <w:rPr>
          <w:rFonts w:ascii="Amiri" w:hAnsi="Amiri" w:eastAsia="Amiri" w:cs="Amiri"/>
          <w:color w:val="111111"/>
          <w:sz w:val="28"/>
          <w:sz w:val="28"/>
          <w:szCs w:val="28"/>
          <w:rtl w:val="true"/>
          <w:lang w:bidi="ar-SA"/>
        </w:rPr>
        <w:t>و كذا الغلام الموطوء،يجب عليه الغسل</w:t>
      </w:r>
      <w:r>
        <w:rPr>
          <w:rFonts w:eastAsia="Amiri" w:cs="Amiri" w:ascii="Amiri" w:hAnsi="Amiri"/>
          <w:color w:val="111111"/>
          <w:sz w:val="28"/>
          <w:szCs w:val="28"/>
          <w:rtl w:val="true"/>
          <w:lang w:bidi="ar-SA"/>
        </w:rPr>
        <w:t>.</w:t>
      </w:r>
    </w:p>
    <w:p>
      <w:pPr>
        <w:pStyle w:val="Heading6"/>
        <w:numPr>
          <w:ilvl w:val="5"/>
          <w:numId w:val="1"/>
        </w:numPr>
        <w:rPr/>
      </w:pPr>
      <w:bookmarkStart w:id="593" w:name="__RefHeading___Toc795607_222507752"/>
      <w:bookmarkStart w:id="594" w:name="_Toc243"/>
      <w:bookmarkEnd w:id="593"/>
      <w:r>
        <w:rPr>
          <w:rtl w:val="true"/>
        </w:rPr>
        <w:t>الرّابع</w:t>
      </w:r>
      <w:r>
        <w:rPr>
          <w:rtl w:val="true"/>
        </w:rPr>
        <w:t>:</w:t>
      </w:r>
      <w:r>
        <w:rPr>
          <w:rtl w:val="true"/>
        </w:rPr>
        <w:t>لو وطئ بهيمة،قال الشّيخ في المبسوط و الخلاف</w:t>
      </w:r>
      <w:r>
        <w:rPr>
          <w:rtl w:val="true"/>
        </w:rPr>
        <w:t>:</w:t>
      </w:r>
      <w:r>
        <w:rPr>
          <w:rtl w:val="true"/>
        </w:rPr>
        <w:t>لا نصّ فيه</w:t>
      </w:r>
      <w:bookmarkEnd w:id="594"/>
    </w:p>
    <w:p>
      <w:pPr>
        <w:pStyle w:val="BookText"/>
        <w:rPr/>
      </w:pPr>
      <w:r>
        <w:rPr>
          <w:rStyle w:val="FootnoteAnchor"/>
          <w:rtl w:val="true"/>
        </w:rPr>
        <w:footnoteReference w:id="9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يتعلّق به حكم،و هو قول أبي حنيفة </w:t>
      </w:r>
      <w:r>
        <w:rPr>
          <w:rStyle w:val="FootnoteAnchor"/>
          <w:rtl w:val="true"/>
        </w:rPr>
        <w:footnoteReference w:id="968"/>
      </w:r>
      <w:r>
        <w:rPr>
          <w:rFonts w:ascii="Amiri" w:hAnsi="Amiri" w:eastAsia="Amiri" w:cs="Amiri"/>
          <w:color w:val="111111"/>
          <w:sz w:val="28"/>
          <w:sz w:val="28"/>
          <w:szCs w:val="28"/>
          <w:rtl w:val="true"/>
          <w:lang w:bidi="ar-SA"/>
        </w:rPr>
        <w:t xml:space="preserve">،خلافا للشّافعيّ </w:t>
      </w:r>
      <w:r>
        <w:rPr>
          <w:rStyle w:val="FootnoteAnchor"/>
          <w:rtl w:val="true"/>
        </w:rPr>
        <w:footnoteReference w:id="969"/>
      </w:r>
      <w:r>
        <w:rPr>
          <w:rFonts w:ascii="IRNazanin" w:hAnsi="IRNazanin" w:eastAsia="IRNazanin"/>
          <w:color w:val="111111"/>
          <w:sz w:val="28"/>
          <w:sz w:val="28"/>
          <w:szCs w:val="28"/>
          <w:rtl w:val="true"/>
          <w:lang w:bidi="fa-IR"/>
        </w:rPr>
        <w:t xml:space="preserve">،و أحمد </w:t>
      </w:r>
      <w:r>
        <w:rPr>
          <w:rStyle w:val="FootnoteAnchor"/>
          <w:rtl w:val="true"/>
        </w:rPr>
        <w:footnoteReference w:id="970"/>
      </w:r>
      <w:r>
        <w:rPr>
          <w:rFonts w:ascii="Amiri" w:hAnsi="Amiri" w:eastAsia="Amiri" w:cs="Amiri"/>
          <w:color w:val="111111"/>
          <w:sz w:val="28"/>
          <w:sz w:val="28"/>
          <w:szCs w:val="28"/>
          <w:rtl w:val="true"/>
          <w:lang w:bidi="ar-SA"/>
        </w:rPr>
        <w:t>،و كلام الشّيخ قويّ</w:t>
      </w:r>
      <w:r>
        <w:rPr>
          <w:rFonts w:eastAsia="Amiri" w:cs="Amiri" w:ascii="Amiri" w:hAnsi="Amiri"/>
          <w:color w:val="111111"/>
          <w:sz w:val="28"/>
          <w:szCs w:val="28"/>
          <w:rtl w:val="true"/>
          <w:lang w:bidi="ar-SA"/>
        </w:rPr>
        <w:t>.</w:t>
      </w:r>
    </w:p>
    <w:p>
      <w:pPr>
        <w:pStyle w:val="Heading6"/>
        <w:numPr>
          <w:ilvl w:val="5"/>
          <w:numId w:val="1"/>
        </w:numPr>
        <w:rPr/>
      </w:pPr>
      <w:bookmarkStart w:id="595" w:name="__RefHeading___Toc795609_222507752"/>
      <w:bookmarkStart w:id="596" w:name="_Toc244"/>
      <w:bookmarkEnd w:id="595"/>
      <w:r>
        <w:rPr>
          <w:rtl w:val="true"/>
        </w:rPr>
        <w:t>الخامس</w:t>
      </w:r>
      <w:r>
        <w:rPr>
          <w:rtl w:val="true"/>
        </w:rPr>
        <w:t>:</w:t>
      </w:r>
      <w:r>
        <w:rPr>
          <w:rtl w:val="true"/>
        </w:rPr>
        <w:t>لا فرق في الموطوء الآدميّ بين أن يكون طائعا،أو مكرها،و نائما،أو</w:t>
      </w:r>
      <w:bookmarkEnd w:id="596"/>
    </w:p>
    <w:p>
      <w:pPr>
        <w:pStyle w:val="BookText"/>
        <w:rPr/>
      </w:pPr>
      <w:r>
        <w:rPr>
          <w:rFonts w:ascii="Amiri" w:hAnsi="Amiri" w:eastAsia="Amiri" w:cs="Amiri"/>
          <w:color w:val="111111"/>
          <w:sz w:val="28"/>
          <w:sz w:val="28"/>
          <w:szCs w:val="28"/>
          <w:rtl w:val="true"/>
          <w:lang w:bidi="ar-SA"/>
        </w:rPr>
        <w:t>مستيقظا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الواطئ</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حيّا،أو ميّتا،خلافا لأبي حنيفة فإنّه لم يوجب الغسل بوطء الميتة </w:t>
      </w:r>
      <w:r>
        <w:rPr>
          <w:rStyle w:val="FootnoteAnchor"/>
          <w:rtl w:val="true"/>
        </w:rPr>
        <w:footnoteReference w:id="9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إيلاج فرج في فرج حصل معه الالتقاء،فيجب الغسل،عملا بالأحاديث السّالفة و لأنّه إيلاج فرج آدميّ في فرج آدميّ فيجب الغسل كالحيّ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احتجّ أبو حنيفة بأنّه وطء غير مقصود،فلا يتعلّق الحكم به </w:t>
      </w:r>
      <w:r>
        <w:rPr>
          <w:rStyle w:val="FootnoteAnchor"/>
          <w:rtl w:val="true"/>
        </w:rPr>
        <w:footnoteReference w:id="972"/>
      </w:r>
      <w:r>
        <w:rPr>
          <w:rFonts w:eastAsia="Times New Roman" w:cs="Times New Roman" w:ascii="Times New Roman" w:hAnsi="Times New Roman"/>
          <w:color w:val="111111"/>
          <w:sz w:val="28"/>
          <w:szCs w:val="28"/>
          <w:rtl w:val="true"/>
          <w:lang w:val="en-US" w:bidi="en-US"/>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المنع من عدم القصد،ضرورة </w:t>
      </w:r>
      <w:r>
        <w:rPr>
          <w:rStyle w:val="FootnoteAnchor"/>
          <w:rtl w:val="true"/>
        </w:rPr>
        <w:footnoteReference w:id="973"/>
      </w:r>
      <w:r>
        <w:rPr>
          <w:rFonts w:ascii="Amiri" w:hAnsi="Amiri" w:eastAsia="Amiri" w:cs="Amiri"/>
          <w:color w:val="111111"/>
          <w:sz w:val="28"/>
          <w:sz w:val="28"/>
          <w:szCs w:val="28"/>
          <w:rtl w:val="true"/>
          <w:lang w:bidi="ar-SA"/>
        </w:rPr>
        <w:t>توقّف الفعل عليه،إلاّ أن يعني بالقصد ما يكون متعلّق الشّهوة غالبا فينتقض بالعجوز و الشّوهاء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كان جماعة للميتة بعد غسلها لم يعد،و هو أحد وجهي الشّافعيّ </w:t>
      </w:r>
      <w:r>
        <w:rPr>
          <w:rStyle w:val="FootnoteAnchor"/>
          <w:rtl w:val="true"/>
        </w:rPr>
        <w:footnoteReference w:id="974"/>
      </w:r>
      <w:r>
        <w:rPr>
          <w:rFonts w:eastAsia="Times New Roman" w:cs="Times New Roman" w:ascii="Times New Roman" w:hAnsi="Times New Roman"/>
          <w:color w:val="111111"/>
          <w:sz w:val="28"/>
          <w:szCs w:val="28"/>
          <w:rtl w:val="true"/>
          <w:lang w:val="en-US" w:bidi="en-US"/>
        </w:rPr>
        <w:t xml:space="preserve">. </w:t>
      </w:r>
      <w:bookmarkStart w:id="597" w:name="pg12669_112979"/>
    </w:p>
    <w:p>
      <w:pPr>
        <w:pStyle w:val="Heading6"/>
        <w:numPr>
          <w:ilvl w:val="5"/>
          <w:numId w:val="1"/>
        </w:numPr>
        <w:rPr/>
      </w:pPr>
      <w:bookmarkStart w:id="598" w:name="__RefHeading___Toc795611_222507752"/>
      <w:bookmarkStart w:id="599" w:name="_Toc245"/>
      <w:bookmarkEnd w:id="597"/>
      <w:bookmarkEnd w:id="598"/>
      <w:r>
        <w:rPr>
          <w:rtl w:val="true"/>
        </w:rPr>
        <w:t>السّادس</w:t>
      </w:r>
      <w:r>
        <w:rPr>
          <w:rtl w:val="true"/>
        </w:rPr>
        <w:t>:</w:t>
      </w:r>
      <w:r>
        <w:rPr>
          <w:rtl w:val="true"/>
        </w:rPr>
        <w:t>لو غيّب بعض الحشفة و لم ينزل لم يتعلّق به حكم،</w:t>
      </w:r>
      <w:bookmarkEnd w:id="599"/>
    </w:p>
    <w:p>
      <w:pPr>
        <w:pStyle w:val="BookText"/>
        <w:rPr/>
      </w:pPr>
      <w:r>
        <w:rPr>
          <w:rFonts w:ascii="Amiri" w:hAnsi="Amiri" w:eastAsia="Amiri" w:cs="Amiri"/>
          <w:color w:val="111111"/>
          <w:sz w:val="28"/>
          <w:sz w:val="28"/>
          <w:szCs w:val="28"/>
          <w:rtl w:val="true"/>
          <w:lang w:bidi="ar-SA"/>
        </w:rPr>
        <w:t>لأنّه لم يوجد التقاء الختانين و لا ما هو في معناه،لأنّ غيبوبة الحشفة شرط للوجوب،لرواية محمّد بن إسماعيل الصّحيحة،قلت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التقاء الختانين هو غيبوبة الحشفة؟قال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Style w:val="FootnoteAnchor"/>
          <w:rtl w:val="true"/>
        </w:rPr>
        <w:footnoteReference w:id="975"/>
      </w:r>
      <w:r>
        <w:rPr>
          <w:rFonts w:ascii="Amiri" w:hAnsi="Amiri" w:eastAsia="Amiri" w:cs="Amiri"/>
          <w:color w:val="111111"/>
          <w:sz w:val="28"/>
          <w:sz w:val="28"/>
          <w:szCs w:val="28"/>
          <w:rtl w:val="true"/>
          <w:lang w:bidi="ar-SA"/>
        </w:rPr>
        <w:t>و لم يوجد،فينتفي الوجوب</w:t>
      </w:r>
      <w:r>
        <w:rPr>
          <w:rFonts w:eastAsia="Amiri" w:cs="Amiri" w:ascii="Amiri" w:hAnsi="Amiri"/>
          <w:color w:val="111111"/>
          <w:sz w:val="28"/>
          <w:szCs w:val="28"/>
          <w:rtl w:val="true"/>
          <w:lang w:bidi="ar-SA"/>
        </w:rPr>
        <w:t>.</w:t>
      </w:r>
    </w:p>
    <w:p>
      <w:pPr>
        <w:pStyle w:val="Heading6"/>
        <w:numPr>
          <w:ilvl w:val="5"/>
          <w:numId w:val="1"/>
        </w:numPr>
        <w:rPr/>
      </w:pPr>
      <w:bookmarkStart w:id="600" w:name="__RefHeading___Toc795613_222507752"/>
      <w:bookmarkStart w:id="601" w:name="_Toc246"/>
      <w:bookmarkEnd w:id="600"/>
      <w:r>
        <w:rPr>
          <w:rtl w:val="true"/>
        </w:rPr>
        <w:t>السّابع</w:t>
      </w:r>
      <w:r>
        <w:rPr>
          <w:rtl w:val="true"/>
        </w:rPr>
        <w:t>:</w:t>
      </w:r>
      <w:r>
        <w:rPr>
          <w:rtl w:val="true"/>
        </w:rPr>
        <w:t>لو انقطعت الحشفة،أو لم يكن له خلقة،فأولج الباقي من ذكره بقدر</w:t>
      </w:r>
      <w:bookmarkEnd w:id="601"/>
    </w:p>
    <w:p>
      <w:pPr>
        <w:pStyle w:val="BookText"/>
        <w:rPr/>
      </w:pPr>
      <w:r>
        <w:rPr>
          <w:rFonts w:ascii="Amiri" w:hAnsi="Amiri" w:eastAsia="Amiri" w:cs="Amiri"/>
          <w:color w:val="111111"/>
          <w:sz w:val="28"/>
          <w:sz w:val="28"/>
          <w:szCs w:val="28"/>
          <w:rtl w:val="true"/>
          <w:lang w:bidi="ar-SA"/>
        </w:rPr>
        <w:t>الحشفة وجب الغسل،</w:t>
      </w:r>
    </w:p>
    <w:p>
      <w:pPr>
        <w:pStyle w:val="BookText"/>
        <w:rPr/>
      </w:pPr>
      <w:r>
        <w:rPr>
          <w:rFonts w:ascii="Amiri" w:hAnsi="Amiri" w:eastAsia="Amiri" w:cs="Amiri"/>
          <w:color w:val="111111"/>
          <w:sz w:val="28"/>
          <w:sz w:val="28"/>
          <w:szCs w:val="28"/>
          <w:rtl w:val="true"/>
          <w:lang w:bidi="ar-SA"/>
        </w:rPr>
        <w:t>و تعلّقت به أحكام الوطء من المهر و غيره،لرواية محمّد بن مسلم الصّحيحة،عن أحدهما عليهما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أدخله فقد وجب الغسل و المهر و الرّجم</w:t>
      </w:r>
      <w:r>
        <w:rPr>
          <w:rFonts w:eastAsia="Amiri" w:cs="Amiri" w:ascii="Amiri" w:hAnsi="Amiri"/>
          <w:color w:val="111111"/>
          <w:sz w:val="28"/>
          <w:szCs w:val="28"/>
          <w:rtl w:val="true"/>
          <w:lang w:bidi="ar-SA"/>
        </w:rPr>
        <w:t xml:space="preserve">» </w:t>
      </w:r>
      <w:r>
        <w:rPr>
          <w:rStyle w:val="FootnoteAnchor"/>
          <w:rtl w:val="true"/>
        </w:rPr>
        <w:footnoteReference w:id="976"/>
      </w:r>
      <w:r>
        <w:rPr>
          <w:rFonts w:ascii="Amiri" w:hAnsi="Amiri" w:eastAsia="Amiri" w:cs="Amiri"/>
          <w:color w:val="111111"/>
          <w:sz w:val="28"/>
          <w:sz w:val="28"/>
          <w:szCs w:val="28"/>
          <w:rtl w:val="true"/>
          <w:lang w:bidi="ar-SA"/>
        </w:rPr>
        <w:t>و إن كان أقلّ من ذلك لم يجب</w:t>
      </w:r>
      <w:r>
        <w:rPr>
          <w:rFonts w:eastAsia="Amiri" w:cs="Amiri" w:ascii="Amiri" w:hAnsi="Amiri"/>
          <w:color w:val="111111"/>
          <w:sz w:val="28"/>
          <w:szCs w:val="28"/>
          <w:rtl w:val="true"/>
          <w:lang w:bidi="ar-SA"/>
        </w:rPr>
        <w:t>.</w:t>
      </w:r>
    </w:p>
    <w:p>
      <w:pPr>
        <w:pStyle w:val="Heading6"/>
        <w:numPr>
          <w:ilvl w:val="5"/>
          <w:numId w:val="1"/>
        </w:numPr>
        <w:rPr/>
      </w:pPr>
      <w:bookmarkStart w:id="602" w:name="__RefHeading___Toc795615_222507752"/>
      <w:bookmarkStart w:id="603" w:name="_Toc247"/>
      <w:bookmarkEnd w:id="602"/>
      <w:r>
        <w:rPr>
          <w:rtl w:val="true"/>
        </w:rPr>
        <w:t>الثّامن</w:t>
      </w:r>
      <w:r>
        <w:rPr>
          <w:rtl w:val="true"/>
        </w:rPr>
        <w:t>:</w:t>
      </w:r>
      <w:r>
        <w:rPr>
          <w:rtl w:val="true"/>
        </w:rPr>
        <w:t>لو أولج ذكره في قبل خنثى مشكل،أو أولج الخنثى المشكل ذكره،أو</w:t>
      </w:r>
      <w:bookmarkEnd w:id="603"/>
    </w:p>
    <w:p>
      <w:pPr>
        <w:pStyle w:val="BookText"/>
        <w:rPr/>
      </w:pPr>
      <w:r>
        <w:rPr>
          <w:rFonts w:ascii="Amiri" w:hAnsi="Amiri" w:eastAsia="Amiri" w:cs="Amiri"/>
          <w:color w:val="111111"/>
          <w:sz w:val="28"/>
          <w:sz w:val="28"/>
          <w:szCs w:val="28"/>
          <w:rtl w:val="true"/>
          <w:lang w:bidi="ar-SA"/>
        </w:rPr>
        <w:t>وطأ أحدهما الآخر في قبله،قال الشّافعيّ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يجب الغسل</w:t>
      </w:r>
    </w:p>
    <w:p>
      <w:pPr>
        <w:pStyle w:val="BookText"/>
        <w:rPr/>
      </w:pPr>
      <w:r>
        <w:rPr>
          <w:rFonts w:ascii="Amiri" w:hAnsi="Amiri" w:eastAsia="Amiri" w:cs="Amiri"/>
          <w:color w:val="111111"/>
          <w:sz w:val="28"/>
          <w:sz w:val="28"/>
          <w:szCs w:val="28"/>
          <w:rtl w:val="true"/>
          <w:lang w:bidi="ar-SA"/>
        </w:rPr>
        <w:t xml:space="preserve">لاحتمال أن يكون زائدا،و مع الإنزال يختصّ الغسل بالمنزل و لو اشترك </w:t>
      </w:r>
      <w:r>
        <w:rPr>
          <w:rStyle w:val="FootnoteAnchor"/>
          <w:rtl w:val="true"/>
        </w:rPr>
        <w:footnoteReference w:id="97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 إشكال من حيث تعلّق الحكم بالتقاء الختانين من غير اعتبار الزّيادة و الأصالة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لو أولج الرّجل في دبر الخنثى فإنّه يجب الغسل عند السّيّد و هو الحقّ،و به قال الشّافعيّ </w:t>
      </w:r>
      <w:r>
        <w:rPr>
          <w:rStyle w:val="FootnoteAnchor"/>
          <w:rtl w:val="true"/>
        </w:rPr>
        <w:footnoteReference w:id="97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04" w:name="__RefHeading___Toc795617_222507752"/>
      <w:bookmarkStart w:id="605" w:name="_Toc248"/>
      <w:bookmarkEnd w:id="604"/>
      <w:r>
        <w:rPr>
          <w:rtl w:val="true"/>
        </w:rPr>
        <w:t>التّاسع</w:t>
      </w:r>
      <w:r>
        <w:rPr>
          <w:rtl w:val="true"/>
        </w:rPr>
        <w:t>:</w:t>
      </w:r>
      <w:r>
        <w:rPr>
          <w:rtl w:val="true"/>
        </w:rPr>
        <w:t>لو وطئ الصّبيّ أووطئت الصّبيّة ففي تعلّق الحكم بهما نظر</w:t>
      </w:r>
      <w:r>
        <w:rPr>
          <w:rtl w:val="true"/>
        </w:rPr>
        <w:t>.</w:t>
      </w:r>
      <w:bookmarkEnd w:id="605"/>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9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حنيفة و أبو ثور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يستحبّ لهما الغسل لعدم تعلّق الإثم بهما فلا يتصوّر الوجوب في حقّهما،و لأنّ الصّلاة الّتي يجب الطّهارة لها غير واجبة عليهما،فأشبهت </w:t>
      </w:r>
      <w:bookmarkStart w:id="606" w:name="pg12669_112980"/>
    </w:p>
    <w:p>
      <w:pPr>
        <w:pStyle w:val="BookText"/>
        <w:rPr/>
      </w:pPr>
      <w:bookmarkEnd w:id="606"/>
      <w:r>
        <w:rPr>
          <w:rFonts w:ascii="IRNazanin" w:hAnsi="IRNazanin" w:eastAsia="IRNazanin"/>
          <w:color w:val="111111"/>
          <w:sz w:val="28"/>
          <w:sz w:val="28"/>
          <w:szCs w:val="28"/>
          <w:rtl w:val="true"/>
          <w:lang w:bidi="fa-IR"/>
        </w:rPr>
        <w:t xml:space="preserve">الحائض </w:t>
      </w:r>
      <w:r>
        <w:rPr>
          <w:rStyle w:val="FootnoteAnchor"/>
          <w:rtl w:val="true"/>
        </w:rPr>
        <w:footnoteReference w:id="98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أحمد بالوجوب،عملا بقوله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التقى الختانان وجب الغسل</w:t>
      </w:r>
      <w:r>
        <w:rPr>
          <w:rFonts w:eastAsia="Amiri" w:cs="Amiri" w:ascii="Amiri" w:hAnsi="Amiri"/>
          <w:color w:val="111111"/>
          <w:sz w:val="28"/>
          <w:szCs w:val="28"/>
          <w:rtl w:val="true"/>
          <w:lang w:bidi="ar-SA"/>
        </w:rPr>
        <w:t xml:space="preserve">) </w:t>
      </w:r>
      <w:r>
        <w:rPr>
          <w:rStyle w:val="FootnoteAnchor"/>
          <w:rtl w:val="true"/>
        </w:rPr>
        <w:footnoteReference w:id="981"/>
      </w:r>
      <w:r>
        <w:rPr>
          <w:rFonts w:ascii="Amiri" w:hAnsi="Amiri" w:eastAsia="Amiri" w:cs="Amiri"/>
          <w:color w:val="111111"/>
          <w:sz w:val="28"/>
          <w:sz w:val="28"/>
          <w:szCs w:val="28"/>
          <w:rtl w:val="true"/>
          <w:lang w:bidi="ar-SA"/>
        </w:rPr>
        <w:t xml:space="preserve">و لا نعني بالوجوب التّأثيم بتركه،بل معناه أنّه شرط لصحّة الصّلاة، و الطّواف،و إباحة قراءة العزائم،و إنّما يأثم البالغ بتأخيره في موضع يتأخّر الواجب بتركه،و لذلك لو أخّره في غير وقت الصّلاة لم يأثم،و الصّبيّ لا صلاة عليه فلا يأثم بالتّأخير،و بقي في حقّه شرطا كما في حقّ الكبير،و إذا بلغ كان حكم الحدث في حقّه باقيا،كالحدث الأصغر ينقض الطّهارة في حقّ الكبير و الصّغير </w:t>
      </w:r>
      <w:r>
        <w:rPr>
          <w:rStyle w:val="FootnoteAnchor"/>
          <w:rtl w:val="true"/>
        </w:rPr>
        <w:footnoteReference w:id="9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الأقوى</w:t>
      </w:r>
      <w:r>
        <w:rPr>
          <w:rFonts w:eastAsia="IRNazanin" w:cs="IRNazanin"/>
          <w:color w:val="111111"/>
          <w:sz w:val="28"/>
          <w:szCs w:val="28"/>
          <w:rtl w:val="true"/>
          <w:lang w:bidi="fa-IR"/>
        </w:rPr>
        <w:t>.</w:t>
      </w:r>
    </w:p>
    <w:p>
      <w:pPr>
        <w:pStyle w:val="Heading6"/>
        <w:numPr>
          <w:ilvl w:val="5"/>
          <w:numId w:val="1"/>
        </w:numPr>
        <w:rPr/>
      </w:pPr>
      <w:bookmarkStart w:id="607" w:name="__RefHeading___Toc795619_222507752"/>
      <w:bookmarkStart w:id="608" w:name="_Toc249"/>
      <w:bookmarkEnd w:id="607"/>
      <w:r>
        <w:rPr>
          <w:rtl w:val="true"/>
        </w:rPr>
        <w:t>الأصل</w:t>
      </w:r>
      <w:r>
        <w:rPr>
          <w:rtl w:val="true"/>
        </w:rPr>
        <w:t>:</w:t>
      </w:r>
      <w:r>
        <w:rPr>
          <w:rtl w:val="true"/>
        </w:rPr>
        <w:t>الكفّار مخاطبون بفروع العبادات في الأمر و النّهي معا،</w:t>
      </w:r>
      <w:bookmarkEnd w:id="608"/>
    </w:p>
    <w:p>
      <w:pPr>
        <w:pStyle w:val="BookText"/>
        <w:rPr/>
      </w:pPr>
      <w:r>
        <w:rPr>
          <w:rFonts w:ascii="Amiri" w:hAnsi="Amiri" w:eastAsia="Amiri" w:cs="Amiri"/>
          <w:color w:val="111111"/>
          <w:sz w:val="28"/>
          <w:sz w:val="28"/>
          <w:szCs w:val="28"/>
          <w:rtl w:val="true"/>
          <w:lang w:bidi="ar-SA"/>
        </w:rPr>
        <w:t xml:space="preserve">خلافا للحنفيّة مطلقا و لبعض النّاس في الأوامر </w:t>
      </w:r>
      <w:r>
        <w:rPr>
          <w:rStyle w:val="FootnoteAnchor"/>
          <w:rtl w:val="true"/>
        </w:rPr>
        <w:footnoteReference w:id="9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المقتضي و هو العموم موجود كقوله تعالى وَ لِلّهِ عَلَى النّاسِ حِجُّ الْبَيْتِ </w:t>
      </w:r>
      <w:r>
        <w:rPr>
          <w:rStyle w:val="FootnoteAnchor"/>
          <w:rtl w:val="true"/>
        </w:rPr>
        <w:footnoteReference w:id="984"/>
      </w:r>
      <w:r>
        <w:rPr>
          <w:rFonts w:eastAsia="Times New Roman" w:cs="Times New Roman" w:ascii="Times New Roman" w:hAnsi="Times New Roman"/>
          <w:color w:val="111111"/>
          <w:sz w:val="28"/>
          <w:szCs w:val="28"/>
          <w:rtl w:val="true"/>
          <w:lang w:val="en-US" w:bidi="en-US"/>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أَيُّهَا النّاسُ اعْبُدُوا رَبَّكُمُ </w:t>
      </w:r>
      <w:r>
        <w:rPr>
          <w:rStyle w:val="FootnoteAnchor"/>
          <w:rtl w:val="true"/>
        </w:rPr>
        <w:footnoteReference w:id="985"/>
      </w:r>
      <w:r>
        <w:rPr>
          <w:rFonts w:ascii="Amiri" w:hAnsi="Amiri" w:eastAsia="Amiri" w:cs="Amiri"/>
          <w:color w:val="111111"/>
          <w:sz w:val="28"/>
          <w:sz w:val="28"/>
          <w:szCs w:val="28"/>
          <w:rtl w:val="true"/>
          <w:lang w:bidi="ar-SA"/>
        </w:rPr>
        <w:t xml:space="preserve">و المانع و هو الكفر لا يصلح ان يكون مانعا،لأنّ الكافر متمكّن من الإتيان بالإيمان أوّلا حتّى يصير متمكّنا من الفروع كما في حقّ المحدث،و لقوله تعالى قالُوا لَمْ نَكُ مِنَ الْمُصَلِّينَ </w:t>
      </w:r>
      <w:r>
        <w:rPr>
          <w:rStyle w:val="FootnoteAnchor"/>
          <w:rtl w:val="true"/>
        </w:rPr>
        <w:footnoteReference w:id="986"/>
      </w:r>
      <w:r>
        <w:rPr>
          <w:rFonts w:ascii="Amiri" w:hAnsi="Amiri" w:eastAsia="Amiri" w:cs="Amiri"/>
          <w:color w:val="111111"/>
          <w:sz w:val="28"/>
          <w:sz w:val="28"/>
          <w:szCs w:val="28"/>
          <w:rtl w:val="true"/>
          <w:lang w:bidi="ar-SA"/>
        </w:rPr>
        <w:t xml:space="preserve">و لقوله تعالى وَ مَنْ يَفْعَلْ ذلِكَ يَلْقَ أَثاماً </w:t>
      </w:r>
      <w:r>
        <w:rPr>
          <w:rStyle w:val="FootnoteAnchor"/>
          <w:rtl w:val="true"/>
        </w:rPr>
        <w:footnoteReference w:id="987"/>
      </w:r>
      <w:r>
        <w:rPr>
          <w:rFonts w:ascii="Amiri" w:hAnsi="Amiri" w:eastAsia="Amiri" w:cs="Amiri"/>
          <w:color w:val="111111"/>
          <w:sz w:val="28"/>
          <w:sz w:val="28"/>
          <w:szCs w:val="28"/>
          <w:rtl w:val="true"/>
          <w:lang w:bidi="ar-SA"/>
        </w:rPr>
        <w:t xml:space="preserve">و ذلك عائد إلى كلّ ما تقدّم،و قوله تعالى فَلا صَدَّقَ وَ لا صَلّى وَ لكِنْ كَذَّبَ وَ تَوَلّى </w:t>
      </w:r>
      <w:r>
        <w:rPr>
          <w:rStyle w:val="FootnoteAnchor"/>
          <w:rtl w:val="true"/>
        </w:rPr>
        <w:footnoteReference w:id="988"/>
      </w:r>
      <w:r>
        <w:rPr>
          <w:rFonts w:ascii="Amiri" w:hAnsi="Amiri" w:eastAsia="Amiri" w:cs="Amiri"/>
          <w:color w:val="111111"/>
          <w:sz w:val="28"/>
          <w:sz w:val="28"/>
          <w:szCs w:val="28"/>
          <w:rtl w:val="true"/>
          <w:lang w:bidi="ar-SA"/>
        </w:rPr>
        <w:t>ذمّهم على الجميع،و قوله</w:t>
      </w:r>
      <w:r>
        <w:rPr>
          <w:rFonts w:eastAsia="Amiri" w:cs="Amiri" w:ascii="Amiri" w:hAnsi="Amiri"/>
          <w:color w:val="111111"/>
          <w:sz w:val="28"/>
          <w:szCs w:val="28"/>
          <w:rtl w:val="true"/>
          <w:lang w:bidi="ar-SA"/>
        </w:rPr>
        <w:t xml:space="preserve">: </w:t>
      </w:r>
      <w:bookmarkStart w:id="609" w:name="pg12669_112981"/>
    </w:p>
    <w:p>
      <w:pPr>
        <w:pStyle w:val="BookText"/>
        <w:rPr/>
      </w:pPr>
      <w:bookmarkEnd w:id="609"/>
      <w:r>
        <w:rPr>
          <w:rFonts w:ascii="Amiri" w:hAnsi="Amiri" w:eastAsia="Amiri" w:cs="Amiri"/>
          <w:color w:val="111111"/>
          <w:sz w:val="28"/>
          <w:sz w:val="28"/>
          <w:szCs w:val="28"/>
          <w:rtl w:val="true"/>
          <w:lang w:bidi="ar-SA"/>
        </w:rPr>
        <w:t xml:space="preserve">وَيْلٌ لِلْمُشْرِكِينَ الَّذِينَ لا يُؤْتُونَ الزَّكاةَ </w:t>
      </w:r>
      <w:r>
        <w:rPr>
          <w:rStyle w:val="FootnoteAnchor"/>
          <w:rtl w:val="true"/>
        </w:rPr>
        <w:footnoteReference w:id="9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لأنّ النّهي يتناوله،فيحدّ على الزّنا فيتناوله الأمر،لأنّ التّناول ثمَّ إنّما كان لتمكّنه من استيفاء المصلحة الحاصلة بسبب الاحتراز من المنهيّ عنه للمناسبة و الاقتران، فوجب أن يكون متمكّنا من استيفاء المصلحة الحاصلة بسبب الإقدام على المأمور به، و احتجاجهم بأنّه لو وجبت الصّلاة لكانت إمّا حال الكفر أو بعده،و الأوّل باطل لامتناعه،و الثّاني باطل للإجماع على سقوط القضاء لما فات حالة الكفر،و لأنّه لو كان واجبا لوجب القضاء كالمسلم،و الجامع تدارك المصلحة المتعلّقة بتلك العبادات،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 فلأنّا لا نعني بتكليفهم في الدّنيا الإقدام على الصّلاة مع الكفر و لا وجوب القضاء،بل يتناول العقاب لهم في الآخرة على ترك الفروع،كما حصل لهم على ترك الإيمان،و حينئذ يندفع ما ذكروه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بالمنع من الملازمة،فإنّ القضاء يجب بأمر جديد،و قياسهم منتقض بالجمعة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الفرق واقع،لأنّ في حقّ الكافر لو أمر بالقضاء،حصل التّنفّر له عن الإسلام</w:t>
      </w:r>
      <w:r>
        <w:rPr>
          <w:rFonts w:eastAsia="Amiri" w:cs="Amiri" w:ascii="Amiri" w:hAnsi="Amiri"/>
          <w:color w:val="111111"/>
          <w:sz w:val="28"/>
          <w:szCs w:val="28"/>
          <w:rtl w:val="true"/>
          <w:lang w:bidi="ar-SA"/>
        </w:rPr>
        <w:t>.</w:t>
      </w:r>
    </w:p>
    <w:p>
      <w:pPr>
        <w:pStyle w:val="Heading6"/>
        <w:numPr>
          <w:ilvl w:val="5"/>
          <w:numId w:val="1"/>
        </w:numPr>
        <w:rPr/>
      </w:pPr>
      <w:bookmarkStart w:id="610" w:name="__RefHeading___Toc795621_222507752"/>
      <w:bookmarkStart w:id="611" w:name="_Toc250"/>
      <w:bookmarkEnd w:id="610"/>
      <w:r>
        <w:rPr>
          <w:rtl w:val="true"/>
        </w:rPr>
        <w:t>العاشر</w:t>
      </w:r>
      <w:r>
        <w:rPr>
          <w:rtl w:val="true"/>
        </w:rPr>
        <w:t>:</w:t>
      </w:r>
      <w:r>
        <w:rPr>
          <w:rtl w:val="true"/>
        </w:rPr>
        <w:t>إذا حصل السّبب للكافر لحقه الحكم بمعنى تناوله العقاب في الآخرة،</w:t>
      </w:r>
      <w:bookmarkEnd w:id="611"/>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9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أسلم لم يسقط عنه ما كان واجبا عليه ها هنا،سواء اغتسل في حال كفره أو لم يغتسل،و هو اختيار الشّافعيّ </w:t>
      </w:r>
      <w:r>
        <w:rPr>
          <w:rStyle w:val="FootnoteAnchor"/>
          <w:rtl w:val="true"/>
        </w:rPr>
        <w:footnoteReference w:id="99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أبو حنيفة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يسقط الغسل عنه لكن يستحبّ له </w:t>
      </w:r>
      <w:r>
        <w:rPr>
          <w:rStyle w:val="FootnoteAnchor"/>
          <w:rtl w:val="true"/>
        </w:rPr>
        <w:footnoteReference w:id="99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جنب بعد الإسلام،فيمنع من الصّلاة إلاّ بالغسل،لقوله تعالى وَ إِنْ كُنْتُمْ جُنُباً فَاطَّهَّرُوا </w:t>
      </w:r>
      <w:r>
        <w:rPr>
          <w:rStyle w:val="FootnoteAnchor"/>
          <w:rtl w:val="true"/>
        </w:rPr>
        <w:footnoteReference w:id="993"/>
      </w:r>
      <w:r>
        <w:rPr>
          <w:rFonts w:ascii="IRNazanin" w:hAnsi="IRNazanin" w:eastAsia="IRNazanin"/>
          <w:color w:val="111111"/>
          <w:sz w:val="28"/>
          <w:sz w:val="28"/>
          <w:szCs w:val="28"/>
          <w:rtl w:val="true"/>
          <w:lang w:bidi="fa-IR"/>
        </w:rPr>
        <w:t>و هو عام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التقى الختانان وجب الغسل</w:t>
      </w:r>
      <w:r>
        <w:rPr>
          <w:rFonts w:eastAsia="Amiri" w:cs="Amiri" w:ascii="Amiri" w:hAnsi="Amiri"/>
          <w:color w:val="111111"/>
          <w:sz w:val="28"/>
          <w:szCs w:val="28"/>
          <w:rtl w:val="true"/>
          <w:lang w:bidi="ar-SA"/>
        </w:rPr>
        <w:t xml:space="preserve">) </w:t>
      </w:r>
      <w:r>
        <w:rPr>
          <w:rStyle w:val="FootnoteAnchor"/>
          <w:rtl w:val="true"/>
        </w:rPr>
        <w:footnoteReference w:id="994"/>
      </w:r>
      <w:r>
        <w:rPr>
          <w:rFonts w:ascii="Amiri" w:hAnsi="Amiri" w:eastAsia="Amiri" w:cs="Amiri"/>
          <w:color w:val="111111"/>
          <w:sz w:val="28"/>
          <w:sz w:val="28"/>
          <w:szCs w:val="28"/>
          <w:rtl w:val="true"/>
          <w:lang w:bidi="ar-SA"/>
        </w:rPr>
        <w:t>و لأنّه لو كان محدثا حدثا أصغر لم يجز له الدّخول في الصّلاة إلاّ بالطّهارة،فكذا في الغسل،و لأنّه على تقدير أن لا يكون مكلّفا لا يلزم عدم الغسل،لأنّ عدم التّكليف غير مانع من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كالصّبيّ و المجنون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احتجّوا بأنّه لم ينقل عن النّبيّ صلّى اللّه عليه و آله انّه أمر أحدا بالغسل،مع كثرة من أسلم من البالغين،و هم غالبا لا يكادون يسلمون عن حدث الجنابة </w:t>
      </w:r>
      <w:r>
        <w:rPr>
          <w:rStyle w:val="FootnoteAnchor"/>
          <w:rtl w:val="true"/>
        </w:rPr>
        <w:footnoteReference w:id="99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الإسلام يجبّ ما قبله</w:t>
      </w:r>
      <w:r>
        <w:rPr>
          <w:rFonts w:eastAsia="Amiri" w:cs="Amiri" w:ascii="Amiri" w:hAnsi="Amiri"/>
          <w:color w:val="111111"/>
          <w:sz w:val="28"/>
          <w:szCs w:val="28"/>
          <w:rtl w:val="true"/>
          <w:lang w:bidi="ar-SA"/>
        </w:rPr>
        <w:t xml:space="preserve">) </w:t>
      </w:r>
      <w:r>
        <w:rPr>
          <w:rStyle w:val="FootnoteAnchor"/>
          <w:rtl w:val="true"/>
        </w:rPr>
        <w:footnoteReference w:id="9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الجواب عن الأوّل بالمنع من ترك الأمر،فإنّ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التقى الختانان وجب الغسل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عامّ،و قوله تعالى وَ إِنْ كُنْتُمْ جُنُباً فَاطَّهَّرُوا </w:t>
      </w:r>
      <w:r>
        <w:rPr>
          <w:rStyle w:val="FootnoteAnchor"/>
          <w:rtl w:val="true"/>
        </w:rPr>
        <w:footnoteReference w:id="997"/>
      </w:r>
      <w:r>
        <w:rPr>
          <w:rFonts w:ascii="Amiri" w:hAnsi="Amiri" w:eastAsia="Amiri" w:cs="Amiri"/>
          <w:color w:val="111111"/>
          <w:sz w:val="28"/>
          <w:sz w:val="28"/>
          <w:szCs w:val="28"/>
          <w:rtl w:val="true"/>
          <w:lang w:bidi="ar-SA"/>
        </w:rPr>
        <w:t>عامّ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سلّمنا ترك أمرهم به على التّفصيل،لكن لمّا علموا من دينه أنّهم بعد الإسلام مأمورون بأحكامه، و من جملة تلك الأحكام الصّلاة المشترطة بالطّهارة،لا جرم كان ذلك كافيا في الأمر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انّه قد نقل أنّهم أمروا بذلك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أبو داود،عن قيس بن عاصم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أتيت النّبيّ صلّى اللّه عليه و آله أريد الإسلام فأمرني أن أغتسل </w:t>
      </w:r>
      <w:r>
        <w:rPr>
          <w:rStyle w:val="FootnoteAnchor"/>
          <w:rtl w:val="true"/>
        </w:rPr>
        <w:footnoteReference w:id="998"/>
      </w:r>
      <w:r>
        <w:rPr>
          <w:rFonts w:eastAsia="Times New Roman" w:cs="Times New Roman" w:ascii="Times New Roman" w:hAnsi="Times New Roman"/>
          <w:color w:val="111111"/>
          <w:sz w:val="28"/>
          <w:szCs w:val="28"/>
          <w:rtl w:val="true"/>
          <w:lang w:val="en-US" w:bidi="en-US"/>
        </w:rPr>
        <w:t xml:space="preserve">. </w:t>
      </w:r>
      <w:bookmarkStart w:id="612" w:name="pg12669_112983"/>
    </w:p>
    <w:p>
      <w:pPr>
        <w:pStyle w:val="BookText"/>
        <w:rPr/>
      </w:pPr>
      <w:bookmarkEnd w:id="612"/>
      <w:r>
        <w:rPr>
          <w:rFonts w:ascii="Amiri" w:hAnsi="Amiri" w:eastAsia="Amiri" w:cs="Amiri"/>
          <w:color w:val="111111"/>
          <w:sz w:val="28"/>
          <w:sz w:val="28"/>
          <w:szCs w:val="28"/>
          <w:rtl w:val="true"/>
          <w:lang w:bidi="ar-SA"/>
        </w:rPr>
        <w:t>و روي،عن سعد بن معاذ</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أسيد بن حضير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 أراد الإسلام أنّهما سألا مصعب بن عمير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أسعد بن زرارة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تصنعون إذا دخلتم في هذا الأمر؟ 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نغتسل و نشهد شهادة الحق </w:t>
      </w:r>
      <w:r>
        <w:rPr>
          <w:rStyle w:val="FootnoteAnchor"/>
          <w:rtl w:val="true"/>
        </w:rPr>
        <w:footnoteReference w:id="99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ذلك يدلّ على استفاضة الأمر بالغسل،و لا موجب إلاّ ما ذكرناه</w:t>
      </w:r>
      <w:r>
        <w:rPr>
          <w:rFonts w:eastAsia="Amiri" w:cs="Amiri" w:ascii="Amiri" w:hAnsi="Amiri"/>
          <w:color w:val="111111"/>
          <w:sz w:val="28"/>
          <w:szCs w:val="28"/>
          <w:rtl w:val="true"/>
          <w:lang w:bidi="ar-SA"/>
        </w:rPr>
        <w:t>.</w:t>
      </w:r>
    </w:p>
    <w:p>
      <w:pPr>
        <w:pStyle w:val="Heading6"/>
        <w:numPr>
          <w:ilvl w:val="5"/>
          <w:numId w:val="1"/>
        </w:numPr>
        <w:rPr/>
      </w:pPr>
      <w:bookmarkStart w:id="613" w:name="__RefHeading___Toc795623_222507752"/>
      <w:bookmarkStart w:id="614" w:name="_Toc251"/>
      <w:bookmarkEnd w:id="613"/>
      <w:r>
        <w:rPr>
          <w:rtl w:val="true"/>
        </w:rPr>
        <w:t>الحادي عشر</w:t>
      </w:r>
      <w:r>
        <w:rPr>
          <w:rtl w:val="true"/>
        </w:rPr>
        <w:t>:</w:t>
      </w:r>
      <w:r>
        <w:rPr>
          <w:rtl w:val="true"/>
        </w:rPr>
        <w:t>حكم المرتد حكم الكافر في وجوب الغسل عليه</w:t>
      </w:r>
      <w:r>
        <w:rPr>
          <w:rtl w:val="true"/>
        </w:rPr>
        <w:t>.</w:t>
      </w:r>
      <w:bookmarkEnd w:id="614"/>
    </w:p>
    <w:p>
      <w:pPr>
        <w:pStyle w:val="BookText"/>
        <w:rPr/>
      </w:pPr>
      <w:r>
        <w:rPr>
          <w:rFonts w:ascii="Amiri" w:hAnsi="Amiri" w:eastAsia="Amiri" w:cs="Amiri"/>
          <w:color w:val="111111"/>
          <w:sz w:val="28"/>
          <w:sz w:val="28"/>
          <w:szCs w:val="28"/>
          <w:rtl w:val="true"/>
          <w:lang w:bidi="ar-SA"/>
        </w:rPr>
        <w:t>و هو مذهب علمائنا أجمع،لوجود السّبب في حقّه</w:t>
      </w:r>
      <w:r>
        <w:rPr>
          <w:rFonts w:eastAsia="Amiri" w:cs="Amiri" w:ascii="Amiri" w:hAnsi="Amiri"/>
          <w:color w:val="111111"/>
          <w:sz w:val="28"/>
          <w:szCs w:val="28"/>
          <w:rtl w:val="true"/>
          <w:lang w:bidi="ar-SA"/>
        </w:rPr>
        <w:t>.</w:t>
      </w:r>
    </w:p>
    <w:p>
      <w:pPr>
        <w:pStyle w:val="Heading6"/>
        <w:numPr>
          <w:ilvl w:val="5"/>
          <w:numId w:val="1"/>
        </w:numPr>
        <w:rPr/>
      </w:pPr>
      <w:bookmarkStart w:id="615" w:name="__RefHeading___Toc795625_222507752"/>
      <w:bookmarkStart w:id="616" w:name="_Toc252"/>
      <w:bookmarkEnd w:id="615"/>
      <w:r>
        <w:rPr>
          <w:rtl w:val="true"/>
        </w:rPr>
        <w:t>الثّاني عشر</w:t>
      </w:r>
      <w:r>
        <w:rPr>
          <w:rtl w:val="true"/>
        </w:rPr>
        <w:t>:</w:t>
      </w:r>
      <w:r>
        <w:rPr>
          <w:rtl w:val="true"/>
        </w:rPr>
        <w:t>لا يبطل الغسل بالارتداد</w:t>
      </w:r>
      <w:bookmarkEnd w:id="616"/>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لعدم الدّليل عليه،و لأنّ حدث الجنابة قد زال بالغسل،و التّقدير انّه لم يتجدّد موجب آخر،و مع زوال الحدث لا يعود إلاّ بإعادة السّبب</w:t>
      </w:r>
      <w:r>
        <w:rPr>
          <w:rFonts w:eastAsia="Amiri" w:cs="Amiri" w:ascii="Amiri" w:hAnsi="Amiri"/>
          <w:color w:val="111111"/>
          <w:sz w:val="28"/>
          <w:szCs w:val="28"/>
          <w:rtl w:val="true"/>
          <w:lang w:bidi="ar-SA"/>
        </w:rPr>
        <w:t xml:space="preserve">. </w:t>
      </w:r>
      <w:bookmarkStart w:id="617" w:name="pg12669_112984"/>
    </w:p>
    <w:p>
      <w:pPr>
        <w:pStyle w:val="Heading6"/>
        <w:numPr>
          <w:ilvl w:val="5"/>
          <w:numId w:val="1"/>
        </w:numPr>
        <w:rPr/>
      </w:pPr>
      <w:bookmarkStart w:id="618" w:name="__RefHeading___Toc795627_222507752"/>
      <w:bookmarkStart w:id="619" w:name="_Toc253"/>
      <w:bookmarkEnd w:id="617"/>
      <w:bookmarkEnd w:id="618"/>
      <w:r>
        <w:rPr>
          <w:rtl w:val="true"/>
        </w:rPr>
        <w:t>الثّالث عشر</w:t>
      </w:r>
      <w:r>
        <w:rPr>
          <w:rtl w:val="true"/>
        </w:rPr>
        <w:t>:</w:t>
      </w:r>
      <w:r>
        <w:rPr>
          <w:rtl w:val="true"/>
        </w:rPr>
        <w:t>لا اعتبار بغسل الكافر في حال كفره</w:t>
      </w:r>
      <w:bookmarkEnd w:id="619"/>
    </w:p>
    <w:p>
      <w:pPr>
        <w:pStyle w:val="BookText"/>
        <w:rPr/>
      </w:pPr>
      <w:r>
        <w:rPr>
          <w:rFonts w:ascii="Amiri" w:hAnsi="Amiri" w:eastAsia="Amiri" w:cs="Amiri"/>
          <w:color w:val="111111"/>
          <w:sz w:val="28"/>
          <w:sz w:val="28"/>
          <w:szCs w:val="28"/>
          <w:rtl w:val="true"/>
          <w:lang w:bidi="ar-SA"/>
        </w:rPr>
        <w:t>،و يجب عليه تجديده بعد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أحد قولي الشّافعيّ </w:t>
      </w:r>
      <w:r>
        <w:rPr>
          <w:rStyle w:val="FootnoteAnchor"/>
          <w:rtl w:val="true"/>
        </w:rPr>
        <w:footnoteReference w:id="100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أبو حنيفة </w:t>
      </w:r>
      <w:r>
        <w:rPr>
          <w:rStyle w:val="FootnoteAnchor"/>
          <w:rtl w:val="true"/>
        </w:rPr>
        <w:footnoteReference w:id="100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يرتفع حدثه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القول الآخر للشّافعيّ </w:t>
      </w:r>
      <w:r>
        <w:rPr>
          <w:rStyle w:val="FootnoteAnchor"/>
          <w:rtl w:val="true"/>
        </w:rPr>
        <w:footnoteReference w:id="10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عبادة مفتقرة إلى نيّة،و هي غير صحيحة في حقّه،لعدم معرفته باللّه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لأنّ الجنابة إحدى الحدثين فلا ترتفع حالة الكفر كالحدث الأصغر</w:t>
      </w:r>
      <w:r>
        <w:rPr>
          <w:rFonts w:eastAsia="Amiri" w:cs="Amiri" w:ascii="Amiri" w:hAnsi="Amiri"/>
          <w:color w:val="111111"/>
          <w:sz w:val="28"/>
          <w:szCs w:val="28"/>
          <w:rtl w:val="true"/>
          <w:lang w:bidi="ar-SA"/>
        </w:rPr>
        <w:t>.</w:t>
      </w:r>
    </w:p>
    <w:p>
      <w:pPr>
        <w:pStyle w:val="Heading6"/>
        <w:numPr>
          <w:ilvl w:val="5"/>
          <w:numId w:val="1"/>
        </w:numPr>
        <w:rPr/>
      </w:pPr>
      <w:bookmarkStart w:id="620" w:name="__RefHeading___Toc795629_222507752"/>
      <w:bookmarkStart w:id="621" w:name="_Toc254"/>
      <w:bookmarkEnd w:id="620"/>
      <w:r>
        <w:rPr>
          <w:rtl w:val="true"/>
        </w:rPr>
        <w:t>الرّابع عشر</w:t>
      </w:r>
      <w:r>
        <w:rPr>
          <w:rtl w:val="true"/>
        </w:rPr>
        <w:t>:</w:t>
      </w:r>
      <w:r>
        <w:rPr>
          <w:rtl w:val="true"/>
        </w:rPr>
        <w:t>لو استدخلت ذكر الرّجل وجب الغسل</w:t>
      </w:r>
      <w:bookmarkEnd w:id="621"/>
    </w:p>
    <w:p>
      <w:pPr>
        <w:pStyle w:val="BookText"/>
        <w:rPr/>
      </w:pPr>
      <w:r>
        <w:rPr>
          <w:rFonts w:ascii="Amiri" w:hAnsi="Amiri" w:eastAsia="Amiri" w:cs="Amiri"/>
          <w:color w:val="111111"/>
          <w:sz w:val="28"/>
          <w:sz w:val="28"/>
          <w:szCs w:val="28"/>
          <w:rtl w:val="true"/>
          <w:lang w:bidi="ar-SA"/>
        </w:rPr>
        <w:t>و إن كان نائما على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استدخلت ذكرا مقطوعا أو ذكر بهيم </w:t>
      </w:r>
      <w:r>
        <w:rPr>
          <w:rStyle w:val="FootnoteAnchor"/>
          <w:rtl w:val="true"/>
        </w:rPr>
        <w:footnoteReference w:id="1003"/>
      </w:r>
      <w:r>
        <w:rPr>
          <w:rFonts w:ascii="Amiri" w:hAnsi="Amiri" w:eastAsia="Amiri" w:cs="Amiri"/>
          <w:color w:val="111111"/>
          <w:sz w:val="28"/>
          <w:sz w:val="28"/>
          <w:szCs w:val="28"/>
          <w:rtl w:val="true"/>
          <w:lang w:bidi="ar-SA"/>
        </w:rPr>
        <w:t xml:space="preserve">ففي الغسل إشكال،و عند الشّافعيّ </w:t>
      </w:r>
      <w:r>
        <w:rPr>
          <w:rStyle w:val="FootnoteAnchor"/>
          <w:rtl w:val="true"/>
        </w:rPr>
        <w:footnoteReference w:id="1004"/>
      </w:r>
      <w:r>
        <w:rPr>
          <w:rFonts w:ascii="IRNazanin" w:hAnsi="IRNazanin" w:eastAsia="IRNazanin"/>
          <w:color w:val="111111"/>
          <w:sz w:val="28"/>
          <w:sz w:val="28"/>
          <w:szCs w:val="28"/>
          <w:rtl w:val="true"/>
          <w:lang w:bidi="fa-IR"/>
        </w:rPr>
        <w:t>وجهان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استدخلت ماء الرّجل لم يجب عليها الغسل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أظهر قولي الشّافعي </w:t>
      </w:r>
      <w:r>
        <w:rPr>
          <w:rStyle w:val="FootnoteAnchor"/>
          <w:rtl w:val="true"/>
        </w:rPr>
        <w:footnoteReference w:id="1005"/>
      </w:r>
      <w:r>
        <w:rPr>
          <w:rFonts w:ascii="Amiri" w:hAnsi="Amiri" w:eastAsia="Amiri" w:cs="Amiri"/>
          <w:color w:val="111111"/>
          <w:sz w:val="28"/>
          <w:sz w:val="28"/>
          <w:szCs w:val="28"/>
          <w:rtl w:val="true"/>
          <w:lang w:bidi="ar-SA"/>
        </w:rPr>
        <w:t>،و له وجه انّه يجب،لأنّ المقتضي للغسل في الالتقاء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إفضاءه</w:t>
      </w:r>
      <w:r>
        <w:rPr>
          <w:rFonts w:eastAsia="Amiri" w:cs="Amiri" w:ascii="Amiri" w:hAnsi="Amiri"/>
          <w:color w:val="111111"/>
          <w:sz w:val="28"/>
          <w:szCs w:val="28"/>
          <w:rtl w:val="true"/>
          <w:lang w:bidi="ar-SA"/>
        </w:rPr>
        <w:t xml:space="preserve">] </w:t>
      </w:r>
      <w:r>
        <w:rPr>
          <w:rStyle w:val="FootnoteAnchor"/>
          <w:rtl w:val="true"/>
        </w:rPr>
        <w:footnoteReference w:id="1006"/>
      </w:r>
      <w:r>
        <w:rPr>
          <w:rFonts w:ascii="IRNazanin" w:hAnsi="IRNazanin" w:eastAsia="IRNazanin"/>
          <w:color w:val="111111"/>
          <w:sz w:val="28"/>
          <w:sz w:val="28"/>
          <w:szCs w:val="28"/>
          <w:rtl w:val="true"/>
          <w:lang w:bidi="fa-IR"/>
        </w:rPr>
        <w:t xml:space="preserve">إلى الإنزال غالبا </w:t>
      </w:r>
      <w:r>
        <w:rPr>
          <w:rStyle w:val="FootnoteAnchor"/>
          <w:rtl w:val="true"/>
        </w:rPr>
        <w:footnoteReference w:id="100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22" w:name="__RefHeading___Toc795631_222507752"/>
      <w:bookmarkStart w:id="623" w:name="_Toc255"/>
      <w:bookmarkEnd w:id="622"/>
      <w:r>
        <w:rPr>
          <w:rtl w:val="true"/>
        </w:rPr>
        <w:t>الخامس عشر</w:t>
      </w:r>
      <w:r>
        <w:rPr>
          <w:rtl w:val="true"/>
        </w:rPr>
        <w:t>:</w:t>
      </w:r>
      <w:r>
        <w:rPr>
          <w:rtl w:val="true"/>
        </w:rPr>
        <w:t>لو لفّ على ذكره خرقة و أولج،فالأقرب وجوب الغسل</w:t>
      </w:r>
      <w:r>
        <w:rPr>
          <w:rtl w:val="true"/>
        </w:rPr>
        <w:t>.</w:t>
      </w:r>
      <w:bookmarkEnd w:id="623"/>
    </w:p>
    <w:p>
      <w:pPr>
        <w:pStyle w:val="BookText"/>
        <w:rPr/>
      </w:pPr>
      <w:r>
        <w:rPr>
          <w:rFonts w:ascii="Amiri" w:hAnsi="Amiri" w:eastAsia="Amiri" w:cs="Amiri"/>
          <w:color w:val="111111"/>
          <w:sz w:val="28"/>
          <w:sz w:val="28"/>
          <w:szCs w:val="28"/>
          <w:rtl w:val="true"/>
          <w:lang w:bidi="ar-SA"/>
        </w:rPr>
        <w:t xml:space="preserve">و هو الأظهر من مذهب الشّافعيّ </w:t>
      </w:r>
      <w:r>
        <w:rPr>
          <w:rStyle w:val="FootnoteAnchor"/>
          <w:rtl w:val="true"/>
        </w:rPr>
        <w:footnoteReference w:id="1008"/>
      </w:r>
      <w:r>
        <w:rPr>
          <w:rFonts w:ascii="Amiri" w:hAnsi="Amiri" w:eastAsia="Amiri" w:cs="Amiri"/>
          <w:color w:val="111111"/>
          <w:sz w:val="28"/>
          <w:sz w:val="28"/>
          <w:szCs w:val="28"/>
          <w:rtl w:val="true"/>
          <w:lang w:bidi="ar-SA"/>
        </w:rPr>
        <w:t xml:space="preserve">،لأنّ التّحاذي موجود،و في وجه آخر،إن كانت الخرقة ليّنة وجب،و إن كانت غليظة خشنة لم يجب </w:t>
      </w:r>
      <w:r>
        <w:rPr>
          <w:rStyle w:val="FootnoteAnchor"/>
          <w:rtl w:val="true"/>
        </w:rPr>
        <w:footnoteReference w:id="1009"/>
      </w:r>
      <w:r>
        <w:rPr>
          <w:rFonts w:ascii="IRNazanin" w:hAnsi="IRNazanin" w:eastAsia="IRNazanin"/>
          <w:color w:val="111111"/>
          <w:sz w:val="28"/>
          <w:sz w:val="28"/>
          <w:szCs w:val="28"/>
          <w:rtl w:val="true"/>
          <w:lang w:bidi="fa-IR"/>
        </w:rPr>
        <w:t>،لانتفاء الاستمتاع</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لو استمتع بما دون الفرج كالسّرّة و الفم و غيرهما لم يجب الغسل إلاّ بالإنزال، </w:t>
      </w:r>
      <w:bookmarkStart w:id="624" w:name="pg12669_112985"/>
    </w:p>
    <w:p>
      <w:pPr>
        <w:pStyle w:val="BookText"/>
        <w:rPr/>
      </w:pPr>
      <w:bookmarkEnd w:id="624"/>
      <w:r>
        <w:rPr>
          <w:rFonts w:ascii="Amiri" w:hAnsi="Amiri" w:eastAsia="Amiri" w:cs="Amiri"/>
          <w:color w:val="111111"/>
          <w:sz w:val="28"/>
          <w:sz w:val="28"/>
          <w:szCs w:val="28"/>
          <w:rtl w:val="true"/>
          <w:lang w:bidi="ar-SA"/>
        </w:rPr>
        <w:t>لأنّ الاستمتاع بما دون الفرج لم يجعل له حكم الإيلاج في شيء من الأحكام المتعلّقة بالوطء،مثل الحدّ،و التّحليل،و التّحصين،و تقرير المهر،و تحريم المصاهرة،فلا يلحق به إيجاب الغسل</w:t>
      </w:r>
      <w:r>
        <w:rPr>
          <w:rFonts w:eastAsia="Amiri" w:cs="Amiri" w:ascii="Amiri" w:hAnsi="Amiri"/>
          <w:color w:val="111111"/>
          <w:sz w:val="28"/>
          <w:szCs w:val="28"/>
          <w:rtl w:val="true"/>
          <w:lang w:bidi="ar-SA"/>
        </w:rPr>
        <w:t>.</w:t>
      </w:r>
    </w:p>
    <w:p>
      <w:pPr>
        <w:pStyle w:val="Heading5"/>
        <w:numPr>
          <w:ilvl w:val="4"/>
          <w:numId w:val="1"/>
        </w:numPr>
        <w:rPr/>
      </w:pPr>
      <w:bookmarkStart w:id="625" w:name="__RefHeading___Toc795633_222507752"/>
      <w:bookmarkStart w:id="626" w:name="_Toc256"/>
      <w:bookmarkEnd w:id="625"/>
      <w:r>
        <w:rPr>
          <w:rtl w:val="true"/>
        </w:rPr>
        <w:t>البحث الثّاني</w:t>
      </w:r>
      <w:r>
        <w:rPr>
          <w:rtl w:val="true"/>
        </w:rPr>
        <w:t>:</w:t>
      </w:r>
      <w:r>
        <w:rPr>
          <w:rtl w:val="true"/>
        </w:rPr>
        <w:t>في كيفيّة الغسل</w:t>
      </w:r>
      <w:bookmarkEnd w:id="626"/>
    </w:p>
    <w:p>
      <w:pPr>
        <w:pStyle w:val="Heading6"/>
        <w:numPr>
          <w:ilvl w:val="5"/>
          <w:numId w:val="1"/>
        </w:numPr>
        <w:rPr/>
      </w:pPr>
      <w:bookmarkStart w:id="627" w:name="__RefHeading___Toc795635_222507752"/>
      <w:bookmarkStart w:id="628" w:name="_Toc257"/>
      <w:bookmarkEnd w:id="627"/>
      <w:r>
        <w:rPr>
          <w:rtl w:val="true"/>
        </w:rPr>
        <w:t>مسألة</w:t>
      </w:r>
      <w:r>
        <w:rPr>
          <w:rtl w:val="true"/>
        </w:rPr>
        <w:t>:</w:t>
      </w:r>
      <w:r>
        <w:rPr>
          <w:rtl w:val="true"/>
        </w:rPr>
        <w:t>النّيّة شرط في الغسل من الجنابة</w:t>
      </w:r>
      <w:bookmarkEnd w:id="628"/>
    </w:p>
    <w:p>
      <w:pPr>
        <w:pStyle w:val="BookText"/>
        <w:rPr/>
      </w:pPr>
      <w:r>
        <w:rPr>
          <w:rFonts w:ascii="Amiri" w:hAnsi="Amiri" w:eastAsia="Amiri" w:cs="Amiri"/>
          <w:color w:val="111111"/>
          <w:sz w:val="28"/>
          <w:sz w:val="28"/>
          <w:szCs w:val="28"/>
          <w:rtl w:val="true"/>
          <w:lang w:bidi="ar-SA"/>
        </w:rPr>
        <w:t xml:space="preserve">،لما سبق في الوضوء </w:t>
      </w:r>
      <w:r>
        <w:rPr>
          <w:rStyle w:val="FootnoteAnchor"/>
          <w:rtl w:val="true"/>
        </w:rPr>
        <w:footnoteReference w:id="1010"/>
      </w:r>
      <w:r>
        <w:rPr>
          <w:rFonts w:ascii="Amiri" w:hAnsi="Amiri" w:eastAsia="Amiri" w:cs="Amiri"/>
          <w:color w:val="111111"/>
          <w:sz w:val="28"/>
          <w:sz w:val="28"/>
          <w:szCs w:val="28"/>
          <w:rtl w:val="true"/>
          <w:lang w:bidi="ar-SA"/>
        </w:rPr>
        <w:t xml:space="preserve">،و وقتها عند غسل اليدين،لأنّه بداية </w:t>
      </w:r>
      <w:r>
        <w:rPr>
          <w:rStyle w:val="FootnoteAnchor"/>
          <w:rtl w:val="true"/>
        </w:rPr>
        <w:footnoteReference w:id="1011"/>
      </w:r>
      <w:r>
        <w:rPr>
          <w:rFonts w:ascii="Amiri" w:hAnsi="Amiri" w:eastAsia="Amiri" w:cs="Amiri"/>
          <w:color w:val="111111"/>
          <w:sz w:val="28"/>
          <w:sz w:val="28"/>
          <w:szCs w:val="28"/>
          <w:rtl w:val="true"/>
          <w:lang w:bidi="ar-SA"/>
        </w:rPr>
        <w:t>أفعال الطّهارة،و يتضيّق عند غسل الرّأس،لأنّه لو جاز التّأخير عنه لزم حصول بعض الغسل من غير نيّة فلا يكون مجزيا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يشترط استدامتها حكما كما قلنا في الوضوء </w:t>
      </w:r>
      <w:r>
        <w:rPr>
          <w:rStyle w:val="FootnoteAnchor"/>
          <w:rtl w:val="true"/>
        </w:rPr>
        <w:footnoteReference w:id="1012"/>
      </w:r>
      <w:r>
        <w:rPr>
          <w:rFonts w:ascii="Amiri" w:hAnsi="Amiri" w:eastAsia="Amiri" w:cs="Amiri"/>
          <w:color w:val="111111"/>
          <w:sz w:val="28"/>
          <w:sz w:val="28"/>
          <w:szCs w:val="28"/>
          <w:rtl w:val="true"/>
          <w:lang w:bidi="ar-SA"/>
        </w:rPr>
        <w:t>،و يكفيه أن ينوي مع الوجوب و القربة رفع الحدث و إن لم يذكر السّبب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اجتمعت الأسباب فالوجه انّه كذلك، أمّا لو اجتمع غسل الجنابة و الجمعة لم يكف النّيّة للغسل المتقرّب به مطلقا،لأنّ غسل الجمعة ليس برافع للحدث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كذا ذكره الشّيخ في المبسوط </w:t>
      </w:r>
      <w:r>
        <w:rPr>
          <w:rStyle w:val="FootnoteAnchor"/>
          <w:rtl w:val="true"/>
        </w:rPr>
        <w:footnoteReference w:id="10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لو اجتمع غسل الحيض مثلا مع الجنابة هل يجب التّعيين؟فيه إشكال،و الوجه انّه لا يجب،و بعض الفروع المتقدّمة في الوضوء آتية ها هنا</w:t>
      </w:r>
      <w:r>
        <w:rPr>
          <w:rFonts w:eastAsia="Amiri" w:cs="Amiri" w:ascii="Amiri" w:hAnsi="Amiri"/>
          <w:color w:val="111111"/>
          <w:sz w:val="28"/>
          <w:szCs w:val="28"/>
          <w:rtl w:val="true"/>
          <w:lang w:bidi="ar-SA"/>
        </w:rPr>
        <w:t>.</w:t>
      </w:r>
    </w:p>
    <w:p>
      <w:pPr>
        <w:pStyle w:val="Heading6"/>
        <w:numPr>
          <w:ilvl w:val="5"/>
          <w:numId w:val="1"/>
        </w:numPr>
        <w:rPr/>
      </w:pPr>
      <w:bookmarkStart w:id="629" w:name="__RefHeading___Toc795637_222507752"/>
      <w:bookmarkStart w:id="630" w:name="_Toc258"/>
      <w:bookmarkEnd w:id="629"/>
      <w:r>
        <w:rPr>
          <w:rtl w:val="true"/>
        </w:rPr>
        <w:t>مسألة</w:t>
      </w:r>
      <w:r>
        <w:rPr>
          <w:rtl w:val="true"/>
        </w:rPr>
        <w:t>:</w:t>
      </w:r>
      <w:r>
        <w:rPr>
          <w:rtl w:val="true"/>
        </w:rPr>
        <w:t>و الواجب في الغسل ما يسمّى غسلا</w:t>
      </w:r>
      <w:bookmarkEnd w:id="630"/>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كالدّهن </w:t>
      </w:r>
      <w:r>
        <w:rPr>
          <w:rStyle w:val="FootnoteAnchor"/>
          <w:rtl w:val="true"/>
        </w:rPr>
        <w:footnoteReference w:id="101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نحن نشترط فيه جريان أجزاء الماء على أجزاء المحلّ ليتحقّق المسمّى،و يجب إيصال الماء إلى جميع البشرة،فلو كان بعض أجزاء البدن بحيث لا يصل الماء إليه إلاّ بالتّخليل وجب،لأنّ الواجب الإيصال،فما يتوقّف عليه يكون واجبا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الشّيخ في الصّحيح،عن محمّد،عن أحدهما عليهما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غسل الجنابة؟فقال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تبدأ بكفّيك،ثمَّ تغسل فرجك،ثمَّ تصبّ على رأسك ثلاثا،ثمَّ تصبّ على سائر جسدك مرّتين،فما جرى الماء عليه فقد طهّره</w:t>
      </w:r>
      <w:r>
        <w:rPr>
          <w:rFonts w:eastAsia="Amiri" w:cs="Amiri" w:ascii="Amiri" w:hAnsi="Amiri"/>
          <w:color w:val="111111"/>
          <w:sz w:val="28"/>
          <w:szCs w:val="28"/>
          <w:rtl w:val="true"/>
          <w:lang w:bidi="ar-SA"/>
        </w:rPr>
        <w:t xml:space="preserve">» </w:t>
      </w:r>
      <w:r>
        <w:rPr>
          <w:rStyle w:val="FootnoteAnchor"/>
          <w:rtl w:val="true"/>
        </w:rPr>
        <w:footnoteReference w:id="1015"/>
      </w:r>
      <w:r>
        <w:rPr>
          <w:rFonts w:ascii="Amiri" w:hAnsi="Amiri" w:eastAsia="Amiri" w:cs="Amiri"/>
          <w:color w:val="111111"/>
          <w:sz w:val="28"/>
          <w:sz w:val="28"/>
          <w:szCs w:val="28"/>
          <w:rtl w:val="true"/>
          <w:lang w:bidi="ar-SA"/>
        </w:rPr>
        <w:t>و هذا يدلّ على بقاء ما لم يجر الماء عليه على النّجاسة،عملا بالاستصحاب السّالم عن معارضة جريان الماء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هذا الحديث دلالة على اشتراط الجريان في الغسل و ذلك يوضّح ما ذكرناه 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أيضا في الحسن،عن زرارة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جرى عليه الماء فقد أجزأه</w:t>
      </w:r>
      <w:r>
        <w:rPr>
          <w:rFonts w:eastAsia="Amiri" w:cs="Amiri" w:ascii="Amiri" w:hAnsi="Amiri"/>
          <w:color w:val="111111"/>
          <w:sz w:val="28"/>
          <w:szCs w:val="28"/>
          <w:rtl w:val="true"/>
          <w:lang w:bidi="ar-SA"/>
        </w:rPr>
        <w:t xml:space="preserve">» </w:t>
      </w:r>
      <w:r>
        <w:rPr>
          <w:rStyle w:val="FootnoteAnchor"/>
          <w:rtl w:val="true"/>
        </w:rPr>
        <w:footnoteReference w:id="1016"/>
      </w:r>
      <w:r>
        <w:rPr>
          <w:rFonts w:eastAsia="Times New Roman" w:cs="Times New Roman" w:ascii="Times New Roman" w:hAnsi="Times New Roman"/>
          <w:color w:val="111111"/>
          <w:sz w:val="28"/>
          <w:szCs w:val="28"/>
          <w:rtl w:val="true"/>
          <w:lang w:val="en-US" w:bidi="en-US"/>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الشّيخ في الحسن،عن حجر بن زائدة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ترك شعرة من الجنابة متعمّدا فهو في النّار</w:t>
      </w:r>
      <w:r>
        <w:rPr>
          <w:rFonts w:eastAsia="Amiri" w:cs="Amiri" w:ascii="Amiri" w:hAnsi="Amiri"/>
          <w:color w:val="111111"/>
          <w:sz w:val="28"/>
          <w:szCs w:val="28"/>
          <w:rtl w:val="true"/>
          <w:lang w:bidi="ar-SA"/>
        </w:rPr>
        <w:t xml:space="preserve">» </w:t>
      </w:r>
      <w:r>
        <w:rPr>
          <w:rStyle w:val="FootnoteAnchor"/>
          <w:rtl w:val="true"/>
        </w:rPr>
        <w:footnoteReference w:id="1017"/>
      </w:r>
      <w:r>
        <w:rPr>
          <w:rFonts w:eastAsia="Times New Roman" w:cs="Times New Roman" w:ascii="Times New Roman" w:hAnsi="Times New Roman"/>
          <w:color w:val="111111"/>
          <w:sz w:val="28"/>
          <w:szCs w:val="28"/>
          <w:rtl w:val="true"/>
          <w:lang w:val="en-US" w:bidi="en-US"/>
        </w:rPr>
        <w:t xml:space="preserve">. </w:t>
      </w:r>
      <w:bookmarkStart w:id="631" w:name="pg12669_112987"/>
    </w:p>
    <w:p>
      <w:pPr>
        <w:pStyle w:val="Heading6"/>
        <w:numPr>
          <w:ilvl w:val="5"/>
          <w:numId w:val="1"/>
        </w:numPr>
        <w:rPr/>
      </w:pPr>
      <w:bookmarkStart w:id="632" w:name="__RefHeading___Toc795639_222507752"/>
      <w:bookmarkStart w:id="633" w:name="_Toc259"/>
      <w:bookmarkEnd w:id="631"/>
      <w:bookmarkEnd w:id="632"/>
      <w:r>
        <w:rPr>
          <w:rtl w:val="true"/>
        </w:rPr>
        <w:t>فرع</w:t>
      </w:r>
      <w:r>
        <w:rPr>
          <w:rtl w:val="true"/>
        </w:rPr>
        <w:t>:</w:t>
      </w:r>
      <w:bookmarkEnd w:id="633"/>
    </w:p>
    <w:p>
      <w:pPr>
        <w:pStyle w:val="BookText"/>
        <w:rPr/>
      </w:pPr>
      <w:r>
        <w:rPr>
          <w:rFonts w:ascii="Amiri" w:hAnsi="Amiri" w:eastAsia="Amiri" w:cs="Amiri"/>
          <w:color w:val="111111"/>
          <w:sz w:val="28"/>
          <w:sz w:val="28"/>
          <w:szCs w:val="28"/>
          <w:rtl w:val="true"/>
          <w:lang w:bidi="ar-SA"/>
        </w:rPr>
        <w:t>يجب أن يتولّى الغسل بنفسه</w:t>
      </w:r>
    </w:p>
    <w:p>
      <w:pPr>
        <w:pStyle w:val="BookText"/>
        <w:rPr/>
      </w:pPr>
      <w:r>
        <w:rPr>
          <w:rFonts w:ascii="Amiri" w:hAnsi="Amiri" w:eastAsia="Amiri" w:cs="Amiri"/>
          <w:color w:val="111111"/>
          <w:sz w:val="28"/>
          <w:sz w:val="28"/>
          <w:szCs w:val="28"/>
          <w:rtl w:val="true"/>
          <w:lang w:bidi="ar-SA"/>
        </w:rPr>
        <w:t xml:space="preserve">،لأنّه مخاطب به إلاّ مع الضّرورة،و تكره الاستعانة، و قد تقدّم </w:t>
      </w:r>
      <w:r>
        <w:rPr>
          <w:rStyle w:val="FootnoteAnchor"/>
          <w:rtl w:val="true"/>
        </w:rPr>
        <w:footnoteReference w:id="1018"/>
      </w:r>
      <w:r>
        <w:rPr>
          <w:rFonts w:ascii="Amiri" w:hAnsi="Amiri" w:eastAsia="Amiri" w:cs="Amiri"/>
          <w:color w:val="111111"/>
          <w:sz w:val="28"/>
          <w:sz w:val="28"/>
          <w:szCs w:val="28"/>
          <w:rtl w:val="true"/>
          <w:lang w:bidi="ar-SA"/>
        </w:rPr>
        <w:t>في الوضوء</w:t>
      </w:r>
      <w:r>
        <w:rPr>
          <w:rFonts w:eastAsia="Amiri" w:cs="Amiri" w:ascii="Amiri" w:hAnsi="Amiri"/>
          <w:color w:val="111111"/>
          <w:sz w:val="28"/>
          <w:szCs w:val="28"/>
          <w:rtl w:val="true"/>
          <w:lang w:bidi="ar-SA"/>
        </w:rPr>
        <w:t>.</w:t>
      </w:r>
    </w:p>
    <w:p>
      <w:pPr>
        <w:pStyle w:val="Heading6"/>
        <w:numPr>
          <w:ilvl w:val="5"/>
          <w:numId w:val="1"/>
        </w:numPr>
        <w:rPr/>
      </w:pPr>
      <w:bookmarkStart w:id="634" w:name="__RefHeading___Toc795641_222507752"/>
      <w:bookmarkStart w:id="635" w:name="_Toc260"/>
      <w:bookmarkEnd w:id="634"/>
      <w:r>
        <w:rPr>
          <w:rtl w:val="true"/>
        </w:rPr>
        <w:t>مسألة</w:t>
      </w:r>
      <w:r>
        <w:rPr>
          <w:rtl w:val="true"/>
        </w:rPr>
        <w:t>:</w:t>
      </w:r>
      <w:r>
        <w:rPr>
          <w:rtl w:val="true"/>
        </w:rPr>
        <w:t>و يجب الترتيب في غسل الجنابة</w:t>
      </w:r>
      <w:bookmarkEnd w:id="635"/>
    </w:p>
    <w:p>
      <w:pPr>
        <w:pStyle w:val="BookText"/>
        <w:rPr/>
      </w:pPr>
      <w:r>
        <w:rPr>
          <w:rFonts w:ascii="Amiri" w:hAnsi="Amiri" w:eastAsia="Amiri" w:cs="Amiri"/>
          <w:color w:val="111111"/>
          <w:sz w:val="28"/>
          <w:sz w:val="28"/>
          <w:szCs w:val="28"/>
          <w:rtl w:val="true"/>
          <w:lang w:bidi="ar-SA"/>
        </w:rPr>
        <w:t>،يبدأ برأسه،ثمَّ بجانبه الأيمن،ثمَّ الأيسر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مذهب علمائنا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روته عائشة،قالت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رسول اللّه صلّى اللّه عليه و آله يخلّل شعره،فإذا ظنّ أنّه أروى بشرته،أفاض عليه الماء ثلاث مرّات،ثمَّ غسل سائر جسده </w:t>
      </w:r>
      <w:r>
        <w:rPr>
          <w:rStyle w:val="FootnoteAnchor"/>
          <w:rtl w:val="true"/>
        </w:rPr>
        <w:footnoteReference w:id="10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روته ميمونة،قالت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وضع رسول اللّه صلّى اللّه عليه و آله وضوء الجنابة،فأفرغ على يديه فغسلهما مرّتين أو ثلاثا،ثمَّ أفرغ بيمينه على شماله فغسل مذاكيره،ثمَّ ضرب بيده على الأرض أو الحائط مرّتين أو ثلاثا،ثمَّ تمضمض و استنشق و غسل وجهه و ذراعيه،ثمَّ أفاض الماء على رأسه،ثمَّ غسل جسده،فأتيته بالمنديل فلم يردها،و جعل ينفض الماء بيديه </w:t>
      </w:r>
      <w:r>
        <w:rPr>
          <w:rStyle w:val="FootnoteAnchor"/>
          <w:rtl w:val="true"/>
        </w:rPr>
        <w:footnoteReference w:id="1020"/>
      </w:r>
      <w:r>
        <w:rPr>
          <w:rFonts w:ascii="Amiri" w:hAnsi="Amiri" w:eastAsia="Amiri" w:cs="Amiri"/>
          <w:color w:val="111111"/>
          <w:sz w:val="28"/>
          <w:sz w:val="28"/>
          <w:szCs w:val="28"/>
          <w:rtl w:val="true"/>
          <w:lang w:bidi="ar-SA"/>
        </w:rPr>
        <w:t>،و هذان متّفق عليهما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الجمهور،عن أمّ سلمة،قالت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اللّه،إنّي امرأة أشدّ ضفيرتي أ فأنقضه لغسل الجنابة؟فقال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لا،إنّما يكفيك أن تحثي على رأسك ثلاث حثيات،ثمَّ تفيضين عليك الماء،فتطهرين</w:t>
      </w:r>
      <w:r>
        <w:rPr>
          <w:rFonts w:eastAsia="Amiri" w:cs="Amiri" w:ascii="Amiri" w:hAnsi="Amiri"/>
          <w:color w:val="111111"/>
          <w:sz w:val="28"/>
          <w:szCs w:val="28"/>
          <w:rtl w:val="true"/>
          <w:lang w:bidi="ar-SA"/>
        </w:rPr>
        <w:t xml:space="preserve">) </w:t>
      </w:r>
      <w:r>
        <w:rPr>
          <w:rStyle w:val="FootnoteAnchor"/>
          <w:rtl w:val="true"/>
        </w:rPr>
        <w:footnoteReference w:id="1021"/>
      </w:r>
      <w:r>
        <w:rPr>
          <w:rFonts w:ascii="IRNazanin" w:hAnsi="IRNazanin" w:eastAsia="IRNazanin"/>
          <w:color w:val="111111"/>
          <w:sz w:val="28"/>
          <w:sz w:val="28"/>
          <w:szCs w:val="28"/>
          <w:rtl w:val="true"/>
          <w:lang w:bidi="fa-IR"/>
        </w:rPr>
        <w:t>رواه مسلم</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ثبت هذا،فنقول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وجب تقديم غسل الرّأس بفعله عليه السّلام عقيب الإجمال،و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تفيضين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للتّرتيب،وجب تقديم الجانب الأيمن على الأيسر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روته عائشة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عليه السّلام إذا اغتسل من الجنابة بدأ بشقّه الأيمن ثمَّ الأيسر </w:t>
      </w:r>
      <w:r>
        <w:rPr>
          <w:rStyle w:val="FootnoteAnchor"/>
          <w:rtl w:val="true"/>
        </w:rPr>
        <w:footnoteReference w:id="102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عليه السّلام كان يحبّ التّيمّن في طهوره </w:t>
      </w:r>
      <w:r>
        <w:rPr>
          <w:rStyle w:val="FootnoteAnchor"/>
          <w:rtl w:val="true"/>
        </w:rPr>
        <w:footnoteReference w:id="10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فلأنّ الإجماع واقع على إبطال ترتيب الرّأس دون غيره،و بطلانه لا يجوز أن يكون بسقوط التّرتيب،لما بيّنّاه من وجوب تقديم الرّأس،فوجب أن يكون بسقوط التّرتيب بين الجانبين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ثالثا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فلأنّه عليه السّلام رتّب لأفضليّته،و لما روته عائشة،فيجب اتّباعه فيه،لأنّ فعله في معرض 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طريق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 في الحسن،عن زرارة،قال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يغتسل الجنب؟فقال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لم يكن أصاب كفّه منّي غمسها في الماء،ثمَّ بدأ بفرجه فأنقاه،ثمَّ صبّ على رأسه ثلاث أكفّ،ثمَّ صبّ على منكبه الأيمن مرّتين و على منكبه الأيسر مرّتين فما جرى عليه الماء فقد أجزأه</w:t>
      </w:r>
      <w:r>
        <w:rPr>
          <w:rFonts w:eastAsia="Amiri" w:cs="Amiri" w:ascii="Amiri" w:hAnsi="Amiri"/>
          <w:color w:val="111111"/>
          <w:sz w:val="28"/>
          <w:szCs w:val="28"/>
          <w:rtl w:val="true"/>
          <w:lang w:bidi="ar-SA"/>
        </w:rPr>
        <w:t xml:space="preserve">» </w:t>
      </w:r>
      <w:r>
        <w:rPr>
          <w:rStyle w:val="FootnoteAnchor"/>
          <w:rtl w:val="true"/>
        </w:rPr>
        <w:footnoteReference w:id="1024"/>
      </w:r>
      <w:r>
        <w:rPr>
          <w:rFonts w:ascii="Amiri" w:hAnsi="Amiri" w:eastAsia="Amiri" w:cs="Amiri"/>
          <w:color w:val="111111"/>
          <w:sz w:val="28"/>
          <w:sz w:val="28"/>
          <w:szCs w:val="28"/>
          <w:rtl w:val="true"/>
          <w:lang w:bidi="ar-SA"/>
        </w:rPr>
        <w:t>و حرف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يفيد التّرتيب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في الصّحيح،عن محمّد بن مسلم،عن أحدهما عليهما السّلام،قال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سألته عن غسل الجنابة؟فقال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تبدأ بكفّيك،ثمَّ تغسل فرجك،ثمَّ تصبّ على رأسك ثلاثا،ثمَّ تصبّ على سائر جسدك مرّتين،فما جرى الماء فقد طهّره</w:t>
      </w:r>
      <w:r>
        <w:rPr>
          <w:rFonts w:eastAsia="Amiri" w:cs="Amiri" w:ascii="Amiri" w:hAnsi="Amiri"/>
          <w:color w:val="111111"/>
          <w:sz w:val="28"/>
          <w:szCs w:val="28"/>
          <w:rtl w:val="true"/>
          <w:lang w:bidi="ar-SA"/>
        </w:rPr>
        <w:t xml:space="preserve">» </w:t>
      </w:r>
      <w:r>
        <w:rPr>
          <w:rStyle w:val="FootnoteAnchor"/>
          <w:rtl w:val="true"/>
        </w:rPr>
        <w:footnoteReference w:id="1025"/>
      </w:r>
      <w:r>
        <w:rPr>
          <w:rFonts w:eastAsia="Times New Roman" w:cs="Times New Roman" w:ascii="Times New Roman" w:hAnsi="Times New Roman"/>
          <w:color w:val="111111"/>
          <w:sz w:val="28"/>
          <w:szCs w:val="28"/>
          <w:rtl w:val="true"/>
          <w:lang w:val="en-US" w:bidi="en-US"/>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في الحسن،عن حريز،عن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اغتسل من جنابة و لم يغسل رأسه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بدا له أن يغسل رأسه</w:t>
      </w:r>
      <w:r>
        <w:rPr>
          <w:rFonts w:eastAsia="Amiri" w:cs="Amiri" w:ascii="Amiri" w:hAnsi="Amiri"/>
          <w:color w:val="111111"/>
          <w:sz w:val="28"/>
          <w:szCs w:val="28"/>
          <w:rtl w:val="true"/>
          <w:lang w:bidi="ar-SA"/>
        </w:rPr>
        <w:t xml:space="preserve">] </w:t>
      </w:r>
      <w:r>
        <w:rPr>
          <w:rStyle w:val="FootnoteAnchor"/>
          <w:rtl w:val="true"/>
        </w:rPr>
        <w:footnoteReference w:id="1026"/>
      </w:r>
      <w:r>
        <w:rPr>
          <w:rFonts w:ascii="Amiri" w:hAnsi="Amiri" w:eastAsia="Amiri" w:cs="Amiri"/>
          <w:color w:val="111111"/>
          <w:sz w:val="28"/>
          <w:sz w:val="28"/>
          <w:szCs w:val="28"/>
          <w:rtl w:val="true"/>
          <w:lang w:bidi="ar-SA"/>
        </w:rPr>
        <w:t xml:space="preserve">لم يجد بدّا من إعادة </w:t>
      </w:r>
    </w:p>
    <w:p>
      <w:pPr>
        <w:pStyle w:val="BookText"/>
        <w:rPr/>
      </w:pPr>
      <w:r>
        <w:rPr>
          <w:rFonts w:ascii="IRNazanin" w:hAnsi="IRNazanin" w:eastAsia="IRNazanin"/>
          <w:color w:val="111111"/>
          <w:sz w:val="28"/>
          <w:sz w:val="28"/>
          <w:szCs w:val="28"/>
          <w:rtl w:val="true"/>
          <w:lang w:bidi="fa-IR"/>
        </w:rPr>
        <w:t>الغسل</w:t>
      </w:r>
      <w:r>
        <w:rPr>
          <w:rFonts w:eastAsia="IRNazanin" w:cs="IRNazanin"/>
          <w:color w:val="111111"/>
          <w:sz w:val="28"/>
          <w:szCs w:val="28"/>
          <w:rtl w:val="true"/>
          <w:lang w:bidi="fa-IR"/>
        </w:rPr>
        <w:t xml:space="preserve">» </w:t>
      </w:r>
      <w:r>
        <w:rPr>
          <w:rStyle w:val="FootnoteAnchor"/>
          <w:rtl w:val="true"/>
        </w:rPr>
        <w:footnoteReference w:id="1027"/>
      </w:r>
      <w:r>
        <w:rPr>
          <w:rFonts w:ascii="Amiri" w:hAnsi="Amiri" w:eastAsia="Amiri" w:cs="Amiri"/>
          <w:color w:val="111111"/>
          <w:sz w:val="28"/>
          <w:sz w:val="28"/>
          <w:szCs w:val="28"/>
          <w:rtl w:val="true"/>
          <w:lang w:bidi="ar-SA"/>
        </w:rPr>
        <w:t>و لو لم يكن التّرتيب واجبا،لجاز غسل الرّأس من غيره إعادة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روى الشّيخ في الصّحيح،عن هشام،قال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أبو عبد اللّه عليه السّلام فيما بين مكّة و المدينة و معه أمّ إسماعيل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،فأصاب من جارية له فأمرها، فغسلت جسدها و تركت رأسها،فقال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أردت أن تركبي فاغسلي رأسك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ففعلت ذلك،فعلمت بذلك أمّ إسماعيل،فحلقت رأسها،فلمّا كان من قابل انتهى أبو عبد اللّه عليه السّلام إلى ذلك المكان،فقالت له أمّ إسماعيل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موضع هذا؟قال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الموضع الّذي أحبط اللّه فيه حجّك عام أوّل</w:t>
      </w:r>
      <w:r>
        <w:rPr>
          <w:rFonts w:eastAsia="Amiri" w:cs="Amiri" w:ascii="Amiri" w:hAnsi="Amiri"/>
          <w:color w:val="111111"/>
          <w:sz w:val="28"/>
          <w:szCs w:val="28"/>
          <w:rtl w:val="true"/>
          <w:lang w:bidi="ar-SA"/>
        </w:rPr>
        <w:t xml:space="preserve">» </w:t>
      </w:r>
      <w:r>
        <w:rPr>
          <w:rStyle w:val="FootnoteAnchor"/>
          <w:rtl w:val="true"/>
        </w:rPr>
        <w:footnoteReference w:id="1028"/>
      </w:r>
      <w:r>
        <w:rPr>
          <w:rFonts w:ascii="Amiri" w:hAnsi="Amiri" w:eastAsia="Amiri" w:cs="Amiri"/>
          <w:color w:val="111111"/>
          <w:sz w:val="28"/>
          <w:sz w:val="28"/>
          <w:szCs w:val="28"/>
          <w:rtl w:val="true"/>
          <w:lang w:bidi="ar-SA"/>
        </w:rPr>
        <w:t>فأمره لها بغسل جسدها،ثمَّ بغسل رأسها بعد الرّكوب يدلّ على سقوط التّرتيب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الرّاوي قد و هم ها هنا،فإنّه لا امتناع أن يكون الرّاوي سمع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اغسلي رأسك فإذا أردت الرّكوب فاغسلي جسدك،فعكس للاشتباه</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يدلّ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هشام بن سالم أيضا في الصّحيح،عن محمّد بن مسلم،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أبي عبد اللّه عليه السّلام فسطاطه و هو يكلّم امرأة فأبطأت عليه،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ادنه هذه أمّ إسماعيل جاءت و أنا أزعم انّ هذا المكان الّذي أحبط اللّه فيه حجّها عام أوّل،كنت أردت الإحرام،فقلت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ضعوا لي الماء في الخباء،فذهبت الجارية بالماء فوضعته فاستخففتها فأصبت منها،فقلت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اغسلي رأسك و امسحيه مسحا شديدا لا تعلم به مولاتك،فإذا أردت الإحرام فاغسلي جسدك و لا تغسلي رأسك </w:t>
      </w:r>
      <w:bookmarkStart w:id="636" w:name="pg12669_112990"/>
    </w:p>
    <w:p>
      <w:pPr>
        <w:pStyle w:val="BookText"/>
        <w:rPr/>
      </w:pPr>
      <w:bookmarkEnd w:id="636"/>
      <w:r>
        <w:rPr>
          <w:rFonts w:ascii="Amiri" w:hAnsi="Amiri" w:eastAsia="Amiri" w:cs="Amiri"/>
          <w:color w:val="111111"/>
          <w:sz w:val="28"/>
          <w:sz w:val="28"/>
          <w:szCs w:val="28"/>
          <w:rtl w:val="true"/>
          <w:lang w:bidi="ar-SA"/>
        </w:rPr>
        <w:t>فتستريب مولاتك،فدخلت فسطاط مولاتها فذهبت تتناول منه شيئا فمسّت مولاتها رأسها فإذا لزوجة الماء فحلقت رأسها و ضربتها،فقلت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المكان الّذي أحبط اللّه فيه حجّك</w:t>
      </w:r>
      <w:r>
        <w:rPr>
          <w:rFonts w:eastAsia="Amiri" w:cs="Amiri" w:ascii="Amiri" w:hAnsi="Amiri"/>
          <w:color w:val="111111"/>
          <w:sz w:val="28"/>
          <w:szCs w:val="28"/>
          <w:rtl w:val="true"/>
          <w:lang w:bidi="ar-SA"/>
        </w:rPr>
        <w:t xml:space="preserve">» </w:t>
      </w:r>
      <w:r>
        <w:rPr>
          <w:rStyle w:val="FootnoteAnchor"/>
          <w:rtl w:val="true"/>
        </w:rPr>
        <w:footnoteReference w:id="10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لأنّها طهارة تراد لأجل الصّلاة فيجب فيها التّرتيب كالوضوء،و القياسات الّتي ذكرناها في الوضوء آتية ها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لأنّا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شيء من الطّهارة واجب،و غير المرتّب ليس بواجب،فيجب المرتّب، و إلاّ لزم شمول عدم الوجوب المنفيّ بالاتّفاق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الطّهارة واجبة بالإجماع،و غير المرتّب ليس بواجب بالإجماع،فغير المرتّب ليس طهارة</w:t>
      </w:r>
      <w:r>
        <w:rPr>
          <w:rFonts w:eastAsia="Amiri" w:cs="Amiri" w:ascii="Amiri" w:hAnsi="Amiri"/>
          <w:color w:val="111111"/>
          <w:sz w:val="28"/>
          <w:szCs w:val="28"/>
          <w:rtl w:val="true"/>
          <w:lang w:bidi="ar-SA"/>
        </w:rPr>
        <w:t>.</w:t>
      </w:r>
    </w:p>
    <w:p>
      <w:pPr>
        <w:pStyle w:val="Heading6"/>
        <w:numPr>
          <w:ilvl w:val="5"/>
          <w:numId w:val="1"/>
        </w:numPr>
        <w:rPr/>
      </w:pPr>
      <w:bookmarkStart w:id="637" w:name="__RefHeading___Toc795643_222507752"/>
      <w:bookmarkStart w:id="638" w:name="_Toc261"/>
      <w:bookmarkEnd w:id="637"/>
      <w:r>
        <w:rPr>
          <w:rtl w:val="true"/>
        </w:rPr>
        <w:t>فروع</w:t>
      </w:r>
      <w:r>
        <w:rPr>
          <w:rtl w:val="true"/>
        </w:rPr>
        <w:t>:</w:t>
      </w:r>
      <w:bookmarkEnd w:id="638"/>
    </w:p>
    <w:p>
      <w:pPr>
        <w:pStyle w:val="Heading6"/>
        <w:numPr>
          <w:ilvl w:val="5"/>
          <w:numId w:val="1"/>
        </w:numPr>
        <w:rPr/>
      </w:pPr>
      <w:bookmarkStart w:id="639" w:name="__RefHeading___Toc795645_222507752"/>
      <w:bookmarkStart w:id="640" w:name="_Toc262"/>
      <w:bookmarkEnd w:id="639"/>
      <w:r>
        <w:rPr>
          <w:rtl w:val="true"/>
        </w:rPr>
        <w:t>الأوّل</w:t>
      </w:r>
      <w:r>
        <w:rPr>
          <w:rtl w:val="true"/>
        </w:rPr>
        <w:t>:</w:t>
      </w:r>
      <w:r>
        <w:rPr>
          <w:rtl w:val="true"/>
        </w:rPr>
        <w:t>لا ترتيب على المرتمس في الماء،</w:t>
      </w:r>
      <w:bookmarkEnd w:id="640"/>
    </w:p>
    <w:p>
      <w:pPr>
        <w:pStyle w:val="BookText"/>
        <w:rPr/>
      </w:pPr>
      <w:r>
        <w:rPr>
          <w:rFonts w:ascii="Amiri" w:hAnsi="Amiri" w:eastAsia="Amiri" w:cs="Amiri"/>
          <w:color w:val="111111"/>
          <w:sz w:val="28"/>
          <w:sz w:val="28"/>
          <w:szCs w:val="28"/>
          <w:rtl w:val="true"/>
          <w:lang w:bidi="ar-SA"/>
        </w:rPr>
        <w:t xml:space="preserve">و لا على الواقف تحت الميزاب أو المطر أو المجرى على قول الشّيخ،و نقل عن بعض الأصحاب،التّرتيب حكما </w:t>
      </w:r>
      <w:r>
        <w:rPr>
          <w:rStyle w:val="FootnoteAnchor"/>
          <w:rtl w:val="true"/>
        </w:rPr>
        <w:footnoteReference w:id="103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ابن إدريس أسقط عن المرتمس خاصّة </w:t>
      </w:r>
      <w:r>
        <w:rPr>
          <w:rStyle w:val="FootnoteAnchor"/>
          <w:rtl w:val="true"/>
        </w:rPr>
        <w:footnoteReference w:id="10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السّقوط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الأصل،و لأنّه امتثل الأمر بالاغتسال،و هو لا يستلزم التّرتيب إلاّ في الموضع الّذي ثبت فيه 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رواه الشّيخ في الصّحيح،عن زرارة،عن أبي عبد اللّه عليه السّلام،قال</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انّ رجلا جنبا ارتمس في الماء ارتماسة واحدة أجزأه ذلك و إن لم يدلك جسده</w:t>
      </w:r>
      <w:r>
        <w:rPr>
          <w:rFonts w:eastAsia="Amiri" w:cs="Amiri" w:ascii="Amiri" w:hAnsi="Amiri"/>
          <w:color w:val="111111"/>
          <w:sz w:val="28"/>
          <w:szCs w:val="28"/>
          <w:rtl w:val="true"/>
          <w:lang w:bidi="ar-SA"/>
        </w:rPr>
        <w:t xml:space="preserve">» </w:t>
      </w:r>
      <w:r>
        <w:rPr>
          <w:rStyle w:val="FootnoteAnchor"/>
          <w:rtl w:val="true"/>
        </w:rPr>
        <w:footnoteReference w:id="1032"/>
      </w:r>
      <w:r>
        <w:rPr>
          <w:rFonts w:eastAsia="Times New Roman" w:cs="Times New Roman" w:ascii="Times New Roman" w:hAnsi="Times New Roman"/>
          <w:color w:val="111111"/>
          <w:sz w:val="28"/>
          <w:szCs w:val="28"/>
          <w:rtl w:val="true"/>
          <w:lang w:val="en-US" w:bidi="en-US"/>
        </w:rPr>
        <w:t xml:space="preserve">. </w:t>
      </w:r>
      <w:bookmarkStart w:id="641" w:name="pg12669_112991"/>
    </w:p>
    <w:p>
      <w:pPr>
        <w:pStyle w:val="BookText"/>
        <w:rPr/>
      </w:pPr>
      <w:bookmarkEnd w:id="641"/>
      <w:r>
        <w:rPr>
          <w:rFonts w:ascii="Amiri" w:hAnsi="Amiri" w:eastAsia="Amiri" w:cs="Amiri"/>
          <w:color w:val="111111"/>
          <w:sz w:val="28"/>
          <w:sz w:val="28"/>
          <w:szCs w:val="28"/>
          <w:rtl w:val="true"/>
          <w:lang w:bidi="ar-SA"/>
        </w:rPr>
        <w:t>و روى في الحسن،عن الحلبي،قال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ارتمس الجنب في الماء ارتماسة واحدة أجزأه ذلك من غسله</w:t>
      </w:r>
      <w:r>
        <w:rPr>
          <w:rFonts w:eastAsia="Amiri" w:cs="Amiri" w:ascii="Amiri" w:hAnsi="Amiri"/>
          <w:color w:val="111111"/>
          <w:sz w:val="28"/>
          <w:szCs w:val="28"/>
          <w:rtl w:val="true"/>
          <w:lang w:bidi="ar-SA"/>
        </w:rPr>
        <w:t xml:space="preserve">» </w:t>
      </w:r>
      <w:r>
        <w:rPr>
          <w:rStyle w:val="FootnoteAnchor"/>
          <w:rtl w:val="true"/>
        </w:rPr>
        <w:footnoteReference w:id="10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في الصّحيح،عن عليّ بن جعفر،عن أخيه موسى عليه السّلام،قال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سألته عن الرّجل الجنب هل يجزيه من غسل الجنابة أن يقوم في المطر </w:t>
      </w:r>
      <w:r>
        <w:rPr>
          <w:rStyle w:val="FootnoteAnchor"/>
          <w:rtl w:val="true"/>
        </w:rPr>
        <w:footnoteReference w:id="1034"/>
      </w:r>
      <w:r>
        <w:rPr>
          <w:rFonts w:ascii="Amiri" w:hAnsi="Amiri" w:eastAsia="Amiri" w:cs="Amiri"/>
          <w:color w:val="111111"/>
          <w:sz w:val="28"/>
          <w:sz w:val="28"/>
          <w:szCs w:val="28"/>
          <w:rtl w:val="true"/>
          <w:lang w:bidi="ar-SA"/>
        </w:rPr>
        <w:t>حتّى يغسل رأسه و جسده،و هو يقدر على ما سوى ذلك؟قال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يغسله اغتساله بالماء أجزأه ذلك</w:t>
      </w:r>
      <w:r>
        <w:rPr>
          <w:rFonts w:eastAsia="Amiri" w:cs="Amiri" w:ascii="Amiri" w:hAnsi="Amiri"/>
          <w:color w:val="111111"/>
          <w:sz w:val="28"/>
          <w:szCs w:val="28"/>
          <w:rtl w:val="true"/>
          <w:lang w:bidi="ar-SA"/>
        </w:rPr>
        <w:t xml:space="preserve">» </w:t>
      </w:r>
      <w:r>
        <w:rPr>
          <w:rStyle w:val="FootnoteAnchor"/>
          <w:rtl w:val="true"/>
        </w:rPr>
        <w:footnoteReference w:id="103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42" w:name="__RefHeading___Toc795647_222507752"/>
      <w:bookmarkStart w:id="643" w:name="_Toc263"/>
      <w:bookmarkEnd w:id="642"/>
      <w:r>
        <w:rPr>
          <w:rtl w:val="true"/>
        </w:rPr>
        <w:t>الثّاني</w:t>
      </w:r>
      <w:r>
        <w:rPr>
          <w:rtl w:val="true"/>
        </w:rPr>
        <w:t>:</w:t>
      </w:r>
      <w:r>
        <w:rPr>
          <w:rtl w:val="true"/>
        </w:rPr>
        <w:t>الجنب طاهر إذا خلا بدنه من النّجاسة،</w:t>
      </w:r>
      <w:bookmarkEnd w:id="643"/>
    </w:p>
    <w:p>
      <w:pPr>
        <w:pStyle w:val="BookText"/>
        <w:rPr/>
      </w:pPr>
      <w:r>
        <w:rPr>
          <w:rFonts w:ascii="Amiri" w:hAnsi="Amiri" w:eastAsia="Amiri" w:cs="Amiri"/>
          <w:color w:val="111111"/>
          <w:sz w:val="28"/>
          <w:sz w:val="28"/>
          <w:szCs w:val="28"/>
          <w:rtl w:val="true"/>
          <w:lang w:bidi="ar-SA"/>
        </w:rPr>
        <w:t>فلو لمس شيئا برطوبة لم يتعلّق به حكم،و لو غمس يده و هي طاهرة في الإناء لم يفسد الماء،و كذا باقي أعضائه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به قال الشّافعيّ </w:t>
      </w:r>
      <w:r>
        <w:rPr>
          <w:rStyle w:val="FootnoteAnchor"/>
          <w:rtl w:val="true"/>
        </w:rPr>
        <w:footnoteReference w:id="103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أبو يوسف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أدخل يده لم يفسد الماء و إن أدخل رجله فسد، لأنّ المعالجة باليد في محلّ الحاجة فعفي عنها </w:t>
      </w:r>
      <w:r>
        <w:rPr>
          <w:rStyle w:val="FootnoteAnchor"/>
          <w:rtl w:val="true"/>
        </w:rPr>
        <w:footnoteReference w:id="10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المفيد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ينبغي للجنب أن يرتمس في الماء الرّاكد،فإنّه إن كان قليلا أفسده،و إن كان كثيرا خالف السّنّة </w:t>
      </w:r>
      <w:r>
        <w:rPr>
          <w:rStyle w:val="FootnoteAnchor"/>
          <w:rtl w:val="true"/>
        </w:rPr>
        <w:footnoteReference w:id="103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فساده مع القلّة إسناده إلى ما ذهب إليه من عدم قوّة التّطهير عن القليل إذا ارتفع به حدث الجنابة،و نحن لمّا كان هذا عندنا ضعيفا لا جرم،سقط عنّا هذا الفرع</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يدلّ على ما قلناه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 في الحسن،عن محمّد بن ميسر،قال</w:t>
      </w:r>
      <w:r>
        <w:rPr>
          <w:rFonts w:eastAsia="Amiri" w:cs="Amiri" w:ascii="Amiri" w:hAnsi="Amiri"/>
          <w:color w:val="111111"/>
          <w:sz w:val="28"/>
          <w:szCs w:val="28"/>
          <w:rtl w:val="true"/>
          <w:lang w:bidi="ar-SA"/>
        </w:rPr>
        <w:t xml:space="preserve">: </w:t>
      </w:r>
      <w:bookmarkStart w:id="644" w:name="pg12669_112992"/>
    </w:p>
    <w:p>
      <w:pPr>
        <w:pStyle w:val="BookText"/>
        <w:rPr/>
      </w:pPr>
      <w:bookmarkEnd w:id="644"/>
      <w:r>
        <w:rPr>
          <w:rFonts w:ascii="Amiri" w:hAnsi="Amiri" w:eastAsia="Amiri" w:cs="Amiri"/>
          <w:color w:val="111111"/>
          <w:sz w:val="28"/>
          <w:sz w:val="28"/>
          <w:szCs w:val="28"/>
          <w:rtl w:val="true"/>
          <w:lang w:bidi="ar-SA"/>
        </w:rPr>
        <w:t>سألت أبا عبد اللّه عليه السّلام عن الرّجل الجنب ينتهي إلى الماء القليل في الطّريق، و يريد أن يغتسل منه و ليس معه إناء يغرف به و يداه قذرتان؟قال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يضع يده و يتوضّأ و يغتسل،هذا ممّا قال اللّه عزّ و جلّ ما جَعَلَ عَلَيْكُمْ فِي الدِّينِ مِنْ حَرَجٍ </w:t>
      </w:r>
      <w:r>
        <w:rPr>
          <w:rStyle w:val="FootnoteAnchor"/>
          <w:rtl w:val="true"/>
        </w:rPr>
        <w:footnoteReference w:id="1039"/>
      </w:r>
      <w:r>
        <w:rPr>
          <w:rStyle w:val="FootnoteAnchor"/>
          <w:rtl w:val="true"/>
        </w:rPr>
        <w:footnoteReference w:id="10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مخالفته بالارتماس في الكثير للسّنّة،فلما رواه الشّيخ في الصّحيح،عن محمّد بن إسماعيل بن بزيع،قال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كتبت إلى من يسأله عن الغدير يجتمع فيه ماء السّماء و يستقى فيه من بئر فيستنجي فيه الإنسان من بول أو يغتسل فيه الجنب،ما حدّه الّذي لا يجوز؟فكتب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توضّأ من مثل هذا الماء إلاّ من ضرورة </w:t>
      </w:r>
      <w:r>
        <w:rPr>
          <w:rStyle w:val="FootnoteAnchor"/>
          <w:rtl w:val="true"/>
        </w:rPr>
        <w:footnoteReference w:id="1041"/>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w:t>
      </w:r>
    </w:p>
    <w:p>
      <w:pPr>
        <w:pStyle w:val="Heading6"/>
        <w:numPr>
          <w:ilvl w:val="5"/>
          <w:numId w:val="1"/>
        </w:numPr>
        <w:rPr/>
      </w:pPr>
      <w:bookmarkStart w:id="645" w:name="__RefHeading___Toc795649_222507752"/>
      <w:bookmarkStart w:id="646" w:name="_Toc264"/>
      <w:bookmarkEnd w:id="645"/>
      <w:r>
        <w:rPr>
          <w:rtl w:val="true"/>
        </w:rPr>
        <w:t>الثّالث</w:t>
      </w:r>
      <w:r>
        <w:rPr>
          <w:rtl w:val="true"/>
        </w:rPr>
        <w:t>:</w:t>
      </w:r>
      <w:r>
        <w:rPr>
          <w:rtl w:val="true"/>
        </w:rPr>
        <w:t>لو أخلّ بالتّرتيب وجب عليه إعادة ما أخلّ به</w:t>
      </w:r>
      <w:bookmarkEnd w:id="646"/>
    </w:p>
    <w:p>
      <w:pPr>
        <w:pStyle w:val="BookText"/>
        <w:rPr/>
      </w:pPr>
      <w:r>
        <w:rPr>
          <w:rFonts w:ascii="Amiri" w:hAnsi="Amiri" w:eastAsia="Amiri" w:cs="Amiri"/>
          <w:color w:val="111111"/>
          <w:sz w:val="28"/>
          <w:sz w:val="28"/>
          <w:szCs w:val="28"/>
          <w:rtl w:val="true"/>
          <w:lang w:bidi="ar-SA"/>
        </w:rPr>
        <w:t xml:space="preserve">و ما بعده،ليحصل التّرتيب،لأنّه شرط،و مع فقدانه لا اعتداد بالفعل،و لرواية حريز الصّحيحة و قد بيّنّاها في الدّلالة على وجوب التّرتيب </w:t>
      </w:r>
      <w:r>
        <w:rPr>
          <w:rStyle w:val="FootnoteAnchor"/>
          <w:rtl w:val="true"/>
        </w:rPr>
        <w:footnoteReference w:id="104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47" w:name="__RefHeading___Toc795651_222507752"/>
      <w:bookmarkStart w:id="648" w:name="_Toc265"/>
      <w:bookmarkEnd w:id="647"/>
      <w:r>
        <w:rPr>
          <w:rtl w:val="true"/>
        </w:rPr>
        <w:t>الرّابع</w:t>
      </w:r>
      <w:r>
        <w:rPr>
          <w:rtl w:val="true"/>
        </w:rPr>
        <w:t>:</w:t>
      </w:r>
      <w:r>
        <w:rPr>
          <w:rtl w:val="true"/>
        </w:rPr>
        <w:t>لو اغتسل المرتّب و بقيت لمعة من جسده لم يصبها الماء،أجزأه مسح تلك</w:t>
      </w:r>
      <w:bookmarkEnd w:id="648"/>
    </w:p>
    <w:p>
      <w:pPr>
        <w:pStyle w:val="BookText"/>
        <w:rPr/>
      </w:pPr>
      <w:r>
        <w:rPr>
          <w:rFonts w:ascii="Amiri" w:hAnsi="Amiri" w:eastAsia="Amiri" w:cs="Amiri"/>
          <w:color w:val="111111"/>
          <w:sz w:val="28"/>
          <w:sz w:val="28"/>
          <w:szCs w:val="28"/>
          <w:rtl w:val="true"/>
          <w:lang w:bidi="ar-SA"/>
        </w:rPr>
        <w:t>اللّمعة بيده بالماء</w:t>
      </w:r>
    </w:p>
    <w:p>
      <w:pPr>
        <w:pStyle w:val="BookText"/>
        <w:rPr/>
      </w:pPr>
      <w:r>
        <w:rPr>
          <w:rFonts w:ascii="Amiri" w:hAnsi="Amiri" w:eastAsia="Amiri" w:cs="Amiri"/>
          <w:color w:val="111111"/>
          <w:sz w:val="28"/>
          <w:sz w:val="28"/>
          <w:szCs w:val="28"/>
          <w:rtl w:val="true"/>
          <w:lang w:bidi="ar-SA"/>
        </w:rPr>
        <w:t>بحيث يحصل مسمّى الغسل إذا كانت في الجانب الأيسر،و كذا إذا كانت في الجانب الأيمن،لكن يجب عليه الإعادة على الأيسر</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الإجزاء،فلما رواه الشّيخ في الصّحيح،عن أبي بصير،عن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اغتسل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Style w:val="FootnoteAnchor"/>
          <w:rtl w:val="true"/>
        </w:rPr>
        <w:footnoteReference w:id="1043"/>
      </w:r>
      <w:r>
        <w:rPr>
          <w:rFonts w:ascii="Amiri" w:hAnsi="Amiri" w:eastAsia="Amiri" w:cs="Amiri"/>
          <w:color w:val="111111"/>
          <w:sz w:val="28"/>
          <w:sz w:val="28"/>
          <w:szCs w:val="28"/>
          <w:rtl w:val="true"/>
          <w:lang w:bidi="ar-SA"/>
        </w:rPr>
        <w:t>من الجنابة،فقيل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بقيت لمعة من ظهرك لم </w:t>
      </w:r>
      <w:bookmarkStart w:id="649" w:name="pg12669_112993"/>
    </w:p>
    <w:p>
      <w:pPr>
        <w:pStyle w:val="BookText"/>
        <w:rPr/>
      </w:pPr>
      <w:bookmarkEnd w:id="649"/>
      <w:r>
        <w:rPr>
          <w:rFonts w:ascii="Amiri" w:hAnsi="Amiri" w:eastAsia="Amiri" w:cs="Amiri"/>
          <w:color w:val="111111"/>
          <w:sz w:val="28"/>
          <w:sz w:val="28"/>
          <w:szCs w:val="28"/>
          <w:rtl w:val="true"/>
          <w:lang w:bidi="ar-SA"/>
        </w:rPr>
        <w:t>يصبها الماء؟قال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 عليك لو سكتّ ثمَّ مسح تلك اللّمعة بيده</w:t>
      </w:r>
      <w:r>
        <w:rPr>
          <w:rFonts w:eastAsia="Amiri" w:cs="Amiri" w:ascii="Amiri" w:hAnsi="Amiri"/>
          <w:color w:val="111111"/>
          <w:sz w:val="28"/>
          <w:szCs w:val="28"/>
          <w:rtl w:val="true"/>
          <w:lang w:bidi="ar-SA"/>
        </w:rPr>
        <w:t xml:space="preserve">» </w:t>
      </w:r>
      <w:r>
        <w:rPr>
          <w:rStyle w:val="FootnoteAnchor"/>
          <w:rtl w:val="true"/>
        </w:rPr>
        <w:footnoteReference w:id="10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الإعادة فليحصل التّرتيب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أحمد رواية بوجوب استئناف ماء جديد </w:t>
      </w:r>
      <w:r>
        <w:rPr>
          <w:rStyle w:val="FootnoteAnchor"/>
          <w:rtl w:val="true"/>
        </w:rPr>
        <w:footnoteReference w:id="1045"/>
      </w:r>
      <w:r>
        <w:rPr>
          <w:rFonts w:ascii="Amiri" w:hAnsi="Amiri" w:eastAsia="Amiri" w:cs="Amiri"/>
          <w:color w:val="111111"/>
          <w:sz w:val="28"/>
          <w:sz w:val="28"/>
          <w:szCs w:val="28"/>
          <w:rtl w:val="true"/>
          <w:lang w:bidi="ar-SA"/>
        </w:rPr>
        <w:t xml:space="preserve">،و هو باطل عندنا،لأنّ المستعمل لا يخرج عن كونه طاهرا،و الحنفيّة </w:t>
      </w:r>
      <w:r>
        <w:rPr>
          <w:rStyle w:val="FootnoteAnchor"/>
          <w:rtl w:val="true"/>
        </w:rPr>
        <w:footnoteReference w:id="1046"/>
      </w:r>
      <w:r>
        <w:rPr>
          <w:rFonts w:ascii="Amiri" w:hAnsi="Amiri" w:eastAsia="Amiri" w:cs="Amiri"/>
          <w:color w:val="111111"/>
          <w:sz w:val="28"/>
          <w:sz w:val="28"/>
          <w:szCs w:val="28"/>
          <w:rtl w:val="true"/>
          <w:lang w:bidi="ar-SA"/>
        </w:rPr>
        <w:t>و إن قالوا بنجاسة المستعمل إلاّ أنّ البدن كالعضو الواحد،فصار كما لو جرى الماء من أعلى العضو إلى أدناه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لنا من طريق الجمهور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رووه،عن ابن عبّاس انّ النّبيّ صلّى اللّه عليه و آله اغتسل فرأى لمعة لم يصبها فدلكها بشعره </w:t>
      </w:r>
      <w:r>
        <w:rPr>
          <w:rStyle w:val="FootnoteAnchor"/>
          <w:rtl w:val="true"/>
        </w:rPr>
        <w:footnoteReference w:id="10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رووا،عن عليّ عليه السّلام انّه جاء رجل إلى النّبيّ صلّى اللّه عليه و آله،فقال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انّي اغتسلت من الجنابة و صلّيت ثمَّ أصبحت فرأيت قدر موضع الظّفر لم يصبه الماء؟ فقال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كنت مسحته بيدك أجزأك</w:t>
      </w:r>
      <w:r>
        <w:rPr>
          <w:rFonts w:eastAsia="Amiri" w:cs="Amiri" w:ascii="Amiri" w:hAnsi="Amiri"/>
          <w:color w:val="111111"/>
          <w:sz w:val="28"/>
          <w:szCs w:val="28"/>
          <w:rtl w:val="true"/>
          <w:lang w:bidi="ar-SA"/>
        </w:rPr>
        <w:t xml:space="preserve">) </w:t>
      </w:r>
      <w:r>
        <w:rPr>
          <w:rStyle w:val="FootnoteAnchor"/>
          <w:rtl w:val="true"/>
        </w:rPr>
        <w:footnoteReference w:id="104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50" w:name="__RefHeading___Toc795653_222507752"/>
      <w:bookmarkStart w:id="651" w:name="_Toc266"/>
      <w:bookmarkEnd w:id="650"/>
      <w:r>
        <w:rPr>
          <w:rtl w:val="true"/>
        </w:rPr>
        <w:t>الخامس</w:t>
      </w:r>
      <w:r>
        <w:rPr>
          <w:rtl w:val="true"/>
        </w:rPr>
        <w:t>:</w:t>
      </w:r>
      <w:r>
        <w:rPr>
          <w:rtl w:val="true"/>
        </w:rPr>
        <w:t>لو اغتسل غير المرتّب كالمرتمس،ثمَّ وجد اللّمعة ففي وجوب الإعادة</w:t>
      </w:r>
      <w:bookmarkEnd w:id="651"/>
    </w:p>
    <w:p>
      <w:pPr>
        <w:pStyle w:val="BookText"/>
        <w:rPr/>
      </w:pPr>
      <w:r>
        <w:rPr>
          <w:rFonts w:ascii="IRNazanin" w:hAnsi="IRNazanin" w:eastAsia="IRNazanin"/>
          <w:color w:val="111111"/>
          <w:sz w:val="28"/>
          <w:sz w:val="28"/>
          <w:szCs w:val="28"/>
          <w:rtl w:val="true"/>
          <w:lang w:bidi="fa-IR"/>
        </w:rPr>
        <w:t>نظر،</w:t>
      </w:r>
    </w:p>
    <w:p>
      <w:pPr>
        <w:pStyle w:val="BookText"/>
        <w:rPr/>
      </w:pPr>
      <w:r>
        <w:rPr>
          <w:rFonts w:ascii="Amiri" w:hAnsi="Amiri" w:eastAsia="Amiri" w:cs="Amiri"/>
          <w:color w:val="111111"/>
          <w:sz w:val="28"/>
          <w:sz w:val="28"/>
          <w:szCs w:val="28"/>
          <w:rtl w:val="true"/>
          <w:lang w:bidi="ar-SA"/>
        </w:rPr>
        <w:t>و كان والدي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 يذهب إلى الوجوب،لأنّ المأخوذ عليه الارتماس دفعة واحدة بحيث يصل الماء إلى سائر الجسد في تلك الدّفعة لقول أبي عبد اللّه عليه السّلام</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ارتمس ارتماسة واحدة أجزأه</w:t>
      </w:r>
      <w:r>
        <w:rPr>
          <w:rFonts w:eastAsia="Amiri" w:cs="Amiri" w:ascii="Amiri" w:hAnsi="Amiri"/>
          <w:color w:val="111111"/>
          <w:sz w:val="28"/>
          <w:szCs w:val="28"/>
          <w:rtl w:val="true"/>
          <w:lang w:bidi="ar-SA"/>
        </w:rPr>
        <w:t xml:space="preserve">» </w:t>
      </w:r>
      <w:r>
        <w:rPr>
          <w:rStyle w:val="FootnoteAnchor"/>
          <w:rtl w:val="true"/>
        </w:rPr>
        <w:footnoteReference w:id="1049"/>
      </w:r>
      <w:r>
        <w:rPr>
          <w:rFonts w:ascii="IRNazanin" w:hAnsi="IRNazanin" w:eastAsia="IRNazanin"/>
          <w:color w:val="111111"/>
          <w:sz w:val="28"/>
          <w:sz w:val="28"/>
          <w:szCs w:val="28"/>
          <w:rtl w:val="true"/>
          <w:lang w:bidi="fa-IR"/>
        </w:rPr>
        <w:t>و من المعلوم عدم الإجزاء مع عدم الوصول</w:t>
      </w:r>
      <w:r>
        <w:rPr>
          <w:rFonts w:eastAsia="IRNazanin" w:cs="IRNazanin"/>
          <w:color w:val="111111"/>
          <w:sz w:val="28"/>
          <w:szCs w:val="28"/>
          <w:rtl w:val="true"/>
          <w:lang w:bidi="fa-IR"/>
        </w:rPr>
        <w:t xml:space="preserve">. </w:t>
      </w:r>
      <w:bookmarkStart w:id="652" w:name="pg12669_112994"/>
    </w:p>
    <w:p>
      <w:pPr>
        <w:pStyle w:val="BookText"/>
        <w:rPr/>
      </w:pPr>
      <w:bookmarkEnd w:id="652"/>
      <w:r>
        <w:rPr>
          <w:rFonts w:ascii="Amiri" w:hAnsi="Amiri" w:eastAsia="Amiri" w:cs="Amiri"/>
          <w:color w:val="111111"/>
          <w:sz w:val="28"/>
          <w:sz w:val="28"/>
          <w:szCs w:val="28"/>
          <w:rtl w:val="true"/>
          <w:lang w:bidi="ar-SA"/>
        </w:rPr>
        <w:t>و يمكن أن يقال بالإجزاء مع غسل تلك اللّمعة،لأنّ التّرتيب سقط في حقّه،و قد غسل أكثر بدنه فأجزأه،لقول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جرى عليه الماء فقد أجزأه</w:t>
      </w:r>
      <w:r>
        <w:rPr>
          <w:rFonts w:eastAsia="Amiri" w:cs="Amiri" w:ascii="Amiri" w:hAnsi="Amiri"/>
          <w:color w:val="111111"/>
          <w:sz w:val="28"/>
          <w:szCs w:val="28"/>
          <w:rtl w:val="true"/>
          <w:lang w:bidi="ar-SA"/>
        </w:rPr>
        <w:t xml:space="preserve">» </w:t>
      </w:r>
      <w:r>
        <w:rPr>
          <w:rStyle w:val="FootnoteAnchor"/>
          <w:rtl w:val="true"/>
        </w:rPr>
        <w:footnoteReference w:id="1050"/>
      </w:r>
      <w:r>
        <w:rPr>
          <w:rFonts w:ascii="Amiri" w:hAnsi="Amiri" w:eastAsia="Amiri" w:cs="Amiri"/>
          <w:color w:val="111111"/>
          <w:sz w:val="28"/>
          <w:sz w:val="28"/>
          <w:szCs w:val="28"/>
          <w:rtl w:val="true"/>
          <w:lang w:bidi="ar-SA"/>
        </w:rPr>
        <w:t>و في الأوّل قوّة</w:t>
      </w:r>
      <w:r>
        <w:rPr>
          <w:rFonts w:eastAsia="Amiri" w:cs="Amiri" w:ascii="Amiri" w:hAnsi="Amiri"/>
          <w:color w:val="111111"/>
          <w:sz w:val="28"/>
          <w:szCs w:val="28"/>
          <w:rtl w:val="true"/>
          <w:lang w:bidi="ar-SA"/>
        </w:rPr>
        <w:t>.</w:t>
      </w:r>
    </w:p>
    <w:p>
      <w:pPr>
        <w:pStyle w:val="Heading6"/>
        <w:numPr>
          <w:ilvl w:val="5"/>
          <w:numId w:val="1"/>
        </w:numPr>
        <w:rPr/>
      </w:pPr>
      <w:bookmarkStart w:id="653" w:name="__RefHeading___Toc795655_222507752"/>
      <w:bookmarkStart w:id="654" w:name="_Toc267"/>
      <w:bookmarkEnd w:id="653"/>
      <w:r>
        <w:rPr>
          <w:rtl w:val="true"/>
        </w:rPr>
        <w:t>السّادس</w:t>
      </w:r>
      <w:r>
        <w:rPr>
          <w:rtl w:val="true"/>
        </w:rPr>
        <w:t>:</w:t>
      </w:r>
      <w:r>
        <w:rPr>
          <w:rtl w:val="true"/>
        </w:rPr>
        <w:t>المرأة كالرّجل في الاغتسال</w:t>
      </w:r>
      <w:bookmarkEnd w:id="654"/>
    </w:p>
    <w:p>
      <w:pPr>
        <w:pStyle w:val="BookText"/>
        <w:rPr/>
      </w:pPr>
      <w:r>
        <w:rPr>
          <w:rFonts w:ascii="Amiri" w:hAnsi="Amiri" w:eastAsia="Amiri" w:cs="Amiri"/>
          <w:color w:val="111111"/>
          <w:sz w:val="28"/>
          <w:sz w:val="28"/>
          <w:szCs w:val="28"/>
          <w:rtl w:val="true"/>
          <w:lang w:bidi="ar-SA"/>
        </w:rPr>
        <w:t>لتساويهما في تناول الأمر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كان في رأسها حشو،فإن كان دهنا أو حشوا رقيقا لا يمنع وصول الماء،أجزأها صبّ الماء،و إن كان ثخينا وجب إزالته</w:t>
      </w:r>
      <w:r>
        <w:rPr>
          <w:rFonts w:eastAsia="Amiri" w:cs="Amiri" w:ascii="Amiri" w:hAnsi="Amiri"/>
          <w:color w:val="111111"/>
          <w:sz w:val="28"/>
          <w:szCs w:val="28"/>
          <w:rtl w:val="true"/>
          <w:lang w:bidi="ar-SA"/>
        </w:rPr>
        <w:t>.</w:t>
      </w:r>
    </w:p>
    <w:p>
      <w:pPr>
        <w:pStyle w:val="Heading6"/>
        <w:numPr>
          <w:ilvl w:val="5"/>
          <w:numId w:val="1"/>
        </w:numPr>
        <w:rPr/>
      </w:pPr>
      <w:bookmarkStart w:id="655" w:name="__RefHeading___Toc795657_222507752"/>
      <w:bookmarkStart w:id="656" w:name="_Toc268"/>
      <w:bookmarkEnd w:id="655"/>
      <w:r>
        <w:rPr>
          <w:rtl w:val="true"/>
        </w:rPr>
        <w:t>مسألة</w:t>
      </w:r>
      <w:r>
        <w:rPr>
          <w:rtl w:val="true"/>
        </w:rPr>
        <w:t>:</w:t>
      </w:r>
      <w:r>
        <w:rPr>
          <w:rtl w:val="true"/>
        </w:rPr>
        <w:t>و إذا وصل الماء إلى أصول الشّعر أجزأ،</w:t>
      </w:r>
      <w:bookmarkEnd w:id="656"/>
    </w:p>
    <w:p>
      <w:pPr>
        <w:pStyle w:val="BookText"/>
        <w:rPr/>
      </w:pPr>
      <w:r>
        <w:rPr>
          <w:rFonts w:ascii="Amiri" w:hAnsi="Amiri" w:eastAsia="Amiri" w:cs="Amiri"/>
          <w:color w:val="111111"/>
          <w:sz w:val="28"/>
          <w:sz w:val="28"/>
          <w:szCs w:val="28"/>
          <w:rtl w:val="true"/>
          <w:lang w:bidi="ar-SA"/>
        </w:rPr>
        <w:t xml:space="preserve">و لو لم يصل إلاّ بالتّخليل وجب،و لو لم يصل إلاّ بحلّه وجب في الرّجل و المرأة معا،و لا يجب عليهما الحلّ مع الوصول،و لا نعرف خلافا في انّ الماء إذا وصل لم يجب الحلّ إلاّ ما روي عن عبد اللّه بن عمرو </w:t>
      </w:r>
      <w:r>
        <w:rPr>
          <w:rStyle w:val="FootnoteAnchor"/>
          <w:rtl w:val="true"/>
        </w:rPr>
        <w:footnoteReference w:id="10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المفيد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إذا كان شعر المرأة مشدودا حلّته </w:t>
      </w:r>
      <w:r>
        <w:rPr>
          <w:rStyle w:val="FootnoteAnchor"/>
          <w:rtl w:val="true"/>
        </w:rPr>
        <w:footnoteReference w:id="105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يريد به إذا لم يصل الماء إليه إلاّ بعد حلّه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كذا ذكره الشّيخ </w:t>
      </w:r>
      <w:r>
        <w:rPr>
          <w:rStyle w:val="FootnoteAnchor"/>
          <w:rtl w:val="true"/>
        </w:rPr>
        <w:footnoteReference w:id="10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الجمهور،عن أمّ سلمة انّها قالت للنّبيّ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انّي امرأة أشدّ ضفر رأسي أ فأنقضه للجنابة؟قال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Style w:val="FootnoteAnchor"/>
          <w:rtl w:val="true"/>
        </w:rPr>
        <w:footnoteReference w:id="10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طريق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الشّيخ،عن محمّد الحلبيّ،عن رجل،عن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تنقض المرأة شعرها إذا اغتسلت من الجنابة</w:t>
      </w:r>
      <w:r>
        <w:rPr>
          <w:rFonts w:eastAsia="Amiri" w:cs="Amiri" w:ascii="Amiri" w:hAnsi="Amiri"/>
          <w:color w:val="111111"/>
          <w:sz w:val="28"/>
          <w:szCs w:val="28"/>
          <w:rtl w:val="true"/>
          <w:lang w:bidi="ar-SA"/>
        </w:rPr>
        <w:t xml:space="preserve">» </w:t>
      </w:r>
      <w:r>
        <w:rPr>
          <w:rStyle w:val="FootnoteAnchor"/>
          <w:rtl w:val="true"/>
        </w:rPr>
        <w:footnoteReference w:id="1055"/>
      </w:r>
      <w:r>
        <w:rPr>
          <w:rFonts w:eastAsia="Times New Roman" w:cs="Times New Roman" w:ascii="Times New Roman" w:hAnsi="Times New Roman"/>
          <w:color w:val="111111"/>
          <w:sz w:val="28"/>
          <w:szCs w:val="28"/>
          <w:rtl w:val="true"/>
          <w:lang w:val="en-US" w:bidi="en-US"/>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بإسناد آخر،عن محمّد الحلبيّ،عن رجل،عن أبي عبد اللّه عليه السّلام، </w:t>
      </w:r>
      <w:bookmarkStart w:id="657" w:name="pg12669_112995"/>
    </w:p>
    <w:p>
      <w:pPr>
        <w:pStyle w:val="BookText"/>
        <w:rPr/>
      </w:pPr>
      <w:bookmarkEnd w:id="657"/>
      <w:r>
        <w:rPr>
          <w:rFonts w:ascii="Amiri" w:hAnsi="Amiri" w:eastAsia="Amiri" w:cs="Amiri"/>
          <w:color w:val="111111"/>
          <w:sz w:val="28"/>
          <w:sz w:val="28"/>
          <w:szCs w:val="28"/>
          <w:rtl w:val="true"/>
          <w:lang w:bidi="ar-SA"/>
        </w:rPr>
        <w:t xml:space="preserve">عن أبيه،عن عليّ عليهم السّلام </w:t>
      </w:r>
      <w:r>
        <w:rPr>
          <w:rStyle w:val="FootnoteAnchor"/>
          <w:rtl w:val="true"/>
        </w:rPr>
        <w:footnoteReference w:id="10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في الصّحيح،عن محمّد بن مسلم،عن أبي جعفر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حدثّتني سلمى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خادم رسول اللّه صلّى اللّه عليه و آله،قالت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أشعار نساء النّبيّ صلّى اللّه عليه و آله قرون رؤوسهنّ مقدّم رؤوسهّن،و كان يكفيهنّ من الماء شيء قليل،فأمّا النّساء الآن فقد ينبغي لهنّ أن يبالغن في الماء</w:t>
      </w:r>
      <w:r>
        <w:rPr>
          <w:rFonts w:eastAsia="Amiri" w:cs="Amiri" w:ascii="Amiri" w:hAnsi="Amiri"/>
          <w:color w:val="111111"/>
          <w:sz w:val="28"/>
          <w:szCs w:val="28"/>
          <w:rtl w:val="true"/>
          <w:lang w:bidi="ar-SA"/>
        </w:rPr>
        <w:t xml:space="preserve">» </w:t>
      </w:r>
      <w:r>
        <w:rPr>
          <w:rStyle w:val="FootnoteAnchor"/>
          <w:rtl w:val="true"/>
        </w:rPr>
        <w:footnoteReference w:id="10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في الصّحيح،عن زرارة،عن أبي جعفر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مسّ الماء جلدك فحسبك</w:t>
      </w:r>
      <w:r>
        <w:rPr>
          <w:rFonts w:eastAsia="Amiri" w:cs="Amiri" w:ascii="Amiri" w:hAnsi="Amiri"/>
          <w:color w:val="111111"/>
          <w:sz w:val="28"/>
          <w:szCs w:val="28"/>
          <w:rtl w:val="true"/>
          <w:lang w:bidi="ar-SA"/>
        </w:rPr>
        <w:t xml:space="preserve">» </w:t>
      </w:r>
      <w:r>
        <w:rPr>
          <w:rStyle w:val="FootnoteAnchor"/>
          <w:rtl w:val="true"/>
        </w:rPr>
        <w:footnoteReference w:id="10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وجوب الحلّ مع عدم الوصول،فلأنّ الإيصال الواجب لا يتمّ إلاّ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لو كان في يده خاتم ضيّق،أو في يد المرأة سوار أو دملج ضيّق لا يصل الماء إلاّ بتحريكه وجب،و إلاّ استحبّ طلبا للاستقصاء</w:t>
      </w:r>
      <w:r>
        <w:rPr>
          <w:rFonts w:eastAsia="Amiri" w:cs="Amiri" w:ascii="Amiri" w:hAnsi="Amiri"/>
          <w:color w:val="111111"/>
          <w:sz w:val="28"/>
          <w:szCs w:val="28"/>
          <w:rtl w:val="true"/>
          <w:lang w:bidi="ar-SA"/>
        </w:rPr>
        <w:t>.</w:t>
      </w:r>
    </w:p>
    <w:p>
      <w:pPr>
        <w:pStyle w:val="Heading6"/>
        <w:numPr>
          <w:ilvl w:val="5"/>
          <w:numId w:val="1"/>
        </w:numPr>
        <w:rPr/>
      </w:pPr>
      <w:bookmarkStart w:id="658" w:name="__RefHeading___Toc795659_222507752"/>
      <w:bookmarkStart w:id="659" w:name="_Toc269"/>
      <w:bookmarkEnd w:id="658"/>
      <w:r>
        <w:rPr>
          <w:rtl w:val="true"/>
        </w:rPr>
        <w:t>فروع</w:t>
      </w:r>
      <w:r>
        <w:rPr>
          <w:rtl w:val="true"/>
        </w:rPr>
        <w:t>:</w:t>
      </w:r>
      <w:bookmarkEnd w:id="659"/>
    </w:p>
    <w:p>
      <w:pPr>
        <w:pStyle w:val="Heading6"/>
        <w:numPr>
          <w:ilvl w:val="5"/>
          <w:numId w:val="1"/>
        </w:numPr>
        <w:rPr/>
      </w:pPr>
      <w:bookmarkStart w:id="660" w:name="__RefHeading___Toc795661_222507752"/>
      <w:bookmarkStart w:id="661" w:name="_Toc270"/>
      <w:bookmarkEnd w:id="660"/>
      <w:r>
        <w:rPr>
          <w:rtl w:val="true"/>
        </w:rPr>
        <w:t>الأوّل</w:t>
      </w:r>
      <w:r>
        <w:rPr>
          <w:rtl w:val="true"/>
        </w:rPr>
        <w:t>:</w:t>
      </w:r>
      <w:r>
        <w:rPr>
          <w:rtl w:val="true"/>
        </w:rPr>
        <w:t>غسل المسترسل من الشّعر و اللّحية غير واجب،</w:t>
      </w:r>
      <w:bookmarkEnd w:id="661"/>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الواجب غسل البشرة المستورة به سواء كان الشّعر خفيفا أو كثيفا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به قال أبو حنيفة </w:t>
      </w:r>
      <w:r>
        <w:rPr>
          <w:rStyle w:val="FootnoteAnchor"/>
          <w:rtl w:val="true"/>
        </w:rPr>
        <w:footnoteReference w:id="10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قال </w:t>
      </w:r>
    </w:p>
    <w:p>
      <w:pPr>
        <w:pStyle w:val="BookText"/>
        <w:rPr/>
      </w:pPr>
      <w:r>
        <w:rPr>
          <w:rFonts w:ascii="Amiri" w:hAnsi="Amiri" w:eastAsia="Amiri" w:cs="Amiri"/>
          <w:color w:val="111111"/>
          <w:sz w:val="28"/>
          <w:sz w:val="28"/>
          <w:szCs w:val="28"/>
          <w:rtl w:val="true"/>
          <w:lang w:bidi="ar-SA"/>
        </w:rPr>
        <w:t xml:space="preserve">الشّافعيّ </w:t>
      </w:r>
      <w:r>
        <w:rPr>
          <w:rStyle w:val="FootnoteAnchor"/>
          <w:rtl w:val="true"/>
        </w:rPr>
        <w:footnoteReference w:id="106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الجمهور،عن النّبيّ صلّى اللّه عليه و آله،قال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يكفيك أن تحثي على رأسك ثلاث حثيات</w:t>
      </w:r>
      <w:r>
        <w:rPr>
          <w:rFonts w:eastAsia="Amiri" w:cs="Amiri" w:ascii="Amiri" w:hAnsi="Amiri"/>
          <w:color w:val="111111"/>
          <w:sz w:val="28"/>
          <w:szCs w:val="28"/>
          <w:rtl w:val="true"/>
          <w:lang w:bidi="ar-SA"/>
        </w:rPr>
        <w:t xml:space="preserve">) </w:t>
      </w:r>
      <w:r>
        <w:rPr>
          <w:rStyle w:val="FootnoteAnchor"/>
          <w:rtl w:val="true"/>
        </w:rPr>
        <w:footnoteReference w:id="1061"/>
      </w:r>
      <w:r>
        <w:rPr>
          <w:rFonts w:ascii="Amiri" w:hAnsi="Amiri" w:eastAsia="Amiri" w:cs="Amiri"/>
          <w:color w:val="111111"/>
          <w:sz w:val="28"/>
          <w:sz w:val="28"/>
          <w:szCs w:val="28"/>
          <w:rtl w:val="true"/>
          <w:lang w:bidi="ar-SA"/>
        </w:rPr>
        <w:t>مع انّ شعرها ضفرة،و مثل هذا لا يبلّ الشّعر المشدود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طريق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 في الصّحيح،عن زرارة،عن أبي جعفر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الجنب ما جرى عليه الماء من جسده قليله و كثيره فقد أجزأه</w:t>
      </w:r>
      <w:r>
        <w:rPr>
          <w:rFonts w:eastAsia="Amiri" w:cs="Amiri" w:ascii="Amiri" w:hAnsi="Amiri"/>
          <w:color w:val="111111"/>
          <w:sz w:val="28"/>
          <w:szCs w:val="28"/>
          <w:rtl w:val="true"/>
          <w:lang w:bidi="ar-SA"/>
        </w:rPr>
        <w:t xml:space="preserve">» </w:t>
      </w:r>
      <w:r>
        <w:rPr>
          <w:rStyle w:val="FootnoteAnchor"/>
          <w:rtl w:val="true"/>
        </w:rPr>
        <w:footnoteReference w:id="10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في الصّحيح،عن محمّد بن مسلم،عن أحدهما عليهما السّلام،قال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سألته عن وقت غسل الجنابة كم يجزي من الماء؟قال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رسول اللّه صلّى اللّه عليه و آله يغتسل بخمسة أمداد بينه و بين صاحبته،و يغتسلان جميعا من إناء واحد</w:t>
      </w:r>
      <w:r>
        <w:rPr>
          <w:rFonts w:eastAsia="Amiri" w:cs="Amiri" w:ascii="Amiri" w:hAnsi="Amiri"/>
          <w:color w:val="111111"/>
          <w:sz w:val="28"/>
          <w:szCs w:val="28"/>
          <w:rtl w:val="true"/>
          <w:lang w:bidi="ar-SA"/>
        </w:rPr>
        <w:t xml:space="preserve">» </w:t>
      </w:r>
      <w:r>
        <w:rPr>
          <w:rStyle w:val="FootnoteAnchor"/>
          <w:rtl w:val="true"/>
        </w:rPr>
        <w:footnoteReference w:id="10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لأنّه لو وجب بلّه لوجب نقضه،ليعلم انّ الغسل أتى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لأنّه ليس جزءا من الحيوان،لعدم حياته و نجاسته بالموت،و لا ينقض الوضوء مسّه من المرأة،و لا تطلّق بطلاقه،فكان كالثّوب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احتجّوا </w:t>
      </w:r>
      <w:r>
        <w:rPr>
          <w:rStyle w:val="FootnoteAnchor"/>
          <w:rtl w:val="true"/>
        </w:rPr>
        <w:footnoteReference w:id="1064"/>
      </w:r>
      <w:r>
        <w:rPr>
          <w:rFonts w:ascii="Amiri" w:hAnsi="Amiri" w:eastAsia="Amiri" w:cs="Amiri"/>
          <w:color w:val="111111"/>
          <w:sz w:val="28"/>
          <w:sz w:val="28"/>
          <w:szCs w:val="28"/>
          <w:rtl w:val="true"/>
          <w:lang w:bidi="ar-SA"/>
        </w:rPr>
        <w:t>بقوله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بلّوا الشّعر</w:t>
      </w:r>
      <w:r>
        <w:rPr>
          <w:rFonts w:eastAsia="Amiri" w:cs="Amiri" w:ascii="Amiri" w:hAnsi="Amiri"/>
          <w:color w:val="111111"/>
          <w:sz w:val="28"/>
          <w:szCs w:val="28"/>
          <w:rtl w:val="true"/>
          <w:lang w:bidi="ar-SA"/>
        </w:rPr>
        <w:t xml:space="preserve">) </w:t>
      </w:r>
      <w:r>
        <w:rPr>
          <w:rStyle w:val="FootnoteAnchor"/>
          <w:rtl w:val="true"/>
        </w:rPr>
        <w:footnoteReference w:id="1065"/>
      </w:r>
      <w:r>
        <w:rPr>
          <w:rFonts w:eastAsia="Times New Roman" w:cs="Times New Roman" w:ascii="Times New Roman" w:hAnsi="Times New Roman"/>
          <w:color w:val="111111"/>
          <w:sz w:val="28"/>
          <w:szCs w:val="28"/>
          <w:rtl w:val="true"/>
          <w:lang w:val="en-US" w:bidi="en-US"/>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راويه الحارث بن وجيه </w:t>
      </w:r>
      <w:r>
        <w:rPr>
          <w:rStyle w:val="FootnoteAnchor"/>
          <w:rtl w:val="true"/>
        </w:rPr>
        <w:footnoteReference w:id="1066"/>
      </w:r>
      <w:r>
        <w:rPr>
          <w:rFonts w:ascii="Amiri" w:hAnsi="Amiri" w:eastAsia="Amiri" w:cs="Amiri"/>
          <w:color w:val="111111"/>
          <w:sz w:val="28"/>
          <w:sz w:val="28"/>
          <w:szCs w:val="28"/>
          <w:rtl w:val="true"/>
          <w:lang w:bidi="ar-SA"/>
        </w:rPr>
        <w:t xml:space="preserve">وحده،و هو ضعيف الرّواية،عن مالك </w:t>
      </w:r>
      <w:bookmarkStart w:id="662" w:name="pg12669_112997"/>
    </w:p>
    <w:p>
      <w:pPr>
        <w:pStyle w:val="BookText"/>
        <w:rPr/>
      </w:pPr>
      <w:bookmarkEnd w:id="662"/>
      <w:r>
        <w:rPr>
          <w:rFonts w:ascii="Amiri" w:hAnsi="Amiri" w:eastAsia="Amiri" w:cs="Amiri"/>
          <w:color w:val="111111"/>
          <w:sz w:val="28"/>
          <w:sz w:val="28"/>
          <w:szCs w:val="28"/>
          <w:rtl w:val="true"/>
          <w:lang w:bidi="ar-SA"/>
        </w:rPr>
        <w:t>بن دينار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6"/>
        <w:numPr>
          <w:ilvl w:val="5"/>
          <w:numId w:val="1"/>
        </w:numPr>
        <w:rPr/>
      </w:pPr>
      <w:bookmarkStart w:id="663" w:name="__RefHeading___Toc795663_222507752"/>
      <w:bookmarkStart w:id="664" w:name="_Toc271"/>
      <w:bookmarkEnd w:id="663"/>
      <w:r>
        <w:rPr>
          <w:rtl w:val="true"/>
        </w:rPr>
        <w:t>الثّاني</w:t>
      </w:r>
      <w:r>
        <w:rPr>
          <w:rtl w:val="true"/>
        </w:rPr>
        <w:t>:</w:t>
      </w:r>
      <w:r>
        <w:rPr>
          <w:rtl w:val="true"/>
        </w:rPr>
        <w:t>يجب غسل الحاجبين و الأهداب،</w:t>
      </w:r>
      <w:bookmarkEnd w:id="664"/>
    </w:p>
    <w:p>
      <w:pPr>
        <w:pStyle w:val="BookText"/>
        <w:rPr/>
      </w:pPr>
      <w:r>
        <w:rPr>
          <w:rFonts w:ascii="Amiri" w:hAnsi="Amiri" w:eastAsia="Amiri" w:cs="Amiri"/>
          <w:color w:val="111111"/>
          <w:sz w:val="28"/>
          <w:sz w:val="28"/>
          <w:szCs w:val="28"/>
          <w:rtl w:val="true"/>
          <w:lang w:bidi="ar-SA"/>
        </w:rPr>
        <w:t>لأنّ الوصول إلى البشرة لا يتمّ إلاّ به، و ما لا يتمّ الواجب إلاّ به،فهو واجب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كلّ شعر من ضرورة غسل بشرته غسله، وجب غسله</w:t>
      </w:r>
      <w:r>
        <w:rPr>
          <w:rFonts w:eastAsia="Amiri" w:cs="Amiri" w:ascii="Amiri" w:hAnsi="Amiri"/>
          <w:color w:val="111111"/>
          <w:sz w:val="28"/>
          <w:szCs w:val="28"/>
          <w:rtl w:val="true"/>
          <w:lang w:bidi="ar-SA"/>
        </w:rPr>
        <w:t>.</w:t>
      </w:r>
    </w:p>
    <w:p>
      <w:pPr>
        <w:pStyle w:val="Heading6"/>
        <w:numPr>
          <w:ilvl w:val="5"/>
          <w:numId w:val="1"/>
        </w:numPr>
        <w:rPr/>
      </w:pPr>
      <w:bookmarkStart w:id="665" w:name="__RefHeading___Toc795665_222507752"/>
      <w:bookmarkStart w:id="666" w:name="_Toc272"/>
      <w:bookmarkEnd w:id="665"/>
      <w:r>
        <w:rPr>
          <w:rtl w:val="true"/>
        </w:rPr>
        <w:t>الثّالث</w:t>
      </w:r>
      <w:r>
        <w:rPr>
          <w:rtl w:val="true"/>
        </w:rPr>
        <w:t>:</w:t>
      </w:r>
      <w:r>
        <w:rPr>
          <w:rtl w:val="true"/>
        </w:rPr>
        <w:t>لو ترك غسل المسترسل من الشّعر و اللّحية،ثمَّ قطعه أجزأ غسله إجماعا،</w:t>
      </w:r>
      <w:bookmarkEnd w:id="666"/>
    </w:p>
    <w:p>
      <w:pPr>
        <w:pStyle w:val="BookText"/>
        <w:rPr/>
      </w:pPr>
      <w:r>
        <w:rPr>
          <w:rFonts w:ascii="Amiri" w:hAnsi="Amiri" w:eastAsia="Amiri" w:cs="Amiri"/>
          <w:color w:val="111111"/>
          <w:sz w:val="28"/>
          <w:sz w:val="28"/>
          <w:szCs w:val="28"/>
          <w:rtl w:val="true"/>
          <w:lang w:bidi="ar-SA"/>
        </w:rPr>
        <w:t xml:space="preserve">أمّا عندنا فظاهر،و أمّا القائلون بالوجوب فلأنّه لم يبق في بدنه شيء غير مغسول </w:t>
      </w:r>
      <w:r>
        <w:rPr>
          <w:rStyle w:val="FootnoteAnchor"/>
          <w:rtl w:val="true"/>
        </w:rPr>
        <w:footnoteReference w:id="106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67" w:name="__RefHeading___Toc795667_222507752"/>
      <w:bookmarkStart w:id="668" w:name="_Toc273"/>
      <w:bookmarkEnd w:id="667"/>
      <w:r>
        <w:rPr>
          <w:rtl w:val="true"/>
        </w:rPr>
        <w:t>الرّابع</w:t>
      </w:r>
      <w:r>
        <w:rPr>
          <w:rtl w:val="true"/>
        </w:rPr>
        <w:t>:</w:t>
      </w:r>
      <w:r>
        <w:rPr>
          <w:rtl w:val="true"/>
        </w:rPr>
        <w:t>يستحبّ تخليل الأذنين مع وصول الماء إلى ظاهرهما و باطنهما احتياطا،</w:t>
      </w:r>
      <w:bookmarkEnd w:id="668"/>
    </w:p>
    <w:p>
      <w:pPr>
        <w:pStyle w:val="BookText"/>
        <w:rPr/>
      </w:pPr>
      <w:r>
        <w:rPr>
          <w:rFonts w:ascii="Amiri" w:hAnsi="Amiri" w:eastAsia="Amiri" w:cs="Amiri"/>
          <w:color w:val="111111"/>
          <w:sz w:val="28"/>
          <w:sz w:val="28"/>
          <w:szCs w:val="28"/>
          <w:rtl w:val="true"/>
          <w:lang w:bidi="ar-SA"/>
        </w:rPr>
        <w:t>و لو لم يصل إلاّ به وجب،لأنّ الوصول واجب لا يتمّ إلاّ بالتّخليل،فيجب</w:t>
      </w:r>
      <w:r>
        <w:rPr>
          <w:rFonts w:eastAsia="Amiri" w:cs="Amiri" w:ascii="Amiri" w:hAnsi="Amiri"/>
          <w:color w:val="111111"/>
          <w:sz w:val="28"/>
          <w:szCs w:val="28"/>
          <w:rtl w:val="true"/>
          <w:lang w:bidi="ar-SA"/>
        </w:rPr>
        <w:t>.</w:t>
      </w:r>
    </w:p>
    <w:p>
      <w:pPr>
        <w:pStyle w:val="Heading6"/>
        <w:numPr>
          <w:ilvl w:val="5"/>
          <w:numId w:val="1"/>
        </w:numPr>
        <w:rPr/>
      </w:pPr>
      <w:bookmarkStart w:id="669" w:name="__RefHeading___Toc795669_222507752"/>
      <w:bookmarkStart w:id="670" w:name="_Toc274"/>
      <w:bookmarkEnd w:id="669"/>
      <w:r>
        <w:rPr>
          <w:rtl w:val="true"/>
        </w:rPr>
        <w:t>مسألة</w:t>
      </w:r>
      <w:r>
        <w:rPr>
          <w:rtl w:val="true"/>
        </w:rPr>
        <w:t>:</w:t>
      </w:r>
      <w:r>
        <w:rPr>
          <w:rtl w:val="true"/>
        </w:rPr>
        <w:t>و يجب عليه إيصال الماء إلى جميع الظّاهر من بدنه دون البواطن منه</w:t>
      </w:r>
      <w:bookmarkEnd w:id="670"/>
    </w:p>
    <w:p>
      <w:pPr>
        <w:pStyle w:val="BookText"/>
        <w:rPr/>
      </w:pPr>
      <w:r>
        <w:rPr>
          <w:rFonts w:ascii="Amiri" w:hAnsi="Amiri" w:eastAsia="Amiri" w:cs="Amiri"/>
          <w:color w:val="111111"/>
          <w:sz w:val="28"/>
          <w:sz w:val="28"/>
          <w:szCs w:val="28"/>
          <w:rtl w:val="true"/>
          <w:lang w:bidi="ar-SA"/>
        </w:rPr>
        <w:t>بلا خلاف،فلو أخلّ بشيء منه لم يجز و لم يرتفع حدثه،و لو كان في محلّ أعضاء الوضوء لم يكف الوضوء منه</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كان على بدنه نجاسة عينيّة وجب إزالتها أوّلا،فلو أجرى ماء الغسل عليها فإن أزالها وجب عليه إجراء ماء طاهر على المحل،لأنّهما فرضان مختلفان فلا يؤديان بغسل واحد،و لأنّ الماء الجاري على النّجاسة ينفعل بالنّجاسة،فلا يطهّر المحلّ و لا ما بعده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نعم،الماء المزيل للنّجاسة لا يلحقه حكم الاستعمال فيندفع مع النّجاسة العينيّة،لأنّه قائم على المحلّ،و إنّما يثبت له وصف الاستعمال بعد انفصاله،على انّ الشّيخ يسوّغ رفع النّجاسة بالمستعمل </w:t>
      </w:r>
      <w:r>
        <w:rPr>
          <w:rStyle w:val="FootnoteAnchor"/>
          <w:rtl w:val="true"/>
        </w:rPr>
        <w:footnoteReference w:id="1068"/>
      </w:r>
      <w:r>
        <w:rPr>
          <w:rFonts w:eastAsia="Times New Roman" w:cs="Times New Roman" w:ascii="Times New Roman" w:hAnsi="Times New Roman"/>
          <w:color w:val="111111"/>
          <w:sz w:val="28"/>
          <w:szCs w:val="28"/>
          <w:rtl w:val="true"/>
          <w:lang w:val="en-US" w:bidi="en-US"/>
        </w:rPr>
        <w:t xml:space="preserve">. </w:t>
      </w:r>
      <w:bookmarkStart w:id="671" w:name="pg12669_112998"/>
    </w:p>
    <w:p>
      <w:pPr>
        <w:pStyle w:val="Heading6"/>
        <w:numPr>
          <w:ilvl w:val="5"/>
          <w:numId w:val="1"/>
        </w:numPr>
        <w:rPr/>
      </w:pPr>
      <w:bookmarkStart w:id="672" w:name="__RefHeading___Toc795671_222507752"/>
      <w:bookmarkStart w:id="673" w:name="_Toc275"/>
      <w:bookmarkEnd w:id="671"/>
      <w:bookmarkEnd w:id="672"/>
      <w:r>
        <w:rPr>
          <w:rtl w:val="true"/>
        </w:rPr>
        <w:t>مسألة</w:t>
      </w:r>
      <w:r>
        <w:rPr>
          <w:rtl w:val="true"/>
        </w:rPr>
        <w:t>:</w:t>
      </w:r>
      <w:r>
        <w:rPr>
          <w:rtl w:val="true"/>
        </w:rPr>
        <w:t>قال علماؤنا</w:t>
      </w:r>
      <w:r>
        <w:rPr>
          <w:rtl w:val="true"/>
        </w:rPr>
        <w:t>:</w:t>
      </w:r>
      <w:r>
        <w:rPr>
          <w:rtl w:val="true"/>
        </w:rPr>
        <w:t>لا تجب الموالاة في الغسل من الجنابة</w:t>
      </w:r>
      <w:r>
        <w:rPr>
          <w:rtl w:val="true"/>
        </w:rPr>
        <w:t>.</w:t>
      </w:r>
      <w:bookmarkEnd w:id="673"/>
    </w:p>
    <w:p>
      <w:pPr>
        <w:pStyle w:val="BookText"/>
        <w:rPr/>
      </w:pPr>
      <w:r>
        <w:rPr>
          <w:rFonts w:ascii="Amiri" w:hAnsi="Amiri" w:eastAsia="Amiri" w:cs="Amiri"/>
          <w:color w:val="111111"/>
          <w:sz w:val="28"/>
          <w:sz w:val="28"/>
          <w:szCs w:val="28"/>
          <w:rtl w:val="true"/>
          <w:lang w:bidi="ar-SA"/>
        </w:rPr>
        <w:t xml:space="preserve">و هو قول أكثر أهل العلم </w:t>
      </w:r>
      <w:r>
        <w:rPr>
          <w:rStyle w:val="FootnoteAnchor"/>
          <w:rtl w:val="true"/>
        </w:rPr>
        <w:footnoteReference w:id="1069"/>
      </w:r>
      <w:r>
        <w:rPr>
          <w:rFonts w:ascii="Amiri" w:hAnsi="Amiri" w:eastAsia="Amiri" w:cs="Amiri"/>
          <w:color w:val="111111"/>
          <w:sz w:val="28"/>
          <w:sz w:val="28"/>
          <w:szCs w:val="28"/>
          <w:rtl w:val="true"/>
          <w:lang w:bidi="ar-SA"/>
        </w:rPr>
        <w:t>،و نقل عن ربيعة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تعمّد تفريق غسله </w:t>
      </w:r>
      <w:r>
        <w:rPr>
          <w:rStyle w:val="FootnoteAnchor"/>
          <w:rtl w:val="true"/>
        </w:rPr>
        <w:footnoteReference w:id="1070"/>
      </w:r>
      <w:r>
        <w:rPr>
          <w:rFonts w:ascii="Amiri" w:hAnsi="Amiri" w:eastAsia="Amiri" w:cs="Amiri"/>
          <w:color w:val="111111"/>
          <w:sz w:val="28"/>
          <w:sz w:val="28"/>
          <w:szCs w:val="28"/>
          <w:rtl w:val="true"/>
          <w:lang w:bidi="ar-SA"/>
        </w:rPr>
        <w:t>أعاد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به قال اللّيث، و اختلف فيه عن مالك،و فيه لأصحاب الشّافعيّ قول </w:t>
      </w:r>
      <w:r>
        <w:rPr>
          <w:rStyle w:val="FootnoteAnchor"/>
          <w:rtl w:val="true"/>
        </w:rPr>
        <w:footnoteReference w:id="10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تطهّر فامتثل الأمر بالتّطهير فوجب الإجزاء،و لأنّه غسل لا يجب فيه التّرتيب عندهم،فلا يجب فيه الموالاة كغسل النّجاسة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الشّيخ في الحسن،عن إبراهيم بن عمر اليمانيّ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عليّا عليه السّلام،لم ير بأسا أن يغسل الجنب رأسه غدوة و سائر جسده عند الصّلاة</w:t>
      </w:r>
      <w:r>
        <w:rPr>
          <w:rFonts w:eastAsia="Amiri" w:cs="Amiri" w:ascii="Amiri" w:hAnsi="Amiri"/>
          <w:color w:val="111111"/>
          <w:sz w:val="28"/>
          <w:szCs w:val="28"/>
          <w:rtl w:val="true"/>
          <w:lang w:bidi="ar-SA"/>
        </w:rPr>
        <w:t xml:space="preserve">» </w:t>
      </w:r>
      <w:r>
        <w:rPr>
          <w:rStyle w:val="FootnoteAnchor"/>
          <w:rtl w:val="true"/>
        </w:rPr>
        <w:footnoteReference w:id="107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74" w:name="__RefHeading___Toc795673_222507752"/>
      <w:bookmarkStart w:id="675" w:name="_Toc276"/>
      <w:bookmarkEnd w:id="674"/>
      <w:r>
        <w:rPr>
          <w:rtl w:val="true"/>
        </w:rPr>
        <w:t>مسألة</w:t>
      </w:r>
      <w:r>
        <w:rPr>
          <w:rtl w:val="true"/>
        </w:rPr>
        <w:t>:</w:t>
      </w:r>
      <w:r>
        <w:rPr>
          <w:rtl w:val="true"/>
        </w:rPr>
        <w:t>و يستحبّ للمغتسل أمور</w:t>
      </w:r>
      <w:r>
        <w:rPr>
          <w:rtl w:val="true"/>
        </w:rPr>
        <w:t>:</w:t>
      </w:r>
      <w:bookmarkEnd w:id="675"/>
    </w:p>
    <w:p>
      <w:pPr>
        <w:pStyle w:val="Heading6"/>
        <w:numPr>
          <w:ilvl w:val="5"/>
          <w:numId w:val="1"/>
        </w:numPr>
        <w:rPr/>
      </w:pPr>
      <w:bookmarkStart w:id="676" w:name="__RefHeading___Toc795675_222507752"/>
      <w:bookmarkStart w:id="677" w:name="_Toc277"/>
      <w:bookmarkEnd w:id="676"/>
      <w:r>
        <w:rPr>
          <w:rtl w:val="true"/>
        </w:rPr>
        <w:t>أحدها</w:t>
      </w:r>
      <w:r>
        <w:rPr>
          <w:rtl w:val="true"/>
        </w:rPr>
        <w:t>:</w:t>
      </w:r>
      <w:r>
        <w:rPr>
          <w:rtl w:val="true"/>
        </w:rPr>
        <w:t>الاستبراء</w:t>
      </w:r>
      <w:bookmarkEnd w:id="67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مضى كيفيّته </w:t>
      </w:r>
      <w:r>
        <w:rPr>
          <w:rStyle w:val="FootnoteAnchor"/>
          <w:rtl w:val="true"/>
        </w:rPr>
        <w:footnoteReference w:id="107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اختيار السّيّد المرتضى </w:t>
      </w:r>
      <w:r>
        <w:rPr>
          <w:rStyle w:val="FootnoteAnchor"/>
          <w:rtl w:val="true"/>
        </w:rPr>
        <w:footnoteReference w:id="107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واجب على الرّجال </w:t>
      </w:r>
      <w:r>
        <w:rPr>
          <w:rStyle w:val="FootnoteAnchor"/>
          <w:rtl w:val="true"/>
        </w:rPr>
        <w:footnoteReference w:id="1075"/>
      </w:r>
      <w:r>
        <w:rPr>
          <w:rFonts w:eastAsia="Times New Roman" w:cs="Times New Roman" w:ascii="Times New Roman" w:hAnsi="Times New Roman"/>
          <w:color w:val="111111"/>
          <w:sz w:val="28"/>
          <w:szCs w:val="28"/>
          <w:rtl w:val="true"/>
          <w:lang w:val="en-US" w:bidi="en-US"/>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لنا على عدم الوجوب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الأصل،و قوله تعالى وَ لا جُنُباً إِلاّ عابِرِي سَبِيلٍ حَتَّى تَغْتَسِلُوا </w:t>
      </w:r>
      <w:r>
        <w:rPr>
          <w:rStyle w:val="FootnoteAnchor"/>
          <w:rtl w:val="true"/>
        </w:rPr>
        <w:footnoteReference w:id="1076"/>
      </w:r>
      <w:r>
        <w:rPr>
          <w:rFonts w:eastAsia="Times New Roman" w:cs="Times New Roman" w:ascii="Times New Roman" w:hAnsi="Times New Roman"/>
          <w:color w:val="111111"/>
          <w:sz w:val="28"/>
          <w:szCs w:val="28"/>
          <w:rtl w:val="true"/>
          <w:lang w:val="en-US" w:bidi="en-US"/>
        </w:rPr>
        <w:t xml:space="preserve">. </w:t>
      </w:r>
      <w:bookmarkStart w:id="678" w:name="pg12669_112999"/>
    </w:p>
    <w:p>
      <w:pPr>
        <w:pStyle w:val="BookText"/>
        <w:rPr/>
      </w:pPr>
      <w:bookmarkEnd w:id="678"/>
      <w:r>
        <w:rPr>
          <w:rFonts w:ascii="Amiri" w:hAnsi="Amiri" w:eastAsia="Amiri" w:cs="Amiri"/>
          <w:color w:val="111111"/>
          <w:sz w:val="28"/>
          <w:sz w:val="28"/>
          <w:szCs w:val="28"/>
          <w:rtl w:val="true"/>
          <w:lang w:bidi="ar-SA"/>
        </w:rPr>
        <w:t>و ما رواه الشّيخ في الصّحيح،عن محمّد،عن أحدهما عليهما السّلام،قال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سألته عن غسل الجنابة؟فقال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تبدأ بكفّيك،ثمَّ تغسل فرجك،ثمَّ تصبّ على رأسك ثلاثا،ثمَّ تصبّ على سائر جسدك مرّتين،فما جرى الماء فقد طهّره</w:t>
      </w:r>
      <w:r>
        <w:rPr>
          <w:rFonts w:eastAsia="Amiri" w:cs="Amiri" w:ascii="Amiri" w:hAnsi="Amiri"/>
          <w:color w:val="111111"/>
          <w:sz w:val="28"/>
          <w:szCs w:val="28"/>
          <w:rtl w:val="true"/>
          <w:lang w:bidi="ar-SA"/>
        </w:rPr>
        <w:t xml:space="preserve">» </w:t>
      </w:r>
      <w:r>
        <w:rPr>
          <w:rStyle w:val="FootnoteAnchor"/>
          <w:rtl w:val="true"/>
        </w:rPr>
        <w:footnoteReference w:id="1077"/>
      </w:r>
      <w:r>
        <w:rPr>
          <w:rFonts w:ascii="Amiri" w:hAnsi="Amiri" w:eastAsia="Amiri" w:cs="Amiri"/>
          <w:color w:val="111111"/>
          <w:sz w:val="28"/>
          <w:sz w:val="28"/>
          <w:szCs w:val="28"/>
          <w:rtl w:val="true"/>
          <w:lang w:bidi="ar-SA"/>
        </w:rPr>
        <w:t>و لو كان الاستبراء واجبا لبيّنه،و لا ينافي ذلك وجوب إعادة الغسل مع تركه عند وجود البلل</w:t>
      </w:r>
      <w:r>
        <w:rPr>
          <w:rFonts w:eastAsia="Amiri" w:cs="Amiri" w:ascii="Amiri" w:hAnsi="Amiri"/>
          <w:color w:val="111111"/>
          <w:sz w:val="28"/>
          <w:szCs w:val="28"/>
          <w:rtl w:val="true"/>
          <w:lang w:bidi="ar-SA"/>
        </w:rPr>
        <w:t>.</w:t>
      </w:r>
    </w:p>
    <w:p>
      <w:pPr>
        <w:pStyle w:val="Heading6"/>
        <w:numPr>
          <w:ilvl w:val="5"/>
          <w:numId w:val="1"/>
        </w:numPr>
        <w:rPr/>
      </w:pPr>
      <w:bookmarkStart w:id="679" w:name="__RefHeading___Toc795677_222507752"/>
      <w:bookmarkStart w:id="680" w:name="_Toc278"/>
      <w:bookmarkEnd w:id="679"/>
      <w:r>
        <w:rPr>
          <w:rtl w:val="true"/>
        </w:rPr>
        <w:t>الثّاني</w:t>
      </w:r>
      <w:r>
        <w:rPr>
          <w:rtl w:val="true"/>
        </w:rPr>
        <w:t>:</w:t>
      </w:r>
      <w:r>
        <w:rPr>
          <w:rtl w:val="true"/>
        </w:rPr>
        <w:t>غسل اليدين ثلاثا</w:t>
      </w:r>
      <w:bookmarkEnd w:id="680"/>
    </w:p>
    <w:p>
      <w:pPr>
        <w:pStyle w:val="BookText"/>
        <w:rPr/>
      </w:pPr>
      <w:r>
        <w:rPr>
          <w:rFonts w:ascii="Amiri" w:hAnsi="Amiri" w:eastAsia="Amiri" w:cs="Amiri"/>
          <w:color w:val="111111"/>
          <w:sz w:val="28"/>
          <w:sz w:val="28"/>
          <w:szCs w:val="28"/>
          <w:rtl w:val="true"/>
          <w:lang w:bidi="ar-SA"/>
        </w:rPr>
        <w:t xml:space="preserve">و قد مرّ في باب الوضوء </w:t>
      </w:r>
      <w:r>
        <w:rPr>
          <w:rStyle w:val="FootnoteAnchor"/>
          <w:rtl w:val="true"/>
        </w:rPr>
        <w:footnoteReference w:id="107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81" w:name="__RefHeading___Toc795679_222507752"/>
      <w:bookmarkStart w:id="682" w:name="_Toc279"/>
      <w:bookmarkEnd w:id="681"/>
      <w:r>
        <w:rPr>
          <w:rtl w:val="true"/>
        </w:rPr>
        <w:t>الثّالث</w:t>
      </w:r>
      <w:r>
        <w:rPr>
          <w:rtl w:val="true"/>
        </w:rPr>
        <w:t>:</w:t>
      </w:r>
      <w:r>
        <w:rPr>
          <w:rtl w:val="true"/>
        </w:rPr>
        <w:t>المضمضة و الاستنشاق</w:t>
      </w:r>
      <w:r>
        <w:rPr>
          <w:rtl w:val="true"/>
        </w:rPr>
        <w:t>.</w:t>
      </w:r>
      <w:bookmarkEnd w:id="682"/>
    </w:p>
    <w:p>
      <w:pPr>
        <w:pStyle w:val="BookText"/>
        <w:rPr/>
      </w:pPr>
      <w:r>
        <w:rPr>
          <w:rFonts w:ascii="Amiri" w:hAnsi="Amiri" w:eastAsia="Amiri" w:cs="Amiri"/>
          <w:color w:val="111111"/>
          <w:sz w:val="28"/>
          <w:sz w:val="28"/>
          <w:szCs w:val="28"/>
          <w:rtl w:val="true"/>
          <w:lang w:bidi="ar-SA"/>
        </w:rPr>
        <w:t xml:space="preserve">و هو مذهب علمائنا أجمع،و مذهب الشّافعيّ </w:t>
      </w:r>
      <w:r>
        <w:rPr>
          <w:rStyle w:val="FootnoteAnchor"/>
          <w:rtl w:val="true"/>
        </w:rPr>
        <w:footnoteReference w:id="1079"/>
      </w:r>
      <w:r>
        <w:rPr>
          <w:rFonts w:ascii="Amiri" w:hAnsi="Amiri" w:eastAsia="Amiri" w:cs="Amiri"/>
          <w:color w:val="111111"/>
          <w:sz w:val="28"/>
          <w:sz w:val="28"/>
          <w:szCs w:val="28"/>
          <w:rtl w:val="true"/>
          <w:lang w:bidi="ar-SA"/>
        </w:rPr>
        <w:t xml:space="preserve">،و أوجبهما أبو حنيفة </w:t>
      </w:r>
      <w:r>
        <w:rPr>
          <w:rStyle w:val="FootnoteAnchor"/>
          <w:rtl w:val="true"/>
        </w:rPr>
        <w:footnoteReference w:id="1080"/>
      </w:r>
      <w:r>
        <w:rPr>
          <w:rFonts w:ascii="IRNazanin" w:hAnsi="IRNazanin" w:eastAsia="IRNazanin"/>
          <w:color w:val="111111"/>
          <w:sz w:val="28"/>
          <w:sz w:val="28"/>
          <w:szCs w:val="28"/>
          <w:rtl w:val="true"/>
          <w:lang w:bidi="fa-IR"/>
        </w:rPr>
        <w:t xml:space="preserve">و أحمد </w:t>
      </w:r>
      <w:r>
        <w:rPr>
          <w:rStyle w:val="FootnoteAnchor"/>
          <w:rtl w:val="true"/>
        </w:rPr>
        <w:footnoteReference w:id="1081"/>
      </w:r>
      <w:r>
        <w:rPr>
          <w:rFonts w:ascii="Amiri" w:hAnsi="Amiri" w:eastAsia="Amiri" w:cs="Amiri"/>
          <w:color w:val="111111"/>
          <w:sz w:val="28"/>
          <w:sz w:val="28"/>
          <w:szCs w:val="28"/>
          <w:rtl w:val="true"/>
          <w:lang w:bidi="ar-SA"/>
        </w:rPr>
        <w:t xml:space="preserve">،و البحث فيه تقدّم </w:t>
      </w:r>
      <w:r>
        <w:rPr>
          <w:rStyle w:val="FootnoteAnchor"/>
          <w:rtl w:val="true"/>
        </w:rPr>
        <w:footnoteReference w:id="108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83" w:name="__RefHeading___Toc795681_222507752"/>
      <w:bookmarkStart w:id="684" w:name="_Toc280"/>
      <w:bookmarkEnd w:id="683"/>
      <w:r>
        <w:rPr>
          <w:rtl w:val="true"/>
        </w:rPr>
        <w:t>الرّابع</w:t>
      </w:r>
      <w:r>
        <w:rPr>
          <w:rtl w:val="true"/>
        </w:rPr>
        <w:t>:</w:t>
      </w:r>
      <w:r>
        <w:rPr>
          <w:rtl w:val="true"/>
        </w:rPr>
        <w:t>إمرار اليد ليس بواجب في الطّهارتين</w:t>
      </w:r>
      <w:bookmarkEnd w:id="684"/>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لكنّه مستحبّ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مذهب أهل البيت عليهم السّلام </w:t>
      </w:r>
      <w:r>
        <w:rPr>
          <w:rStyle w:val="FootnoteAnchor"/>
          <w:rtl w:val="true"/>
        </w:rPr>
        <w:footnoteReference w:id="1083"/>
      </w:r>
      <w:r>
        <w:rPr>
          <w:rFonts w:ascii="Amiri" w:hAnsi="Amiri" w:eastAsia="Amiri" w:cs="Amiri"/>
          <w:color w:val="111111"/>
          <w:sz w:val="28"/>
          <w:sz w:val="28"/>
          <w:szCs w:val="28"/>
          <w:rtl w:val="true"/>
          <w:lang w:bidi="ar-SA"/>
        </w:rPr>
        <w:t xml:space="preserve">،و اختاره النّخعيّ،و الشّعبيّ،و حمّاد،و الثّوريّ، و الأوزاعيّ </w:t>
      </w:r>
      <w:r>
        <w:rPr>
          <w:rStyle w:val="FootnoteAnchor"/>
          <w:rtl w:val="true"/>
        </w:rPr>
        <w:footnoteReference w:id="1084"/>
      </w:r>
      <w:r>
        <w:rPr>
          <w:rFonts w:ascii="Amiri" w:hAnsi="Amiri" w:eastAsia="Amiri" w:cs="Amiri"/>
          <w:color w:val="111111"/>
          <w:sz w:val="28"/>
          <w:sz w:val="28"/>
          <w:szCs w:val="28"/>
          <w:rtl w:val="true"/>
          <w:lang w:bidi="ar-SA"/>
        </w:rPr>
        <w:t xml:space="preserve">،و الشّافعي </w:t>
      </w:r>
      <w:r>
        <w:rPr>
          <w:rStyle w:val="FootnoteAnchor"/>
          <w:rtl w:val="true"/>
        </w:rPr>
        <w:footnoteReference w:id="1085"/>
      </w:r>
      <w:r>
        <w:rPr>
          <w:rFonts w:ascii="IRNazanin" w:hAnsi="IRNazanin" w:eastAsia="IRNazanin"/>
          <w:color w:val="111111"/>
          <w:sz w:val="28"/>
          <w:sz w:val="28"/>
          <w:szCs w:val="28"/>
          <w:rtl w:val="true"/>
          <w:lang w:bidi="fa-IR"/>
        </w:rPr>
        <w:t xml:space="preserve">،و إسحاق </w:t>
      </w:r>
      <w:r>
        <w:rPr>
          <w:rStyle w:val="FootnoteAnchor"/>
          <w:rtl w:val="true"/>
        </w:rPr>
        <w:footnoteReference w:id="1086"/>
      </w:r>
      <w:r>
        <w:rPr>
          <w:rFonts w:ascii="Amiri" w:hAnsi="Amiri" w:eastAsia="Amiri" w:cs="Amiri"/>
          <w:color w:val="111111"/>
          <w:sz w:val="28"/>
          <w:sz w:val="28"/>
          <w:szCs w:val="28"/>
          <w:rtl w:val="true"/>
          <w:lang w:bidi="ar-SA"/>
        </w:rPr>
        <w:t xml:space="preserve">،و أبو حنيفة </w:t>
      </w:r>
      <w:r>
        <w:rPr>
          <w:rStyle w:val="FootnoteAnchor"/>
          <w:rtl w:val="true"/>
        </w:rPr>
        <w:footnoteReference w:id="108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قال مالك و المزنيّ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يجب إمرار اليد حيث تنال في الطّهارتين </w:t>
      </w:r>
      <w:r>
        <w:rPr>
          <w:rStyle w:val="FootnoteAnchor"/>
          <w:rtl w:val="true"/>
        </w:rPr>
        <w:footnoteReference w:id="1088"/>
      </w:r>
      <w:r>
        <w:rPr>
          <w:rStyle w:val="FootnoteAnchor"/>
          <w:rtl w:val="true"/>
        </w:rPr>
        <w:footnoteReference w:id="108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اختاره أبو العالية </w:t>
      </w:r>
      <w:r>
        <w:rPr>
          <w:rStyle w:val="FootnoteAnchor"/>
          <w:rtl w:val="true"/>
        </w:rPr>
        <w:footnoteReference w:id="109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عطاء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الجنب يفيض عليه الماء؟قال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لا،بل يغتسل غسلا </w:t>
      </w:r>
      <w:r>
        <w:rPr>
          <w:rStyle w:val="FootnoteAnchor"/>
          <w:rtl w:val="true"/>
        </w:rPr>
        <w:footnoteReference w:id="10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الجمهور،عن أمّ سلمة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يكفيك أن تحثي على رأسك ثلاث حثيات،ثمَّ تفيضين عليك الماء فتطهرين</w:t>
      </w:r>
      <w:r>
        <w:rPr>
          <w:rFonts w:eastAsia="Amiri" w:cs="Amiri" w:ascii="Amiri" w:hAnsi="Amiri"/>
          <w:color w:val="111111"/>
          <w:sz w:val="28"/>
          <w:szCs w:val="28"/>
          <w:rtl w:val="true"/>
          <w:lang w:bidi="ar-SA"/>
        </w:rPr>
        <w:t xml:space="preserve">) </w:t>
      </w:r>
      <w:r>
        <w:rPr>
          <w:rStyle w:val="FootnoteAnchor"/>
          <w:rtl w:val="true"/>
        </w:rPr>
        <w:footnoteReference w:id="1092"/>
      </w:r>
      <w:r>
        <w:rPr>
          <w:rFonts w:eastAsia="Times New Roman" w:cs="Times New Roman" w:ascii="Times New Roman" w:hAnsi="Times New Roman"/>
          <w:color w:val="111111"/>
          <w:sz w:val="28"/>
          <w:szCs w:val="28"/>
          <w:rtl w:val="true"/>
          <w:lang w:val="en-US" w:bidi="en-US"/>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طريق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 في الصّحيح،عن زرارة،عن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انّ جنبا ارتمس في الماء ارتماسة واحدة أجزأه ذلك و إن لم يدلك جسده</w:t>
      </w:r>
      <w:r>
        <w:rPr>
          <w:rFonts w:eastAsia="Amiri" w:cs="Amiri" w:ascii="Amiri" w:hAnsi="Amiri"/>
          <w:color w:val="111111"/>
          <w:sz w:val="28"/>
          <w:szCs w:val="28"/>
          <w:rtl w:val="true"/>
          <w:lang w:bidi="ar-SA"/>
        </w:rPr>
        <w:t xml:space="preserve">» </w:t>
      </w:r>
      <w:r>
        <w:rPr>
          <w:rStyle w:val="FootnoteAnchor"/>
          <w:rtl w:val="true"/>
        </w:rPr>
        <w:footnoteReference w:id="109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في الحسن،عن الحلبيّ،عنه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ارتمس ارتماسة واحدة أجزأه ذلك من غسله</w:t>
      </w:r>
      <w:r>
        <w:rPr>
          <w:rFonts w:eastAsia="Amiri" w:cs="Amiri" w:ascii="Amiri" w:hAnsi="Amiri"/>
          <w:color w:val="111111"/>
          <w:sz w:val="28"/>
          <w:szCs w:val="28"/>
          <w:rtl w:val="true"/>
          <w:lang w:bidi="ar-SA"/>
        </w:rPr>
        <w:t xml:space="preserve">» </w:t>
      </w:r>
      <w:r>
        <w:rPr>
          <w:rStyle w:val="FootnoteAnchor"/>
          <w:rtl w:val="true"/>
        </w:rPr>
        <w:footnoteReference w:id="10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زرارة في الصّحيح،عن أبي جعفر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جرى عليه الماء من جسده قليله و كثيره فقد أجزأه</w:t>
      </w:r>
      <w:r>
        <w:rPr>
          <w:rFonts w:eastAsia="Amiri" w:cs="Amiri" w:ascii="Amiri" w:hAnsi="Amiri"/>
          <w:color w:val="111111"/>
          <w:sz w:val="28"/>
          <w:szCs w:val="28"/>
          <w:rtl w:val="true"/>
          <w:lang w:bidi="ar-SA"/>
        </w:rPr>
        <w:t xml:space="preserve">» </w:t>
      </w:r>
      <w:r>
        <w:rPr>
          <w:rStyle w:val="FootnoteAnchor"/>
          <w:rtl w:val="true"/>
        </w:rPr>
        <w:footnoteReference w:id="10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لأنّ الأصل عدم الوجوب،و لأنّه غسل واجب فلا يجب فيه إمرار اليد كغسل النّجاسة،و لأنّ الماء مطهّر بالنّصّ،فإذا صادف محلاّ قابلا للطّهارة أثّر،كالإحراق، و مع حصول الطّهارة تجوز الصّلاة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احتجّ مالك بأنّ الواجب الاغتسال </w:t>
      </w:r>
      <w:r>
        <w:rPr>
          <w:rStyle w:val="FootnoteAnchor"/>
          <w:rtl w:val="true"/>
        </w:rPr>
        <w:footnoteReference w:id="1096"/>
      </w:r>
      <w:r>
        <w:rPr>
          <w:rFonts w:ascii="Amiri" w:hAnsi="Amiri" w:eastAsia="Amiri" w:cs="Amiri"/>
          <w:color w:val="111111"/>
          <w:sz w:val="28"/>
          <w:sz w:val="28"/>
          <w:szCs w:val="28"/>
          <w:rtl w:val="true"/>
          <w:lang w:bidi="ar-SA"/>
        </w:rPr>
        <w:t xml:space="preserve">،لقوله تعالى حَتَّى تَغْتَسِلُوا </w:t>
      </w:r>
      <w:r>
        <w:rPr>
          <w:rStyle w:val="FootnoteAnchor"/>
          <w:rtl w:val="true"/>
        </w:rPr>
        <w:footnoteReference w:id="1097"/>
      </w:r>
      <w:r>
        <w:rPr>
          <w:rFonts w:ascii="Amiri" w:hAnsi="Amiri" w:eastAsia="Amiri" w:cs="Amiri"/>
          <w:color w:val="111111"/>
          <w:sz w:val="28"/>
          <w:sz w:val="28"/>
          <w:szCs w:val="28"/>
          <w:rtl w:val="true"/>
          <w:lang w:bidi="ar-SA"/>
        </w:rPr>
        <w:t>و لا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اغتسل</w:t>
      </w:r>
      <w:r>
        <w:rPr>
          <w:rFonts w:eastAsia="Amiri" w:cs="Amiri" w:ascii="Amiri" w:hAnsi="Amiri"/>
          <w:color w:val="111111"/>
          <w:sz w:val="28"/>
          <w:szCs w:val="28"/>
          <w:rtl w:val="true"/>
          <w:lang w:bidi="ar-SA"/>
        </w:rPr>
        <w:t xml:space="preserve">] </w:t>
      </w:r>
      <w:r>
        <w:rPr>
          <w:rStyle w:val="FootnoteAnchor"/>
          <w:rtl w:val="true"/>
        </w:rPr>
        <w:footnoteReference w:id="1098"/>
      </w:r>
      <w:r>
        <w:rPr>
          <w:rFonts w:ascii="Amiri" w:hAnsi="Amiri" w:eastAsia="Amiri" w:cs="Amiri"/>
          <w:color w:val="111111"/>
          <w:sz w:val="28"/>
          <w:sz w:val="28"/>
          <w:szCs w:val="28"/>
          <w:rtl w:val="true"/>
          <w:lang w:bidi="ar-SA"/>
        </w:rPr>
        <w:t>إلاّ لمن دلك نفسه،و لأنّ الغسل طهارة عن حدث،فوجب إمرار اليد فيها كالتّيمّم،و لأنّه فعل و الفعل لا يتحقّق إلاّ بالدّلك،فصار كغسل الثّوب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 عن الأوّل بالمنع من اختصاص الغسل بما يشتمل على الدّلك،فإنّه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غسل الإناء و إن لم يمرّ يده،و يسمّى السّيل الكثير غاسولا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الثّاني بالفرق،فإنّا أمرنا في التّيمّم بالمسح،لأنّه طهارة بالتّراب و يتعذّر غالبا إمرار التّراب إلاّ باليد</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النّجاسة في الثّوب حقيقة تخلّلت أجزاء الثّوب فلا يزول،إلاّ بالدّلك و العصر،بخلاف صورة النّزاع</w:t>
      </w:r>
      <w:r>
        <w:rPr>
          <w:rFonts w:eastAsia="Amiri" w:cs="Amiri" w:ascii="Amiri" w:hAnsi="Amiri"/>
          <w:color w:val="111111"/>
          <w:sz w:val="28"/>
          <w:szCs w:val="28"/>
          <w:rtl w:val="true"/>
          <w:lang w:bidi="ar-SA"/>
        </w:rPr>
        <w:t xml:space="preserve">. </w:t>
      </w:r>
      <w:bookmarkStart w:id="685" w:name="pg12669_113002"/>
    </w:p>
    <w:p>
      <w:pPr>
        <w:pStyle w:val="BookText"/>
        <w:rPr/>
      </w:pPr>
      <w:bookmarkEnd w:id="685"/>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فعل،قلنا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مسلّم لكنّه غير مقصود لذاته،بل المقصود الطّهارة و قد حصلت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سلّمنا،لكن تمكين اليدين من الماء و تقريبه إليه فعل،فيخرج به عن العهدة بدون الدّلك</w:t>
      </w:r>
      <w:r>
        <w:rPr>
          <w:rFonts w:eastAsia="Amiri" w:cs="Amiri" w:ascii="Amiri" w:hAnsi="Amiri"/>
          <w:color w:val="111111"/>
          <w:sz w:val="28"/>
          <w:szCs w:val="28"/>
          <w:rtl w:val="true"/>
          <w:lang w:bidi="ar-SA"/>
        </w:rPr>
        <w:t>.</w:t>
      </w:r>
    </w:p>
    <w:p>
      <w:pPr>
        <w:pStyle w:val="Heading6"/>
        <w:numPr>
          <w:ilvl w:val="5"/>
          <w:numId w:val="1"/>
        </w:numPr>
        <w:rPr/>
      </w:pPr>
      <w:bookmarkStart w:id="686" w:name="__RefHeading___Toc795683_222507752"/>
      <w:bookmarkStart w:id="687" w:name="_Toc281"/>
      <w:bookmarkEnd w:id="686"/>
      <w:r>
        <w:rPr>
          <w:rtl w:val="true"/>
        </w:rPr>
        <w:t>الخامس</w:t>
      </w:r>
      <w:r>
        <w:rPr>
          <w:rtl w:val="true"/>
        </w:rPr>
        <w:t>:</w:t>
      </w:r>
      <w:r>
        <w:rPr>
          <w:rtl w:val="true"/>
        </w:rPr>
        <w:t>الغسل بصاع</w:t>
      </w:r>
      <w:bookmarkEnd w:id="687"/>
    </w:p>
    <w:p>
      <w:pPr>
        <w:pStyle w:val="BookText"/>
        <w:rPr/>
      </w:pPr>
      <w:r>
        <w:rPr>
          <w:rFonts w:ascii="Amiri" w:hAnsi="Amiri" w:eastAsia="Amiri" w:cs="Amiri"/>
          <w:color w:val="111111"/>
          <w:sz w:val="28"/>
          <w:sz w:val="28"/>
          <w:szCs w:val="28"/>
          <w:rtl w:val="true"/>
          <w:lang w:bidi="ar-SA"/>
        </w:rPr>
        <w:t>فما زاد مستحبّ عند علمائنا أجمع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اختيار الشّافعي </w:t>
      </w:r>
      <w:r>
        <w:rPr>
          <w:rStyle w:val="FootnoteAnchor"/>
          <w:rtl w:val="true"/>
        </w:rPr>
        <w:footnoteReference w:id="1099"/>
      </w:r>
      <w:r>
        <w:rPr>
          <w:rFonts w:ascii="IRNazanin" w:hAnsi="IRNazanin" w:eastAsia="IRNazanin"/>
          <w:color w:val="111111"/>
          <w:sz w:val="28"/>
          <w:sz w:val="28"/>
          <w:szCs w:val="28"/>
          <w:rtl w:val="true"/>
          <w:lang w:bidi="fa-IR"/>
        </w:rPr>
        <w:t xml:space="preserve">،و أحمد </w:t>
      </w:r>
      <w:r>
        <w:rPr>
          <w:rStyle w:val="FootnoteAnchor"/>
          <w:rtl w:val="true"/>
        </w:rPr>
        <w:footnoteReference w:id="1100"/>
      </w:r>
      <w:r>
        <w:rPr>
          <w:rFonts w:ascii="Amiri" w:hAnsi="Amiri" w:eastAsia="Amiri" w:cs="Amiri"/>
          <w:color w:val="111111"/>
          <w:sz w:val="28"/>
          <w:sz w:val="28"/>
          <w:szCs w:val="28"/>
          <w:rtl w:val="true"/>
          <w:lang w:bidi="ar-SA"/>
        </w:rPr>
        <w:t xml:space="preserve">،و إحدى الرّوايتين،عن أبي حنيفة </w:t>
      </w:r>
      <w:r>
        <w:rPr>
          <w:rStyle w:val="FootnoteAnchor"/>
          <w:rtl w:val="true"/>
        </w:rPr>
        <w:footnoteReference w:id="1101"/>
      </w:r>
      <w:r>
        <w:rPr>
          <w:rFonts w:ascii="Amiri" w:hAnsi="Amiri" w:eastAsia="Amiri" w:cs="Amiri"/>
          <w:color w:val="111111"/>
          <w:sz w:val="28"/>
          <w:sz w:val="28"/>
          <w:szCs w:val="28"/>
          <w:rtl w:val="true"/>
          <w:lang w:bidi="ar-SA"/>
        </w:rPr>
        <w:t>،و في الأخرى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يجزي أقلّ من صاع </w:t>
      </w:r>
      <w:r>
        <w:rPr>
          <w:rStyle w:val="FootnoteAnchor"/>
          <w:rtl w:val="true"/>
        </w:rPr>
        <w:footnoteReference w:id="110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روي،عن محمّد انّه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يمكن للمغتسل أن يعمّ جميع بدنه بأقلّ من صاع و لا للمتوضّئ أن يسبغ جميع أعضاء وضوئه بأقلّ من مدّ </w:t>
      </w:r>
      <w:r>
        <w:rPr>
          <w:rStyle w:val="FootnoteAnchor"/>
          <w:rtl w:val="true"/>
        </w:rPr>
        <w:footnoteReference w:id="11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تعالى حَتَّى تَغْتَسِلُوا </w:t>
      </w:r>
      <w:r>
        <w:rPr>
          <w:rStyle w:val="FootnoteAnchor"/>
          <w:rtl w:val="true"/>
        </w:rPr>
        <w:footnoteReference w:id="1104"/>
      </w:r>
      <w:r>
        <w:rPr>
          <w:rFonts w:ascii="IRNazanin" w:hAnsi="IRNazanin" w:eastAsia="IRNazanin"/>
          <w:color w:val="111111"/>
          <w:sz w:val="28"/>
          <w:sz w:val="28"/>
          <w:szCs w:val="28"/>
          <w:rtl w:val="true"/>
          <w:lang w:bidi="fa-IR"/>
        </w:rPr>
        <w:t>و قد أتى به فثبت الإجزاء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رواه الجمهور،عن عائشة انّها كانت تغتسل هي و النّبيّ صلّى اللّه عليه و آله من إناء واحد يسع ثلاثة أمداد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قريبا</w:t>
      </w:r>
      <w:r>
        <w:rPr>
          <w:rFonts w:eastAsia="Amiri" w:cs="Amiri" w:ascii="Amiri" w:hAnsi="Amiri"/>
          <w:color w:val="111111"/>
          <w:sz w:val="28"/>
          <w:szCs w:val="28"/>
          <w:rtl w:val="true"/>
          <w:lang w:bidi="ar-SA"/>
        </w:rPr>
        <w:t xml:space="preserve">] </w:t>
      </w:r>
      <w:r>
        <w:rPr>
          <w:rStyle w:val="FootnoteAnchor"/>
          <w:rtl w:val="true"/>
        </w:rPr>
        <w:footnoteReference w:id="1105"/>
      </w:r>
      <w:r>
        <w:rPr>
          <w:rFonts w:ascii="Amiri" w:hAnsi="Amiri" w:eastAsia="Amiri" w:cs="Amiri"/>
          <w:color w:val="111111"/>
          <w:sz w:val="28"/>
          <w:sz w:val="28"/>
          <w:szCs w:val="28"/>
          <w:rtl w:val="true"/>
          <w:lang w:bidi="ar-SA"/>
        </w:rPr>
        <w:t xml:space="preserve">من ذلك </w:t>
      </w:r>
      <w:r>
        <w:rPr>
          <w:rStyle w:val="FootnoteAnchor"/>
          <w:rtl w:val="true"/>
        </w:rPr>
        <w:footnoteReference w:id="1106"/>
      </w:r>
      <w:r>
        <w:rPr>
          <w:rFonts w:eastAsia="Times New Roman" w:cs="Times New Roman" w:ascii="Times New Roman" w:hAnsi="Times New Roman"/>
          <w:color w:val="111111"/>
          <w:sz w:val="28"/>
          <w:szCs w:val="28"/>
          <w:rtl w:val="true"/>
          <w:lang w:val="en-US" w:bidi="en-US"/>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طريق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رواية زرارة،عن الباقر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الجنب ما جرى عليه الماء من جسده قليله و كثيرة فقد أجزأه</w:t>
      </w:r>
      <w:r>
        <w:rPr>
          <w:rFonts w:eastAsia="Amiri" w:cs="Amiri" w:ascii="Amiri" w:hAnsi="Amiri"/>
          <w:color w:val="111111"/>
          <w:sz w:val="28"/>
          <w:szCs w:val="28"/>
          <w:rtl w:val="true"/>
          <w:lang w:bidi="ar-SA"/>
        </w:rPr>
        <w:t xml:space="preserve">» </w:t>
      </w:r>
      <w:r>
        <w:rPr>
          <w:rStyle w:val="FootnoteAnchor"/>
          <w:rtl w:val="true"/>
        </w:rPr>
        <w:footnoteReference w:id="110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في الصّحيح،عن محمّد بن مسلم،عن أحدهما عليهما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النّبيّ صلّى اللّه عليه و آله يغتسل بخمسة أمداد بينه و بين صاحبته و يغتسلان جميعا من إناء واحد</w:t>
      </w:r>
      <w:r>
        <w:rPr>
          <w:rFonts w:eastAsia="Amiri" w:cs="Amiri" w:ascii="Amiri" w:hAnsi="Amiri"/>
          <w:color w:val="111111"/>
          <w:sz w:val="28"/>
          <w:szCs w:val="28"/>
          <w:rtl w:val="true"/>
          <w:lang w:bidi="ar-SA"/>
        </w:rPr>
        <w:t xml:space="preserve">» </w:t>
      </w:r>
      <w:r>
        <w:rPr>
          <w:rStyle w:val="FootnoteAnchor"/>
          <w:rtl w:val="true"/>
        </w:rPr>
        <w:footnoteReference w:id="11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احتجّ أبو حنيفة </w:t>
      </w:r>
      <w:r>
        <w:rPr>
          <w:rStyle w:val="FootnoteAnchor"/>
          <w:rtl w:val="true"/>
        </w:rPr>
        <w:footnoteReference w:id="1109"/>
      </w:r>
      <w:r>
        <w:rPr>
          <w:rFonts w:ascii="Amiri" w:hAnsi="Amiri" w:eastAsia="Amiri" w:cs="Amiri"/>
          <w:color w:val="111111"/>
          <w:sz w:val="28"/>
          <w:sz w:val="28"/>
          <w:szCs w:val="28"/>
          <w:rtl w:val="true"/>
          <w:lang w:bidi="ar-SA"/>
        </w:rPr>
        <w:t>بما رواه،عن رسول اللّه صلّى اللّه عليه و آله،قال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يجزي من الوضوء مدّ و من الجنابة صاع</w:t>
      </w:r>
      <w:r>
        <w:rPr>
          <w:rFonts w:eastAsia="Amiri" w:cs="Amiri" w:ascii="Amiri" w:hAnsi="Amiri"/>
          <w:color w:val="111111"/>
          <w:sz w:val="28"/>
          <w:szCs w:val="28"/>
          <w:rtl w:val="true"/>
          <w:lang w:bidi="ar-SA"/>
        </w:rPr>
        <w:t xml:space="preserve">) </w:t>
      </w:r>
      <w:r>
        <w:rPr>
          <w:rStyle w:val="FootnoteAnchor"/>
          <w:rtl w:val="true"/>
        </w:rPr>
        <w:footnoteReference w:id="1110"/>
      </w:r>
      <w:r>
        <w:rPr>
          <w:rFonts w:ascii="Amiri" w:hAnsi="Amiri" w:eastAsia="Amiri" w:cs="Amiri"/>
          <w:color w:val="111111"/>
          <w:sz w:val="28"/>
          <w:sz w:val="28"/>
          <w:szCs w:val="28"/>
          <w:rtl w:val="true"/>
          <w:lang w:bidi="ar-SA"/>
        </w:rPr>
        <w:t>و التّقدير يدلّ على أنّه لا يحصل الإجزاء بدونه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إنّما يدلّ بالمفهوم و أبو حنيفة لا يقول به </w:t>
      </w:r>
      <w:r>
        <w:rPr>
          <w:rStyle w:val="FootnoteAnchor"/>
          <w:rtl w:val="true"/>
        </w:rPr>
        <w:footnoteReference w:id="1111"/>
      </w:r>
      <w:r>
        <w:rPr>
          <w:rFonts w:ascii="Amiri" w:hAnsi="Amiri" w:eastAsia="Amiri" w:cs="Amiri"/>
          <w:color w:val="111111"/>
          <w:sz w:val="28"/>
          <w:sz w:val="28"/>
          <w:szCs w:val="28"/>
          <w:rtl w:val="true"/>
          <w:lang w:bidi="ar-SA"/>
        </w:rPr>
        <w:t>،و مع ذلك فإنّ المفهوم إنّما يدلّ إذا لم يخرج مخرج الغالب و هاهنا قد خرج مخرج الغالب فإنّه لا يكفي غالبا أقلّ منه،و لأنّ ما ذكرناه من الحديث في الجنابة منطوق و ما ذكروه مفهوم،و المنطوق مقدّم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الوضوء فقد روى عبد اللّه بن زيد انّ النّبيّ صلّى اللّه عليه و آله توضّأ بثلثي مدّ </w:t>
      </w:r>
      <w:r>
        <w:rPr>
          <w:rStyle w:val="FootnoteAnchor"/>
          <w:rtl w:val="true"/>
        </w:rPr>
        <w:footnoteReference w:id="111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يعارض حديث الوضوء</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استحباب الصّاع فلأنّ فيه إسباغا،و لما رواه الشّيخ في الصّحيح،عن زرارة، عن أبي جعفر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رسول اللّه صلّى اللّه عليه و آله يتوضّأ بمدّ و يغتسل بصاع،و المدّ رطل و نصف،و الصّاع ستّة أرطال</w:t>
      </w:r>
      <w:r>
        <w:rPr>
          <w:rFonts w:eastAsia="Amiri" w:cs="Amiri" w:ascii="Amiri" w:hAnsi="Amiri"/>
          <w:color w:val="111111"/>
          <w:sz w:val="28"/>
          <w:szCs w:val="28"/>
          <w:rtl w:val="true"/>
          <w:lang w:bidi="ar-SA"/>
        </w:rPr>
        <w:t xml:space="preserve">» </w:t>
      </w:r>
      <w:r>
        <w:rPr>
          <w:rStyle w:val="FootnoteAnchor"/>
          <w:rtl w:val="true"/>
        </w:rPr>
        <w:footnoteReference w:id="1113"/>
      </w: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أراد به </w:t>
      </w:r>
      <w:bookmarkStart w:id="688" w:name="pg12669_113004"/>
    </w:p>
    <w:p>
      <w:pPr>
        <w:pStyle w:val="BookText"/>
        <w:rPr/>
      </w:pPr>
      <w:bookmarkEnd w:id="688"/>
      <w:r>
        <w:rPr>
          <w:rFonts w:ascii="Amiri" w:hAnsi="Amiri" w:eastAsia="Amiri" w:cs="Amiri"/>
          <w:color w:val="111111"/>
          <w:sz w:val="28"/>
          <w:sz w:val="28"/>
          <w:szCs w:val="28"/>
          <w:rtl w:val="true"/>
          <w:lang w:bidi="ar-SA"/>
        </w:rPr>
        <w:t xml:space="preserve">أرطال المدينة،فيكون تسعة أرطال بالعراقيّ </w:t>
      </w:r>
      <w:r>
        <w:rPr>
          <w:rStyle w:val="FootnoteAnchor"/>
          <w:rtl w:val="true"/>
        </w:rPr>
        <w:footnoteReference w:id="111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89" w:name="__RefHeading___Toc795685_222507752"/>
      <w:bookmarkStart w:id="690" w:name="_Toc282"/>
      <w:bookmarkEnd w:id="689"/>
      <w:r>
        <w:rPr>
          <w:rtl w:val="true"/>
        </w:rPr>
        <w:t>فروع</w:t>
      </w:r>
      <w:r>
        <w:rPr>
          <w:rtl w:val="true"/>
        </w:rPr>
        <w:t>:</w:t>
      </w:r>
      <w:bookmarkEnd w:id="690"/>
    </w:p>
    <w:p>
      <w:pPr>
        <w:pStyle w:val="Heading6"/>
        <w:numPr>
          <w:ilvl w:val="5"/>
          <w:numId w:val="1"/>
        </w:numPr>
        <w:rPr/>
      </w:pPr>
      <w:bookmarkStart w:id="691" w:name="__RefHeading___Toc795687_222507752"/>
      <w:bookmarkStart w:id="692" w:name="_Toc283"/>
      <w:bookmarkEnd w:id="691"/>
      <w:r>
        <w:rPr>
          <w:rtl w:val="true"/>
        </w:rPr>
        <w:t>الأوّل</w:t>
      </w:r>
      <w:r>
        <w:rPr>
          <w:rtl w:val="true"/>
        </w:rPr>
        <w:t>:</w:t>
      </w:r>
      <w:r>
        <w:rPr>
          <w:rtl w:val="true"/>
        </w:rPr>
        <w:t>لا نعرف خلافا بين علماء الإسلام في إجزاء المدّ في الوضوء و الصّاع في</w:t>
      </w:r>
      <w:bookmarkEnd w:id="692"/>
    </w:p>
    <w:p>
      <w:pPr>
        <w:pStyle w:val="BookText"/>
        <w:rPr/>
      </w:pPr>
      <w:r>
        <w:rPr>
          <w:rFonts w:ascii="IRNazanin" w:hAnsi="IRNazanin" w:eastAsia="IRNazanin"/>
          <w:color w:val="111111"/>
          <w:sz w:val="28"/>
          <w:sz w:val="28"/>
          <w:szCs w:val="28"/>
          <w:rtl w:val="true"/>
          <w:lang w:bidi="fa-IR"/>
        </w:rPr>
        <w:t>الغسل</w:t>
      </w:r>
    </w:p>
    <w:p>
      <w:pPr>
        <w:pStyle w:val="BookText"/>
        <w:rPr/>
      </w:pPr>
      <w:r>
        <w:rPr>
          <w:rFonts w:ascii="Amiri" w:hAnsi="Amiri" w:eastAsia="Amiri" w:cs="Amiri"/>
          <w:color w:val="111111"/>
          <w:sz w:val="28"/>
          <w:sz w:val="28"/>
          <w:szCs w:val="28"/>
          <w:rtl w:val="true"/>
          <w:lang w:bidi="ar-SA"/>
        </w:rPr>
        <w:t xml:space="preserve">،و إنّما الخلاف في قدرهما،فالّذي اختاره أصحابنا انّ الصّاع أربعة أمداد،و المدّ رطلان و ربع بوزن بغداد </w:t>
      </w:r>
      <w:r>
        <w:rPr>
          <w:rStyle w:val="FootnoteAnchor"/>
          <w:rtl w:val="true"/>
        </w:rPr>
        <w:footnoteReference w:id="11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روى الشّيخ،عن سليمان بن حفص المروزي،عن أبي الحسن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الصّاع خمسة أمداد،و المدّ وزن مائتين و ثمانين درهما،و الدّرهم وزن ستّة دوانيق، و الدّانق ستّ حبّات،و الحبّة وزن حبّتين من شعير من أوسط الحبّ لا من صغاره و لا من كباره</w:t>
      </w:r>
      <w:r>
        <w:rPr>
          <w:rFonts w:eastAsia="Amiri" w:cs="Amiri" w:ascii="Amiri" w:hAnsi="Amiri"/>
          <w:color w:val="111111"/>
          <w:sz w:val="28"/>
          <w:szCs w:val="28"/>
          <w:rtl w:val="true"/>
          <w:lang w:bidi="ar-SA"/>
        </w:rPr>
        <w:t xml:space="preserve">» </w:t>
      </w:r>
      <w:r>
        <w:rPr>
          <w:rStyle w:val="FootnoteAnchor"/>
          <w:rtl w:val="true"/>
        </w:rPr>
        <w:footnoteReference w:id="11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روى،عن سماعة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الصّاع على عهد الرّسول اللّه صلّى اللّه عليه و آله خمسة أمداد،و المدّ قدر رطل و ثلاثة أواق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Style w:val="FootnoteAnchor"/>
          <w:rtl w:val="true"/>
        </w:rPr>
        <w:footnoteReference w:id="1117"/>
      </w:r>
      <w:r>
        <w:rPr>
          <w:rFonts w:eastAsia="Times New Roman" w:cs="Times New Roman" w:ascii="Times New Roman" w:hAnsi="Times New Roman"/>
          <w:color w:val="111111"/>
          <w:sz w:val="28"/>
          <w:szCs w:val="28"/>
          <w:rtl w:val="true"/>
          <w:lang w:val="en-US" w:bidi="en-US"/>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في الصّحيح،عن زرارة،عن أبي جعفر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رسول اللّه صلّى اللّه عليه و آله يتوضّأ بمدّ و يغتسل بصاع،و المدّ رطل و نصف،و الصّاع ستّة </w:t>
      </w:r>
      <w:bookmarkStart w:id="693" w:name="pg12669_113005"/>
    </w:p>
    <w:p>
      <w:pPr>
        <w:pStyle w:val="BookText"/>
        <w:rPr/>
      </w:pPr>
      <w:bookmarkEnd w:id="693"/>
      <w:r>
        <w:rPr>
          <w:rFonts w:ascii="IRNazanin" w:hAnsi="IRNazanin" w:eastAsia="IRNazanin"/>
          <w:color w:val="111111"/>
          <w:sz w:val="28"/>
          <w:sz w:val="28"/>
          <w:szCs w:val="28"/>
          <w:rtl w:val="true"/>
          <w:lang w:bidi="fa-IR"/>
        </w:rPr>
        <w:t>أرطال</w:t>
      </w:r>
      <w:r>
        <w:rPr>
          <w:rFonts w:eastAsia="IRNazanin" w:cs="IRNazanin"/>
          <w:color w:val="111111"/>
          <w:sz w:val="28"/>
          <w:szCs w:val="28"/>
          <w:rtl w:val="true"/>
          <w:lang w:bidi="fa-IR"/>
        </w:rPr>
        <w:t xml:space="preserve">» </w:t>
      </w:r>
      <w:r>
        <w:rPr>
          <w:rStyle w:val="FootnoteAnchor"/>
          <w:rtl w:val="true"/>
        </w:rPr>
        <w:footnoteReference w:id="1118"/>
      </w: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أراد به أرطال المدينة </w:t>
      </w:r>
      <w:r>
        <w:rPr>
          <w:rStyle w:val="FootnoteAnchor"/>
          <w:rtl w:val="true"/>
        </w:rPr>
        <w:footnoteReference w:id="1119"/>
      </w:r>
      <w:r>
        <w:rPr>
          <w:rFonts w:ascii="Amiri" w:hAnsi="Amiri" w:eastAsia="Amiri" w:cs="Amiri"/>
          <w:color w:val="111111"/>
          <w:sz w:val="28"/>
          <w:sz w:val="28"/>
          <w:szCs w:val="28"/>
          <w:rtl w:val="true"/>
          <w:lang w:bidi="ar-SA"/>
        </w:rPr>
        <w:t xml:space="preserve">،و استدلّ في الخلاف بإجماع الفرقة على كون الصّاع تسعة،و المدّ رطلين و ربعا </w:t>
      </w:r>
      <w:r>
        <w:rPr>
          <w:rStyle w:val="FootnoteAnchor"/>
          <w:rtl w:val="true"/>
        </w:rPr>
        <w:footnoteReference w:id="112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الشّافعيّ،و مالك،و إسحاق،و أبو يوسف،الصّاع خمسة أرطال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ثلث</w:t>
      </w:r>
      <w:r>
        <w:rPr>
          <w:rFonts w:eastAsia="Amiri" w:cs="Amiri" w:ascii="Amiri" w:hAnsi="Amiri"/>
          <w:color w:val="111111"/>
          <w:sz w:val="28"/>
          <w:szCs w:val="28"/>
          <w:rtl w:val="true"/>
          <w:lang w:bidi="ar-SA"/>
        </w:rPr>
        <w:t xml:space="preserve">] </w:t>
      </w:r>
      <w:r>
        <w:rPr>
          <w:rStyle w:val="FootnoteAnchor"/>
          <w:rtl w:val="true"/>
        </w:rPr>
        <w:footnoteReference w:id="1121"/>
      </w:r>
      <w:r>
        <w:rPr>
          <w:rFonts w:ascii="Amiri" w:hAnsi="Amiri" w:eastAsia="Amiri" w:cs="Amiri"/>
          <w:color w:val="111111"/>
          <w:sz w:val="28"/>
          <w:sz w:val="28"/>
          <w:szCs w:val="28"/>
          <w:rtl w:val="true"/>
          <w:lang w:bidi="ar-SA"/>
        </w:rPr>
        <w:t xml:space="preserve">بالعراقيّ،و المدّ ربع ذلك و هو رطل و ثلث </w:t>
      </w:r>
      <w:r>
        <w:rPr>
          <w:rStyle w:val="FootnoteAnchor"/>
          <w:rtl w:val="true"/>
        </w:rPr>
        <w:footnoteReference w:id="1122"/>
      </w:r>
      <w:r>
        <w:rPr>
          <w:rFonts w:ascii="IRNazanin" w:hAnsi="IRNazanin" w:eastAsia="IRNazanin"/>
          <w:color w:val="111111"/>
          <w:sz w:val="28"/>
          <w:sz w:val="28"/>
          <w:szCs w:val="28"/>
          <w:rtl w:val="true"/>
          <w:lang w:bidi="fa-IR"/>
        </w:rPr>
        <w:t xml:space="preserve">، و اختاره أحمد </w:t>
      </w:r>
      <w:r>
        <w:rPr>
          <w:rStyle w:val="FootnoteAnchor"/>
          <w:rtl w:val="true"/>
        </w:rPr>
        <w:footnoteReference w:id="112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أبو حنيفة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الصّاع ثمانية أرطال و المدّ رطلان </w:t>
      </w:r>
      <w:r>
        <w:rPr>
          <w:rStyle w:val="FootnoteAnchor"/>
          <w:rtl w:val="true"/>
        </w:rPr>
        <w:footnoteReference w:id="112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94" w:name="__RefHeading___Toc795689_222507752"/>
      <w:bookmarkStart w:id="695" w:name="_Toc284"/>
      <w:bookmarkEnd w:id="694"/>
      <w:r>
        <w:rPr>
          <w:rtl w:val="true"/>
        </w:rPr>
        <w:t>الثّاني</w:t>
      </w:r>
      <w:r>
        <w:rPr>
          <w:rtl w:val="true"/>
        </w:rPr>
        <w:t>:</w:t>
      </w:r>
      <w:r>
        <w:rPr>
          <w:rtl w:val="true"/>
        </w:rPr>
        <w:t>لو زاد على المدّ في الوضوء،و الصّاع في الغسل جاز،</w:t>
      </w:r>
      <w:bookmarkEnd w:id="695"/>
    </w:p>
    <w:p>
      <w:pPr>
        <w:pStyle w:val="BookText"/>
        <w:rPr/>
      </w:pPr>
      <w:r>
        <w:rPr>
          <w:rFonts w:ascii="Amiri" w:hAnsi="Amiri" w:eastAsia="Amiri" w:cs="Amiri"/>
          <w:color w:val="111111"/>
          <w:sz w:val="28"/>
          <w:sz w:val="28"/>
          <w:szCs w:val="28"/>
          <w:rtl w:val="true"/>
          <w:lang w:bidi="ar-SA"/>
        </w:rPr>
        <w:t>و لا نعرف فيه خلافا بين أهل العلم،روت عائشة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أغتسل أنا و النّبيّ صلّى اللّه عليه و آله من إناء واحد من قدح 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Style w:val="FootnoteAnchor"/>
          <w:rtl w:val="true"/>
        </w:rPr>
        <w:footnoteReference w:id="1125"/>
      </w:r>
      <w:r>
        <w:rPr>
          <w:rFonts w:ascii="Amiri" w:hAnsi="Amiri" w:eastAsia="Amiri" w:cs="Amiri"/>
          <w:color w:val="111111"/>
          <w:sz w:val="28"/>
          <w:sz w:val="28"/>
          <w:szCs w:val="28"/>
          <w:rtl w:val="true"/>
          <w:lang w:bidi="ar-SA"/>
        </w:rPr>
        <w:t>،و الفرق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 آصع،و لأنّ فيه احتياطا فكان سائغا</w:t>
      </w:r>
      <w:r>
        <w:rPr>
          <w:rFonts w:eastAsia="Amiri" w:cs="Amiri" w:ascii="Amiri" w:hAnsi="Amiri"/>
          <w:color w:val="111111"/>
          <w:sz w:val="28"/>
          <w:szCs w:val="28"/>
          <w:rtl w:val="true"/>
          <w:lang w:bidi="ar-SA"/>
        </w:rPr>
        <w:t>.</w:t>
      </w:r>
    </w:p>
    <w:p>
      <w:pPr>
        <w:pStyle w:val="Heading6"/>
        <w:numPr>
          <w:ilvl w:val="5"/>
          <w:numId w:val="1"/>
        </w:numPr>
        <w:rPr/>
      </w:pPr>
      <w:bookmarkStart w:id="696" w:name="__RefHeading___Toc795691_222507752"/>
      <w:bookmarkStart w:id="697" w:name="_Toc285"/>
      <w:bookmarkEnd w:id="696"/>
      <w:r>
        <w:rPr>
          <w:rtl w:val="true"/>
        </w:rPr>
        <w:t>الثّالث</w:t>
      </w:r>
      <w:r>
        <w:rPr>
          <w:rtl w:val="true"/>
        </w:rPr>
        <w:t>:</w:t>
      </w:r>
      <w:r>
        <w:rPr>
          <w:rtl w:val="true"/>
        </w:rPr>
        <w:t>المدّ الّذي للوضوء غير الصّاع،</w:t>
      </w:r>
      <w:bookmarkEnd w:id="697"/>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الصّاع الّذي للغسل وحده أربعة أمداد،و هو قول بعض الحنفيّة،و قال آخرون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معنى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يتوضّأ بالمدّ و يغتسل بالصّاع،أي يتوضّأ بمدّ من ذلك الصّاع،فيبقى الاغتسال بثلاثة أمداد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بجيّد،لأنّ اللّفظ دالّ على الاغتسال بالصّاع،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ثلاثة الأمداد</w:t>
      </w:r>
      <w:r>
        <w:rPr>
          <w:rFonts w:eastAsia="Amiri" w:cs="Amiri" w:ascii="Amiri" w:hAnsi="Amiri"/>
          <w:color w:val="111111"/>
          <w:sz w:val="28"/>
          <w:szCs w:val="28"/>
          <w:rtl w:val="true"/>
          <w:lang w:bidi="ar-SA"/>
        </w:rPr>
        <w:t xml:space="preserve">) </w:t>
      </w:r>
      <w:r>
        <w:rPr>
          <w:rStyle w:val="FootnoteAnchor"/>
          <w:rtl w:val="true"/>
        </w:rPr>
        <w:footnoteReference w:id="1126"/>
      </w:r>
      <w:r>
        <w:rPr>
          <w:rFonts w:ascii="IRNazanin" w:hAnsi="IRNazanin" w:eastAsia="IRNazanin"/>
          <w:color w:val="111111"/>
          <w:sz w:val="28"/>
          <w:sz w:val="28"/>
          <w:szCs w:val="28"/>
          <w:rtl w:val="true"/>
          <w:lang w:bidi="fa-IR"/>
        </w:rPr>
        <w:t xml:space="preserve">بعض الصّاع لا </w:t>
      </w:r>
      <w:bookmarkStart w:id="698" w:name="pg12669_113006"/>
    </w:p>
    <w:p>
      <w:pPr>
        <w:pStyle w:val="BookText"/>
        <w:rPr/>
      </w:pPr>
      <w:bookmarkEnd w:id="698"/>
      <w:r>
        <w:rPr>
          <w:rFonts w:ascii="Amiri" w:hAnsi="Amiri" w:eastAsia="Amiri" w:cs="Amiri"/>
          <w:color w:val="111111"/>
          <w:sz w:val="28"/>
          <w:sz w:val="28"/>
          <w:szCs w:val="28"/>
          <w:rtl w:val="true"/>
          <w:lang w:bidi="ar-SA"/>
        </w:rPr>
        <w:t>نفسه،و لأنّه سيظهر إن شاء اللّه تعالى أن لا وضوء مع غسل الجنابة،فسقط ما قالوه بالكلّيّة</w:t>
      </w:r>
      <w:r>
        <w:rPr>
          <w:rFonts w:eastAsia="Amiri" w:cs="Amiri" w:ascii="Amiri" w:hAnsi="Amiri"/>
          <w:color w:val="111111"/>
          <w:sz w:val="28"/>
          <w:szCs w:val="28"/>
          <w:rtl w:val="true"/>
          <w:lang w:bidi="ar-SA"/>
        </w:rPr>
        <w:t>.</w:t>
      </w:r>
    </w:p>
    <w:p>
      <w:pPr>
        <w:pStyle w:val="Heading6"/>
        <w:numPr>
          <w:ilvl w:val="5"/>
          <w:numId w:val="1"/>
        </w:numPr>
        <w:rPr/>
      </w:pPr>
      <w:bookmarkStart w:id="699" w:name="__RefHeading___Toc795693_222507752"/>
      <w:bookmarkStart w:id="700" w:name="_Toc286"/>
      <w:bookmarkEnd w:id="699"/>
      <w:r>
        <w:rPr>
          <w:rtl w:val="true"/>
        </w:rPr>
        <w:t>الرّابع</w:t>
      </w:r>
      <w:r>
        <w:rPr>
          <w:rtl w:val="true"/>
        </w:rPr>
        <w:t>:</w:t>
      </w:r>
      <w:r>
        <w:rPr>
          <w:rtl w:val="true"/>
        </w:rPr>
        <w:t>الصّاع وحده كاف في الاستنجاء منه</w:t>
      </w:r>
      <w:bookmarkEnd w:id="700"/>
    </w:p>
    <w:p>
      <w:pPr>
        <w:pStyle w:val="BookText"/>
        <w:rPr/>
      </w:pPr>
      <w:r>
        <w:rPr>
          <w:rFonts w:ascii="Amiri" w:hAnsi="Amiri" w:eastAsia="Amiri" w:cs="Amiri"/>
          <w:color w:val="111111"/>
          <w:sz w:val="28"/>
          <w:sz w:val="28"/>
          <w:szCs w:val="28"/>
          <w:rtl w:val="true"/>
          <w:lang w:bidi="ar-SA"/>
        </w:rPr>
        <w:t>و غسل الذّراعين في الغسل،لما رواه الشّيخ في الصّحيح،عن محمّد بن مسلم و أبي بصير،عن أبي جعفر و أبي عبد اللّه عليهما السّلام،قالا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توضّأ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بمدّ</w:t>
      </w:r>
      <w:r>
        <w:rPr>
          <w:rFonts w:eastAsia="Amiri" w:cs="Amiri" w:ascii="Amiri" w:hAnsi="Amiri"/>
          <w:color w:val="111111"/>
          <w:sz w:val="28"/>
          <w:szCs w:val="28"/>
          <w:rtl w:val="true"/>
          <w:lang w:bidi="ar-SA"/>
        </w:rPr>
        <w:t xml:space="preserve">] </w:t>
      </w:r>
      <w:r>
        <w:rPr>
          <w:rStyle w:val="FootnoteAnchor"/>
          <w:rtl w:val="true"/>
        </w:rPr>
        <w:footnoteReference w:id="1127"/>
      </w:r>
      <w:r>
        <w:rPr>
          <w:rFonts w:ascii="Amiri" w:hAnsi="Amiri" w:eastAsia="Amiri" w:cs="Amiri"/>
          <w:color w:val="111111"/>
          <w:sz w:val="28"/>
          <w:sz w:val="28"/>
          <w:szCs w:val="28"/>
          <w:rtl w:val="true"/>
          <w:lang w:bidi="ar-SA"/>
        </w:rPr>
        <w:t>و اغتسل بصاع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اغتسل هو و زوجته بخمسة أمداد من إناء 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زرارة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صنع هو؟قال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بدأ هو فضرب بيده في الماء قبلها و أنقى فرجه ثمَّ ضربت فأنقت فرجها ثمَّ أفاض هو و أفاضت هي على نفسها حتّى فرغا فكان الّذي اغتسل به رسول اللّه صلّى اللّه عليه و آله،ثلاثة أمداد،و الّذي اغتسلت به مدّين و إنّما أجزأ عنهما لأنّهما اشتركا جميعا،و من انفراد بالغسل وحده فلا بدّ له من صاع</w:t>
      </w:r>
      <w:r>
        <w:rPr>
          <w:rFonts w:eastAsia="Amiri" w:cs="Amiri" w:ascii="Amiri" w:hAnsi="Amiri"/>
          <w:color w:val="111111"/>
          <w:sz w:val="28"/>
          <w:szCs w:val="28"/>
          <w:rtl w:val="true"/>
          <w:lang w:bidi="ar-SA"/>
        </w:rPr>
        <w:t xml:space="preserve">» </w:t>
      </w:r>
      <w:r>
        <w:rPr>
          <w:rStyle w:val="FootnoteAnchor"/>
          <w:rtl w:val="true"/>
        </w:rPr>
        <w:footnoteReference w:id="1128"/>
      </w:r>
      <w:r>
        <w:rPr>
          <w:rFonts w:ascii="Amiri" w:hAnsi="Amiri" w:eastAsia="Amiri" w:cs="Amiri"/>
          <w:color w:val="111111"/>
          <w:sz w:val="28"/>
          <w:sz w:val="28"/>
          <w:szCs w:val="28"/>
          <w:rtl w:val="true"/>
          <w:lang w:bidi="ar-SA"/>
        </w:rPr>
        <w:t>و لا شكّ انّ التّقدير لم يحصل بعد الاغتسال،بل قبله،و ذلك يستلزم إدخال المستعمل في غسل الفرجين في المقدار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يدلّ على عدم إجزاء ما دون الصّاع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من حيث المفهوم،فلا يعارض ما قدّمناه من المنطوق،و لأنّه خرج مخرج الأغلب فلا يدلّ على النّفي</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حنيفة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يستنجي برطل،و يغسل وجهه و ذراعيه برطل،و يصبّ الماء على رأسه و سائر جسده خمسة أرطال،و يغسل قدميه برطل،فذلك ثمانية أرطال و هي الصاع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بعض 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يتوضّأ بمدّ سوى الاستنجاء،و يغتسل بصاع غير الاستنجاء أيضا</w:t>
      </w:r>
      <w:r>
        <w:rPr>
          <w:rFonts w:eastAsia="Amiri" w:cs="Amiri" w:ascii="Amiri" w:hAnsi="Amiri"/>
          <w:color w:val="111111"/>
          <w:sz w:val="28"/>
          <w:szCs w:val="28"/>
          <w:rtl w:val="true"/>
          <w:lang w:bidi="ar-SA"/>
        </w:rPr>
        <w:t xml:space="preserve">. </w:t>
      </w:r>
      <w:bookmarkStart w:id="701" w:name="pg12669_113007"/>
    </w:p>
    <w:p>
      <w:pPr>
        <w:pStyle w:val="Heading6"/>
        <w:numPr>
          <w:ilvl w:val="5"/>
          <w:numId w:val="1"/>
        </w:numPr>
        <w:rPr/>
      </w:pPr>
      <w:bookmarkStart w:id="702" w:name="__RefHeading___Toc795695_222507752"/>
      <w:bookmarkStart w:id="703" w:name="_Toc287"/>
      <w:bookmarkEnd w:id="701"/>
      <w:bookmarkEnd w:id="702"/>
      <w:r>
        <w:rPr>
          <w:rtl w:val="true"/>
        </w:rPr>
        <w:t>الخامس</w:t>
      </w:r>
      <w:r>
        <w:rPr>
          <w:rtl w:val="true"/>
        </w:rPr>
        <w:t>:</w:t>
      </w:r>
      <w:r>
        <w:rPr>
          <w:rtl w:val="true"/>
        </w:rPr>
        <w:t>يستحبّ الدعاء،</w:t>
      </w:r>
      <w:bookmarkEnd w:id="703"/>
    </w:p>
    <w:p>
      <w:pPr>
        <w:pStyle w:val="BookText"/>
        <w:rPr/>
      </w:pPr>
      <w:r>
        <w:rPr>
          <w:rFonts w:ascii="Amiri" w:hAnsi="Amiri" w:eastAsia="Amiri" w:cs="Amiri"/>
          <w:color w:val="111111"/>
          <w:sz w:val="28"/>
          <w:sz w:val="28"/>
          <w:szCs w:val="28"/>
          <w:rtl w:val="true"/>
          <w:lang w:bidi="ar-SA"/>
        </w:rPr>
        <w:t>روى الشّيخ،عن عمّار السّاباطي،قال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اغتسلت من جنابة فقل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طهّر قلبي،و تقبّل سعيي، و اجعل ما عندك خيرا لي،اللّهمّ اجعلني من التّوّابين و اجعلني من المتطهّرين،و إذا اغتسلت للجمعة فقل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طهّر قلبي من كلّ آفة تمحق ديني،و تبطل به </w:t>
      </w:r>
      <w:r>
        <w:rPr>
          <w:rStyle w:val="FootnoteAnchor"/>
          <w:rtl w:val="true"/>
        </w:rPr>
        <w:footnoteReference w:id="1129"/>
      </w:r>
      <w:r>
        <w:rPr>
          <w:rFonts w:ascii="Amiri" w:hAnsi="Amiri" w:eastAsia="Amiri" w:cs="Amiri"/>
          <w:color w:val="111111"/>
          <w:sz w:val="28"/>
          <w:sz w:val="28"/>
          <w:szCs w:val="28"/>
          <w:rtl w:val="true"/>
          <w:lang w:bidi="ar-SA"/>
        </w:rPr>
        <w:t>عملي،اللّهمّ اجعلني من التّوّابين و اجعلني من المتطهّرين</w:t>
      </w:r>
      <w:r>
        <w:rPr>
          <w:rFonts w:eastAsia="Amiri" w:cs="Amiri" w:ascii="Amiri" w:hAnsi="Amiri"/>
          <w:color w:val="111111"/>
          <w:sz w:val="28"/>
          <w:szCs w:val="28"/>
          <w:rtl w:val="true"/>
          <w:lang w:bidi="ar-SA"/>
        </w:rPr>
        <w:t xml:space="preserve">» </w:t>
      </w:r>
      <w:r>
        <w:rPr>
          <w:rStyle w:val="FootnoteAnchor"/>
          <w:rtl w:val="true"/>
        </w:rPr>
        <w:footnoteReference w:id="113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04" w:name="__RefHeading___Toc795697_222507752"/>
      <w:bookmarkStart w:id="705" w:name="_Toc288"/>
      <w:bookmarkEnd w:id="704"/>
      <w:r>
        <w:rPr>
          <w:rtl w:val="true"/>
        </w:rPr>
        <w:t>البحث الثّالث</w:t>
      </w:r>
      <w:r>
        <w:rPr>
          <w:rtl w:val="true"/>
        </w:rPr>
        <w:t>:</w:t>
      </w:r>
      <w:r>
        <w:rPr>
          <w:rtl w:val="true"/>
        </w:rPr>
        <w:t>في أحكام الجنب</w:t>
      </w:r>
      <w:bookmarkEnd w:id="705"/>
    </w:p>
    <w:p>
      <w:pPr>
        <w:pStyle w:val="Heading6"/>
        <w:numPr>
          <w:ilvl w:val="5"/>
          <w:numId w:val="1"/>
        </w:numPr>
        <w:rPr/>
      </w:pPr>
      <w:bookmarkStart w:id="706" w:name="__RefHeading___Toc795699_222507752"/>
      <w:bookmarkStart w:id="707" w:name="_Toc289"/>
      <w:bookmarkEnd w:id="706"/>
      <w:r>
        <w:rPr>
          <w:rtl w:val="true"/>
        </w:rPr>
        <w:t>مسألة</w:t>
      </w:r>
      <w:r>
        <w:rPr>
          <w:rtl w:val="true"/>
        </w:rPr>
        <w:t>:</w:t>
      </w:r>
      <w:r>
        <w:rPr>
          <w:rtl w:val="true"/>
        </w:rPr>
        <w:t>يحرم عليه قراءة العزائم الأربع،</w:t>
      </w:r>
      <w:bookmarkEnd w:id="707"/>
    </w:p>
    <w:p>
      <w:pPr>
        <w:pStyle w:val="BookText"/>
        <w:rPr/>
      </w:pPr>
      <w:r>
        <w:rPr>
          <w:rFonts w:ascii="Amiri" w:hAnsi="Amiri" w:eastAsia="Amiri" w:cs="Amiri"/>
          <w:color w:val="111111"/>
          <w:sz w:val="28"/>
          <w:sz w:val="28"/>
          <w:szCs w:val="28"/>
          <w:rtl w:val="true"/>
          <w:lang w:bidi="ar-SA"/>
        </w:rPr>
        <w:t>و 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سجدة الم الّتي تلي لقمان</w:t>
      </w:r>
      <w:r>
        <w:rPr>
          <w:rFonts w:eastAsia="Amiri" w:cs="Amiri" w:ascii="Amiri" w:hAnsi="Amiri"/>
          <w:color w:val="111111"/>
          <w:sz w:val="28"/>
          <w:szCs w:val="28"/>
          <w:rtl w:val="true"/>
          <w:lang w:bidi="ar-SA"/>
        </w:rPr>
        <w:t xml:space="preserve">) </w:t>
      </w:r>
      <w:r>
        <w:rPr>
          <w:rStyle w:val="FootnoteAnchor"/>
          <w:rtl w:val="true"/>
        </w:rPr>
        <w:footnoteReference w:id="1131"/>
      </w:r>
      <w:r>
        <w:rPr>
          <w:rFonts w:ascii="Amiri" w:hAnsi="Amiri" w:eastAsia="Amiri" w:cs="Amiri"/>
          <w:color w:val="111111"/>
          <w:sz w:val="28"/>
          <w:sz w:val="28"/>
          <w:szCs w:val="28"/>
          <w:rtl w:val="true"/>
          <w:lang w:bidi="ar-SA"/>
        </w:rPr>
        <w:t>و حم السّجدة،و النّجم،و اقرأ باسم ربّك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مذهب علمائنا أجمع،و هو قول عمر،و الحسن،و النّخعيّ،و الزّهريّ،و قتادة،و الشّافعيّ،و أصحاب الرّأي خلافا لداود،و سعيد بن المسيّب فإنّهما أجازا له قراءة ما شاء </w:t>
      </w:r>
      <w:r>
        <w:rPr>
          <w:rStyle w:val="FootnoteAnchor"/>
          <w:rtl w:val="true"/>
        </w:rPr>
        <w:footnoteReference w:id="11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إبطال قول داود و سعيد ما رواه الجمهور،عن عليّ عليه السّلام،قال</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النّبيّ صلّى اللّه عليه و آله لم يكن يحجبه،أو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يحجزه عن قراءة القرآن شيء ليس الجنابة</w:t>
      </w:r>
      <w:r>
        <w:rPr>
          <w:rFonts w:eastAsia="Amiri" w:cs="Amiri" w:ascii="Amiri" w:hAnsi="Amiri"/>
          <w:color w:val="111111"/>
          <w:sz w:val="28"/>
          <w:szCs w:val="28"/>
          <w:rtl w:val="true"/>
          <w:lang w:bidi="ar-SA"/>
        </w:rPr>
        <w:t xml:space="preserve">) </w:t>
      </w:r>
      <w:r>
        <w:rPr>
          <w:rStyle w:val="FootnoteAnchor"/>
          <w:rtl w:val="true"/>
        </w:rPr>
        <w:footnoteReference w:id="1133"/>
      </w:r>
      <w:r>
        <w:rPr>
          <w:rFonts w:eastAsia="Times New Roman" w:cs="Times New Roman" w:ascii="Times New Roman" w:hAnsi="Times New Roman"/>
          <w:color w:val="111111"/>
          <w:sz w:val="28"/>
          <w:szCs w:val="28"/>
          <w:rtl w:val="true"/>
          <w:lang w:val="en-US" w:bidi="en-US"/>
        </w:rPr>
        <w:t xml:space="preserve">. </w:t>
      </w:r>
      <w:bookmarkStart w:id="708" w:name="pg12669_113008"/>
    </w:p>
    <w:p>
      <w:pPr>
        <w:pStyle w:val="BookText"/>
        <w:rPr/>
      </w:pPr>
      <w:bookmarkEnd w:id="708"/>
      <w:r>
        <w:rPr>
          <w:rFonts w:ascii="Amiri" w:hAnsi="Amiri" w:eastAsia="Amiri" w:cs="Amiri"/>
          <w:color w:val="111111"/>
          <w:sz w:val="28"/>
          <w:sz w:val="28"/>
          <w:szCs w:val="28"/>
          <w:rtl w:val="true"/>
          <w:lang w:bidi="ar-SA"/>
        </w:rPr>
        <w:t>و عن ابن عمر انّ النّبيّ صلّى اللّه عليه و آله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تقرأ الحائض و لا الجنب شيئا من القرآن</w:t>
      </w:r>
      <w:r>
        <w:rPr>
          <w:rFonts w:eastAsia="Amiri" w:cs="Amiri" w:ascii="Amiri" w:hAnsi="Amiri"/>
          <w:color w:val="111111"/>
          <w:sz w:val="28"/>
          <w:szCs w:val="28"/>
          <w:rtl w:val="true"/>
          <w:lang w:bidi="ar-SA"/>
        </w:rPr>
        <w:t xml:space="preserve">) </w:t>
      </w:r>
      <w:r>
        <w:rPr>
          <w:rStyle w:val="FootnoteAnchor"/>
          <w:rtl w:val="true"/>
        </w:rPr>
        <w:footnoteReference w:id="11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على تحريم السّور الأربع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 في الحسن،عن محمّد بن مسلم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الجنب و الحائض يفتحان المصحف من وراء الثّوب و يقرءان من القرآن ما شاءا إلاّ السّجدة و يدخلان المسجد مجتازين و لا يقعدان فيه و لا يقربان المسجدين الحرمين</w:t>
      </w:r>
      <w:r>
        <w:rPr>
          <w:rFonts w:eastAsia="Amiri" w:cs="Amiri" w:ascii="Amiri" w:hAnsi="Amiri"/>
          <w:color w:val="111111"/>
          <w:sz w:val="28"/>
          <w:szCs w:val="28"/>
          <w:rtl w:val="true"/>
          <w:lang w:bidi="ar-SA"/>
        </w:rPr>
        <w:t xml:space="preserve">» </w:t>
      </w:r>
      <w:r>
        <w:rPr>
          <w:rStyle w:val="FootnoteAnchor"/>
          <w:rtl w:val="true"/>
        </w:rPr>
        <w:footnoteReference w:id="11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رواه،عن زرارة و محمّد بن مسلم،عن أبي جعفر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الجنب و الحائض يقرءان شيئا؟قال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نعم،ما شاءا إلاّ السّجدة،و يذكر ان اللّه على كلّ حال</w:t>
      </w:r>
      <w:r>
        <w:rPr>
          <w:rFonts w:eastAsia="Amiri" w:cs="Amiri" w:ascii="Amiri" w:hAnsi="Amiri"/>
          <w:color w:val="111111"/>
          <w:sz w:val="28"/>
          <w:szCs w:val="28"/>
          <w:rtl w:val="true"/>
          <w:lang w:bidi="ar-SA"/>
        </w:rPr>
        <w:t xml:space="preserve">» </w:t>
      </w:r>
      <w:r>
        <w:rPr>
          <w:rStyle w:val="FootnoteAnchor"/>
          <w:rtl w:val="true"/>
        </w:rPr>
        <w:footnoteReference w:id="113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709" w:name="__RefHeading___Toc795701_222507752"/>
      <w:bookmarkStart w:id="710" w:name="_Toc290"/>
      <w:bookmarkEnd w:id="709"/>
      <w:r>
        <w:rPr>
          <w:rtl w:val="true"/>
        </w:rPr>
        <w:t>فروع</w:t>
      </w:r>
      <w:r>
        <w:rPr>
          <w:rtl w:val="true"/>
        </w:rPr>
        <w:t>:</w:t>
      </w:r>
      <w:bookmarkEnd w:id="710"/>
    </w:p>
    <w:p>
      <w:pPr>
        <w:pStyle w:val="Heading6"/>
        <w:numPr>
          <w:ilvl w:val="5"/>
          <w:numId w:val="1"/>
        </w:numPr>
        <w:rPr/>
      </w:pPr>
      <w:bookmarkStart w:id="711" w:name="__RefHeading___Toc795703_222507752"/>
      <w:bookmarkStart w:id="712" w:name="_Toc291"/>
      <w:bookmarkEnd w:id="711"/>
      <w:r>
        <w:rPr>
          <w:rtl w:val="true"/>
        </w:rPr>
        <w:t>الأوّل</w:t>
      </w:r>
      <w:r>
        <w:rPr>
          <w:rtl w:val="true"/>
        </w:rPr>
        <w:t>:</w:t>
      </w:r>
      <w:r>
        <w:rPr>
          <w:rtl w:val="true"/>
        </w:rPr>
        <w:t>يتناول التّحريم السّورة و أبعاضها</w:t>
      </w:r>
      <w:bookmarkEnd w:id="712"/>
    </w:p>
    <w:p>
      <w:pPr>
        <w:pStyle w:val="BookText"/>
        <w:rPr/>
      </w:pPr>
      <w:r>
        <w:rPr>
          <w:rFonts w:ascii="Amiri" w:hAnsi="Amiri" w:eastAsia="Amiri" w:cs="Amiri"/>
          <w:color w:val="111111"/>
          <w:sz w:val="28"/>
          <w:sz w:val="28"/>
          <w:szCs w:val="28"/>
          <w:rtl w:val="true"/>
          <w:lang w:bidi="ar-SA"/>
        </w:rPr>
        <w:t>حتّى التّسمية إذا نواها منها</w:t>
      </w:r>
      <w:r>
        <w:rPr>
          <w:rFonts w:eastAsia="Amiri" w:cs="Amiri" w:ascii="Amiri" w:hAnsi="Amiri"/>
          <w:color w:val="111111"/>
          <w:sz w:val="28"/>
          <w:szCs w:val="28"/>
          <w:rtl w:val="true"/>
          <w:lang w:bidi="ar-SA"/>
        </w:rPr>
        <w:t>.</w:t>
      </w:r>
    </w:p>
    <w:p>
      <w:pPr>
        <w:pStyle w:val="Heading6"/>
        <w:numPr>
          <w:ilvl w:val="5"/>
          <w:numId w:val="1"/>
        </w:numPr>
        <w:rPr/>
      </w:pPr>
      <w:bookmarkStart w:id="713" w:name="__RefHeading___Toc795705_222507752"/>
      <w:bookmarkStart w:id="714" w:name="_Toc292"/>
      <w:bookmarkEnd w:id="713"/>
      <w:r>
        <w:rPr>
          <w:rtl w:val="true"/>
        </w:rPr>
        <w:t>الثّاني</w:t>
      </w:r>
      <w:r>
        <w:rPr>
          <w:rtl w:val="true"/>
        </w:rPr>
        <w:t>:</w:t>
      </w:r>
      <w:r>
        <w:rPr>
          <w:rtl w:val="true"/>
        </w:rPr>
        <w:t>لا يحرم قراءة غير العزائم</w:t>
      </w:r>
      <w:r>
        <w:rPr>
          <w:rtl w:val="true"/>
        </w:rPr>
        <w:t>.</w:t>
      </w:r>
      <w:bookmarkEnd w:id="714"/>
    </w:p>
    <w:p>
      <w:pPr>
        <w:pStyle w:val="BookText"/>
        <w:rPr/>
      </w:pPr>
      <w:r>
        <w:rPr>
          <w:rFonts w:ascii="Amiri" w:hAnsi="Amiri" w:eastAsia="Amiri" w:cs="Amiri"/>
          <w:color w:val="111111"/>
          <w:sz w:val="28"/>
          <w:sz w:val="28"/>
          <w:szCs w:val="28"/>
          <w:rtl w:val="true"/>
          <w:lang w:bidi="ar-SA"/>
        </w:rPr>
        <w:t>و هو مذهب علمائنا أجمع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الشّافعيّ</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يحرم أن تقرأ الحائض و الجنب شيئا منه </w:t>
      </w:r>
      <w:r>
        <w:rPr>
          <w:rStyle w:val="FootnoteAnchor"/>
          <w:rtl w:val="true"/>
        </w:rPr>
        <w:footnoteReference w:id="113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حكى ابن المنذر عن أبي ثور انّ الشّافعيّ أجاز للحائض أن تقرأ و أنكر الشّافعيّة ذلك </w:t>
      </w:r>
      <w:r>
        <w:rPr>
          <w:rStyle w:val="FootnoteAnchor"/>
          <w:rtl w:val="true"/>
        </w:rPr>
        <w:footnoteReference w:id="1138"/>
      </w:r>
      <w:r>
        <w:rPr>
          <w:rFonts w:eastAsia="Times New Roman" w:cs="Times New Roman" w:ascii="Times New Roman" w:hAnsi="Times New Roman"/>
          <w:color w:val="111111"/>
          <w:sz w:val="28"/>
          <w:szCs w:val="28"/>
          <w:rtl w:val="true"/>
          <w:lang w:val="en-US" w:bidi="en-US"/>
        </w:rPr>
        <w:t xml:space="preserve">. </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روى الجمهور كراهة القراءة للجنب،عن عليّ عليه السلام،و عمر،و الحسن البصري،و النّخعيّ،و الزّهريّ،و قتادة </w:t>
      </w:r>
      <w:r>
        <w:rPr>
          <w:rStyle w:val="FootnoteAnchor"/>
          <w:rtl w:val="true"/>
        </w:rPr>
        <w:footnoteReference w:id="113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حكي عن ابن عباس انّه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يقرأ ورده و هو جنب </w:t>
      </w:r>
      <w:r>
        <w:rPr>
          <w:rStyle w:val="FootnoteAnchor"/>
          <w:rtl w:val="true"/>
        </w:rPr>
        <w:footnoteReference w:id="1140"/>
      </w:r>
      <w:r>
        <w:rPr>
          <w:rFonts w:ascii="Amiri" w:hAnsi="Amiri" w:eastAsia="Amiri" w:cs="Amiri"/>
          <w:color w:val="111111"/>
          <w:sz w:val="28"/>
          <w:sz w:val="28"/>
          <w:szCs w:val="28"/>
          <w:rtl w:val="true"/>
          <w:lang w:bidi="ar-SA"/>
        </w:rPr>
        <w:t>،و عن سعيد بن المسيّب انّه 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يقرأ الجنب؟فقال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نعم،أ ليس هو في جوفه </w:t>
      </w:r>
      <w:r>
        <w:rPr>
          <w:rStyle w:val="FootnoteAnchor"/>
          <w:rtl w:val="true"/>
        </w:rPr>
        <w:footnoteReference w:id="11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قال داود </w:t>
      </w:r>
      <w:r>
        <w:rPr>
          <w:rStyle w:val="FootnoteAnchor"/>
          <w:rtl w:val="true"/>
        </w:rPr>
        <w:footnoteReference w:id="1142"/>
      </w:r>
      <w:r>
        <w:rPr>
          <w:rFonts w:ascii="IRNazanin" w:hAnsi="IRNazanin" w:eastAsia="IRNazanin"/>
          <w:color w:val="111111"/>
          <w:sz w:val="28"/>
          <w:sz w:val="28"/>
          <w:szCs w:val="28"/>
          <w:rtl w:val="true"/>
          <w:lang w:bidi="fa-IR"/>
        </w:rPr>
        <w:t xml:space="preserve">،و ابن المنذر </w:t>
      </w:r>
      <w:r>
        <w:rPr>
          <w:rStyle w:val="FootnoteAnchor"/>
          <w:rtl w:val="true"/>
        </w:rPr>
        <w:footnoteReference w:id="1143"/>
      </w:r>
      <w:r>
        <w:rPr>
          <w:rFonts w:ascii="Amiri" w:hAnsi="Amiri" w:eastAsia="Amiri" w:cs="Amiri"/>
          <w:color w:val="111111"/>
          <w:sz w:val="28"/>
          <w:sz w:val="28"/>
          <w:szCs w:val="28"/>
          <w:rtl w:val="true"/>
          <w:lang w:bidi="ar-SA"/>
        </w:rPr>
        <w:t>،و سوّوا بين الجنب و الحائض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الأوزاعيّ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يقرأ إلاّ آية الرّكوب و النّزول </w:t>
      </w:r>
      <w:r>
        <w:rPr>
          <w:rStyle w:val="FootnoteAnchor"/>
          <w:rtl w:val="true"/>
        </w:rPr>
        <w:footnoteReference w:id="1144"/>
      </w:r>
      <w:r>
        <w:rPr>
          <w:rFonts w:ascii="Amiri" w:hAnsi="Amiri" w:eastAsia="Amiri" w:cs="Amiri"/>
          <w:color w:val="111111"/>
          <w:sz w:val="28"/>
          <w:sz w:val="28"/>
          <w:szCs w:val="28"/>
          <w:rtl w:val="true"/>
          <w:lang w:bidi="ar-SA"/>
        </w:rPr>
        <w:t xml:space="preserve">سُبْحانَ الَّذِي سَخَّرَ لَنا هذا </w:t>
      </w:r>
      <w:r>
        <w:rPr>
          <w:rStyle w:val="FootnoteAnchor"/>
          <w:rtl w:val="true"/>
        </w:rPr>
        <w:footnoteReference w:id="1145"/>
      </w:r>
      <w:r>
        <w:rPr>
          <w:rFonts w:ascii="Amiri" w:hAnsi="Amiri" w:eastAsia="Amiri" w:cs="Amiri"/>
          <w:color w:val="111111"/>
          <w:sz w:val="28"/>
          <w:sz w:val="28"/>
          <w:szCs w:val="28"/>
          <w:rtl w:val="true"/>
          <w:lang w:bidi="ar-SA"/>
        </w:rPr>
        <w:t xml:space="preserve">وَ قُلْ رَبِّ أَنْزِلْنِي مُنْزَلاً مُبارَكاً </w:t>
      </w:r>
      <w:r>
        <w:rPr>
          <w:rStyle w:val="FootnoteAnchor"/>
          <w:rtl w:val="true"/>
        </w:rPr>
        <w:footnoteReference w:id="114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مالك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للحائض القراءة دون الجنب، لأنّ أيّامها تطول،فلو منعناها من القراءة نسيت </w:t>
      </w:r>
      <w:r>
        <w:rPr>
          <w:rStyle w:val="FootnoteAnchor"/>
          <w:rtl w:val="true"/>
        </w:rPr>
        <w:footnoteReference w:id="114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أبو حنيفة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يجوز قراءة ما دون الآية و تحرم الآية </w:t>
      </w:r>
      <w:r>
        <w:rPr>
          <w:rStyle w:val="FootnoteAnchor"/>
          <w:rtl w:val="true"/>
        </w:rPr>
        <w:footnoteReference w:id="114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أحمد في بعض الآية تفصيل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كان ذلك البعض ممّا لا يتميّز به القرآن عن غيره كالتّسمية،و الحمد للّه،و سائر الذّكر،فإن لم يقصد القرآن فلا بأس به،و إن قصد القراءة أو كان ما قرأه يتميّز به القرآن عن غيره من </w:t>
      </w:r>
    </w:p>
    <w:p>
      <w:pPr>
        <w:pStyle w:val="BookText"/>
        <w:rPr/>
      </w:pPr>
      <w:r>
        <w:rPr>
          <w:rFonts w:ascii="Amiri" w:hAnsi="Amiri" w:eastAsia="Amiri" w:cs="Amiri"/>
          <w:color w:val="111111"/>
          <w:sz w:val="28"/>
          <w:sz w:val="28"/>
          <w:szCs w:val="28"/>
          <w:rtl w:val="true"/>
          <w:lang w:bidi="ar-SA"/>
        </w:rPr>
        <w:t>الكلام،ففيه روايتان إحداهما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المنع،و الثّانية،الجواز </w:t>
      </w:r>
      <w:r>
        <w:rPr>
          <w:rStyle w:val="FootnoteAnchor"/>
          <w:rtl w:val="true"/>
        </w:rPr>
        <w:footnoteReference w:id="11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تعالى فَاقْرَؤُا ما تَيَسَّرَ مِنْهُ </w:t>
      </w:r>
      <w:r>
        <w:rPr>
          <w:rStyle w:val="FootnoteAnchor"/>
          <w:rtl w:val="true"/>
        </w:rPr>
        <w:footnoteReference w:id="1150"/>
      </w:r>
      <w:r>
        <w:rPr>
          <w:rFonts w:ascii="Amiri" w:hAnsi="Amiri" w:eastAsia="Amiri" w:cs="Amiri"/>
          <w:color w:val="111111"/>
          <w:sz w:val="28"/>
          <w:sz w:val="28"/>
          <w:szCs w:val="28"/>
          <w:rtl w:val="true"/>
          <w:lang w:bidi="ar-SA"/>
        </w:rPr>
        <w:t xml:space="preserve">و قوله تعالى فَاقْرَؤُا ما تَيَسَّرَ مِنَ الْقُرْآنِ </w:t>
      </w:r>
      <w:r>
        <w:rPr>
          <w:rStyle w:val="FootnoteAnchor"/>
          <w:rtl w:val="true"/>
        </w:rPr>
        <w:footnoteReference w:id="11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الشّيخ في الصّحيح،عن الفضيل بن يسار،عن أبي جعفر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أن تتلو الحائض و الجنب القرآن</w:t>
      </w:r>
      <w:r>
        <w:rPr>
          <w:rFonts w:eastAsia="Amiri" w:cs="Amiri" w:ascii="Amiri" w:hAnsi="Amiri"/>
          <w:color w:val="111111"/>
          <w:sz w:val="28"/>
          <w:szCs w:val="28"/>
          <w:rtl w:val="true"/>
          <w:lang w:bidi="ar-SA"/>
        </w:rPr>
        <w:t xml:space="preserve">» </w:t>
      </w:r>
      <w:r>
        <w:rPr>
          <w:rStyle w:val="FootnoteAnchor"/>
          <w:rtl w:val="true"/>
        </w:rPr>
        <w:footnoteReference w:id="11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الصّحيح،عن عبيد اللّه بن عليّ الحلبيّ،عن أبي عبد اللّه عليه السّلام،قال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سألته أ تقرأ النّفساء و الحائض و الجنب و الرّجل يتغوّط،القرآن؟فقال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يقرأون ما شاءوا</w:t>
      </w:r>
      <w:r>
        <w:rPr>
          <w:rFonts w:eastAsia="Amiri" w:cs="Amiri" w:ascii="Amiri" w:hAnsi="Amiri"/>
          <w:color w:val="111111"/>
          <w:sz w:val="28"/>
          <w:szCs w:val="28"/>
          <w:rtl w:val="true"/>
          <w:lang w:bidi="ar-SA"/>
        </w:rPr>
        <w:t xml:space="preserve">» </w:t>
      </w:r>
      <w:r>
        <w:rPr>
          <w:rStyle w:val="FootnoteAnchor"/>
          <w:rtl w:val="true"/>
        </w:rPr>
        <w:footnoteReference w:id="1153"/>
      </w:r>
      <w:r>
        <w:rPr>
          <w:rFonts w:eastAsia="Times New Roman" w:cs="Times New Roman" w:ascii="Times New Roman" w:hAnsi="Times New Roman"/>
          <w:color w:val="111111"/>
          <w:sz w:val="28"/>
          <w:szCs w:val="28"/>
          <w:rtl w:val="true"/>
          <w:lang w:val="en-US" w:bidi="en-US"/>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في الصّحيح،عن عبد الغفّار الحارثيّ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الحائض تقرأ ما شاءت من القرآن</w:t>
      </w:r>
      <w:r>
        <w:rPr>
          <w:rFonts w:eastAsia="Amiri" w:cs="Amiri" w:ascii="Amiri" w:hAnsi="Amiri"/>
          <w:color w:val="111111"/>
          <w:sz w:val="28"/>
          <w:szCs w:val="28"/>
          <w:rtl w:val="true"/>
          <w:lang w:bidi="ar-SA"/>
        </w:rPr>
        <w:t xml:space="preserve">» </w:t>
      </w:r>
      <w:r>
        <w:rPr>
          <w:rStyle w:val="FootnoteAnchor"/>
          <w:rtl w:val="true"/>
        </w:rPr>
        <w:footnoteReference w:id="1154"/>
      </w:r>
      <w:r>
        <w:rPr>
          <w:rFonts w:ascii="Amiri" w:hAnsi="Amiri" w:eastAsia="Amiri" w:cs="Amiri"/>
          <w:color w:val="111111"/>
          <w:sz w:val="28"/>
          <w:sz w:val="28"/>
          <w:szCs w:val="28"/>
          <w:rtl w:val="true"/>
          <w:lang w:bidi="ar-SA"/>
        </w:rPr>
        <w:t>و لأنّ الأصل الإباحة</w:t>
      </w:r>
      <w:r>
        <w:rPr>
          <w:rFonts w:eastAsia="Amiri" w:cs="Amiri" w:ascii="Amiri" w:hAnsi="Amiri"/>
          <w:color w:val="111111"/>
          <w:sz w:val="28"/>
          <w:szCs w:val="28"/>
          <w:rtl w:val="true"/>
          <w:lang w:bidi="ar-SA"/>
        </w:rPr>
        <w:t xml:space="preserve">. </w:t>
      </w:r>
      <w:bookmarkStart w:id="715" w:name="pg12669_113011"/>
    </w:p>
    <w:p>
      <w:pPr>
        <w:pStyle w:val="BookText"/>
        <w:rPr/>
      </w:pPr>
      <w:bookmarkEnd w:id="715"/>
      <w:r>
        <w:rPr>
          <w:rFonts w:ascii="Amiri" w:hAnsi="Amiri" w:eastAsia="Amiri" w:cs="Amiri"/>
          <w:color w:val="111111"/>
          <w:sz w:val="28"/>
          <w:sz w:val="28"/>
          <w:szCs w:val="28"/>
          <w:rtl w:val="true"/>
          <w:lang w:bidi="ar-SA"/>
        </w:rPr>
        <w:t xml:space="preserve">احتجّ الشّافعيّ </w:t>
      </w:r>
      <w:r>
        <w:rPr>
          <w:rStyle w:val="FootnoteAnchor"/>
          <w:rtl w:val="true"/>
        </w:rPr>
        <w:footnoteReference w:id="1155"/>
      </w:r>
      <w:r>
        <w:rPr>
          <w:rFonts w:ascii="Amiri" w:hAnsi="Amiri" w:eastAsia="Amiri" w:cs="Amiri"/>
          <w:color w:val="111111"/>
          <w:sz w:val="28"/>
          <w:sz w:val="28"/>
          <w:szCs w:val="28"/>
          <w:rtl w:val="true"/>
          <w:lang w:bidi="ar-SA"/>
        </w:rPr>
        <w:t xml:space="preserve">و أبو حنيفة </w:t>
      </w:r>
      <w:r>
        <w:rPr>
          <w:rStyle w:val="FootnoteAnchor"/>
          <w:rtl w:val="true"/>
        </w:rPr>
        <w:footnoteReference w:id="1156"/>
      </w:r>
      <w:r>
        <w:rPr>
          <w:rFonts w:ascii="Amiri" w:hAnsi="Amiri" w:eastAsia="Amiri" w:cs="Amiri"/>
          <w:color w:val="111111"/>
          <w:sz w:val="28"/>
          <w:sz w:val="28"/>
          <w:szCs w:val="28"/>
          <w:rtl w:val="true"/>
          <w:lang w:bidi="ar-SA"/>
        </w:rPr>
        <w:t xml:space="preserve">برواية ابن عمر،عن النّبيّ صلّى اللّه عليه و آله </w:t>
      </w:r>
      <w:r>
        <w:rPr>
          <w:rStyle w:val="FootnoteAnchor"/>
          <w:rtl w:val="true"/>
        </w:rPr>
        <w:footnoteReference w:id="11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راويها إسماعيل بن عيّا </w:t>
      </w:r>
      <w:r>
        <w:rPr>
          <w:rStyle w:val="FootnoteAnchor"/>
          <w:rtl w:val="true"/>
        </w:rPr>
        <w:footnoteReference w:id="1158"/>
      </w:r>
      <w:r>
        <w:rPr>
          <w:rFonts w:ascii="IRNazanin" w:hAnsi="IRNazanin" w:eastAsia="IRNazanin"/>
          <w:color w:val="111111"/>
          <w:sz w:val="28"/>
          <w:sz w:val="28"/>
          <w:szCs w:val="28"/>
          <w:rtl w:val="true"/>
          <w:lang w:bidi="fa-IR"/>
        </w:rPr>
        <w:t xml:space="preserve">،عن نافع </w:t>
      </w:r>
      <w:r>
        <w:rPr>
          <w:rStyle w:val="FootnoteAnchor"/>
          <w:rtl w:val="true"/>
        </w:rPr>
        <w:footnoteReference w:id="1159"/>
      </w:r>
      <w:r>
        <w:rPr>
          <w:rFonts w:ascii="Amiri" w:hAnsi="Amiri" w:eastAsia="Amiri" w:cs="Amiri"/>
          <w:color w:val="111111"/>
          <w:sz w:val="28"/>
          <w:sz w:val="28"/>
          <w:szCs w:val="28"/>
          <w:rtl w:val="true"/>
          <w:lang w:bidi="ar-SA"/>
        </w:rPr>
        <w:t>،و ضعّف البخاريّ روايته عن أهل الحجاز،و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روايته من أهل الشّام </w:t>
      </w:r>
      <w:r>
        <w:rPr>
          <w:rStyle w:val="FootnoteAnchor"/>
          <w:rtl w:val="true"/>
        </w:rPr>
        <w:footnoteReference w:id="116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716" w:name="__RefHeading___Toc795707_222507752"/>
      <w:bookmarkStart w:id="717" w:name="_Toc293"/>
      <w:bookmarkEnd w:id="716"/>
      <w:r>
        <w:rPr>
          <w:rtl w:val="true"/>
        </w:rPr>
        <w:t>الثّالث</w:t>
      </w:r>
      <w:r>
        <w:rPr>
          <w:rtl w:val="true"/>
        </w:rPr>
        <w:t>:</w:t>
      </w:r>
      <w:r>
        <w:rPr>
          <w:rtl w:val="true"/>
        </w:rPr>
        <w:t>يكره قراءة ما زاد على سبع آيات</w:t>
      </w:r>
      <w:r>
        <w:rPr>
          <w:rtl w:val="true"/>
        </w:rPr>
        <w:t>.</w:t>
      </w:r>
      <w:bookmarkEnd w:id="717"/>
    </w:p>
    <w:p>
      <w:pPr>
        <w:pStyle w:val="BookText"/>
        <w:rPr/>
      </w:pPr>
      <w:r>
        <w:rPr>
          <w:rFonts w:ascii="Amiri" w:hAnsi="Amiri" w:eastAsia="Amiri" w:cs="Amiri"/>
          <w:color w:val="111111"/>
          <w:sz w:val="28"/>
          <w:sz w:val="28"/>
          <w:szCs w:val="28"/>
          <w:rtl w:val="true"/>
          <w:lang w:bidi="ar-SA"/>
        </w:rPr>
        <w:t>و قال في المبسوط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الأحوط أن لا يزيد على سبع أو سبعين </w:t>
      </w:r>
      <w:r>
        <w:rPr>
          <w:rStyle w:val="FootnoteAnchor"/>
          <w:rtl w:val="true"/>
        </w:rPr>
        <w:footnoteReference w:id="116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بعض الأصحاب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يحرم ما زاد على سبعين </w:t>
      </w:r>
      <w:r>
        <w:rPr>
          <w:rStyle w:val="FootnoteAnchor"/>
          <w:rtl w:val="true"/>
        </w:rPr>
        <w:footnoteReference w:id="1162"/>
      </w:r>
      <w:r>
        <w:rPr>
          <w:rFonts w:eastAsia="Times New Roman" w:cs="Times New Roman" w:ascii="Times New Roman" w:hAnsi="Times New Roman"/>
          <w:color w:val="111111"/>
          <w:sz w:val="28"/>
          <w:szCs w:val="28"/>
          <w:rtl w:val="true"/>
          <w:lang w:val="en-US" w:bidi="en-US"/>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الشّيخ عن سماعة،قال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الجنب هل يقرأ القرآن؟قال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بينه و بين سبع آيات</w:t>
      </w:r>
      <w:r>
        <w:rPr>
          <w:rFonts w:eastAsia="Amiri" w:cs="Amiri" w:ascii="Amiri" w:hAnsi="Amiri"/>
          <w:color w:val="111111"/>
          <w:sz w:val="28"/>
          <w:szCs w:val="28"/>
          <w:rtl w:val="true"/>
          <w:lang w:bidi="ar-SA"/>
        </w:rPr>
        <w:t xml:space="preserve">» </w:t>
      </w:r>
      <w:r>
        <w:rPr>
          <w:rStyle w:val="FootnoteAnchor"/>
          <w:rtl w:val="true"/>
        </w:rPr>
        <w:footnoteReference w:id="116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رواية زرعة عن سماعة سبعين آية </w:t>
      </w:r>
      <w:r>
        <w:rPr>
          <w:rStyle w:val="FootnoteAnchor"/>
          <w:rtl w:val="true"/>
        </w:rPr>
        <w:footnoteReference w:id="1164"/>
      </w:r>
      <w:r>
        <w:rPr>
          <w:rFonts w:ascii="Amiri" w:hAnsi="Amiri" w:eastAsia="Amiri" w:cs="Amiri"/>
          <w:color w:val="111111"/>
          <w:sz w:val="28"/>
          <w:sz w:val="28"/>
          <w:szCs w:val="28"/>
          <w:rtl w:val="true"/>
          <w:lang w:bidi="ar-SA"/>
        </w:rPr>
        <w:t xml:space="preserve">،و الرّوايتان ضعيفتان مع معارضتهما لعموم الإذن المستفاد من الرّوايات الصّحيحة </w:t>
      </w:r>
      <w:r>
        <w:rPr>
          <w:rStyle w:val="FootnoteAnchor"/>
          <w:rtl w:val="true"/>
        </w:rPr>
        <w:footnoteReference w:id="1165"/>
      </w:r>
      <w:r>
        <w:rPr>
          <w:rFonts w:eastAsia="Times New Roman" w:cs="Times New Roman" w:ascii="Times New Roman" w:hAnsi="Times New Roman"/>
          <w:color w:val="111111"/>
          <w:sz w:val="28"/>
          <w:szCs w:val="28"/>
          <w:rtl w:val="true"/>
          <w:lang w:val="en-US" w:bidi="en-US"/>
        </w:rPr>
        <w:t xml:space="preserve">. </w:t>
      </w:r>
      <w:bookmarkStart w:id="718" w:name="pg12669_113012"/>
    </w:p>
    <w:p>
      <w:pPr>
        <w:pStyle w:val="Heading6"/>
        <w:numPr>
          <w:ilvl w:val="5"/>
          <w:numId w:val="1"/>
        </w:numPr>
        <w:rPr/>
      </w:pPr>
      <w:bookmarkStart w:id="719" w:name="__RefHeading___Toc795709_222507752"/>
      <w:bookmarkStart w:id="720" w:name="_Toc294"/>
      <w:bookmarkEnd w:id="718"/>
      <w:bookmarkEnd w:id="719"/>
      <w:r>
        <w:rPr>
          <w:rtl w:val="true"/>
        </w:rPr>
        <w:t>مسألة</w:t>
      </w:r>
      <w:r>
        <w:rPr>
          <w:rtl w:val="true"/>
        </w:rPr>
        <w:t>:</w:t>
      </w:r>
      <w:r>
        <w:rPr>
          <w:rtl w:val="true"/>
        </w:rPr>
        <w:t>و يحرم على الجنب مسّ كتابة القرآن</w:t>
      </w:r>
      <w:r>
        <w:rPr>
          <w:rtl w:val="true"/>
        </w:rPr>
        <w:t>.</w:t>
      </w:r>
      <w:bookmarkEnd w:id="720"/>
    </w:p>
    <w:p>
      <w:pPr>
        <w:pStyle w:val="BookText"/>
        <w:rPr/>
      </w:pPr>
      <w:r>
        <w:rPr>
          <w:rFonts w:ascii="Amiri" w:hAnsi="Amiri" w:eastAsia="Amiri" w:cs="Amiri"/>
          <w:color w:val="111111"/>
          <w:sz w:val="28"/>
          <w:sz w:val="28"/>
          <w:szCs w:val="28"/>
          <w:rtl w:val="true"/>
          <w:lang w:bidi="ar-SA"/>
        </w:rPr>
        <w:t xml:space="preserve">و هو مذهب علماء الإسلام،لقوله تعالى لا يَمَسُّهُ إِلاَّ الْمُطَهَّرُونَ </w:t>
      </w:r>
      <w:r>
        <w:rPr>
          <w:rStyle w:val="FootnoteAnchor"/>
          <w:rtl w:val="true"/>
        </w:rPr>
        <w:footnoteReference w:id="11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كتاب النّبيّ صلّى اللّه عليه و آله لعمرو بن حزم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لا يمسّ القرآن إلاّ طاهر</w:t>
      </w:r>
      <w:r>
        <w:rPr>
          <w:rFonts w:eastAsia="Amiri" w:cs="Amiri" w:ascii="Amiri" w:hAnsi="Amiri"/>
          <w:color w:val="111111"/>
          <w:sz w:val="28"/>
          <w:szCs w:val="28"/>
          <w:rtl w:val="true"/>
          <w:lang w:bidi="ar-SA"/>
        </w:rPr>
        <w:t xml:space="preserve">) </w:t>
      </w:r>
      <w:r>
        <w:rPr>
          <w:rStyle w:val="FootnoteAnchor"/>
          <w:rtl w:val="true"/>
        </w:rPr>
        <w:footnoteReference w:id="11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يحرم عليه مسّ اسم اللّه تعالى،سواء كان على درهم أو دينار أو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الشّيخ،عن عمّار،عن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يمسّ الجنب درهما و لا دينارا عليه اسم اللّه تعالى</w:t>
      </w:r>
      <w:r>
        <w:rPr>
          <w:rFonts w:eastAsia="Amiri" w:cs="Amiri" w:ascii="Amiri" w:hAnsi="Amiri"/>
          <w:color w:val="111111"/>
          <w:sz w:val="28"/>
          <w:szCs w:val="28"/>
          <w:rtl w:val="true"/>
          <w:lang w:bidi="ar-SA"/>
        </w:rPr>
        <w:t xml:space="preserve">» </w:t>
      </w:r>
      <w:r>
        <w:rPr>
          <w:rStyle w:val="FootnoteAnchor"/>
          <w:rtl w:val="true"/>
        </w:rPr>
        <w:footnoteReference w:id="1168"/>
      </w:r>
      <w:r>
        <w:rPr>
          <w:rFonts w:ascii="Amiri" w:hAnsi="Amiri" w:eastAsia="Amiri" w:cs="Amiri"/>
          <w:color w:val="111111"/>
          <w:sz w:val="28"/>
          <w:sz w:val="28"/>
          <w:szCs w:val="28"/>
          <w:rtl w:val="true"/>
          <w:lang w:bidi="ar-SA"/>
        </w:rPr>
        <w:t>و الرّواية ضعيفة السّنة،لكنّ عمل الأصحاب يعضدها،و لأنّ ذلك مناسب للتّعظيم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يعارض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 في الصّحيح،عن إسحاق بن عمّار،عن أبي إبراهيم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الجنب و الطّامث يمسّان أيديهما الدّراهم البيض؟قال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xml:space="preserve">» </w:t>
      </w:r>
      <w:r>
        <w:rPr>
          <w:rStyle w:val="FootnoteAnchor"/>
          <w:rtl w:val="true"/>
        </w:rPr>
        <w:footnoteReference w:id="1169"/>
      </w:r>
      <w:r>
        <w:rPr>
          <w:rFonts w:ascii="Amiri" w:hAnsi="Amiri" w:eastAsia="Amiri" w:cs="Amiri"/>
          <w:color w:val="111111"/>
          <w:sz w:val="28"/>
          <w:sz w:val="28"/>
          <w:szCs w:val="28"/>
          <w:rtl w:val="true"/>
          <w:lang w:bidi="ar-SA"/>
        </w:rPr>
        <w:t>لأنّه يمكن أن لا يكون عليها اسم اللّه تعالى،و إن كان لكن يمسّ الدّراهم لا الكتابة</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الشّيخ و المفيد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يلحق بالتّحريم أسماء الأنبياء و الأئمّة عليهم السّلام </w:t>
      </w:r>
      <w:r>
        <w:rPr>
          <w:rStyle w:val="FootnoteAnchor"/>
          <w:rtl w:val="true"/>
        </w:rPr>
        <w:footnoteReference w:id="1170"/>
      </w:r>
      <w:r>
        <w:rPr>
          <w:rStyle w:val="FootnoteAnchor"/>
          <w:rtl w:val="true"/>
        </w:rPr>
        <w:footnoteReference w:id="117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أجد فيه حديثا مرويّا،و لو قيل بالكراهة كان وجها</w:t>
      </w:r>
      <w:r>
        <w:rPr>
          <w:rFonts w:eastAsia="Amiri" w:cs="Amiri" w:ascii="Amiri" w:hAnsi="Amiri"/>
          <w:color w:val="111111"/>
          <w:sz w:val="28"/>
          <w:szCs w:val="28"/>
          <w:rtl w:val="true"/>
          <w:lang w:bidi="ar-SA"/>
        </w:rPr>
        <w:t xml:space="preserve">. </w:t>
      </w:r>
      <w:bookmarkStart w:id="721" w:name="pg12669_113013"/>
    </w:p>
    <w:p>
      <w:pPr>
        <w:pStyle w:val="Heading6"/>
        <w:numPr>
          <w:ilvl w:val="5"/>
          <w:numId w:val="1"/>
        </w:numPr>
        <w:rPr/>
      </w:pPr>
      <w:bookmarkStart w:id="722" w:name="__RefHeading___Toc795711_222507752"/>
      <w:bookmarkStart w:id="723" w:name="_Toc295"/>
      <w:bookmarkEnd w:id="721"/>
      <w:bookmarkEnd w:id="722"/>
      <w:r>
        <w:rPr>
          <w:rtl w:val="true"/>
        </w:rPr>
        <w:t>فروع</w:t>
      </w:r>
      <w:r>
        <w:rPr>
          <w:rtl w:val="true"/>
        </w:rPr>
        <w:t>:</w:t>
      </w:r>
      <w:bookmarkEnd w:id="723"/>
    </w:p>
    <w:p>
      <w:pPr>
        <w:pStyle w:val="Heading6"/>
        <w:numPr>
          <w:ilvl w:val="5"/>
          <w:numId w:val="1"/>
        </w:numPr>
        <w:rPr/>
      </w:pPr>
      <w:bookmarkStart w:id="724" w:name="__RefHeading___Toc795713_222507752"/>
      <w:bookmarkStart w:id="725" w:name="_Toc296"/>
      <w:bookmarkEnd w:id="724"/>
      <w:r>
        <w:rPr>
          <w:rtl w:val="true"/>
        </w:rPr>
        <w:t>الأوّل</w:t>
      </w:r>
      <w:r>
        <w:rPr>
          <w:rtl w:val="true"/>
        </w:rPr>
        <w:t>:</w:t>
      </w:r>
      <w:r>
        <w:rPr>
          <w:rtl w:val="true"/>
        </w:rPr>
        <w:t>يكره للجنب مسّ المصحف و حمله</w:t>
      </w:r>
      <w:r>
        <w:rPr>
          <w:rtl w:val="true"/>
        </w:rPr>
        <w:t>.</w:t>
      </w:r>
      <w:bookmarkEnd w:id="725"/>
    </w:p>
    <w:p>
      <w:pPr>
        <w:pStyle w:val="BookText"/>
        <w:rPr/>
      </w:pPr>
      <w:r>
        <w:rPr>
          <w:rFonts w:ascii="Amiri" w:hAnsi="Amiri" w:eastAsia="Amiri" w:cs="Amiri"/>
          <w:color w:val="111111"/>
          <w:sz w:val="28"/>
          <w:sz w:val="28"/>
          <w:szCs w:val="28"/>
          <w:rtl w:val="true"/>
          <w:lang w:bidi="ar-SA"/>
        </w:rPr>
        <w:t xml:space="preserve">و هو قول الشّيخين </w:t>
      </w:r>
      <w:r>
        <w:rPr>
          <w:rStyle w:val="FootnoteAnchor"/>
          <w:rtl w:val="true"/>
        </w:rPr>
        <w:footnoteReference w:id="1172"/>
      </w:r>
      <w:r>
        <w:rPr>
          <w:rFonts w:ascii="Amiri" w:hAnsi="Amiri" w:eastAsia="Amiri" w:cs="Amiri"/>
          <w:color w:val="111111"/>
          <w:sz w:val="28"/>
          <w:sz w:val="28"/>
          <w:szCs w:val="28"/>
          <w:rtl w:val="true"/>
          <w:lang w:bidi="ar-SA"/>
        </w:rPr>
        <w:t xml:space="preserve">و ابني بابويه </w:t>
      </w:r>
      <w:r>
        <w:rPr>
          <w:rStyle w:val="FootnoteAnchor"/>
          <w:rtl w:val="true"/>
        </w:rPr>
        <w:footnoteReference w:id="117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المرتضى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يجوز للجنب مسّ المصحف </w:t>
      </w:r>
      <w:r>
        <w:rPr>
          <w:rStyle w:val="FootnoteAnchor"/>
          <w:rtl w:val="true"/>
        </w:rPr>
        <w:footnoteReference w:id="117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به قال الشّافعيّ </w:t>
      </w:r>
      <w:r>
        <w:rPr>
          <w:rStyle w:val="FootnoteAnchor"/>
          <w:rtl w:val="true"/>
        </w:rPr>
        <w:footnoteReference w:id="1175"/>
      </w:r>
      <w:r>
        <w:rPr>
          <w:rFonts w:ascii="Amiri" w:hAnsi="Amiri" w:eastAsia="Amiri" w:cs="Amiri"/>
          <w:color w:val="111111"/>
          <w:sz w:val="28"/>
          <w:sz w:val="28"/>
          <w:szCs w:val="28"/>
          <w:rtl w:val="true"/>
          <w:lang w:bidi="ar-SA"/>
        </w:rPr>
        <w:t xml:space="preserve">و أبو حنيفة </w:t>
      </w:r>
      <w:r>
        <w:rPr>
          <w:rStyle w:val="FootnoteAnchor"/>
          <w:rtl w:val="true"/>
        </w:rPr>
        <w:footnoteReference w:id="11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رواه الجمهور انّه كتب آية في كتابه إلى قيصر </w:t>
      </w:r>
      <w:r>
        <w:rPr>
          <w:rStyle w:val="FootnoteAnchor"/>
          <w:rtl w:val="true"/>
        </w:rPr>
        <w:footnoteReference w:id="1177"/>
      </w:r>
      <w:r>
        <w:rPr>
          <w:rFonts w:ascii="Amiri" w:hAnsi="Amiri" w:eastAsia="Amiri" w:cs="Amiri"/>
          <w:color w:val="111111"/>
          <w:sz w:val="28"/>
          <w:sz w:val="28"/>
          <w:szCs w:val="28"/>
          <w:rtl w:val="true"/>
          <w:lang w:bidi="ar-SA"/>
        </w:rPr>
        <w:t xml:space="preserve">،و هو كافر لا ينفك عن الجنابة،و لا يرتفع عنه لكفره،و هو لا يخلو عن </w:t>
      </w:r>
      <w:r>
        <w:rPr>
          <w:rStyle w:val="FootnoteAnchor"/>
          <w:rtl w:val="true"/>
        </w:rPr>
        <w:footnoteReference w:id="1178"/>
      </w:r>
      <w:r>
        <w:rPr>
          <w:rFonts w:ascii="IRNazanin" w:hAnsi="IRNazanin" w:eastAsia="IRNazanin"/>
          <w:color w:val="111111"/>
          <w:sz w:val="28"/>
          <w:sz w:val="28"/>
          <w:szCs w:val="28"/>
          <w:rtl w:val="true"/>
          <w:lang w:bidi="fa-IR"/>
        </w:rPr>
        <w:t>مسّ القرطاس،و لأنّ الأصل الجواز</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احتجّ المخالف </w:t>
      </w:r>
      <w:r>
        <w:rPr>
          <w:rStyle w:val="FootnoteAnchor"/>
          <w:rtl w:val="true"/>
        </w:rPr>
        <w:footnoteReference w:id="1179"/>
      </w:r>
      <w:r>
        <w:rPr>
          <w:rFonts w:ascii="Amiri" w:hAnsi="Amiri" w:eastAsia="Amiri" w:cs="Amiri"/>
          <w:color w:val="111111"/>
          <w:sz w:val="28"/>
          <w:sz w:val="28"/>
          <w:szCs w:val="28"/>
          <w:rtl w:val="true"/>
          <w:lang w:bidi="ar-SA"/>
        </w:rPr>
        <w:t xml:space="preserve">بقوله تعالى لا يَمَسُّهُ إِلاَّ الْمُطَهَّرُونَ </w:t>
      </w:r>
      <w:r>
        <w:rPr>
          <w:rStyle w:val="FootnoteAnchor"/>
          <w:rtl w:val="true"/>
        </w:rPr>
        <w:footnoteReference w:id="1180"/>
      </w:r>
      <w:r>
        <w:rPr>
          <w:rFonts w:ascii="Amiri" w:hAnsi="Amiri" w:eastAsia="Amiri" w:cs="Amiri"/>
          <w:color w:val="111111"/>
          <w:sz w:val="28"/>
          <w:sz w:val="28"/>
          <w:szCs w:val="28"/>
          <w:rtl w:val="true"/>
          <w:lang w:bidi="ar-SA"/>
        </w:rPr>
        <w:t>و بما رووه، عن النّبيّ صلّى اللّه عليه و آله انّه كتب في كتابه لعمرو بن حزم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يمسّ القرآن،إلاّ </w:t>
      </w:r>
      <w:bookmarkStart w:id="726" w:name="pg12669_113014"/>
    </w:p>
    <w:p>
      <w:pPr>
        <w:pStyle w:val="BookText"/>
        <w:rPr/>
      </w:pPr>
      <w:bookmarkEnd w:id="726"/>
      <w:r>
        <w:rPr>
          <w:rFonts w:ascii="IRNazanin" w:hAnsi="IRNazanin" w:eastAsia="IRNazanin"/>
          <w:color w:val="111111"/>
          <w:sz w:val="28"/>
          <w:sz w:val="28"/>
          <w:szCs w:val="28"/>
          <w:rtl w:val="true"/>
          <w:lang w:bidi="fa-IR"/>
        </w:rPr>
        <w:t>طاهر</w:t>
      </w:r>
      <w:r>
        <w:rPr>
          <w:rFonts w:eastAsia="IRNazanin" w:cs="IRNazanin"/>
          <w:color w:val="111111"/>
          <w:sz w:val="28"/>
          <w:szCs w:val="28"/>
          <w:rtl w:val="true"/>
          <w:lang w:bidi="fa-IR"/>
        </w:rPr>
        <w:t xml:space="preserve">) </w:t>
      </w:r>
      <w:r>
        <w:rPr>
          <w:rStyle w:val="FootnoteAnchor"/>
          <w:rtl w:val="true"/>
        </w:rPr>
        <w:footnoteReference w:id="11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احتجّ السّيّد المرتضى بما رواه الشّيخ،عن إبراهيم بن عبد الحميد،عن أبي الحسن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المصحف لا تمسّه على غير طهر،و لا جنبا،و لا تمسّ خطّه و لا تعلّقه،إنّ اللّه تعالى يقول لا يَمَسُّهُ إِلاَّ الْمُطَهَّرُونَ </w:t>
      </w:r>
      <w:r>
        <w:rPr>
          <w:rStyle w:val="FootnoteAnchor"/>
          <w:rtl w:val="true"/>
        </w:rPr>
        <w:footnoteReference w:id="11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الجواب عن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إنّما يتناول القرآن العزيز و نحن نقول بموجبة،و لا شكّ في انّ الورق و الجلد ليسا قرآنا،فلا يتناولهما النّهي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رواية السّيّد بالمنع من صحة السّند،فإنّ في طريقها عليّ بن الحسن بن فضّال،و هو فطحيّ </w:t>
      </w:r>
      <w:r>
        <w:rPr>
          <w:rStyle w:val="FootnoteAnchor"/>
          <w:rtl w:val="true"/>
        </w:rPr>
        <w:footnoteReference w:id="1183"/>
      </w:r>
      <w:r>
        <w:rPr>
          <w:rFonts w:ascii="Amiri" w:hAnsi="Amiri" w:eastAsia="Amiri" w:cs="Amiri"/>
          <w:color w:val="111111"/>
          <w:sz w:val="28"/>
          <w:sz w:val="28"/>
          <w:szCs w:val="28"/>
          <w:rtl w:val="true"/>
          <w:lang w:bidi="ar-SA"/>
        </w:rPr>
        <w:t>،و لإمكان تناول النّهي الكتابة،و لإمكان عدم إرادة التّحريم من النّهي بل يكون نهي كراهة،لأنّ السّيّد وافق على كراهيّة حمله للمحدث و جواز تعليقه</w:t>
      </w:r>
      <w:r>
        <w:rPr>
          <w:rFonts w:eastAsia="Amiri" w:cs="Amiri" w:ascii="Amiri" w:hAnsi="Amiri"/>
          <w:color w:val="111111"/>
          <w:sz w:val="28"/>
          <w:szCs w:val="28"/>
          <w:rtl w:val="true"/>
          <w:lang w:bidi="ar-SA"/>
        </w:rPr>
        <w:t>.</w:t>
      </w:r>
    </w:p>
    <w:p>
      <w:pPr>
        <w:pStyle w:val="Heading6"/>
        <w:numPr>
          <w:ilvl w:val="5"/>
          <w:numId w:val="1"/>
        </w:numPr>
        <w:rPr/>
      </w:pPr>
      <w:bookmarkStart w:id="727" w:name="__RefHeading___Toc795715_222507752"/>
      <w:bookmarkStart w:id="728" w:name="_Toc297"/>
      <w:bookmarkEnd w:id="727"/>
      <w:r>
        <w:rPr>
          <w:rtl w:val="true"/>
        </w:rPr>
        <w:t>الثّاني</w:t>
      </w:r>
      <w:r>
        <w:rPr>
          <w:rtl w:val="true"/>
        </w:rPr>
        <w:t>:</w:t>
      </w:r>
      <w:r>
        <w:rPr>
          <w:rtl w:val="true"/>
        </w:rPr>
        <w:t>يجوز مسّ كتب التّفسير</w:t>
      </w:r>
      <w:bookmarkEnd w:id="728"/>
    </w:p>
    <w:p>
      <w:pPr>
        <w:pStyle w:val="BookText"/>
        <w:rPr/>
      </w:pPr>
      <w:r>
        <w:rPr>
          <w:rFonts w:ascii="Amiri" w:hAnsi="Amiri" w:eastAsia="Amiri" w:cs="Amiri"/>
          <w:color w:val="111111"/>
          <w:sz w:val="28"/>
          <w:sz w:val="28"/>
          <w:szCs w:val="28"/>
          <w:rtl w:val="true"/>
          <w:lang w:bidi="ar-SA"/>
        </w:rPr>
        <w:t>عدا الآيات</w:t>
      </w:r>
      <w:r>
        <w:rPr>
          <w:rFonts w:eastAsia="Amiri" w:cs="Amiri" w:ascii="Amiri" w:hAnsi="Amiri"/>
          <w:color w:val="111111"/>
          <w:sz w:val="28"/>
          <w:szCs w:val="28"/>
          <w:rtl w:val="true"/>
          <w:lang w:bidi="ar-SA"/>
        </w:rPr>
        <w:t>.</w:t>
      </w:r>
    </w:p>
    <w:p>
      <w:pPr>
        <w:pStyle w:val="Heading6"/>
        <w:numPr>
          <w:ilvl w:val="5"/>
          <w:numId w:val="1"/>
        </w:numPr>
        <w:rPr/>
      </w:pPr>
      <w:bookmarkStart w:id="729" w:name="__RefHeading___Toc795717_222507752"/>
      <w:bookmarkStart w:id="730" w:name="_Toc298"/>
      <w:bookmarkEnd w:id="729"/>
      <w:r>
        <w:rPr>
          <w:rtl w:val="true"/>
        </w:rPr>
        <w:t>الثّالث</w:t>
      </w:r>
      <w:r>
        <w:rPr>
          <w:rtl w:val="true"/>
        </w:rPr>
        <w:t>:</w:t>
      </w:r>
      <w:r>
        <w:rPr>
          <w:rtl w:val="true"/>
        </w:rPr>
        <w:t>يجوز حمله بغلافه،</w:t>
      </w:r>
      <w:bookmarkEnd w:id="730"/>
    </w:p>
    <w:p>
      <w:pPr>
        <w:pStyle w:val="BookText"/>
        <w:rPr/>
      </w:pPr>
      <w:r>
        <w:rPr>
          <w:rFonts w:ascii="Amiri" w:hAnsi="Amiri" w:eastAsia="Amiri" w:cs="Amiri"/>
          <w:color w:val="111111"/>
          <w:sz w:val="28"/>
          <w:sz w:val="28"/>
          <w:szCs w:val="28"/>
          <w:rtl w:val="true"/>
          <w:lang w:bidi="ar-SA"/>
        </w:rPr>
        <w:t>و اختلفوا في تفسير الغلاف،فقال بعض الحنفيّة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المراد به الجلد الّذي عليه،و قال آخرون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مسّه بالكمّ،جاز،و قال آخرون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الغلاف شيء غير الجلد و الكمّ كالخريطة و غيرها،لأنّ الجلد تبع المصحف و الكمّ تبع للحامل </w:t>
      </w:r>
      <w:r>
        <w:rPr>
          <w:rStyle w:val="FootnoteAnchor"/>
          <w:rtl w:val="true"/>
        </w:rPr>
        <w:footnoteReference w:id="1184"/>
      </w:r>
      <w:r>
        <w:rPr>
          <w:rFonts w:ascii="Amiri" w:hAnsi="Amiri" w:eastAsia="Amiri" w:cs="Amiri"/>
          <w:color w:val="111111"/>
          <w:sz w:val="28"/>
          <w:sz w:val="28"/>
          <w:szCs w:val="28"/>
          <w:rtl w:val="true"/>
          <w:lang w:bidi="ar-SA"/>
        </w:rPr>
        <w:t>،و الأصحّ الأوّل</w:t>
      </w:r>
      <w:r>
        <w:rPr>
          <w:rFonts w:eastAsia="Amiri" w:cs="Amiri" w:ascii="Amiri" w:hAnsi="Amiri"/>
          <w:color w:val="111111"/>
          <w:sz w:val="28"/>
          <w:szCs w:val="28"/>
          <w:rtl w:val="true"/>
          <w:lang w:bidi="ar-SA"/>
        </w:rPr>
        <w:t>.</w:t>
      </w:r>
    </w:p>
    <w:p>
      <w:pPr>
        <w:pStyle w:val="Heading6"/>
        <w:numPr>
          <w:ilvl w:val="5"/>
          <w:numId w:val="1"/>
        </w:numPr>
        <w:rPr/>
      </w:pPr>
      <w:bookmarkStart w:id="731" w:name="__RefHeading___Toc795719_222507752"/>
      <w:bookmarkStart w:id="732" w:name="_Toc299"/>
      <w:bookmarkEnd w:id="731"/>
      <w:r>
        <w:rPr>
          <w:rtl w:val="true"/>
        </w:rPr>
        <w:t>الرّابع</w:t>
      </w:r>
      <w:r>
        <w:rPr>
          <w:rtl w:val="true"/>
        </w:rPr>
        <w:t>:</w:t>
      </w:r>
      <w:r>
        <w:rPr>
          <w:rtl w:val="true"/>
        </w:rPr>
        <w:t>يجوز مسّ كتابة التّوراة و الإنجيل و قراءتهما،</w:t>
      </w:r>
      <w:bookmarkEnd w:id="732"/>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خلافا للحنفيّة </w:t>
      </w:r>
      <w:r>
        <w:rPr>
          <w:rStyle w:val="FootnoteAnchor"/>
          <w:rtl w:val="true"/>
        </w:rPr>
        <w:footnoteReference w:id="1185"/>
      </w:r>
      <w:r>
        <w:rPr>
          <w:rFonts w:eastAsia="Times New Roman" w:cs="Times New Roman" w:ascii="Times New Roman" w:hAnsi="Times New Roman"/>
          <w:color w:val="111111"/>
          <w:sz w:val="28"/>
          <w:szCs w:val="28"/>
          <w:rtl w:val="true"/>
          <w:lang w:val="en-US" w:bidi="en-US"/>
        </w:rPr>
        <w:t xml:space="preserve">. </w:t>
      </w:r>
      <w:bookmarkStart w:id="733" w:name="pg12669_113015"/>
    </w:p>
    <w:p>
      <w:pPr>
        <w:pStyle w:val="BookText"/>
        <w:rPr/>
      </w:pPr>
      <w:bookmarkEnd w:id="733"/>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لأنّهما منسوخان فأشبها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احتجّوا بأنّا نؤمن </w:t>
      </w:r>
      <w:r>
        <w:rPr>
          <w:rStyle w:val="FootnoteAnchor"/>
          <w:rtl w:val="true"/>
        </w:rPr>
        <w:footnoteReference w:id="1186"/>
      </w:r>
      <w:r>
        <w:rPr>
          <w:rFonts w:ascii="Amiri" w:hAnsi="Amiri" w:eastAsia="Amiri" w:cs="Amiri"/>
          <w:color w:val="111111"/>
          <w:sz w:val="28"/>
          <w:sz w:val="28"/>
          <w:szCs w:val="28"/>
          <w:rtl w:val="true"/>
          <w:lang w:bidi="ar-SA"/>
        </w:rPr>
        <w:t>بجميع الكتب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يستلزم تحريم المسّ،و بالخصوص حيث وقع فيهما التّحريف</w:t>
      </w:r>
      <w:r>
        <w:rPr>
          <w:rFonts w:eastAsia="Amiri" w:cs="Amiri" w:ascii="Amiri" w:hAnsi="Amiri"/>
          <w:color w:val="111111"/>
          <w:sz w:val="28"/>
          <w:szCs w:val="28"/>
          <w:rtl w:val="true"/>
          <w:lang w:bidi="ar-SA"/>
        </w:rPr>
        <w:t>.</w:t>
      </w:r>
    </w:p>
    <w:p>
      <w:pPr>
        <w:pStyle w:val="Heading6"/>
        <w:numPr>
          <w:ilvl w:val="5"/>
          <w:numId w:val="1"/>
        </w:numPr>
        <w:rPr/>
      </w:pPr>
      <w:bookmarkStart w:id="734" w:name="__RefHeading___Toc795721_222507752"/>
      <w:bookmarkStart w:id="735" w:name="_Toc300"/>
      <w:bookmarkEnd w:id="734"/>
      <w:r>
        <w:rPr>
          <w:rtl w:val="true"/>
        </w:rPr>
        <w:t>الخامس</w:t>
      </w:r>
      <w:r>
        <w:rPr>
          <w:rtl w:val="true"/>
        </w:rPr>
        <w:t>:</w:t>
      </w:r>
      <w:r>
        <w:rPr>
          <w:rtl w:val="true"/>
        </w:rPr>
        <w:t>القرآن المنسوخ حكمه،الباقية تلاوته،لا يجوز مسّه للجنب و المحدث،</w:t>
      </w:r>
      <w:bookmarkEnd w:id="735"/>
    </w:p>
    <w:p>
      <w:pPr>
        <w:pStyle w:val="BookText"/>
        <w:rPr/>
      </w:pPr>
      <w:r>
        <w:rPr>
          <w:rFonts w:ascii="Amiri" w:hAnsi="Amiri" w:eastAsia="Amiri" w:cs="Amiri"/>
          <w:color w:val="111111"/>
          <w:sz w:val="28"/>
          <w:sz w:val="28"/>
          <w:szCs w:val="28"/>
          <w:rtl w:val="true"/>
          <w:lang w:bidi="ar-SA"/>
        </w:rPr>
        <w:t>لتناول اسم القرآن له،أمّا المنسوخ حكمه و تلاوته،أو المنسوخ تلاوته،فالوجه انّه يجوز لهما مسّهما،لأنّ التّحريم تابع للاسم و قد خرجا بالنّسخ عنه فيبقى على الأصل</w:t>
      </w:r>
      <w:r>
        <w:rPr>
          <w:rFonts w:eastAsia="Amiri" w:cs="Amiri" w:ascii="Amiri" w:hAnsi="Amiri"/>
          <w:color w:val="111111"/>
          <w:sz w:val="28"/>
          <w:szCs w:val="28"/>
          <w:rtl w:val="true"/>
          <w:lang w:bidi="ar-SA"/>
        </w:rPr>
        <w:t>.</w:t>
      </w:r>
    </w:p>
    <w:p>
      <w:pPr>
        <w:pStyle w:val="Heading6"/>
        <w:numPr>
          <w:ilvl w:val="5"/>
          <w:numId w:val="1"/>
        </w:numPr>
        <w:rPr/>
      </w:pPr>
      <w:bookmarkStart w:id="736" w:name="__RefHeading___Toc795723_222507752"/>
      <w:bookmarkStart w:id="737" w:name="_Toc301"/>
      <w:bookmarkEnd w:id="736"/>
      <w:r>
        <w:rPr>
          <w:rtl w:val="true"/>
        </w:rPr>
        <w:t>السّادس</w:t>
      </w:r>
      <w:r>
        <w:rPr>
          <w:rtl w:val="true"/>
        </w:rPr>
        <w:t>:</w:t>
      </w:r>
      <w:r>
        <w:rPr>
          <w:rtl w:val="true"/>
        </w:rPr>
        <w:t>يجوز للجنب أن يذكر اللّه،</w:t>
      </w:r>
      <w:bookmarkEnd w:id="737"/>
    </w:p>
    <w:p>
      <w:pPr>
        <w:pStyle w:val="BookText"/>
        <w:rPr/>
      </w:pPr>
      <w:r>
        <w:rPr>
          <w:rFonts w:ascii="Amiri" w:hAnsi="Amiri" w:eastAsia="Amiri" w:cs="Amiri"/>
          <w:color w:val="111111"/>
          <w:sz w:val="28"/>
          <w:sz w:val="28"/>
          <w:szCs w:val="28"/>
          <w:rtl w:val="true"/>
          <w:lang w:bidi="ar-SA"/>
        </w:rPr>
        <w:t>لما رواه الشّيخ في الموثّق،عن ابن بكير،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الجنب يأكل و يشرب و يقرأ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يأكل و يشرب و يقرأ و يذكر اللّه عزّ و جلّ ما شاء</w:t>
      </w:r>
      <w:r>
        <w:rPr>
          <w:rFonts w:eastAsia="Amiri" w:cs="Amiri" w:ascii="Amiri" w:hAnsi="Amiri"/>
          <w:color w:val="111111"/>
          <w:sz w:val="28"/>
          <w:szCs w:val="28"/>
          <w:rtl w:val="true"/>
          <w:lang w:bidi="ar-SA"/>
        </w:rPr>
        <w:t xml:space="preserve">» </w:t>
      </w:r>
      <w:r>
        <w:rPr>
          <w:rStyle w:val="FootnoteAnchor"/>
          <w:rtl w:val="true"/>
        </w:rPr>
        <w:footnoteReference w:id="1187"/>
      </w:r>
      <w:r>
        <w:rPr>
          <w:rFonts w:ascii="Amiri" w:hAnsi="Amiri" w:eastAsia="Amiri" w:cs="Amiri"/>
          <w:color w:val="111111"/>
          <w:sz w:val="28"/>
          <w:sz w:val="28"/>
          <w:szCs w:val="28"/>
          <w:rtl w:val="true"/>
          <w:lang w:bidi="ar-SA"/>
        </w:rPr>
        <w:t>و لما رواه ابن بابويه في مناجاة موسى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ربّ انّي أكون في أحوال أجلّك أن أذكرك فيها؟فقال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موسى اذكرني على كلّ حال</w:t>
      </w:r>
      <w:r>
        <w:rPr>
          <w:rFonts w:eastAsia="Amiri" w:cs="Amiri" w:ascii="Amiri" w:hAnsi="Amiri"/>
          <w:color w:val="111111"/>
          <w:sz w:val="28"/>
          <w:szCs w:val="28"/>
          <w:rtl w:val="true"/>
          <w:lang w:bidi="ar-SA"/>
        </w:rPr>
        <w:t xml:space="preserve">» </w:t>
      </w:r>
      <w:r>
        <w:rPr>
          <w:rStyle w:val="FootnoteAnchor"/>
          <w:rtl w:val="true"/>
        </w:rPr>
        <w:footnoteReference w:id="11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محمّد بن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يكره للجنب أن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إنّا نستعينك</w:t>
      </w:r>
      <w:r>
        <w:rPr>
          <w:rFonts w:eastAsia="Amiri" w:cs="Amiri" w:ascii="Amiri" w:hAnsi="Amiri"/>
          <w:color w:val="111111"/>
          <w:sz w:val="28"/>
          <w:szCs w:val="28"/>
          <w:rtl w:val="true"/>
          <w:lang w:bidi="ar-SA"/>
        </w:rPr>
        <w:t>.</w:t>
      </w:r>
    </w:p>
    <w:p>
      <w:pPr>
        <w:pStyle w:val="Heading6"/>
        <w:numPr>
          <w:ilvl w:val="5"/>
          <w:numId w:val="1"/>
        </w:numPr>
        <w:rPr/>
      </w:pPr>
      <w:bookmarkStart w:id="738" w:name="__RefHeading___Toc795725_222507752"/>
      <w:bookmarkStart w:id="739" w:name="_Toc302"/>
      <w:bookmarkEnd w:id="738"/>
      <w:r>
        <w:rPr>
          <w:rtl w:val="true"/>
        </w:rPr>
        <w:t>مسألة</w:t>
      </w:r>
      <w:r>
        <w:rPr>
          <w:rtl w:val="true"/>
        </w:rPr>
        <w:t>:</w:t>
      </w:r>
      <w:r>
        <w:rPr>
          <w:rtl w:val="true"/>
        </w:rPr>
        <w:t>و لا يجوز له اللّبث في المسجد،</w:t>
      </w:r>
      <w:bookmarkEnd w:id="739"/>
    </w:p>
    <w:p>
      <w:pPr>
        <w:pStyle w:val="BookText"/>
        <w:rPr/>
      </w:pPr>
      <w:r>
        <w:rPr>
          <w:rFonts w:ascii="Amiri" w:hAnsi="Amiri" w:eastAsia="Amiri" w:cs="Amiri"/>
          <w:color w:val="111111"/>
          <w:sz w:val="28"/>
          <w:sz w:val="28"/>
          <w:szCs w:val="28"/>
          <w:rtl w:val="true"/>
          <w:lang w:bidi="ar-SA"/>
        </w:rPr>
        <w:t xml:space="preserve">و لا نعرف فيه خلافا إلاّ من سلاّر من أصحابنا،فإنّه كرهه </w:t>
      </w:r>
      <w:r>
        <w:rPr>
          <w:rStyle w:val="FootnoteAnchor"/>
          <w:rtl w:val="true"/>
        </w:rPr>
        <w:footnoteReference w:id="11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تعالى وَ لا جُنُباً إِلاّ عابِرِي سَبِيلٍ حَتَّى تَغْتَسِلُوا</w:t>
      </w:r>
      <w:r>
        <w:rPr>
          <w:rFonts w:eastAsia="Amiri" w:cs="Amiri" w:ascii="Amiri" w:hAnsi="Amiri"/>
          <w:color w:val="111111"/>
          <w:sz w:val="28"/>
          <w:szCs w:val="28"/>
          <w:rtl w:val="true"/>
          <w:lang w:bidi="ar-SA"/>
        </w:rPr>
        <w:t xml:space="preserve">» </w:t>
      </w:r>
      <w:r>
        <w:rPr>
          <w:rStyle w:val="FootnoteAnchor"/>
          <w:rtl w:val="true"/>
        </w:rPr>
        <w:footnoteReference w:id="1190"/>
      </w:r>
      <w:r>
        <w:rPr>
          <w:rFonts w:ascii="Amiri" w:hAnsi="Amiri" w:eastAsia="Amiri" w:cs="Amiri"/>
          <w:color w:val="111111"/>
          <w:sz w:val="28"/>
          <w:sz w:val="28"/>
          <w:szCs w:val="28"/>
          <w:rtl w:val="true"/>
          <w:lang w:bidi="ar-SA"/>
        </w:rPr>
        <w:t>و المراد به موضع الصّلاة،ليتحقّق معنى العبور فيه و القرب</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رواه الجمهور،عن عائشة،قالت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 النّبيّ صلّى اللّه عليه و آله و بيوت </w:t>
      </w:r>
      <w:bookmarkStart w:id="740" w:name="pg12669_113016"/>
    </w:p>
    <w:p>
      <w:pPr>
        <w:pStyle w:val="BookText"/>
        <w:rPr/>
      </w:pPr>
      <w:bookmarkEnd w:id="740"/>
      <w:r>
        <w:rPr>
          <w:rFonts w:ascii="Amiri" w:hAnsi="Amiri" w:eastAsia="Amiri" w:cs="Amiri"/>
          <w:color w:val="111111"/>
          <w:sz w:val="28"/>
          <w:sz w:val="28"/>
          <w:szCs w:val="28"/>
          <w:rtl w:val="true"/>
          <w:lang w:bidi="ar-SA"/>
        </w:rPr>
        <w:t>أصحابه شارعة في المسجد،فقال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وجّهوا هذه البيوت عن المسجد فإنّي لا أحلّ المسجد لحائض و لا جنب</w:t>
      </w:r>
      <w:r>
        <w:rPr>
          <w:rFonts w:eastAsia="Amiri" w:cs="Amiri" w:ascii="Amiri" w:hAnsi="Amiri"/>
          <w:color w:val="111111"/>
          <w:sz w:val="28"/>
          <w:szCs w:val="28"/>
          <w:rtl w:val="true"/>
          <w:lang w:bidi="ar-SA"/>
        </w:rPr>
        <w:t xml:space="preserve">) </w:t>
      </w:r>
      <w:r>
        <w:rPr>
          <w:rStyle w:val="FootnoteAnchor"/>
          <w:rtl w:val="true"/>
        </w:rPr>
        <w:footnoteReference w:id="11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طريق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 في الحسن،عن جميل،قال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الجنب يجلس في المساجد؟قال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 لكن يمرّ فيها كلّها إلاّ المسجد الحرام و مسجد الرّسول صلّى اللّه عليه و آله</w:t>
      </w:r>
      <w:r>
        <w:rPr>
          <w:rFonts w:eastAsia="Amiri" w:cs="Amiri" w:ascii="Amiri" w:hAnsi="Amiri"/>
          <w:color w:val="111111"/>
          <w:sz w:val="28"/>
          <w:szCs w:val="28"/>
          <w:rtl w:val="true"/>
          <w:lang w:bidi="ar-SA"/>
        </w:rPr>
        <w:t xml:space="preserve">» </w:t>
      </w:r>
      <w:r>
        <w:rPr>
          <w:rStyle w:val="FootnoteAnchor"/>
          <w:rtl w:val="true"/>
        </w:rPr>
        <w:footnoteReference w:id="11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رواه في الحسن،عن محمّد بن مسلم،عن أبي جعفر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يدخلان المسجد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مجتازين</w:t>
      </w:r>
      <w:r>
        <w:rPr>
          <w:rFonts w:eastAsia="Amiri" w:cs="Amiri" w:ascii="Amiri" w:hAnsi="Amiri"/>
          <w:color w:val="111111"/>
          <w:sz w:val="28"/>
          <w:szCs w:val="28"/>
          <w:rtl w:val="true"/>
          <w:lang w:bidi="ar-SA"/>
        </w:rPr>
        <w:t xml:space="preserve">] </w:t>
      </w:r>
      <w:r>
        <w:rPr>
          <w:rStyle w:val="FootnoteAnchor"/>
          <w:rtl w:val="true"/>
        </w:rPr>
        <w:footnoteReference w:id="1193"/>
      </w:r>
      <w:r>
        <w:rPr>
          <w:rFonts w:ascii="Amiri" w:hAnsi="Amiri" w:eastAsia="Amiri" w:cs="Amiri"/>
          <w:color w:val="111111"/>
          <w:sz w:val="28"/>
          <w:sz w:val="28"/>
          <w:szCs w:val="28"/>
          <w:rtl w:val="true"/>
          <w:lang w:bidi="ar-SA"/>
        </w:rPr>
        <w:t>و لا يقعدان فيه</w:t>
      </w:r>
      <w:r>
        <w:rPr>
          <w:rFonts w:eastAsia="Amiri" w:cs="Amiri" w:ascii="Amiri" w:hAnsi="Amiri"/>
          <w:color w:val="111111"/>
          <w:sz w:val="28"/>
          <w:szCs w:val="28"/>
          <w:rtl w:val="true"/>
          <w:lang w:bidi="ar-SA"/>
        </w:rPr>
        <w:t xml:space="preserve">» </w:t>
      </w:r>
      <w:r>
        <w:rPr>
          <w:rStyle w:val="FootnoteAnchor"/>
          <w:rtl w:val="true"/>
        </w:rPr>
        <w:footnoteReference w:id="119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741" w:name="__RefHeading___Toc795727_222507752"/>
      <w:bookmarkStart w:id="742" w:name="_Toc303"/>
      <w:bookmarkEnd w:id="741"/>
      <w:r>
        <w:rPr>
          <w:rtl w:val="true"/>
        </w:rPr>
        <w:t>أصل</w:t>
      </w:r>
      <w:r>
        <w:rPr>
          <w:rtl w:val="true"/>
        </w:rPr>
        <w:t>:</w:t>
      </w:r>
      <w:r>
        <w:rPr>
          <w:rtl w:val="true"/>
        </w:rPr>
        <w:t>الاستثناء من النّفي إثبات،</w:t>
      </w:r>
      <w:bookmarkEnd w:id="742"/>
    </w:p>
    <w:p>
      <w:pPr>
        <w:pStyle w:val="BookText"/>
        <w:rPr/>
      </w:pPr>
      <w:r>
        <w:rPr>
          <w:rFonts w:ascii="Amiri" w:hAnsi="Amiri" w:eastAsia="Amiri" w:cs="Amiri"/>
          <w:color w:val="111111"/>
          <w:sz w:val="28"/>
          <w:sz w:val="28"/>
          <w:szCs w:val="28"/>
          <w:rtl w:val="true"/>
          <w:lang w:bidi="ar-SA"/>
        </w:rPr>
        <w:t>لأنّ الاستثناء رفع،و رفع النّفي إثبات، لعدم الواسطة،و لأنّه لو لا ذلك لم يكن قولنا لا إله إلاّ اللّه توحيدا،و للنّقل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صلاة إلاّ بطهور </w:t>
      </w:r>
      <w:r>
        <w:rPr>
          <w:rStyle w:val="FootnoteAnchor"/>
          <w:rtl w:val="true"/>
        </w:rPr>
        <w:footnoteReference w:id="1195"/>
      </w:r>
      <w:r>
        <w:rPr>
          <w:rFonts w:ascii="Amiri" w:hAnsi="Amiri" w:eastAsia="Amiri" w:cs="Amiri"/>
          <w:color w:val="111111"/>
          <w:sz w:val="28"/>
          <w:sz w:val="28"/>
          <w:szCs w:val="28"/>
          <w:rtl w:val="true"/>
          <w:lang w:bidi="ar-SA"/>
        </w:rPr>
        <w:t>و شبهه،ليس مخرجا من المتقدّم و إلاّ لكان منقطعا،فالتّقدير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صلاة بطهور،و هو مسلّم</w:t>
      </w:r>
      <w:r>
        <w:rPr>
          <w:rFonts w:eastAsia="Amiri" w:cs="Amiri" w:ascii="Amiri" w:hAnsi="Amiri"/>
          <w:color w:val="111111"/>
          <w:sz w:val="28"/>
          <w:szCs w:val="28"/>
          <w:rtl w:val="true"/>
          <w:lang w:bidi="ar-SA"/>
        </w:rPr>
        <w:t>.</w:t>
      </w:r>
    </w:p>
    <w:p>
      <w:pPr>
        <w:pStyle w:val="Heading6"/>
        <w:numPr>
          <w:ilvl w:val="5"/>
          <w:numId w:val="1"/>
        </w:numPr>
        <w:rPr/>
      </w:pPr>
      <w:bookmarkStart w:id="743" w:name="__RefHeading___Toc795729_222507752"/>
      <w:bookmarkStart w:id="744" w:name="_Toc304"/>
      <w:bookmarkEnd w:id="743"/>
      <w:r>
        <w:rPr>
          <w:rtl w:val="true"/>
        </w:rPr>
        <w:t>فروع</w:t>
      </w:r>
      <w:r>
        <w:rPr>
          <w:rtl w:val="true"/>
        </w:rPr>
        <w:t>:</w:t>
      </w:r>
      <w:bookmarkEnd w:id="744"/>
    </w:p>
    <w:p>
      <w:pPr>
        <w:pStyle w:val="Heading6"/>
        <w:numPr>
          <w:ilvl w:val="5"/>
          <w:numId w:val="1"/>
        </w:numPr>
        <w:rPr/>
      </w:pPr>
      <w:bookmarkStart w:id="745" w:name="__RefHeading___Toc795731_222507752"/>
      <w:bookmarkStart w:id="746" w:name="_Toc305"/>
      <w:bookmarkEnd w:id="745"/>
      <w:r>
        <w:rPr>
          <w:rtl w:val="true"/>
        </w:rPr>
        <w:t>الأوّل</w:t>
      </w:r>
      <w:r>
        <w:rPr>
          <w:rtl w:val="true"/>
        </w:rPr>
        <w:t>:</w:t>
      </w:r>
      <w:r>
        <w:rPr>
          <w:rtl w:val="true"/>
        </w:rPr>
        <w:t>يجوز الاجتياز في المسجد لا للاستيطان</w:t>
      </w:r>
      <w:r>
        <w:rPr>
          <w:rtl w:val="true"/>
        </w:rPr>
        <w:t>.</w:t>
      </w:r>
      <w:bookmarkEnd w:id="746"/>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هو مذهب علمائنا أجمع،و به قال ابن مسعود،و ابن عبّاس،و ابن المسيّب،و ابن جبير،و الحسن </w:t>
      </w:r>
      <w:r>
        <w:rPr>
          <w:rStyle w:val="FootnoteAnchor"/>
          <w:rtl w:val="true"/>
        </w:rPr>
        <w:footnoteReference w:id="1196"/>
      </w:r>
      <w:r>
        <w:rPr>
          <w:rFonts w:ascii="Amiri" w:hAnsi="Amiri" w:eastAsia="Amiri" w:cs="Amiri"/>
          <w:color w:val="111111"/>
          <w:sz w:val="28"/>
          <w:sz w:val="28"/>
          <w:szCs w:val="28"/>
          <w:rtl w:val="true"/>
          <w:lang w:bidi="ar-SA"/>
        </w:rPr>
        <w:t xml:space="preserve">،و مالك </w:t>
      </w:r>
      <w:r>
        <w:rPr>
          <w:rStyle w:val="FootnoteAnchor"/>
          <w:rtl w:val="true"/>
        </w:rPr>
        <w:footnoteReference w:id="1197"/>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الشّافعيّ </w:t>
      </w:r>
      <w:r>
        <w:rPr>
          <w:rStyle w:val="FootnoteAnchor"/>
          <w:rtl w:val="true"/>
        </w:rPr>
        <w:footnoteReference w:id="1198"/>
      </w:r>
      <w:r>
        <w:rPr>
          <w:rFonts w:ascii="IRNazanin" w:hAnsi="IRNazanin" w:eastAsia="IRNazanin"/>
          <w:color w:val="111111"/>
          <w:sz w:val="28"/>
          <w:sz w:val="28"/>
          <w:szCs w:val="28"/>
          <w:rtl w:val="true"/>
          <w:lang w:bidi="fa-IR"/>
        </w:rPr>
        <w:t xml:space="preserve">،و أحمد </w:t>
      </w:r>
      <w:r>
        <w:rPr>
          <w:rStyle w:val="FootnoteAnchor"/>
          <w:rtl w:val="true"/>
        </w:rPr>
        <w:footnoteReference w:id="119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أبو حنيفة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يجوز العبور فيه و إن كان لغرض إلاّ مع الضّرورة فيتيمّم </w:t>
      </w:r>
      <w:r>
        <w:rPr>
          <w:rStyle w:val="FootnoteAnchor"/>
          <w:rtl w:val="true"/>
        </w:rPr>
        <w:footnoteReference w:id="120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به قال الثّوري،و إسحاق </w:t>
      </w:r>
      <w:r>
        <w:rPr>
          <w:rStyle w:val="FootnoteAnchor"/>
          <w:rtl w:val="true"/>
        </w:rPr>
        <w:footnoteReference w:id="12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تعالى إِلاّ عابِرِي سَبِيلٍ </w:t>
      </w:r>
      <w:r>
        <w:rPr>
          <w:rStyle w:val="FootnoteAnchor"/>
          <w:rtl w:val="true"/>
        </w:rPr>
        <w:footnoteReference w:id="1202"/>
      </w:r>
      <w:r>
        <w:rPr>
          <w:rFonts w:ascii="Amiri" w:hAnsi="Amiri" w:eastAsia="Amiri" w:cs="Amiri"/>
          <w:color w:val="111111"/>
          <w:sz w:val="28"/>
          <w:sz w:val="28"/>
          <w:szCs w:val="28"/>
          <w:rtl w:val="true"/>
          <w:lang w:bidi="ar-SA"/>
        </w:rPr>
        <w:t>و الاستثناء من النّهي إباحة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رواه الجمهور،عن عائشة انّ رسول اللّه صلّى اللّه عليه و آله 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ناوليني الخمرة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المسجد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حائض،قال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حيضتك ليست في يدك</w:t>
      </w:r>
      <w:r>
        <w:rPr>
          <w:rFonts w:eastAsia="Amiri" w:cs="Amiri" w:ascii="Amiri" w:hAnsi="Amiri"/>
          <w:color w:val="111111"/>
          <w:sz w:val="28"/>
          <w:szCs w:val="28"/>
          <w:rtl w:val="true"/>
          <w:lang w:bidi="ar-SA"/>
        </w:rPr>
        <w:t xml:space="preserve">) </w:t>
      </w:r>
      <w:r>
        <w:rPr>
          <w:rStyle w:val="FootnoteAnchor"/>
          <w:rtl w:val="true"/>
        </w:rPr>
        <w:footnoteReference w:id="1203"/>
      </w:r>
      <w:r>
        <w:rPr>
          <w:rFonts w:ascii="Amiri" w:hAnsi="Amiri" w:eastAsia="Amiri" w:cs="Amiri"/>
          <w:color w:val="111111"/>
          <w:sz w:val="28"/>
          <w:sz w:val="28"/>
          <w:szCs w:val="28"/>
          <w:rtl w:val="true"/>
          <w:lang w:bidi="ar-SA"/>
        </w:rPr>
        <w:t>و لا فرق بين الجنب و الحائض في ذلك إجماعا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جابر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كنّا نمرّ في المسجد و نحن جنب </w:t>
      </w:r>
      <w:r>
        <w:rPr>
          <w:rStyle w:val="FootnoteAnchor"/>
          <w:rtl w:val="true"/>
        </w:rPr>
        <w:footnoteReference w:id="120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زيد بن أسلم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Style w:val="FootnoteAnchor"/>
          <w:rtl w:val="true"/>
        </w:rPr>
        <w:footnoteReference w:id="1205"/>
      </w:r>
      <w:r>
        <w:rPr>
          <w:rFonts w:ascii="Amiri" w:hAnsi="Amiri" w:eastAsia="Amiri" w:cs="Amiri"/>
          <w:color w:val="111111"/>
          <w:sz w:val="28"/>
          <w:sz w:val="28"/>
          <w:szCs w:val="28"/>
          <w:rtl w:val="true"/>
          <w:lang w:bidi="ar-SA"/>
        </w:rPr>
        <w:t xml:space="preserve">أصحاب رسول اللّه صلّى اللّه عليه و آله يمشون في المسجد و هم جنب </w:t>
      </w:r>
      <w:r>
        <w:rPr>
          <w:rStyle w:val="FootnoteAnchor"/>
          <w:rtl w:val="true"/>
        </w:rPr>
        <w:footnoteReference w:id="1206"/>
      </w:r>
      <w:r>
        <w:rPr>
          <w:rFonts w:eastAsia="Times New Roman" w:cs="Times New Roman" w:ascii="Times New Roman" w:hAnsi="Times New Roman"/>
          <w:color w:val="111111"/>
          <w:sz w:val="28"/>
          <w:szCs w:val="28"/>
          <w:rtl w:val="true"/>
          <w:lang w:val="en-US" w:bidi="en-US"/>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طريق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رواية جميل،عن الصّادق عليه السّلام،عن الجنب يجلس في المساجد،قال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 لكن يمرّ فيها كلّها إلاّ المسجد الحرام و مسجد النّبيّ صلّى اللّه عليه و آله</w:t>
      </w:r>
      <w:r>
        <w:rPr>
          <w:rFonts w:eastAsia="Amiri" w:cs="Amiri" w:ascii="Amiri" w:hAnsi="Amiri"/>
          <w:color w:val="111111"/>
          <w:sz w:val="28"/>
          <w:szCs w:val="28"/>
          <w:rtl w:val="true"/>
          <w:lang w:bidi="ar-SA"/>
        </w:rPr>
        <w:t xml:space="preserve">». </w:t>
      </w:r>
      <w:bookmarkStart w:id="747" w:name="pg12669_113018"/>
    </w:p>
    <w:p>
      <w:pPr>
        <w:pStyle w:val="BookText"/>
        <w:rPr/>
      </w:pPr>
      <w:bookmarkEnd w:id="747"/>
      <w:r>
        <w:rPr>
          <w:rFonts w:ascii="Amiri" w:hAnsi="Amiri" w:eastAsia="Amiri" w:cs="Amiri"/>
          <w:color w:val="111111"/>
          <w:sz w:val="28"/>
          <w:sz w:val="28"/>
          <w:szCs w:val="28"/>
          <w:rtl w:val="true"/>
          <w:lang w:bidi="ar-SA"/>
        </w:rPr>
        <w:t xml:space="preserve">و كذا في رواية محمّد بن مسلم،عن أبي جعفر الباقر عليه السّلام،و قد تقدّمتا </w:t>
      </w:r>
      <w:r>
        <w:rPr>
          <w:rStyle w:val="FootnoteAnchor"/>
          <w:rtl w:val="true"/>
        </w:rPr>
        <w:footnoteReference w:id="120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748" w:name="__RefHeading___Toc795733_222507752"/>
      <w:bookmarkStart w:id="749" w:name="_Toc306"/>
      <w:bookmarkEnd w:id="748"/>
      <w:r>
        <w:rPr>
          <w:rtl w:val="true"/>
        </w:rPr>
        <w:t>الثّاني</w:t>
      </w:r>
      <w:r>
        <w:rPr>
          <w:rtl w:val="true"/>
        </w:rPr>
        <w:t>:</w:t>
      </w:r>
      <w:r>
        <w:rPr>
          <w:rtl w:val="true"/>
        </w:rPr>
        <w:t>لا يجوز له و لا للحائض الدّخول في المسجدين،</w:t>
      </w:r>
      <w:bookmarkEnd w:id="749"/>
    </w:p>
    <w:p>
      <w:pPr>
        <w:pStyle w:val="BookText"/>
        <w:rPr/>
      </w:pPr>
      <w:r>
        <w:rPr>
          <w:rFonts w:ascii="Amiri" w:hAnsi="Amiri" w:eastAsia="Amiri" w:cs="Amiri"/>
          <w:color w:val="111111"/>
          <w:sz w:val="28"/>
          <w:sz w:val="28"/>
          <w:szCs w:val="28"/>
          <w:rtl w:val="true"/>
          <w:lang w:bidi="ar-SA"/>
        </w:rPr>
        <w:t>و لم يفصّل الجمهور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رووه من 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أحلّ المسجد لحائض و لا جنب</w:t>
      </w:r>
      <w:r>
        <w:rPr>
          <w:rFonts w:eastAsia="Amiri" w:cs="Amiri" w:ascii="Amiri" w:hAnsi="Amiri"/>
          <w:color w:val="111111"/>
          <w:sz w:val="28"/>
          <w:szCs w:val="28"/>
          <w:rtl w:val="true"/>
          <w:lang w:bidi="ar-SA"/>
        </w:rPr>
        <w:t xml:space="preserve">) </w:t>
      </w:r>
      <w:r>
        <w:rPr>
          <w:rStyle w:val="FootnoteAnchor"/>
          <w:rtl w:val="true"/>
        </w:rPr>
        <w:footnoteReference w:id="1208"/>
      </w:r>
      <w:r>
        <w:rPr>
          <w:rFonts w:ascii="Amiri" w:hAnsi="Amiri" w:eastAsia="Amiri" w:cs="Amiri"/>
          <w:color w:val="111111"/>
          <w:sz w:val="28"/>
          <w:sz w:val="28"/>
          <w:szCs w:val="28"/>
          <w:rtl w:val="true"/>
          <w:lang w:bidi="ar-SA"/>
        </w:rPr>
        <w:t>و أشار بذلك إلى مسجده،لأنّ حكاية عائشة تدلّ عليه،و ذلك عامّ في الدّخول و الاستيطان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طريق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روايتا جميل و محمّد بن مسلم عنهما عليهما السّلام،و قد تقدّمتا</w:t>
      </w:r>
      <w:r>
        <w:rPr>
          <w:rFonts w:eastAsia="Amiri" w:cs="Amiri" w:ascii="Amiri" w:hAnsi="Amiri"/>
          <w:color w:val="111111"/>
          <w:sz w:val="28"/>
          <w:szCs w:val="28"/>
          <w:rtl w:val="true"/>
          <w:lang w:bidi="ar-SA"/>
        </w:rPr>
        <w:t>.</w:t>
      </w:r>
    </w:p>
    <w:p>
      <w:pPr>
        <w:pStyle w:val="Heading6"/>
        <w:numPr>
          <w:ilvl w:val="5"/>
          <w:numId w:val="1"/>
        </w:numPr>
        <w:rPr/>
      </w:pPr>
      <w:bookmarkStart w:id="750" w:name="__RefHeading___Toc795735_222507752"/>
      <w:bookmarkStart w:id="751" w:name="_Toc307"/>
      <w:bookmarkEnd w:id="750"/>
      <w:r>
        <w:rPr>
          <w:rtl w:val="true"/>
        </w:rPr>
        <w:t>الثّالث</w:t>
      </w:r>
      <w:r>
        <w:rPr>
          <w:rtl w:val="true"/>
        </w:rPr>
        <w:t>:</w:t>
      </w:r>
      <w:r>
        <w:rPr>
          <w:rtl w:val="true"/>
        </w:rPr>
        <w:t>لو احتلم في أحد المسجدين،تيمّم للخروج</w:t>
      </w:r>
      <w:r>
        <w:rPr>
          <w:rtl w:val="true"/>
        </w:rPr>
        <w:t>.</w:t>
      </w:r>
      <w:bookmarkEnd w:id="751"/>
    </w:p>
    <w:p>
      <w:pPr>
        <w:pStyle w:val="BookText"/>
        <w:rPr/>
      </w:pPr>
      <w:r>
        <w:rPr>
          <w:rFonts w:ascii="IRNazanin" w:hAnsi="IRNazanin" w:eastAsia="IRNazanin"/>
          <w:color w:val="111111"/>
          <w:sz w:val="28"/>
          <w:sz w:val="28"/>
          <w:szCs w:val="28"/>
          <w:rtl w:val="true"/>
          <w:lang w:bidi="fa-IR"/>
        </w:rPr>
        <w:t>و هو مذهب علمائنا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المرور فيهما محرّم إلاّ بالطّهارة،و الغسل غير ممكن،فوجب التّيمّم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رواه الشّيخ في الصّحيح،عن أبي حمزة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جعفر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الرّجل نائما في المسجد الحرام،أو مسجد الرّسول صلّى اللّه عليه و آله فاحتلم فأصابته جنابة فليتيمّم،و لا يمرّ في المسجد إلاّ متيمّما،و لا بأس أن يمرّ في سائر المساجد، و لا يجلس في شيء من المساجد</w:t>
      </w:r>
      <w:r>
        <w:rPr>
          <w:rFonts w:eastAsia="Amiri" w:cs="Amiri" w:ascii="Amiri" w:hAnsi="Amiri"/>
          <w:color w:val="111111"/>
          <w:sz w:val="28"/>
          <w:szCs w:val="28"/>
          <w:rtl w:val="true"/>
          <w:lang w:bidi="ar-SA"/>
        </w:rPr>
        <w:t xml:space="preserve">» </w:t>
      </w:r>
      <w:r>
        <w:rPr>
          <w:rStyle w:val="FootnoteAnchor"/>
          <w:rtl w:val="true"/>
        </w:rPr>
        <w:footnoteReference w:id="120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752" w:name="__RefHeading___Toc795737_222507752"/>
      <w:bookmarkStart w:id="753" w:name="_Toc308"/>
      <w:bookmarkEnd w:id="752"/>
      <w:r>
        <w:rPr>
          <w:rtl w:val="true"/>
        </w:rPr>
        <w:t>تذنيب</w:t>
      </w:r>
      <w:r>
        <w:rPr>
          <w:rtl w:val="true"/>
        </w:rPr>
        <w:t>:</w:t>
      </w:r>
      <w:r>
        <w:rPr>
          <w:rtl w:val="true"/>
        </w:rPr>
        <w:t>الأجود أنّه يجب عليه قصد أقرب الأبواب إليه</w:t>
      </w:r>
      <w:bookmarkEnd w:id="753"/>
    </w:p>
    <w:p>
      <w:pPr>
        <w:pStyle w:val="BookText"/>
        <w:rPr/>
      </w:pPr>
      <w:r>
        <w:rPr>
          <w:rFonts w:ascii="Amiri" w:hAnsi="Amiri" w:eastAsia="Amiri" w:cs="Amiri"/>
          <w:color w:val="111111"/>
          <w:sz w:val="28"/>
          <w:sz w:val="28"/>
          <w:szCs w:val="28"/>
          <w:rtl w:val="true"/>
          <w:lang w:bidi="ar-SA"/>
        </w:rPr>
        <w:t>،لاندفاع الضّرورة بذلك</w:t>
      </w:r>
      <w:r>
        <w:rPr>
          <w:rFonts w:eastAsia="Amiri" w:cs="Amiri" w:ascii="Amiri" w:hAnsi="Amiri"/>
          <w:color w:val="111111"/>
          <w:sz w:val="28"/>
          <w:szCs w:val="28"/>
          <w:rtl w:val="true"/>
          <w:lang w:bidi="ar-SA"/>
        </w:rPr>
        <w:t>.</w:t>
      </w:r>
    </w:p>
    <w:p>
      <w:pPr>
        <w:pStyle w:val="Heading6"/>
        <w:numPr>
          <w:ilvl w:val="5"/>
          <w:numId w:val="1"/>
        </w:numPr>
        <w:rPr/>
      </w:pPr>
      <w:bookmarkStart w:id="754" w:name="__RefHeading___Toc795739_222507752"/>
      <w:bookmarkStart w:id="755" w:name="_Toc309"/>
      <w:bookmarkEnd w:id="754"/>
      <w:r>
        <w:rPr>
          <w:rtl w:val="true"/>
        </w:rPr>
        <w:t>الرّابع</w:t>
      </w:r>
      <w:r>
        <w:rPr>
          <w:rtl w:val="true"/>
        </w:rPr>
        <w:t>:</w:t>
      </w:r>
      <w:r>
        <w:rPr>
          <w:rtl w:val="true"/>
        </w:rPr>
        <w:t>لا يجوز له وضع شيء في المساجد مطلقا</w:t>
      </w:r>
      <w:bookmarkEnd w:id="755"/>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يجوز له أخذ ما يريد منهما</w:t>
      </w:r>
      <w:r>
        <w:rPr>
          <w:rFonts w:eastAsia="Amiri" w:cs="Amiri" w:ascii="Amiri" w:hAnsi="Amiri"/>
          <w:color w:val="111111"/>
          <w:sz w:val="28"/>
          <w:szCs w:val="28"/>
          <w:rtl w:val="true"/>
          <w:lang w:bidi="ar-SA"/>
        </w:rPr>
        <w:t xml:space="preserve">. </w:t>
      </w:r>
      <w:bookmarkStart w:id="756" w:name="pg12669_113019"/>
    </w:p>
    <w:p>
      <w:pPr>
        <w:pStyle w:val="BookText"/>
        <w:rPr/>
      </w:pPr>
      <w:bookmarkEnd w:id="756"/>
      <w:r>
        <w:rPr>
          <w:rFonts w:ascii="Amiri" w:hAnsi="Amiri" w:eastAsia="Amiri" w:cs="Amiri"/>
          <w:color w:val="111111"/>
          <w:sz w:val="28"/>
          <w:sz w:val="28"/>
          <w:szCs w:val="28"/>
          <w:rtl w:val="true"/>
          <w:lang w:bidi="ar-SA"/>
        </w:rPr>
        <w:t xml:space="preserve">و هو مذهب علمائنا،إلاّ سلاّر فإنّه كره الوضع </w:t>
      </w:r>
      <w:r>
        <w:rPr>
          <w:rStyle w:val="FootnoteAnchor"/>
          <w:rtl w:val="true"/>
        </w:rPr>
        <w:footnoteReference w:id="12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تعالى إِلاّ عابِرِي سَبِيلٍ </w:t>
      </w:r>
      <w:r>
        <w:rPr>
          <w:rStyle w:val="FootnoteAnchor"/>
          <w:rtl w:val="true"/>
        </w:rPr>
        <w:footnoteReference w:id="12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رواه الشّيخ في الصّحيح،عن عبد اللّه بن سنان،قال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الجنب و الحائض يتناولان من المسجد المتاع يكون فيه؟قال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و لكن لا يضعان في المسجد شيئا</w:t>
      </w:r>
      <w:r>
        <w:rPr>
          <w:rFonts w:eastAsia="Amiri" w:cs="Amiri" w:ascii="Amiri" w:hAnsi="Amiri"/>
          <w:color w:val="111111"/>
          <w:sz w:val="28"/>
          <w:szCs w:val="28"/>
          <w:rtl w:val="true"/>
          <w:lang w:bidi="ar-SA"/>
        </w:rPr>
        <w:t xml:space="preserve">» </w:t>
      </w:r>
      <w:r>
        <w:rPr>
          <w:rStyle w:val="FootnoteAnchor"/>
          <w:rtl w:val="true"/>
        </w:rPr>
        <w:footnoteReference w:id="121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757" w:name="__RefHeading___Toc795741_222507752"/>
      <w:bookmarkStart w:id="758" w:name="_Toc310"/>
      <w:bookmarkEnd w:id="757"/>
      <w:r>
        <w:rPr>
          <w:rtl w:val="true"/>
        </w:rPr>
        <w:t>الخامس</w:t>
      </w:r>
      <w:r>
        <w:rPr>
          <w:rtl w:val="true"/>
        </w:rPr>
        <w:t>:</w:t>
      </w:r>
      <w:r>
        <w:rPr>
          <w:rtl w:val="true"/>
        </w:rPr>
        <w:t>لو خاف الجنب على نفسه أو ماله،أو لم يمكنه الخروج من المسجد،</w:t>
      </w:r>
      <w:bookmarkEnd w:id="758"/>
    </w:p>
    <w:p>
      <w:pPr>
        <w:pStyle w:val="BookText"/>
        <w:rPr/>
      </w:pPr>
      <w:r>
        <w:rPr>
          <w:rFonts w:ascii="Amiri" w:hAnsi="Amiri" w:eastAsia="Amiri" w:cs="Amiri"/>
          <w:color w:val="111111"/>
          <w:sz w:val="28"/>
          <w:sz w:val="28"/>
          <w:szCs w:val="28"/>
          <w:rtl w:val="true"/>
          <w:lang w:bidi="ar-SA"/>
        </w:rPr>
        <w:t>و لم يجد مكانا غيره،و لم يمكنه الغسل،تيمّم</w:t>
      </w:r>
    </w:p>
    <w:p>
      <w:pPr>
        <w:pStyle w:val="BookText"/>
        <w:rPr/>
      </w:pPr>
      <w:r>
        <w:rPr>
          <w:rFonts w:ascii="Amiri" w:hAnsi="Amiri" w:eastAsia="Amiri" w:cs="Amiri"/>
          <w:color w:val="111111"/>
          <w:sz w:val="28"/>
          <w:sz w:val="28"/>
          <w:szCs w:val="28"/>
          <w:rtl w:val="true"/>
          <w:lang w:bidi="ar-SA"/>
        </w:rPr>
        <w:t>و جلس فيه إلى أن تزول الضّرورة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بعض الجمهور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يتيمّم </w:t>
      </w:r>
      <w:r>
        <w:rPr>
          <w:rStyle w:val="FootnoteAnchor"/>
          <w:rtl w:val="true"/>
        </w:rPr>
        <w:footnoteReference w:id="12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تعالى فَلَمْ تَجِدُوا ماءً فَتَيَمَّمُوا </w:t>
      </w:r>
      <w:r>
        <w:rPr>
          <w:rStyle w:val="FootnoteAnchor"/>
          <w:rtl w:val="true"/>
        </w:rPr>
        <w:footnoteReference w:id="12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رواه الجمهور،عن عليّ عليه السّلام،و ابن عبّاس،و سعيد بن جبير، و مجاهد،و الحسن بن مسلم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تأويل قوله تعالى وَ لا جُنُباً إِلاّ عابِرِي سَبِيلٍ يعني مسافرين لا يجدون ماء فيتيمّمون </w:t>
      </w:r>
      <w:r>
        <w:rPr>
          <w:rStyle w:val="FootnoteAnchor"/>
          <w:rtl w:val="true"/>
        </w:rPr>
        <w:footnoteReference w:id="121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لأنّ الاستيطان مشروط بالطّهارة فوجب له التّيمّم عند العجز،كالصّلاة و سائر ما يشترط له الطّهارة</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احتجّ المانع بأنّه لا يرتفع حدثه مع التّيمّم،فلا فائدة فيه</w:t>
      </w:r>
      <w:r>
        <w:rPr>
          <w:rFonts w:eastAsia="Amiri" w:cs="Amiri" w:ascii="Amiri" w:hAnsi="Amiri"/>
          <w:color w:val="111111"/>
          <w:sz w:val="28"/>
          <w:szCs w:val="28"/>
          <w:rtl w:val="true"/>
          <w:lang w:bidi="ar-SA"/>
        </w:rPr>
        <w:t xml:space="preserve">. </w:t>
      </w:r>
      <w:bookmarkStart w:id="759" w:name="pg12669_113020"/>
    </w:p>
    <w:p>
      <w:pPr>
        <w:pStyle w:val="BookText"/>
        <w:rPr/>
      </w:pPr>
      <w:bookmarkEnd w:id="759"/>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سلّمنا انّه لا يرتفع،لكنّه يقوم مقام ما يرفع الحدث في إباحة ما يستباح به</w:t>
      </w:r>
      <w:r>
        <w:rPr>
          <w:rFonts w:eastAsia="Amiri" w:cs="Amiri" w:ascii="Amiri" w:hAnsi="Amiri"/>
          <w:color w:val="111111"/>
          <w:sz w:val="28"/>
          <w:szCs w:val="28"/>
          <w:rtl w:val="true"/>
          <w:lang w:bidi="ar-SA"/>
        </w:rPr>
        <w:t>.</w:t>
      </w:r>
    </w:p>
    <w:p>
      <w:pPr>
        <w:pStyle w:val="Heading6"/>
        <w:numPr>
          <w:ilvl w:val="5"/>
          <w:numId w:val="1"/>
        </w:numPr>
        <w:rPr/>
      </w:pPr>
      <w:bookmarkStart w:id="760" w:name="__RefHeading___Toc795743_222507752"/>
      <w:bookmarkStart w:id="761" w:name="_Toc311"/>
      <w:bookmarkEnd w:id="760"/>
      <w:r>
        <w:rPr>
          <w:rtl w:val="true"/>
        </w:rPr>
        <w:t>أصل</w:t>
      </w:r>
      <w:r>
        <w:rPr>
          <w:rtl w:val="true"/>
        </w:rPr>
        <w:t>:</w:t>
      </w:r>
      <w:r>
        <w:rPr>
          <w:rtl w:val="true"/>
        </w:rPr>
        <w:t>إذا أوجب الفعل أو حرّمه إلى غاية معيّنة،كان امتداد الحكم إلى غير</w:t>
      </w:r>
      <w:bookmarkEnd w:id="761"/>
    </w:p>
    <w:p>
      <w:pPr>
        <w:pStyle w:val="BookText"/>
        <w:rPr/>
      </w:pPr>
      <w:r>
        <w:rPr>
          <w:rFonts w:ascii="Amiri" w:hAnsi="Amiri" w:eastAsia="Amiri" w:cs="Amiri"/>
          <w:color w:val="111111"/>
          <w:sz w:val="28"/>
          <w:sz w:val="28"/>
          <w:szCs w:val="28"/>
          <w:rtl w:val="true"/>
          <w:lang w:bidi="ar-SA"/>
        </w:rPr>
        <w:t>تلك الغاية يخرجها عن كونها غاية</w:t>
      </w:r>
    </w:p>
    <w:p>
      <w:pPr>
        <w:pStyle w:val="BookText"/>
        <w:rPr/>
      </w:pPr>
      <w:r>
        <w:rPr>
          <w:rFonts w:ascii="Amiri" w:hAnsi="Amiri" w:eastAsia="Amiri" w:cs="Amiri"/>
          <w:color w:val="111111"/>
          <w:sz w:val="28"/>
          <w:sz w:val="28"/>
          <w:szCs w:val="28"/>
          <w:rtl w:val="true"/>
          <w:lang w:bidi="ar-SA"/>
        </w:rPr>
        <w:t>،و قد ثبتت الغاية بالشّرع،فيكون ذلك الإخراج نسخا،بخلاف ما لو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صوموا النّهار،ثمَّ دلّ الدّليل على وجوب صوم شيء من اللّيل لم يكن نسخا</w:t>
      </w:r>
      <w:r>
        <w:rPr>
          <w:rFonts w:eastAsia="Amiri" w:cs="Amiri" w:ascii="Amiri" w:hAnsi="Amiri"/>
          <w:color w:val="111111"/>
          <w:sz w:val="28"/>
          <w:szCs w:val="28"/>
          <w:rtl w:val="true"/>
          <w:lang w:bidi="ar-SA"/>
        </w:rPr>
        <w:t>.</w:t>
      </w:r>
    </w:p>
    <w:p>
      <w:pPr>
        <w:pStyle w:val="Heading6"/>
        <w:numPr>
          <w:ilvl w:val="5"/>
          <w:numId w:val="1"/>
        </w:numPr>
        <w:rPr/>
      </w:pPr>
      <w:bookmarkStart w:id="762" w:name="__RefHeading___Toc795745_222507752"/>
      <w:bookmarkStart w:id="763" w:name="_Toc312"/>
      <w:bookmarkEnd w:id="762"/>
      <w:r>
        <w:rPr>
          <w:rtl w:val="true"/>
        </w:rPr>
        <w:t>آخر</w:t>
      </w:r>
      <w:r>
        <w:rPr>
          <w:rtl w:val="true"/>
        </w:rPr>
        <w:t>:</w:t>
      </w:r>
      <w:r>
        <w:rPr>
          <w:rtl w:val="true"/>
        </w:rPr>
        <w:t>لا يجوز نسخ المقطوع به،</w:t>
      </w:r>
      <w:bookmarkEnd w:id="763"/>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قرآنا كان أو سنّة متواترة بخبر الواحد،لأنّ المقطوع به أقوى،فالعمل به متعيّن عند التّعارض،و لأنّ عمر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ندع كتاب ربّنا و لا سنّة نبيّنا بقول امرأة لا ندري أ صدقت أم كذبت </w:t>
      </w:r>
      <w:r>
        <w:rPr>
          <w:rStyle w:val="FootnoteAnchor"/>
          <w:rtl w:val="true"/>
        </w:rPr>
        <w:footnoteReference w:id="121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موجود في خبر الثّقة فيتحقّق المنع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الفرق بين التّخصيص و النّسخ ظاهر،فإنّ الأوّل لا يرفع المدلول بالكلّيّة بخلاف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رجوع أهل قبا يحتمل أن يكون لانضمام القرائن،كالإعلان إلى خبر المنادي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إنفاذ الرّسول عليه السّلام الآحاد لتبليغ الأحكام المبتدأة و النّاسخة إنّما يصح إذا لم تضمّن نسخ المقطوع،أمّا إذا تضمّن فلا بدّ من القرائن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تحريم النّبيّ صلّى اللّه عليه و آله أكل كلّ ذي ناب من السّباع </w:t>
      </w:r>
      <w:r>
        <w:rPr>
          <w:rStyle w:val="FootnoteAnchor"/>
          <w:rtl w:val="true"/>
        </w:rPr>
        <w:footnoteReference w:id="1217"/>
      </w:r>
      <w:r>
        <w:rPr>
          <w:rFonts w:ascii="Amiri" w:hAnsi="Amiri" w:eastAsia="Amiri" w:cs="Amiri"/>
          <w:color w:val="111111"/>
          <w:sz w:val="28"/>
          <w:sz w:val="28"/>
          <w:szCs w:val="28"/>
          <w:rtl w:val="true"/>
          <w:lang w:bidi="ar-SA"/>
        </w:rPr>
        <w:t xml:space="preserve">ليس ناسخا،لقوله تعالى لا أَجِدُ </w:t>
      </w:r>
      <w:r>
        <w:rPr>
          <w:rStyle w:val="FootnoteAnchor"/>
          <w:rtl w:val="true"/>
        </w:rPr>
        <w:footnoteReference w:id="1218"/>
      </w:r>
      <w:r>
        <w:rPr>
          <w:rFonts w:ascii="Amiri" w:hAnsi="Amiri" w:eastAsia="Amiri" w:cs="Amiri"/>
          <w:color w:val="111111"/>
          <w:sz w:val="28"/>
          <w:sz w:val="28"/>
          <w:szCs w:val="28"/>
          <w:rtl w:val="true"/>
          <w:lang w:bidi="ar-SA"/>
        </w:rPr>
        <w:t xml:space="preserve">لأنّ الآية إنّما تتناول المومى إليه إلى تلك الغاية لا ما بعدها،فالنّهي الوارد بعدها لا يكون </w:t>
      </w:r>
      <w:bookmarkStart w:id="764" w:name="pg12669_113021"/>
    </w:p>
    <w:p>
      <w:pPr>
        <w:pStyle w:val="BookText"/>
        <w:rPr/>
      </w:pPr>
      <w:bookmarkEnd w:id="764"/>
      <w:r>
        <w:rPr>
          <w:rFonts w:ascii="Amiri" w:hAnsi="Amiri" w:eastAsia="Amiri" w:cs="Amiri"/>
          <w:color w:val="111111"/>
          <w:sz w:val="28"/>
          <w:sz w:val="28"/>
          <w:szCs w:val="28"/>
          <w:rtl w:val="true"/>
          <w:lang w:bidi="ar-SA"/>
        </w:rPr>
        <w:t>نسخا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تنكح المرأة على عمّتها و خالتها</w:t>
      </w:r>
      <w:r>
        <w:rPr>
          <w:rFonts w:eastAsia="Amiri" w:cs="Amiri" w:ascii="Amiri" w:hAnsi="Amiri"/>
          <w:color w:val="111111"/>
          <w:sz w:val="28"/>
          <w:szCs w:val="28"/>
          <w:rtl w:val="true"/>
          <w:lang w:bidi="ar-SA"/>
        </w:rPr>
        <w:t xml:space="preserve">) </w:t>
      </w:r>
      <w:r>
        <w:rPr>
          <w:rStyle w:val="FootnoteAnchor"/>
          <w:rtl w:val="true"/>
        </w:rPr>
        <w:footnoteReference w:id="1219"/>
      </w:r>
      <w:r>
        <w:rPr>
          <w:rFonts w:ascii="Amiri" w:hAnsi="Amiri" w:eastAsia="Amiri" w:cs="Amiri"/>
          <w:color w:val="111111"/>
          <w:sz w:val="28"/>
          <w:sz w:val="28"/>
          <w:szCs w:val="28"/>
          <w:rtl w:val="true"/>
          <w:lang w:bidi="ar-SA"/>
        </w:rPr>
        <w:t xml:space="preserve">ليس ناسخا لقوله تعالى وَ أُحِلَّ لَكُمْ ما وَراءَ ذلِكُمْ </w:t>
      </w:r>
      <w:r>
        <w:rPr>
          <w:rStyle w:val="FootnoteAnchor"/>
          <w:rtl w:val="true"/>
        </w:rPr>
        <w:footnoteReference w:id="1220"/>
      </w:r>
      <w:r>
        <w:rPr>
          <w:rFonts w:ascii="Amiri" w:hAnsi="Amiri" w:eastAsia="Amiri" w:cs="Amiri"/>
          <w:color w:val="111111"/>
          <w:sz w:val="28"/>
          <w:sz w:val="28"/>
          <w:szCs w:val="28"/>
          <w:rtl w:val="true"/>
          <w:lang w:bidi="ar-SA"/>
        </w:rPr>
        <w:t>بل هو تخصيص،على انّ الأمّة تلقّته بالقبول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فيخرج عن كونه من الآحاد</w:t>
      </w:r>
      <w:r>
        <w:rPr>
          <w:rFonts w:eastAsia="Amiri" w:cs="Amiri" w:ascii="Amiri" w:hAnsi="Amiri"/>
          <w:color w:val="111111"/>
          <w:sz w:val="28"/>
          <w:szCs w:val="28"/>
          <w:rtl w:val="true"/>
          <w:lang w:bidi="ar-SA"/>
        </w:rPr>
        <w:t>.</w:t>
      </w:r>
    </w:p>
    <w:p>
      <w:pPr>
        <w:pStyle w:val="Heading6"/>
        <w:numPr>
          <w:ilvl w:val="5"/>
          <w:numId w:val="1"/>
        </w:numPr>
        <w:rPr/>
      </w:pPr>
      <w:bookmarkStart w:id="765" w:name="__RefHeading___Toc795747_222507752"/>
      <w:bookmarkStart w:id="766" w:name="_Toc313"/>
      <w:bookmarkEnd w:id="765"/>
      <w:r>
        <w:rPr>
          <w:rtl w:val="true"/>
        </w:rPr>
        <w:t>السّادس</w:t>
      </w:r>
      <w:r>
        <w:rPr>
          <w:rtl w:val="true"/>
        </w:rPr>
        <w:t>:</w:t>
      </w:r>
      <w:r>
        <w:rPr>
          <w:rtl w:val="true"/>
        </w:rPr>
        <w:t>لو توضّأ الجنب،لم يجز له الاستيطان في المسجد</w:t>
      </w:r>
      <w:bookmarkEnd w:id="766"/>
    </w:p>
    <w:p>
      <w:pPr>
        <w:pStyle w:val="BookText"/>
        <w:rPr/>
      </w:pPr>
      <w:r>
        <w:rPr>
          <w:rFonts w:ascii="Amiri" w:hAnsi="Amiri" w:eastAsia="Amiri" w:cs="Amiri"/>
          <w:color w:val="111111"/>
          <w:sz w:val="28"/>
          <w:sz w:val="28"/>
          <w:szCs w:val="28"/>
          <w:rtl w:val="true"/>
          <w:lang w:bidi="ar-SA"/>
        </w:rPr>
        <w:t xml:space="preserve">،و هو مذهب علمائنا القائلين بالتّحريم،و هو قول أكثر أهل العلم </w:t>
      </w:r>
      <w:r>
        <w:rPr>
          <w:rStyle w:val="FootnoteAnchor"/>
          <w:rtl w:val="true"/>
        </w:rPr>
        <w:footnoteReference w:id="1221"/>
      </w:r>
      <w:r>
        <w:rPr>
          <w:rFonts w:ascii="IRNazanin" w:hAnsi="IRNazanin" w:eastAsia="IRNazanin"/>
          <w:color w:val="111111"/>
          <w:sz w:val="28"/>
          <w:sz w:val="28"/>
          <w:szCs w:val="28"/>
          <w:rtl w:val="true"/>
          <w:lang w:bidi="fa-IR"/>
        </w:rPr>
        <w:t xml:space="preserve">،خلافا لأحمد،و إسحاق </w:t>
      </w:r>
      <w:r>
        <w:rPr>
          <w:rStyle w:val="FootnoteAnchor"/>
          <w:rtl w:val="true"/>
        </w:rPr>
        <w:footnoteReference w:id="12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تعالى حَتَّى تَغْتَسِلُوا </w:t>
      </w:r>
      <w:r>
        <w:rPr>
          <w:rStyle w:val="FootnoteAnchor"/>
          <w:rtl w:val="true"/>
        </w:rPr>
        <w:footnoteReference w:id="1223"/>
      </w:r>
      <w:r>
        <w:rPr>
          <w:rFonts w:ascii="Amiri" w:hAnsi="Amiri" w:eastAsia="Amiri" w:cs="Amiri"/>
          <w:color w:val="111111"/>
          <w:sz w:val="28"/>
          <w:sz w:val="28"/>
          <w:szCs w:val="28"/>
          <w:rtl w:val="true"/>
          <w:lang w:bidi="ar-SA"/>
        </w:rPr>
        <w:t>جعل الغاية في المنع الاغتسال،فلو جوّزنا له الاستيطان مع الوضوء،خرجت تلك الغاية عن كونها غاية،و ذلك نسخ لا يجوز بخبر الواحد،و لأنّ الجنابة حدث أكبر،فلا يجزي في استباحة الدّخول معها إلى المسجد الوضوء كالحائض،و قد وافقنا أحمد،و إسحاق في حكم الأصل،فيتمّ القياس</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احتجّوا بما رواه زيد بن أسلم،قال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أصحاب رسول اللّه صلّى اللّه عليه و آله يتحدّثون في المسجد على غير وضوء و كان الرّجل يكون جنبا فيتوضّأ،ثمَّ يدخل، فيتحدّث </w:t>
      </w:r>
      <w:r>
        <w:rPr>
          <w:rStyle w:val="FootnoteAnchor"/>
          <w:rtl w:val="true"/>
        </w:rPr>
        <w:footnoteReference w:id="122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لأنّه إذا توضّأ خفّ حكم الحدث،فأشبه التّيمّم عند عدم الماء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الدّليل </w:t>
      </w:r>
      <w:bookmarkStart w:id="767" w:name="pg12669_113022"/>
    </w:p>
    <w:p>
      <w:pPr>
        <w:pStyle w:val="BookText"/>
        <w:rPr/>
      </w:pPr>
      <w:bookmarkEnd w:id="767"/>
      <w:r>
        <w:rPr>
          <w:rFonts w:ascii="Amiri" w:hAnsi="Amiri" w:eastAsia="Amiri" w:cs="Amiri"/>
          <w:color w:val="111111"/>
          <w:sz w:val="28"/>
          <w:sz w:val="28"/>
          <w:szCs w:val="28"/>
          <w:rtl w:val="true"/>
          <w:lang w:bidi="ar-SA"/>
        </w:rPr>
        <w:t>على الخفّة أمره بالوضوء عند النّوم،و عند الأكل،و معاودة الوطء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 عن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بأنّه غير محلّ النّزاع،لأنّ الدّخول غير الاستيطان،فما ذكرتموه لا ينهض في المطلوب،و الحديث لا يستلزمه أيضا،لحصوله مع الاجتياز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بالمنع من الخفّة،فإنّ الوضوء لا اعتبار له البتّة في رفع شيء من أحكام الجنابة،و النّوم و الأكل و الوطء لا يشترط فيها الطّهارة،ثمَّ انّه ينتقض بمسّ الكتابة و قراءة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روى الشّيخ في الصّحيح،عن محمّد بن القاسم،قال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الحسن عليه السّلام عن الجنب ينام في المسجد؟فقال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يتوضّأ و لا بأس أن ينام في المسجد و يمرّ فيه</w:t>
      </w:r>
      <w:r>
        <w:rPr>
          <w:rFonts w:eastAsia="Amiri" w:cs="Amiri" w:ascii="Amiri" w:hAnsi="Amiri"/>
          <w:color w:val="111111"/>
          <w:sz w:val="28"/>
          <w:szCs w:val="28"/>
          <w:rtl w:val="true"/>
          <w:lang w:bidi="ar-SA"/>
        </w:rPr>
        <w:t xml:space="preserve">» </w:t>
      </w:r>
      <w:r>
        <w:rPr>
          <w:rStyle w:val="FootnoteAnchor"/>
          <w:rtl w:val="true"/>
        </w:rPr>
        <w:footnoteReference w:id="12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هذه الرّواية منافية للمذهب و لظاهر التّنزيل،فلا بدّ فيها من التّأويل،و ذلك بأنّ يحمل الوضوء على التّيمّم مجازا،لاشتراكهما في اسم الطّهارة أو في الاستباحة،و يحمل ذلك على حالة الضّرورة،و مع عدم التّأويل يمكن أن تكون هذه الرّواية حجّة لسلاّر </w:t>
      </w:r>
      <w:r>
        <w:rPr>
          <w:rStyle w:val="FootnoteAnchor"/>
          <w:rtl w:val="true"/>
        </w:rPr>
        <w:footnoteReference w:id="122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768" w:name="__RefHeading___Toc795749_222507752"/>
      <w:bookmarkStart w:id="769" w:name="_Toc314"/>
      <w:bookmarkEnd w:id="768"/>
      <w:r>
        <w:rPr>
          <w:rtl w:val="true"/>
        </w:rPr>
        <w:t>مسألة</w:t>
      </w:r>
      <w:r>
        <w:rPr>
          <w:rtl w:val="true"/>
        </w:rPr>
        <w:t>:</w:t>
      </w:r>
      <w:r>
        <w:rPr>
          <w:rtl w:val="true"/>
        </w:rPr>
        <w:t>يكره للجنب أشياء</w:t>
      </w:r>
      <w:r>
        <w:rPr>
          <w:rtl w:val="true"/>
        </w:rPr>
        <w:t>:</w:t>
      </w:r>
      <w:bookmarkEnd w:id="769"/>
    </w:p>
    <w:p>
      <w:pPr>
        <w:pStyle w:val="Heading6"/>
        <w:numPr>
          <w:ilvl w:val="5"/>
          <w:numId w:val="1"/>
        </w:numPr>
        <w:rPr/>
      </w:pPr>
      <w:bookmarkStart w:id="770" w:name="__RefHeading___Toc795751_222507752"/>
      <w:bookmarkStart w:id="771" w:name="_Toc315"/>
      <w:bookmarkEnd w:id="770"/>
      <w:r>
        <w:rPr>
          <w:rtl w:val="true"/>
        </w:rPr>
        <w:t>أحدها</w:t>
      </w:r>
      <w:r>
        <w:rPr>
          <w:rtl w:val="true"/>
        </w:rPr>
        <w:t>:</w:t>
      </w:r>
      <w:r>
        <w:rPr>
          <w:rtl w:val="true"/>
        </w:rPr>
        <w:t>النّوم قبل الوضوء</w:t>
      </w:r>
      <w:r>
        <w:rPr>
          <w:rtl w:val="true"/>
        </w:rPr>
        <w:t>.</w:t>
      </w:r>
      <w:bookmarkEnd w:id="771"/>
    </w:p>
    <w:p>
      <w:pPr>
        <w:pStyle w:val="BookText"/>
        <w:rPr/>
      </w:pPr>
      <w:r>
        <w:rPr>
          <w:rFonts w:ascii="Amiri" w:hAnsi="Amiri" w:eastAsia="Amiri" w:cs="Amiri"/>
          <w:color w:val="111111"/>
          <w:sz w:val="28"/>
          <w:sz w:val="28"/>
          <w:szCs w:val="28"/>
          <w:rtl w:val="true"/>
          <w:lang w:bidi="ar-SA"/>
        </w:rPr>
        <w:t xml:space="preserve">و هو مذهب علمائنا أجمع،و هو مرويّ عن عليّ عليه السّلام،و عبد اللّه بن عمر </w:t>
      </w:r>
      <w:r>
        <w:rPr>
          <w:rStyle w:val="FootnoteAnchor"/>
          <w:rtl w:val="true"/>
        </w:rPr>
        <w:footnoteReference w:id="122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ابن المسيّب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ينام و لا يمسّ ماء </w:t>
      </w:r>
      <w:r>
        <w:rPr>
          <w:rStyle w:val="FootnoteAnchor"/>
          <w:rtl w:val="true"/>
        </w:rPr>
        <w:footnoteReference w:id="1228"/>
      </w:r>
      <w:r>
        <w:rPr>
          <w:rFonts w:ascii="Amiri" w:hAnsi="Amiri" w:eastAsia="Amiri" w:cs="Amiri"/>
          <w:color w:val="111111"/>
          <w:sz w:val="28"/>
          <w:sz w:val="28"/>
          <w:szCs w:val="28"/>
          <w:rtl w:val="true"/>
          <w:lang w:bidi="ar-SA"/>
        </w:rPr>
        <w:t xml:space="preserve">،و هو قول أصحاب الرّأي </w:t>
      </w:r>
      <w:r>
        <w:rPr>
          <w:rStyle w:val="FootnoteAnchor"/>
          <w:rtl w:val="true"/>
        </w:rPr>
        <w:footnoteReference w:id="1229"/>
      </w:r>
      <w:r>
        <w:rPr>
          <w:rFonts w:eastAsia="Times New Roman" w:cs="Times New Roman" w:ascii="Times New Roman" w:hAnsi="Times New Roman"/>
          <w:color w:val="111111"/>
          <w:sz w:val="28"/>
          <w:szCs w:val="28"/>
          <w:rtl w:val="true"/>
          <w:lang w:val="en-US" w:bidi="en-US"/>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الجمهور،قالوا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 عمر عن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يرقد أحدنا </w:t>
      </w:r>
    </w:p>
    <w:p>
      <w:pPr>
        <w:pStyle w:val="BookText"/>
        <w:rPr/>
      </w:pPr>
      <w:r>
        <w:rPr>
          <w:rFonts w:ascii="IRNazanin" w:hAnsi="IRNazanin" w:eastAsia="IRNazanin"/>
          <w:color w:val="111111"/>
          <w:sz w:val="28"/>
          <w:sz w:val="28"/>
          <w:szCs w:val="28"/>
          <w:rtl w:val="true"/>
          <w:lang w:bidi="fa-IR"/>
        </w:rPr>
        <w:t>و هو جنب؟قال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إذا توضّأ</w:t>
      </w:r>
      <w:r>
        <w:rPr>
          <w:rFonts w:eastAsia="IRNazanin" w:cs="IRNazanin"/>
          <w:color w:val="111111"/>
          <w:sz w:val="28"/>
          <w:szCs w:val="28"/>
          <w:rtl w:val="true"/>
          <w:lang w:bidi="fa-IR"/>
        </w:rPr>
        <w:t xml:space="preserve">) </w:t>
      </w:r>
      <w:r>
        <w:rPr>
          <w:rStyle w:val="FootnoteAnchor"/>
          <w:rtl w:val="true"/>
        </w:rPr>
        <w:footnoteReference w:id="12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عائشة انّ النّبيّ صلّى اللّه عليه و آله كان إذا أراد أن يأكل أو ينام يتوضّأ، يعني و هو جنب </w:t>
      </w:r>
      <w:r>
        <w:rPr>
          <w:rStyle w:val="FootnoteAnchor"/>
          <w:rtl w:val="true"/>
        </w:rPr>
        <w:footnoteReference w:id="12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طريق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الشّيخ،عن سماعة،قال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الجنب يجنب ثمَّ يريد النّوم؟فقال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أحبّ أن يتوضّأ فليفعل،و الغسل أفضل من ذلك،و إن هو نام و لم يتوضّأ و لم يغتسل فليس عليه شيء</w:t>
      </w:r>
      <w:r>
        <w:rPr>
          <w:rFonts w:eastAsia="Amiri" w:cs="Amiri" w:ascii="Amiri" w:hAnsi="Amiri"/>
          <w:color w:val="111111"/>
          <w:sz w:val="28"/>
          <w:szCs w:val="28"/>
          <w:rtl w:val="true"/>
          <w:lang w:bidi="ar-SA"/>
        </w:rPr>
        <w:t xml:space="preserve">» </w:t>
      </w:r>
      <w:r>
        <w:rPr>
          <w:rStyle w:val="FootnoteAnchor"/>
          <w:rtl w:val="true"/>
        </w:rPr>
        <w:footnoteReference w:id="12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يدلّ على أولويّة الغسل ما رواه الشّيخ،عن عبد الرّحمن بن أبي عبد اللّه،قال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عبد اللّه عليه السّلام عن الرّجل يواقع أهله أ ينام على ذلك؟قال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تعالى يتوفّى الأنفس في منامها و لا يدري ما يطرقه من البليّة إذا فرغ فليغتسل</w:t>
      </w:r>
      <w:r>
        <w:rPr>
          <w:rFonts w:eastAsia="Amiri" w:cs="Amiri" w:ascii="Amiri" w:hAnsi="Amiri"/>
          <w:color w:val="111111"/>
          <w:sz w:val="28"/>
          <w:szCs w:val="28"/>
          <w:rtl w:val="true"/>
          <w:lang w:bidi="ar-SA"/>
        </w:rPr>
        <w:t xml:space="preserve">» </w:t>
      </w:r>
      <w:r>
        <w:rPr>
          <w:rStyle w:val="FootnoteAnchor"/>
          <w:rtl w:val="true"/>
        </w:rPr>
        <w:footnoteReference w:id="12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ابن بابويه في كتابه،عن عبيد اللّه الحلبيّ في الصّحيح،قال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أبو عبد اللّه عليه السّلام عن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Style w:val="FootnoteAnchor"/>
          <w:rtl w:val="true"/>
        </w:rPr>
        <w:footnoteReference w:id="1234"/>
      </w:r>
      <w:r>
        <w:rPr>
          <w:rFonts w:ascii="Amiri" w:hAnsi="Amiri" w:eastAsia="Amiri" w:cs="Amiri"/>
          <w:color w:val="111111"/>
          <w:sz w:val="28"/>
          <w:sz w:val="28"/>
          <w:szCs w:val="28"/>
          <w:rtl w:val="true"/>
          <w:lang w:bidi="ar-SA"/>
        </w:rPr>
        <w:t>ينبغي له أن ينام و هو جنب؟قال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يكره ذلك حتّى يتوضّأ</w:t>
      </w:r>
      <w:r>
        <w:rPr>
          <w:rFonts w:eastAsia="Amiri" w:cs="Amiri" w:ascii="Amiri" w:hAnsi="Amiri"/>
          <w:color w:val="111111"/>
          <w:sz w:val="28"/>
          <w:szCs w:val="28"/>
          <w:rtl w:val="true"/>
          <w:lang w:bidi="ar-SA"/>
        </w:rPr>
        <w:t xml:space="preserve">» </w:t>
      </w:r>
      <w:r>
        <w:rPr>
          <w:rStyle w:val="FootnoteAnchor"/>
          <w:rtl w:val="true"/>
        </w:rPr>
        <w:footnoteReference w:id="1235"/>
      </w:r>
      <w:r>
        <w:rPr>
          <w:rFonts w:eastAsia="Times New Roman" w:cs="Times New Roman" w:ascii="Times New Roman" w:hAnsi="Times New Roman"/>
          <w:color w:val="111111"/>
          <w:sz w:val="28"/>
          <w:szCs w:val="28"/>
          <w:rtl w:val="true"/>
          <w:lang w:val="en-US" w:bidi="en-US"/>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حديث آخر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أنام على ذلك حتّى أصبح و ذلك انّي أريد أن أعود</w:t>
      </w:r>
      <w:r>
        <w:rPr>
          <w:rFonts w:eastAsia="Amiri" w:cs="Amiri" w:ascii="Amiri" w:hAnsi="Amiri"/>
          <w:color w:val="111111"/>
          <w:sz w:val="28"/>
          <w:szCs w:val="28"/>
          <w:rtl w:val="true"/>
          <w:lang w:bidi="ar-SA"/>
        </w:rPr>
        <w:t xml:space="preserve">» </w:t>
      </w:r>
      <w:r>
        <w:rPr>
          <w:rStyle w:val="FootnoteAnchor"/>
          <w:rtl w:val="true"/>
        </w:rPr>
        <w:footnoteReference w:id="1236"/>
      </w:r>
      <w:r>
        <w:rPr>
          <w:rFonts w:eastAsia="Times New Roman" w:cs="Times New Roman" w:ascii="Times New Roman" w:hAnsi="Times New Roman"/>
          <w:color w:val="111111"/>
          <w:sz w:val="28"/>
          <w:szCs w:val="28"/>
          <w:rtl w:val="true"/>
          <w:lang w:val="en-US" w:bidi="en-US"/>
        </w:rPr>
        <w:t xml:space="preserve">. </w:t>
      </w:r>
      <w:bookmarkStart w:id="772" w:name="pg12669_113024"/>
    </w:p>
    <w:p>
      <w:pPr>
        <w:pStyle w:val="BookText"/>
        <w:rPr/>
      </w:pPr>
      <w:bookmarkEnd w:id="772"/>
      <w:r>
        <w:rPr>
          <w:rFonts w:ascii="Amiri" w:hAnsi="Amiri" w:eastAsia="Amiri" w:cs="Amiri"/>
          <w:color w:val="111111"/>
          <w:sz w:val="28"/>
          <w:sz w:val="28"/>
          <w:szCs w:val="28"/>
          <w:rtl w:val="true"/>
          <w:lang w:bidi="ar-SA"/>
        </w:rPr>
        <w:t>احتجّ المخالف بما روى الأسود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عائشة،قالت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النّبيّ صلّى اللّه عليه و آله ينام و هو جنب لا يمسّ ماء </w:t>
      </w:r>
      <w:r>
        <w:rPr>
          <w:rStyle w:val="FootnoteAnchor"/>
          <w:rtl w:val="true"/>
        </w:rPr>
        <w:footnoteReference w:id="123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لأنّه حدث يوجب الغسل فلا يستحبّ الوضوء مع بقائه كالحيض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 عن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الرّاوي أبو إسحاق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الأسود،عن عائشة،و قد روى جماعة كثيرة،عن الأسود،عن عائشة أنّه عليه السّلام كان يتوضّأ قبل أن ينام </w:t>
      </w:r>
      <w:r>
        <w:rPr>
          <w:rStyle w:val="FootnoteAnchor"/>
          <w:rtl w:val="true"/>
        </w:rPr>
        <w:footnoteReference w:id="123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رواه شعبة و الثّوريّ 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غلط من أبي إسحاق،قال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روى أبو إسحاق عن الأسود حديثا خالف فيه النّاس فلم يقل أحد عن الأسود مثل ما قد قال، فلو أحاله على غير الأسود </w:t>
      </w:r>
      <w:r>
        <w:rPr>
          <w:rStyle w:val="FootnoteAnchor"/>
          <w:rtl w:val="true"/>
        </w:rPr>
        <w:footnoteReference w:id="123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ما قاله أحمد في هذه الرّواية،على انّ هذه الأحاديث دالّة على الجواز،و ما رويناه يدلّ على الاستحباب،و كلاهما لا ينافيان التّرك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حدث الحائض قائم،فلا وضوء مع ما ينافيه</w:t>
      </w:r>
      <w:r>
        <w:rPr>
          <w:rFonts w:eastAsia="Amiri" w:cs="Amiri" w:ascii="Amiri" w:hAnsi="Amiri"/>
          <w:color w:val="111111"/>
          <w:sz w:val="28"/>
          <w:szCs w:val="28"/>
          <w:rtl w:val="true"/>
          <w:lang w:bidi="ar-SA"/>
        </w:rPr>
        <w:t>.</w:t>
      </w:r>
    </w:p>
    <w:p>
      <w:pPr>
        <w:pStyle w:val="Heading6"/>
        <w:numPr>
          <w:ilvl w:val="5"/>
          <w:numId w:val="1"/>
        </w:numPr>
        <w:rPr/>
      </w:pPr>
      <w:bookmarkStart w:id="773" w:name="__RefHeading___Toc795753_222507752"/>
      <w:bookmarkStart w:id="774" w:name="_Toc316"/>
      <w:bookmarkEnd w:id="773"/>
      <w:r>
        <w:rPr>
          <w:rtl w:val="true"/>
        </w:rPr>
        <w:t>الثّاني</w:t>
      </w:r>
      <w:r>
        <w:rPr>
          <w:rtl w:val="true"/>
        </w:rPr>
        <w:t>:</w:t>
      </w:r>
      <w:r>
        <w:rPr>
          <w:rtl w:val="true"/>
        </w:rPr>
        <w:t>يكره له الأكل و الشّرب قبل المضمضة و الاستنشاق أو الوضوء،</w:t>
      </w:r>
      <w:bookmarkEnd w:id="774"/>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خصّ الشّيخان </w:t>
      </w:r>
      <w:r>
        <w:rPr>
          <w:rStyle w:val="FootnoteAnchor"/>
          <w:rtl w:val="true"/>
        </w:rPr>
        <w:footnoteReference w:id="1240"/>
      </w:r>
      <w:r>
        <w:rPr>
          <w:rFonts w:ascii="Amiri" w:hAnsi="Amiri" w:eastAsia="Amiri" w:cs="Amiri"/>
          <w:color w:val="111111"/>
          <w:sz w:val="28"/>
          <w:sz w:val="28"/>
          <w:szCs w:val="28"/>
          <w:rtl w:val="true"/>
          <w:lang w:bidi="ar-SA"/>
        </w:rPr>
        <w:t xml:space="preserve">و السّيّد المرتضى بالمضمضة و الاستنشاق </w:t>
      </w:r>
      <w:r>
        <w:rPr>
          <w:rStyle w:val="FootnoteAnchor"/>
          <w:rtl w:val="true"/>
        </w:rPr>
        <w:footnoteReference w:id="124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ابن المسيّب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أراد أن </w:t>
      </w:r>
    </w:p>
    <w:p>
      <w:pPr>
        <w:pStyle w:val="BookText"/>
        <w:rPr/>
      </w:pPr>
      <w:r>
        <w:rPr>
          <w:rFonts w:ascii="Amiri" w:hAnsi="Amiri" w:eastAsia="Amiri" w:cs="Amiri"/>
          <w:color w:val="111111"/>
          <w:sz w:val="28"/>
          <w:sz w:val="28"/>
          <w:szCs w:val="28"/>
          <w:rtl w:val="true"/>
          <w:lang w:bidi="ar-SA"/>
        </w:rPr>
        <w:t xml:space="preserve">يأكل يغسل كفّيه و يتمضمض </w:t>
      </w:r>
      <w:r>
        <w:rPr>
          <w:rStyle w:val="FootnoteAnchor"/>
          <w:rtl w:val="true"/>
        </w:rPr>
        <w:footnoteReference w:id="124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قول إسحاق،و أصحاب الرّأي </w:t>
      </w:r>
      <w:r>
        <w:rPr>
          <w:rStyle w:val="FootnoteAnchor"/>
          <w:rtl w:val="true"/>
        </w:rPr>
        <w:footnoteReference w:id="1243"/>
      </w:r>
      <w:r>
        <w:rPr>
          <w:rFonts w:ascii="Amiri" w:hAnsi="Amiri" w:eastAsia="Amiri" w:cs="Amiri"/>
          <w:color w:val="111111"/>
          <w:sz w:val="28"/>
          <w:sz w:val="28"/>
          <w:szCs w:val="28"/>
          <w:rtl w:val="true"/>
          <w:lang w:bidi="ar-SA"/>
        </w:rPr>
        <w:t xml:space="preserve">،و إحدى الرّوايتين عن أحمد </w:t>
      </w:r>
      <w:r>
        <w:rPr>
          <w:rStyle w:val="FootnoteAnchor"/>
          <w:rtl w:val="true"/>
        </w:rPr>
        <w:footnoteReference w:id="124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مجاهد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يغسل كفّيه </w:t>
      </w:r>
      <w:r>
        <w:rPr>
          <w:rStyle w:val="FootnoteAnchor"/>
          <w:rtl w:val="true"/>
        </w:rPr>
        <w:footnoteReference w:id="124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مالك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يغسل يديه إن كان أصابهما أذى </w:t>
      </w:r>
      <w:r>
        <w:rPr>
          <w:rStyle w:val="FootnoteAnchor"/>
          <w:rtl w:val="true"/>
        </w:rPr>
        <w:footnoteReference w:id="12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طريق الجمهور،ما تقدّم من حديث عائشة انّ النّبيّ صلّى اللّه عليه و آله كان إذا أراد أن يأكل أو ينام و هو جنب توضّأ </w:t>
      </w:r>
      <w:r>
        <w:rPr>
          <w:rStyle w:val="FootnoteAnchor"/>
          <w:rtl w:val="true"/>
        </w:rPr>
        <w:footnoteReference w:id="12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طريق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الشّيخ،عن عبد الرّحمن بن أبي عبد اللّه،قال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عبد اللّه عليه السّلام،أ يأكل الجنب قبل أن يتوضّأ؟قال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لنكسل و لكن ليغسل يده،و الوضوء أفضل</w:t>
      </w:r>
      <w:r>
        <w:rPr>
          <w:rFonts w:eastAsia="Amiri" w:cs="Amiri" w:ascii="Amiri" w:hAnsi="Amiri"/>
          <w:color w:val="111111"/>
          <w:sz w:val="28"/>
          <w:szCs w:val="28"/>
          <w:rtl w:val="true"/>
          <w:lang w:bidi="ar-SA"/>
        </w:rPr>
        <w:t xml:space="preserve">» </w:t>
      </w:r>
      <w:r>
        <w:rPr>
          <w:rStyle w:val="FootnoteAnchor"/>
          <w:rtl w:val="true"/>
        </w:rPr>
        <w:footnoteReference w:id="12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ابن بابويه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أراد أن يأكل أو يشرب قبل الغسل لم يجز له إلاّ أن يغسل يده أو يتمضمض و يستنشق،فإنّه إن أكل أو شرب قبل ذلك،خيف عليه البرص </w:t>
      </w:r>
      <w:r>
        <w:rPr>
          <w:rStyle w:val="FootnoteAnchor"/>
          <w:rtl w:val="true"/>
        </w:rPr>
        <w:footnoteReference w:id="124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روي انّ الأكل على الجنابة يورث الفقر </w:t>
      </w:r>
      <w:r>
        <w:rPr>
          <w:rStyle w:val="FootnoteAnchor"/>
          <w:rtl w:val="true"/>
        </w:rPr>
        <w:footnoteReference w:id="12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ابن يعقوب في الصّحيح،عن زرارة،عن أبي جعفر عليه السّلام،قال</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الجنب إذا أراد أن يأكل و يشرب غسل يديه و تمضمض و غسل وجهه و أكل و شرب</w:t>
      </w:r>
      <w:r>
        <w:rPr>
          <w:rFonts w:eastAsia="Amiri" w:cs="Amiri" w:ascii="Amiri" w:hAnsi="Amiri"/>
          <w:color w:val="111111"/>
          <w:sz w:val="28"/>
          <w:szCs w:val="28"/>
          <w:rtl w:val="true"/>
          <w:lang w:bidi="ar-SA"/>
        </w:rPr>
        <w:t xml:space="preserve">» </w:t>
      </w:r>
      <w:r>
        <w:rPr>
          <w:rStyle w:val="FootnoteAnchor"/>
          <w:rtl w:val="true"/>
        </w:rPr>
        <w:footnoteReference w:id="1251"/>
      </w:r>
      <w:r>
        <w:rPr>
          <w:rFonts w:eastAsia="Times New Roman" w:cs="Times New Roman" w:ascii="Times New Roman" w:hAnsi="Times New Roman"/>
          <w:color w:val="111111"/>
          <w:sz w:val="28"/>
          <w:szCs w:val="28"/>
          <w:rtl w:val="true"/>
          <w:lang w:val="en-US" w:bidi="en-US"/>
        </w:rPr>
        <w:t xml:space="preserve">. </w:t>
      </w:r>
      <w:bookmarkStart w:id="775" w:name="pg12669_113026"/>
    </w:p>
    <w:p>
      <w:pPr>
        <w:pStyle w:val="BookText"/>
        <w:rPr/>
      </w:pPr>
      <w:bookmarkEnd w:id="775"/>
      <w:r>
        <w:rPr>
          <w:rFonts w:ascii="Amiri" w:hAnsi="Amiri" w:eastAsia="Amiri" w:cs="Amiri"/>
          <w:color w:val="111111"/>
          <w:sz w:val="28"/>
          <w:sz w:val="28"/>
          <w:szCs w:val="28"/>
          <w:rtl w:val="true"/>
          <w:lang w:bidi="ar-SA"/>
        </w:rPr>
        <w:t>و روى ابن بابويه،عن الصّادق عن أبيه عليهما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الرّجل جنبا لم يأكل و لم يشرب حتّى يتوضّأ</w:t>
      </w:r>
      <w:r>
        <w:rPr>
          <w:rFonts w:eastAsia="Amiri" w:cs="Amiri" w:ascii="Amiri" w:hAnsi="Amiri"/>
          <w:color w:val="111111"/>
          <w:sz w:val="28"/>
          <w:szCs w:val="28"/>
          <w:rtl w:val="true"/>
          <w:lang w:bidi="ar-SA"/>
        </w:rPr>
        <w:t xml:space="preserve">» </w:t>
      </w:r>
      <w:r>
        <w:rPr>
          <w:rStyle w:val="FootnoteAnchor"/>
          <w:rtl w:val="true"/>
        </w:rPr>
        <w:footnoteReference w:id="125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776" w:name="__RefHeading___Toc795755_222507752"/>
      <w:bookmarkStart w:id="777" w:name="_Toc317"/>
      <w:bookmarkEnd w:id="776"/>
      <w:r>
        <w:rPr>
          <w:rtl w:val="true"/>
        </w:rPr>
        <w:t>الثّالث</w:t>
      </w:r>
      <w:r>
        <w:rPr>
          <w:rtl w:val="true"/>
        </w:rPr>
        <w:t>:</w:t>
      </w:r>
      <w:r>
        <w:rPr>
          <w:rtl w:val="true"/>
        </w:rPr>
        <w:t>ذكر أصحابنا انّه يكره للمحتلم الجماع قبل الغسل ،</w:t>
      </w:r>
      <w:bookmarkEnd w:id="777"/>
    </w:p>
    <w:p>
      <w:pPr>
        <w:pStyle w:val="BookText"/>
        <w:rPr/>
      </w:pPr>
      <w:r>
        <w:rPr>
          <w:rStyle w:val="FootnoteAnchor"/>
          <w:rtl w:val="true"/>
        </w:rPr>
        <w:footnoteReference w:id="12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تكرير الجماع من غير اغتسال فلا يكره،لما روي عن النّبيّ صلّى اللّه عليه و آله انّه كان يطوف على نسائه بغسل واحد </w:t>
      </w:r>
      <w:r>
        <w:rPr>
          <w:rStyle w:val="FootnoteAnchor"/>
          <w:rtl w:val="true"/>
        </w:rPr>
        <w:footnoteReference w:id="125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778" w:name="__RefHeading___Toc795757_222507752"/>
      <w:bookmarkStart w:id="779" w:name="_Toc318"/>
      <w:bookmarkEnd w:id="778"/>
      <w:r>
        <w:rPr>
          <w:rtl w:val="true"/>
        </w:rPr>
        <w:t>الرّابع</w:t>
      </w:r>
      <w:r>
        <w:rPr>
          <w:rtl w:val="true"/>
        </w:rPr>
        <w:t>:</w:t>
      </w:r>
      <w:r>
        <w:rPr>
          <w:rtl w:val="true"/>
        </w:rPr>
        <w:t>الخضاب مكروه</w:t>
      </w:r>
      <w:bookmarkEnd w:id="779"/>
    </w:p>
    <w:p>
      <w:pPr>
        <w:pStyle w:val="BookText"/>
        <w:rPr/>
      </w:pPr>
      <w:r>
        <w:rPr>
          <w:rFonts w:ascii="Amiri" w:hAnsi="Amiri" w:eastAsia="Amiri" w:cs="Amiri"/>
          <w:color w:val="111111"/>
          <w:sz w:val="28"/>
          <w:sz w:val="28"/>
          <w:szCs w:val="28"/>
          <w:rtl w:val="true"/>
          <w:lang w:bidi="ar-SA"/>
        </w:rPr>
        <w:t xml:space="preserve">و هو اختيار الشّيخ </w:t>
      </w:r>
      <w:r>
        <w:rPr>
          <w:rStyle w:val="FootnoteAnchor"/>
          <w:rtl w:val="true"/>
        </w:rPr>
        <w:footnoteReference w:id="1255"/>
      </w:r>
      <w:r>
        <w:rPr>
          <w:rFonts w:ascii="Amiri" w:hAnsi="Amiri" w:eastAsia="Amiri" w:cs="Amiri"/>
          <w:color w:val="111111"/>
          <w:sz w:val="28"/>
          <w:sz w:val="28"/>
          <w:szCs w:val="28"/>
          <w:rtl w:val="true"/>
          <w:lang w:bidi="ar-SA"/>
        </w:rPr>
        <w:t xml:space="preserve">،و السّيّد المرتضى </w:t>
      </w:r>
      <w:r>
        <w:rPr>
          <w:rStyle w:val="FootnoteAnchor"/>
          <w:rtl w:val="true"/>
        </w:rPr>
        <w:footnoteReference w:id="1256"/>
      </w:r>
      <w:r>
        <w:rPr>
          <w:rFonts w:ascii="Amiri" w:hAnsi="Amiri" w:eastAsia="Amiri" w:cs="Amiri"/>
          <w:color w:val="111111"/>
          <w:sz w:val="28"/>
          <w:sz w:val="28"/>
          <w:szCs w:val="28"/>
          <w:rtl w:val="true"/>
          <w:lang w:bidi="ar-SA"/>
        </w:rPr>
        <w:t xml:space="preserve">،و المفيد </w:t>
      </w:r>
      <w:r>
        <w:rPr>
          <w:rStyle w:val="FootnoteAnchor"/>
          <w:rtl w:val="true"/>
        </w:rPr>
        <w:footnoteReference w:id="12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ابن بابويه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بأس أن يختضب الجنب،و يجنب مختضبا،و يحتجم،و يتنوّر، و يذبح،و ينام جنبا إلى آخر اللّيل،و يلبس الخاتم،و ينام في المسجد،و يمرّ فيه </w:t>
      </w:r>
      <w:r>
        <w:rPr>
          <w:rStyle w:val="FootnoteAnchor"/>
          <w:rtl w:val="true"/>
        </w:rPr>
        <w:footnoteReference w:id="1258"/>
      </w:r>
      <w:r>
        <w:rPr>
          <w:rFonts w:eastAsia="Times New Roman" w:cs="Times New Roman" w:ascii="Times New Roman" w:hAnsi="Times New Roman"/>
          <w:color w:val="111111"/>
          <w:sz w:val="28"/>
          <w:szCs w:val="28"/>
          <w:rtl w:val="true"/>
          <w:lang w:val="en-US" w:bidi="en-US"/>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كردين المسمعيّ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يختضب الرّجل و هو جنب</w:t>
      </w:r>
      <w:r>
        <w:rPr>
          <w:rFonts w:eastAsia="Amiri" w:cs="Amiri" w:ascii="Amiri" w:hAnsi="Amiri"/>
          <w:color w:val="111111"/>
          <w:sz w:val="28"/>
          <w:szCs w:val="28"/>
          <w:rtl w:val="true"/>
          <w:lang w:bidi="ar-SA"/>
        </w:rPr>
        <w:t xml:space="preserve">» </w:t>
      </w:r>
      <w:r>
        <w:rPr>
          <w:rStyle w:val="FootnoteAnchor"/>
          <w:rtl w:val="true"/>
        </w:rPr>
        <w:footnoteReference w:id="1259"/>
      </w:r>
      <w:r>
        <w:rPr>
          <w:rFonts w:ascii="Amiri" w:hAnsi="Amiri" w:eastAsia="Amiri" w:cs="Amiri"/>
          <w:color w:val="111111"/>
          <w:sz w:val="28"/>
          <w:sz w:val="28"/>
          <w:szCs w:val="28"/>
          <w:rtl w:val="true"/>
          <w:lang w:bidi="ar-SA"/>
        </w:rPr>
        <w:t>و هذا يدلّ على الكراهية لا التّحريم،لما رواه الشّيخ، عن السّكونيّ،عن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بأس أن يختضب الرّجل، و يجنب و هو مختضب،و لا بأس بأن يتنوّر الجنب،و يحتجم،و يذبح،و لا يذوق شيئا </w:t>
      </w:r>
    </w:p>
    <w:p>
      <w:pPr>
        <w:pStyle w:val="BookText"/>
        <w:rPr/>
      </w:pP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يغسل</w:t>
      </w:r>
      <w:r>
        <w:rPr>
          <w:rFonts w:eastAsia="Amiri" w:cs="Amiri" w:ascii="Amiri" w:hAnsi="Amiri"/>
          <w:color w:val="111111"/>
          <w:sz w:val="28"/>
          <w:szCs w:val="28"/>
          <w:rtl w:val="true"/>
          <w:lang w:bidi="ar-SA"/>
        </w:rPr>
        <w:t xml:space="preserve">] </w:t>
      </w:r>
      <w:r>
        <w:rPr>
          <w:rStyle w:val="FootnoteAnchor"/>
          <w:rtl w:val="true"/>
        </w:rPr>
        <w:footnoteReference w:id="1260"/>
      </w:r>
      <w:r>
        <w:rPr>
          <w:rFonts w:ascii="Amiri" w:hAnsi="Amiri" w:eastAsia="Amiri" w:cs="Amiri"/>
          <w:color w:val="111111"/>
          <w:sz w:val="28"/>
          <w:sz w:val="28"/>
          <w:szCs w:val="28"/>
          <w:rtl w:val="true"/>
          <w:lang w:bidi="ar-SA"/>
        </w:rPr>
        <w:t>يديه و يتمضمض فإنّه يخاف منه الوضح</w:t>
      </w:r>
      <w:r>
        <w:rPr>
          <w:rFonts w:eastAsia="Amiri" w:cs="Amiri" w:ascii="Amiri" w:hAnsi="Amiri"/>
          <w:color w:val="111111"/>
          <w:sz w:val="28"/>
          <w:szCs w:val="28"/>
          <w:rtl w:val="true"/>
          <w:lang w:bidi="ar-SA"/>
        </w:rPr>
        <w:t xml:space="preserve">» </w:t>
      </w:r>
      <w:r>
        <w:rPr>
          <w:rStyle w:val="FootnoteAnchor"/>
          <w:rtl w:val="true"/>
        </w:rPr>
        <w:footnoteReference w:id="12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في الصّحيح،عن إبراهيم بن أبي محمود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للرّضا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الرّجل يجنب فيصيب جسده و رأسه الخلوق و الطّيب و الشّيء اللّكد مثل علك الرّوم و الطّرار و ما أشبهه،فيغتسل،فإذا فرغ وجد شيئا قد بقي في جسده من أثر الخلوق و الطّيب و غيره؟قال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xml:space="preserve">» </w:t>
      </w:r>
      <w:r>
        <w:rPr>
          <w:rStyle w:val="FootnoteAnchor"/>
          <w:rtl w:val="true"/>
        </w:rPr>
        <w:footnoteReference w:id="12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ابن يعقوب في كتابه،عن أبي جميلة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الحسن الأوّل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بأن يختضب الجنب،و يجنب المختضب،و يطلي بالنّورة</w:t>
      </w:r>
      <w:r>
        <w:rPr>
          <w:rFonts w:eastAsia="Amiri" w:cs="Amiri" w:ascii="Amiri" w:hAnsi="Amiri"/>
          <w:color w:val="111111"/>
          <w:sz w:val="28"/>
          <w:szCs w:val="28"/>
          <w:rtl w:val="true"/>
          <w:lang w:bidi="ar-SA"/>
        </w:rPr>
        <w:t xml:space="preserve">» </w:t>
      </w:r>
      <w:r>
        <w:rPr>
          <w:rStyle w:val="FootnoteAnchor"/>
          <w:rtl w:val="true"/>
        </w:rPr>
        <w:footnoteReference w:id="1263"/>
      </w:r>
      <w:r>
        <w:rPr>
          <w:rFonts w:ascii="Amiri" w:hAnsi="Amiri" w:eastAsia="Amiri" w:cs="Amiri"/>
          <w:color w:val="111111"/>
          <w:sz w:val="28"/>
          <w:sz w:val="28"/>
          <w:szCs w:val="28"/>
          <w:rtl w:val="true"/>
          <w:lang w:bidi="ar-SA"/>
        </w:rPr>
        <w:t>قال ابن يعقوب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روي انّ المختضب لا يجنب حتّى يأخذ الخضاب فأمّا في أوّل الخضاب فلا </w:t>
      </w:r>
      <w:r>
        <w:rPr>
          <w:rStyle w:val="FootnoteAnchor"/>
          <w:rtl w:val="true"/>
        </w:rPr>
        <w:footnoteReference w:id="12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الشّيخ،عن أبي سعيد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إبراهيم عليه السّلام</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 يختضب الرّجل و هو جنب؟قال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فيجنب و هو مختضب؟قال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مكث قليلا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سعيد أ فلا أدلّك على شيء تفعله؟قلت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w:t>
      </w:r>
    </w:p>
    <w:p>
      <w:pPr>
        <w:pStyle w:val="BookText"/>
        <w:rPr/>
      </w:pPr>
      <w:r>
        <w:rPr>
          <w:rFonts w:ascii="Amiri" w:hAnsi="Amiri" w:eastAsia="Amiri" w:cs="Amiri"/>
          <w:color w:val="111111"/>
          <w:sz w:val="28"/>
          <w:sz w:val="28"/>
          <w:szCs w:val="28"/>
          <w:rtl w:val="true"/>
          <w:lang w:bidi="ar-SA"/>
        </w:rPr>
        <w:t>اختضبت بالحنّاء و أخذ الحنّاء مأخذه و بلغ فحينئذ فجامع</w:t>
      </w:r>
      <w:r>
        <w:rPr>
          <w:rFonts w:eastAsia="Amiri" w:cs="Amiri" w:ascii="Amiri" w:hAnsi="Amiri"/>
          <w:color w:val="111111"/>
          <w:sz w:val="28"/>
          <w:szCs w:val="28"/>
          <w:rtl w:val="true"/>
          <w:lang w:bidi="ar-SA"/>
        </w:rPr>
        <w:t xml:space="preserve">» </w:t>
      </w:r>
      <w:r>
        <w:rPr>
          <w:rStyle w:val="FootnoteAnchor"/>
          <w:rtl w:val="true"/>
        </w:rPr>
        <w:footnoteReference w:id="12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الشّيخ،عن جعفر بن محمّد بن يونس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أباه كتب إلى أبي الحسن عليه السّلام يسأله عن الجنب يختضب أو يجنب و هو مختضب؟فكتب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أحبّ له</w:t>
      </w:r>
      <w:r>
        <w:rPr>
          <w:rFonts w:eastAsia="Amiri" w:cs="Amiri" w:ascii="Amiri" w:hAnsi="Amiri"/>
          <w:color w:val="111111"/>
          <w:sz w:val="28"/>
          <w:szCs w:val="28"/>
          <w:rtl w:val="true"/>
          <w:lang w:bidi="ar-SA"/>
        </w:rPr>
        <w:t xml:space="preserve">» </w:t>
      </w:r>
      <w:r>
        <w:rPr>
          <w:rStyle w:val="FootnoteAnchor"/>
          <w:rtl w:val="true"/>
        </w:rPr>
        <w:footnoteReference w:id="12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الشّيخ،عن عامر بن جذاعة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تختضب الحائض و لا الجنب و لا تجنب و عليها خضاب و لا يجنب هو و عليه خضاب</w:t>
      </w:r>
      <w:r>
        <w:rPr>
          <w:rFonts w:eastAsia="Amiri" w:cs="Amiri" w:ascii="Amiri" w:hAnsi="Amiri"/>
          <w:color w:val="111111"/>
          <w:sz w:val="28"/>
          <w:szCs w:val="28"/>
          <w:rtl w:val="true"/>
          <w:lang w:bidi="ar-SA"/>
        </w:rPr>
        <w:t xml:space="preserve">» </w:t>
      </w:r>
      <w:r>
        <w:rPr>
          <w:rStyle w:val="FootnoteAnchor"/>
          <w:rtl w:val="true"/>
        </w:rPr>
        <w:footnoteReference w:id="12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روى،عن أبي المعزى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عليّ،عن العبد الصّالح عليه السّلام قال</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الرّجل يختضب و هو جنب؟قال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المرأة تختضب و هي حائض؟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به بأس</w:t>
      </w:r>
      <w:r>
        <w:rPr>
          <w:rFonts w:eastAsia="Amiri" w:cs="Amiri" w:ascii="Amiri" w:hAnsi="Amiri"/>
          <w:color w:val="111111"/>
          <w:sz w:val="28"/>
          <w:szCs w:val="28"/>
          <w:rtl w:val="true"/>
          <w:lang w:bidi="ar-SA"/>
        </w:rPr>
        <w:t xml:space="preserve">» </w:t>
      </w:r>
      <w:r>
        <w:rPr>
          <w:rStyle w:val="FootnoteAnchor"/>
          <w:rtl w:val="true"/>
        </w:rPr>
        <w:footnoteReference w:id="1268"/>
      </w:r>
      <w:r>
        <w:rPr>
          <w:rFonts w:ascii="Amiri" w:hAnsi="Amiri" w:eastAsia="Amiri" w:cs="Amiri"/>
          <w:color w:val="111111"/>
          <w:sz w:val="28"/>
          <w:sz w:val="28"/>
          <w:szCs w:val="28"/>
          <w:rtl w:val="true"/>
          <w:lang w:bidi="ar-SA"/>
        </w:rPr>
        <w:t xml:space="preserve">فظهر من الأحاديث الدّالّة على النّهي و على الإباحة </w:t>
      </w:r>
      <w:bookmarkStart w:id="780" w:name="pg12669_113029"/>
    </w:p>
    <w:p>
      <w:pPr>
        <w:pStyle w:val="BookText"/>
        <w:rPr/>
      </w:pPr>
      <w:bookmarkEnd w:id="780"/>
      <w:r>
        <w:rPr>
          <w:rFonts w:ascii="Amiri" w:hAnsi="Amiri" w:eastAsia="Amiri" w:cs="Amiri"/>
          <w:color w:val="111111"/>
          <w:sz w:val="28"/>
          <w:sz w:val="28"/>
          <w:szCs w:val="28"/>
          <w:rtl w:val="true"/>
          <w:lang w:bidi="ar-SA"/>
        </w:rPr>
        <w:t>الكراهية،و لأنّ الحنّاء غير مانع عن وصول الماء،لخفّته و شدّة سيلان الماء</w:t>
      </w:r>
      <w:r>
        <w:rPr>
          <w:rFonts w:eastAsia="Amiri" w:cs="Amiri" w:ascii="Amiri" w:hAnsi="Amiri"/>
          <w:color w:val="111111"/>
          <w:sz w:val="28"/>
          <w:szCs w:val="28"/>
          <w:rtl w:val="true"/>
          <w:lang w:bidi="ar-SA"/>
        </w:rPr>
        <w:t>.</w:t>
      </w:r>
    </w:p>
    <w:p>
      <w:pPr>
        <w:pStyle w:val="Heading6"/>
        <w:numPr>
          <w:ilvl w:val="5"/>
          <w:numId w:val="1"/>
        </w:numPr>
        <w:rPr/>
      </w:pPr>
      <w:bookmarkStart w:id="781" w:name="__RefHeading___Toc795759_222507752"/>
      <w:bookmarkStart w:id="782" w:name="_Toc319"/>
      <w:bookmarkEnd w:id="781"/>
      <w:r>
        <w:rPr>
          <w:rtl w:val="true"/>
        </w:rPr>
        <w:t>الخامس</w:t>
      </w:r>
      <w:r>
        <w:rPr>
          <w:rtl w:val="true"/>
        </w:rPr>
        <w:t>:</w:t>
      </w:r>
      <w:r>
        <w:rPr>
          <w:rtl w:val="true"/>
        </w:rPr>
        <w:t>الادهان مكروه للجنب،</w:t>
      </w:r>
      <w:bookmarkEnd w:id="782"/>
    </w:p>
    <w:p>
      <w:pPr>
        <w:pStyle w:val="BookText"/>
        <w:rPr/>
      </w:pPr>
      <w:r>
        <w:rPr>
          <w:rFonts w:ascii="Amiri" w:hAnsi="Amiri" w:eastAsia="Amiri" w:cs="Amiri"/>
          <w:color w:val="111111"/>
          <w:sz w:val="28"/>
          <w:sz w:val="28"/>
          <w:szCs w:val="28"/>
          <w:rtl w:val="true"/>
          <w:lang w:bidi="ar-SA"/>
        </w:rPr>
        <w:t>لما رواه الشّيخ في الصّحيح،عن حريز بن عبد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 لأبي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الجنب يدهن ثمَّ يغتسل؟فقال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Style w:val="FootnoteAnchor"/>
          <w:rtl w:val="true"/>
        </w:rPr>
        <w:footnoteReference w:id="1269"/>
      </w:r>
      <w:r>
        <w:rPr>
          <w:rFonts w:ascii="Amiri" w:hAnsi="Amiri" w:eastAsia="Amiri" w:cs="Amiri"/>
          <w:color w:val="111111"/>
          <w:sz w:val="28"/>
          <w:sz w:val="28"/>
          <w:szCs w:val="28"/>
          <w:rtl w:val="true"/>
          <w:lang w:bidi="ar-SA"/>
        </w:rPr>
        <w:t>و لأنّ الدّهن غالبا يمنع من التصاق أجزاء الماء بالبدن التصاقا تامّا،فكره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الرّواية دالّة على المنع المقتضي للتّحريم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نسلّم دلالتها على التّحريم لقول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 شيء أمسسته بالماء فقد أنقيته</w:t>
      </w:r>
      <w:r>
        <w:rPr>
          <w:rFonts w:eastAsia="Amiri" w:cs="Amiri" w:ascii="Amiri" w:hAnsi="Amiri"/>
          <w:color w:val="111111"/>
          <w:sz w:val="28"/>
          <w:szCs w:val="28"/>
          <w:rtl w:val="true"/>
          <w:lang w:bidi="ar-SA"/>
        </w:rPr>
        <w:t xml:space="preserve">» </w:t>
      </w:r>
      <w:r>
        <w:rPr>
          <w:rStyle w:val="FootnoteAnchor"/>
          <w:rtl w:val="true"/>
        </w:rPr>
        <w:footnoteReference w:id="127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783" w:name="__RefHeading___Toc795761_222507752"/>
      <w:bookmarkStart w:id="784" w:name="_Toc320"/>
      <w:bookmarkEnd w:id="783"/>
      <w:r>
        <w:rPr>
          <w:rtl w:val="true"/>
        </w:rPr>
        <w:t>السّادس</w:t>
      </w:r>
      <w:r>
        <w:rPr>
          <w:rtl w:val="true"/>
        </w:rPr>
        <w:t>:</w:t>
      </w:r>
      <w:r>
        <w:rPr>
          <w:rtl w:val="true"/>
        </w:rPr>
        <w:t>نقل ابن بابويه،عن الصّادق عليه السّلام،</w:t>
      </w:r>
      <w:bookmarkEnd w:id="784"/>
    </w:p>
    <w:p>
      <w:pPr>
        <w:pStyle w:val="BookText"/>
        <w:rPr/>
      </w:pPr>
      <w:r>
        <w:rPr>
          <w:rFonts w:ascii="Amiri" w:hAnsi="Amiri" w:eastAsia="Amiri" w:cs="Amiri"/>
          <w:color w:val="111111"/>
          <w:sz w:val="28"/>
          <w:sz w:val="28"/>
          <w:szCs w:val="28"/>
          <w:rtl w:val="true"/>
          <w:lang w:bidi="ar-SA"/>
        </w:rPr>
        <w:t>عن الباقر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اكره الجنابة حين تصفرّ الشّمس،و حين تطلع و هي صفراء</w:t>
      </w:r>
      <w:r>
        <w:rPr>
          <w:rFonts w:eastAsia="Amiri" w:cs="Amiri" w:ascii="Amiri" w:hAnsi="Amiri"/>
          <w:color w:val="111111"/>
          <w:sz w:val="28"/>
          <w:szCs w:val="28"/>
          <w:rtl w:val="true"/>
          <w:lang w:bidi="ar-SA"/>
        </w:rPr>
        <w:t xml:space="preserve">» </w:t>
      </w:r>
      <w:r>
        <w:rPr>
          <w:rStyle w:val="FootnoteAnchor"/>
          <w:rtl w:val="true"/>
        </w:rPr>
        <w:footnoteReference w:id="127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785" w:name="__RefHeading___Toc795763_222507752"/>
      <w:bookmarkStart w:id="786" w:name="_Toc321"/>
      <w:bookmarkEnd w:id="785"/>
      <w:r>
        <w:rPr>
          <w:rtl w:val="true"/>
        </w:rPr>
        <w:t>مسألة</w:t>
      </w:r>
      <w:r>
        <w:rPr>
          <w:rtl w:val="true"/>
        </w:rPr>
        <w:t>:</w:t>
      </w:r>
      <w:r>
        <w:rPr>
          <w:rtl w:val="true"/>
        </w:rPr>
        <w:t>و يكفي غسل الجنابة عن الوضوء</w:t>
      </w:r>
      <w:bookmarkEnd w:id="786"/>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سواء أحدث حدثا أصغر أو لا،و هو مذهب علمائنا أجمع،و أحد قولي </w:t>
      </w:r>
      <w:r>
        <w:rPr>
          <w:rStyle w:val="FootnoteAnchor"/>
          <w:rtl w:val="true"/>
        </w:rPr>
        <w:footnoteReference w:id="1272"/>
      </w:r>
      <w:r>
        <w:rPr>
          <w:rFonts w:ascii="Amiri" w:hAnsi="Amiri" w:eastAsia="Amiri" w:cs="Amiri"/>
          <w:color w:val="111111"/>
          <w:sz w:val="28"/>
          <w:sz w:val="28"/>
          <w:szCs w:val="28"/>
          <w:rtl w:val="true"/>
          <w:lang w:bidi="ar-SA"/>
        </w:rPr>
        <w:t>الشّافعيّ،و قال في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بدّ معه من الوضوء </w:t>
      </w:r>
      <w:r>
        <w:rPr>
          <w:rStyle w:val="FootnoteAnchor"/>
          <w:rtl w:val="true"/>
        </w:rPr>
        <w:footnoteReference w:id="127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هي رواية عن أحمد </w:t>
      </w:r>
      <w:r>
        <w:rPr>
          <w:rStyle w:val="FootnoteAnchor"/>
          <w:rtl w:val="true"/>
        </w:rPr>
        <w:footnoteReference w:id="1274"/>
      </w:r>
      <w:r>
        <w:rPr>
          <w:rFonts w:ascii="Amiri" w:hAnsi="Amiri" w:eastAsia="Amiri" w:cs="Amiri"/>
          <w:color w:val="111111"/>
          <w:sz w:val="28"/>
          <w:sz w:val="28"/>
          <w:szCs w:val="28"/>
          <w:rtl w:val="true"/>
          <w:lang w:bidi="ar-SA"/>
        </w:rPr>
        <w:t xml:space="preserve">،و حكي ذلك عن داود،و أبي ثور </w:t>
      </w:r>
      <w:r>
        <w:rPr>
          <w:rStyle w:val="FootnoteAnchor"/>
          <w:rtl w:val="true"/>
        </w:rPr>
        <w:footnoteReference w:id="127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الاغتسال غاية في المنع من القربان،فإذا اغتسل وجب أن لا يمنع،و أيضا قوله تعالى وَ إِنْ كُنْتُمْ جُنُباً فَاطَّهَّرُوا </w:t>
      </w:r>
      <w:r>
        <w:rPr>
          <w:rStyle w:val="FootnoteAnchor"/>
          <w:rtl w:val="true"/>
        </w:rPr>
        <w:footnoteReference w:id="1276"/>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اغتسلوا،باتّفاق المفسّرين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رواه الجمهور،عن عائشة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رسول اللّه صلّى اللّه عليه و آله لا يتوضّأ بعد الغسل من الجنابة </w:t>
      </w:r>
      <w:r>
        <w:rPr>
          <w:rStyle w:val="FootnoteAnchor"/>
          <w:rtl w:val="true"/>
        </w:rPr>
        <w:footnoteReference w:id="12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طريق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 في الصّحيح،عن ابن أبي عمير،عن رجل، 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غسل قبله وضوء إلاّ غسل الجنابة</w:t>
      </w:r>
      <w:r>
        <w:rPr>
          <w:rFonts w:eastAsia="Amiri" w:cs="Amiri" w:ascii="Amiri" w:hAnsi="Amiri"/>
          <w:color w:val="111111"/>
          <w:sz w:val="28"/>
          <w:szCs w:val="28"/>
          <w:rtl w:val="true"/>
          <w:lang w:bidi="ar-SA"/>
        </w:rPr>
        <w:t xml:space="preserve">» </w:t>
      </w:r>
      <w:r>
        <w:rPr>
          <w:rStyle w:val="FootnoteAnchor"/>
          <w:rtl w:val="true"/>
        </w:rPr>
        <w:footnoteReference w:id="12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الصّحيح،عن حكم بن حكيم،قال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غسل الجنابة ثمَّ وصفه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النّاس 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يتوضّأ وضوء الصّلاة قبل الغسل؟فضحك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وضوء أنقى من الغسل و أبلغ</w:t>
      </w:r>
      <w:r>
        <w:rPr>
          <w:rFonts w:eastAsia="Amiri" w:cs="Amiri" w:ascii="Amiri" w:hAnsi="Amiri"/>
          <w:color w:val="111111"/>
          <w:sz w:val="28"/>
          <w:szCs w:val="28"/>
          <w:rtl w:val="true"/>
          <w:lang w:bidi="ar-SA"/>
        </w:rPr>
        <w:t xml:space="preserve">» </w:t>
      </w:r>
      <w:r>
        <w:rPr>
          <w:rStyle w:val="FootnoteAnchor"/>
          <w:rtl w:val="true"/>
        </w:rPr>
        <w:footnoteReference w:id="12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في الصّحيح،عن محمّد بن مسلم،عن أبي جعفر عليه السّلام،قال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الغسل يجزي في الوضوء،و أيّ وضوء أطهر من الغسل</w:t>
      </w:r>
      <w:r>
        <w:rPr>
          <w:rFonts w:eastAsia="Amiri" w:cs="Amiri" w:ascii="Amiri" w:hAnsi="Amiri"/>
          <w:color w:val="111111"/>
          <w:sz w:val="28"/>
          <w:szCs w:val="28"/>
          <w:rtl w:val="true"/>
          <w:lang w:bidi="ar-SA"/>
        </w:rPr>
        <w:t xml:space="preserve">» </w:t>
      </w:r>
      <w:r>
        <w:rPr>
          <w:rStyle w:val="FootnoteAnchor"/>
          <w:rtl w:val="true"/>
        </w:rPr>
        <w:footnoteReference w:id="1280"/>
      </w:r>
      <w:r>
        <w:rPr>
          <w:rFonts w:eastAsia="Times New Roman" w:cs="Times New Roman" w:ascii="Times New Roman" w:hAnsi="Times New Roman"/>
          <w:color w:val="111111"/>
          <w:sz w:val="28"/>
          <w:szCs w:val="28"/>
          <w:rtl w:val="true"/>
          <w:lang w:val="en-US" w:bidi="en-US"/>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روى،عن محمّد بن مسلم،قال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أهل الكوفة يروون،عن عليّ عليه السّلام انّه كان يأمر بالوضوء قبل الغسل من الجنابة؟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كذبوا على عليّ ما وجدوا ذلك في كتاب عليّ عليه السّلام،قال اللّه تعالى وَ إِنْ كُنْتُمْ جُنُباً فَاطَّهَّرُوا </w:t>
      </w:r>
      <w:r>
        <w:rPr>
          <w:rStyle w:val="FootnoteAnchor"/>
          <w:rtl w:val="true"/>
        </w:rPr>
        <w:footnoteReference w:id="1281"/>
      </w:r>
      <w:r>
        <w:rPr>
          <w:rStyle w:val="FootnoteAnchor"/>
          <w:rtl w:val="true"/>
        </w:rPr>
        <w:footnoteReference w:id="128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روى عن عبد اللّه بن سليمان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الوضوء بعد الغسل بدعة</w:t>
      </w:r>
      <w:r>
        <w:rPr>
          <w:rFonts w:eastAsia="Amiri" w:cs="Amiri" w:ascii="Amiri" w:hAnsi="Amiri"/>
          <w:color w:val="111111"/>
          <w:sz w:val="28"/>
          <w:szCs w:val="28"/>
          <w:rtl w:val="true"/>
          <w:lang w:bidi="ar-SA"/>
        </w:rPr>
        <w:t xml:space="preserve">» </w:t>
      </w:r>
      <w:r>
        <w:rPr>
          <w:rStyle w:val="FootnoteAnchor"/>
          <w:rtl w:val="true"/>
        </w:rPr>
        <w:footnoteReference w:id="1283"/>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يريد بذلك انّ من يعتقد وجوب الوضوء عليه يكون مبدعا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روى عن سليمان بن خالد،عن أبي جعفر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الوضوء بعد الغسل بدعة</w:t>
      </w:r>
      <w:r>
        <w:rPr>
          <w:rFonts w:eastAsia="Amiri" w:cs="Amiri" w:ascii="Amiri" w:hAnsi="Amiri"/>
          <w:color w:val="111111"/>
          <w:sz w:val="28"/>
          <w:szCs w:val="28"/>
          <w:rtl w:val="true"/>
          <w:lang w:bidi="ar-SA"/>
        </w:rPr>
        <w:t xml:space="preserve">» </w:t>
      </w:r>
      <w:r>
        <w:rPr>
          <w:rStyle w:val="FootnoteAnchor"/>
          <w:rtl w:val="true"/>
        </w:rPr>
        <w:footnoteReference w:id="1284"/>
      </w:r>
      <w:r>
        <w:rPr>
          <w:rFonts w:ascii="Amiri" w:hAnsi="Amiri" w:eastAsia="Amiri" w:cs="Amiri"/>
          <w:color w:val="111111"/>
          <w:sz w:val="28"/>
          <w:sz w:val="28"/>
          <w:szCs w:val="28"/>
          <w:rtl w:val="true"/>
          <w:lang w:bidi="ar-SA"/>
        </w:rPr>
        <w:t xml:space="preserve">و في طريق هذه الرّواية عثمان،و هو واقفيّ </w:t>
      </w:r>
      <w:r>
        <w:rPr>
          <w:rStyle w:val="FootnoteAnchor"/>
          <w:rtl w:val="true"/>
        </w:rPr>
        <w:footnoteReference w:id="12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الشّيخ في الصّحيح،عن يعقوب بن يقطين،عن أبي الحسن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غسل الجنابة فيه وضوء أم لا فيما نزل به جبرئيل عليه السّلام؟فقال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الجنب يغتسل يبدأ فيغسل يده </w:t>
      </w:r>
      <w:r>
        <w:rPr>
          <w:rStyle w:val="FootnoteAnchor"/>
          <w:rtl w:val="true"/>
        </w:rPr>
        <w:footnoteReference w:id="1286"/>
      </w:r>
      <w:r>
        <w:rPr>
          <w:rFonts w:ascii="Amiri" w:hAnsi="Amiri" w:eastAsia="Amiri" w:cs="Amiri"/>
          <w:color w:val="111111"/>
          <w:sz w:val="28"/>
          <w:sz w:val="28"/>
          <w:szCs w:val="28"/>
          <w:rtl w:val="true"/>
          <w:lang w:bidi="ar-SA"/>
        </w:rPr>
        <w:t>إلى المرفقين قبل أن يغمسهما في الماء ثمَّ يغسل ما أصابه من أذى،ثمَّ يصبّ على رأسه و على وجهه و على جسده كلّه،ثمَّ قد قضى الغسل و لا وضوء عليه</w:t>
      </w:r>
      <w:r>
        <w:rPr>
          <w:rFonts w:eastAsia="Amiri" w:cs="Amiri" w:ascii="Amiri" w:hAnsi="Amiri"/>
          <w:color w:val="111111"/>
          <w:sz w:val="28"/>
          <w:szCs w:val="28"/>
          <w:rtl w:val="true"/>
          <w:lang w:bidi="ar-SA"/>
        </w:rPr>
        <w:t xml:space="preserve">» </w:t>
      </w:r>
      <w:r>
        <w:rPr>
          <w:rStyle w:val="FootnoteAnchor"/>
          <w:rtl w:val="true"/>
        </w:rPr>
        <w:footnoteReference w:id="12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في الحسن،عن حمّاد بن عثمان،عن أبي عبد اللّه عليه السّلام،قال</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كلّ غسل وضوء إلاّ الجنابة</w:t>
      </w:r>
      <w:r>
        <w:rPr>
          <w:rFonts w:eastAsia="Amiri" w:cs="Amiri" w:ascii="Amiri" w:hAnsi="Amiri"/>
          <w:color w:val="111111"/>
          <w:sz w:val="28"/>
          <w:szCs w:val="28"/>
          <w:rtl w:val="true"/>
          <w:lang w:bidi="ar-SA"/>
        </w:rPr>
        <w:t xml:space="preserve">» </w:t>
      </w:r>
      <w:r>
        <w:rPr>
          <w:rStyle w:val="FootnoteAnchor"/>
          <w:rtl w:val="true"/>
        </w:rPr>
        <w:footnoteReference w:id="1288"/>
      </w:r>
      <w:r>
        <w:rPr>
          <w:rFonts w:ascii="Amiri" w:hAnsi="Amiri" w:eastAsia="Amiri" w:cs="Amiri"/>
          <w:color w:val="111111"/>
          <w:sz w:val="28"/>
          <w:sz w:val="28"/>
          <w:szCs w:val="28"/>
          <w:rtl w:val="true"/>
          <w:lang w:bidi="ar-SA"/>
        </w:rPr>
        <w:t>و لأنّهما عبادتان من جنس واحد،فتدخل الصّغرى في الكبرى كالعمرة في الحج</w:t>
      </w:r>
      <w:r>
        <w:rPr>
          <w:rFonts w:eastAsia="Amiri" w:cs="Amiri" w:ascii="Amiri" w:hAnsi="Amiri"/>
          <w:color w:val="111111"/>
          <w:sz w:val="28"/>
          <w:szCs w:val="28"/>
          <w:rtl w:val="true"/>
          <w:lang w:bidi="ar-SA"/>
        </w:rPr>
        <w:t xml:space="preserve">. </w:t>
      </w:r>
      <w:bookmarkStart w:id="787" w:name="pg12669_113032"/>
    </w:p>
    <w:p>
      <w:pPr>
        <w:pStyle w:val="BookText"/>
        <w:rPr/>
      </w:pPr>
      <w:bookmarkEnd w:id="787"/>
      <w:r>
        <w:rPr>
          <w:rFonts w:ascii="Amiri" w:hAnsi="Amiri" w:eastAsia="Amiri" w:cs="Amiri"/>
          <w:color w:val="111111"/>
          <w:sz w:val="28"/>
          <w:sz w:val="28"/>
          <w:szCs w:val="28"/>
          <w:rtl w:val="true"/>
          <w:lang w:bidi="ar-SA"/>
        </w:rPr>
        <w:t xml:space="preserve">احتجّ الشّافعيّ بأنّ رسول اللّه صلّى اللّه عليه و آله فعله،و لأنّ الجنابة و الحدث وجدا منه،فوجب لهما الطّهارتان كما لو انفردا </w:t>
      </w:r>
      <w:r>
        <w:rPr>
          <w:rStyle w:val="FootnoteAnchor"/>
          <w:rtl w:val="true"/>
        </w:rPr>
        <w:footnoteReference w:id="12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الجواب عن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معارض برواية عائشة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التّداخل ثابت مع ما يوجب الصّغرى،فمع ما يوجب الكبرى أولى</w:t>
      </w:r>
      <w:r>
        <w:rPr>
          <w:rFonts w:eastAsia="Amiri" w:cs="Amiri" w:ascii="Amiri" w:hAnsi="Amiri"/>
          <w:color w:val="111111"/>
          <w:sz w:val="28"/>
          <w:szCs w:val="28"/>
          <w:rtl w:val="true"/>
          <w:lang w:bidi="ar-SA"/>
        </w:rPr>
        <w:t>.</w:t>
      </w:r>
    </w:p>
    <w:p>
      <w:pPr>
        <w:pStyle w:val="Heading6"/>
        <w:numPr>
          <w:ilvl w:val="5"/>
          <w:numId w:val="1"/>
        </w:numPr>
        <w:rPr/>
      </w:pPr>
      <w:bookmarkStart w:id="788" w:name="__RefHeading___Toc795765_222507752"/>
      <w:bookmarkStart w:id="789" w:name="_Toc322"/>
      <w:bookmarkEnd w:id="788"/>
      <w:r>
        <w:rPr>
          <w:rtl w:val="true"/>
        </w:rPr>
        <w:t>فروع</w:t>
      </w:r>
      <w:r>
        <w:rPr>
          <w:rtl w:val="true"/>
        </w:rPr>
        <w:t>:</w:t>
      </w:r>
      <w:bookmarkEnd w:id="789"/>
    </w:p>
    <w:p>
      <w:pPr>
        <w:pStyle w:val="Heading6"/>
        <w:numPr>
          <w:ilvl w:val="5"/>
          <w:numId w:val="1"/>
        </w:numPr>
        <w:rPr/>
      </w:pPr>
      <w:bookmarkStart w:id="790" w:name="__RefHeading___Toc795767_222507752"/>
      <w:bookmarkStart w:id="791" w:name="_Toc323"/>
      <w:bookmarkEnd w:id="790"/>
      <w:r>
        <w:rPr>
          <w:rtl w:val="true"/>
        </w:rPr>
        <w:t>الأوّل</w:t>
      </w:r>
      <w:r>
        <w:rPr>
          <w:rtl w:val="true"/>
        </w:rPr>
        <w:t>:</w:t>
      </w:r>
      <w:r>
        <w:rPr>
          <w:rtl w:val="true"/>
        </w:rPr>
        <w:t>لا يستحبّ الوضوء قبله عندنا</w:t>
      </w:r>
      <w:bookmarkEnd w:id="791"/>
    </w:p>
    <w:p>
      <w:pPr>
        <w:pStyle w:val="BookText"/>
        <w:rPr/>
      </w:pPr>
      <w:r>
        <w:rPr>
          <w:rFonts w:ascii="Amiri" w:hAnsi="Amiri" w:eastAsia="Amiri" w:cs="Amiri"/>
          <w:color w:val="111111"/>
          <w:sz w:val="28"/>
          <w:sz w:val="28"/>
          <w:szCs w:val="28"/>
          <w:rtl w:val="true"/>
          <w:lang w:bidi="ar-SA"/>
        </w:rPr>
        <w:t xml:space="preserve">،خلافا للشّيخ في التّهذيب </w:t>
      </w:r>
      <w:r>
        <w:rPr>
          <w:rStyle w:val="FootnoteAnchor"/>
          <w:rtl w:val="true"/>
        </w:rPr>
        <w:footnoteReference w:id="1290"/>
      </w:r>
      <w:r>
        <w:rPr>
          <w:rFonts w:ascii="IRNazanin" w:hAnsi="IRNazanin" w:eastAsia="IRNazanin"/>
          <w:color w:val="111111"/>
          <w:sz w:val="28"/>
          <w:sz w:val="28"/>
          <w:szCs w:val="28"/>
          <w:rtl w:val="true"/>
          <w:lang w:bidi="fa-IR"/>
        </w:rPr>
        <w:t xml:space="preserve">،و أطبق الجمهور على استحبابه قبله </w:t>
      </w:r>
      <w:r>
        <w:rPr>
          <w:rStyle w:val="FootnoteAnchor"/>
          <w:rtl w:val="true"/>
        </w:rPr>
        <w:footnoteReference w:id="12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 انّ الاستحباب حكم شرعيّ فيقف عليه،و لا شرع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احتجّ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الجمهور بما رووه عن فعل النّبيّ صلّى اللّه عليه و آله </w:t>
      </w:r>
      <w:r>
        <w:rPr>
          <w:rStyle w:val="FootnoteAnchor"/>
          <w:rtl w:val="true"/>
        </w:rPr>
        <w:footnoteReference w:id="12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المعارضة بما روته عائشة</w:t>
      </w:r>
      <w:r>
        <w:rPr>
          <w:rFonts w:eastAsia="Amiri" w:cs="Amiri" w:ascii="Amiri" w:hAnsi="Amiri"/>
          <w:color w:val="111111"/>
          <w:sz w:val="28"/>
          <w:szCs w:val="28"/>
          <w:rtl w:val="true"/>
          <w:lang w:bidi="ar-SA"/>
        </w:rPr>
        <w:t>.</w:t>
      </w:r>
    </w:p>
    <w:p>
      <w:pPr>
        <w:pStyle w:val="Heading6"/>
        <w:numPr>
          <w:ilvl w:val="5"/>
          <w:numId w:val="1"/>
        </w:numPr>
        <w:rPr/>
      </w:pPr>
      <w:bookmarkStart w:id="792" w:name="__RefHeading___Toc795769_222507752"/>
      <w:bookmarkStart w:id="793" w:name="_Toc324"/>
      <w:bookmarkEnd w:id="792"/>
      <w:r>
        <w:rPr>
          <w:rtl w:val="true"/>
        </w:rPr>
        <w:t>الثّاني</w:t>
      </w:r>
      <w:r>
        <w:rPr>
          <w:rtl w:val="true"/>
        </w:rPr>
        <w:t>:</w:t>
      </w:r>
      <w:r>
        <w:rPr>
          <w:rtl w:val="true"/>
        </w:rPr>
        <w:t>هل يكفي الغسل مطلقا</w:t>
      </w:r>
      <w:bookmarkEnd w:id="793"/>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،سواء كان عن جنابة أو حيض أو غسل جمعة، عن الوضوء أم لا؟الأقرب عدم الاكتفاء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اختيار المفيد </w:t>
      </w:r>
      <w:r>
        <w:rPr>
          <w:rStyle w:val="FootnoteAnchor"/>
          <w:rtl w:val="true"/>
        </w:rPr>
        <w:footnoteReference w:id="1293"/>
      </w:r>
      <w:r>
        <w:rPr>
          <w:rFonts w:ascii="Amiri" w:hAnsi="Amiri" w:eastAsia="Amiri" w:cs="Amiri"/>
          <w:color w:val="111111"/>
          <w:sz w:val="28"/>
          <w:sz w:val="28"/>
          <w:szCs w:val="28"/>
          <w:rtl w:val="true"/>
          <w:lang w:bidi="ar-SA"/>
        </w:rPr>
        <w:t xml:space="preserve">،و الشّيخ </w:t>
      </w:r>
      <w:r>
        <w:rPr>
          <w:rStyle w:val="FootnoteAnchor"/>
          <w:rtl w:val="true"/>
        </w:rPr>
        <w:footnoteReference w:id="129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السّيّد المرتضى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يكفي و إن كان ندبا </w:t>
      </w:r>
      <w:r>
        <w:rPr>
          <w:rStyle w:val="FootnoteAnchor"/>
          <w:rtl w:val="true"/>
        </w:rPr>
        <w:footnoteReference w:id="129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تعالى إِذا قُمْتُمْ إِلَى الصَّلاةِ فَاغْسِلُوا </w:t>
      </w:r>
      <w:r>
        <w:rPr>
          <w:rStyle w:val="FootnoteAnchor"/>
          <w:rtl w:val="true"/>
        </w:rPr>
        <w:footnoteReference w:id="1296"/>
      </w:r>
      <w:r>
        <w:rPr>
          <w:rFonts w:ascii="Amiri" w:hAnsi="Amiri" w:eastAsia="Amiri" w:cs="Amiri"/>
          <w:color w:val="111111"/>
          <w:sz w:val="28"/>
          <w:sz w:val="28"/>
          <w:szCs w:val="28"/>
          <w:rtl w:val="true"/>
          <w:lang w:bidi="ar-SA"/>
        </w:rPr>
        <w:t>و ذلك عام خرج منه غسل الجنابة للنّصّ،فيبقى الباقي على عمومه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لرواية حمّاد بن عثمان،و ابن أبي عمير،عن رجل،عن أبي عبد اللّه عليه السّلام،و قد تقدّمتا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رواه الشّيخ،عن عليّ بن يقطين،عن أبي الحسن الأوّل عليه السّلام،قال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أردت أن تغتسل للجمعة فتوضّأ و اغتسل</w:t>
      </w:r>
      <w:r>
        <w:rPr>
          <w:rFonts w:eastAsia="Amiri" w:cs="Amiri" w:ascii="Amiri" w:hAnsi="Amiri"/>
          <w:color w:val="111111"/>
          <w:sz w:val="28"/>
          <w:szCs w:val="28"/>
          <w:rtl w:val="true"/>
          <w:lang w:bidi="ar-SA"/>
        </w:rPr>
        <w:t xml:space="preserve">» </w:t>
      </w:r>
      <w:r>
        <w:rPr>
          <w:rStyle w:val="FootnoteAnchor"/>
          <w:rtl w:val="true"/>
        </w:rPr>
        <w:footnoteReference w:id="1297"/>
      </w:r>
      <w:r>
        <w:rPr>
          <w:rFonts w:ascii="Amiri" w:hAnsi="Amiri" w:eastAsia="Amiri" w:cs="Amiri"/>
          <w:color w:val="111111"/>
          <w:sz w:val="28"/>
          <w:sz w:val="28"/>
          <w:szCs w:val="28"/>
          <w:rtl w:val="true"/>
          <w:lang w:bidi="ar-SA"/>
        </w:rPr>
        <w:t xml:space="preserve">و لأنّهما سببان لأثرين </w:t>
      </w:r>
      <w:r>
        <w:rPr>
          <w:rStyle w:val="FootnoteAnchor"/>
          <w:rtl w:val="true"/>
        </w:rPr>
        <w:footnoteReference w:id="1298"/>
      </w:r>
      <w:r>
        <w:rPr>
          <w:rFonts w:ascii="Amiri" w:hAnsi="Amiri" w:eastAsia="Amiri" w:cs="Amiri"/>
          <w:color w:val="111111"/>
          <w:sz w:val="28"/>
          <w:sz w:val="28"/>
          <w:szCs w:val="28"/>
          <w:rtl w:val="true"/>
          <w:lang w:bidi="ar-SA"/>
        </w:rPr>
        <w:t>متغايرين لو انفرد كلّ واحد منهما اقتضى أثره،فمع الاجتماع يجب التّأثير،لكن ترك العمل به في الجنابة،فيبقى معمولا به في البواقي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احتجّ السّيّد المرتضى بما رواه الشّيخ في الصّحيح،عن محمّد بن مسلم،عن أبي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الغسل يجزي عن الوضوء،و أيّ وضوء أطهر من الغسل</w:t>
      </w:r>
      <w:r>
        <w:rPr>
          <w:rFonts w:eastAsia="Amiri" w:cs="Amiri" w:ascii="Amiri" w:hAnsi="Amiri"/>
          <w:color w:val="111111"/>
          <w:sz w:val="28"/>
          <w:szCs w:val="28"/>
          <w:rtl w:val="true"/>
          <w:lang w:bidi="ar-SA"/>
        </w:rPr>
        <w:t xml:space="preserve">» </w:t>
      </w:r>
      <w:r>
        <w:rPr>
          <w:rStyle w:val="FootnoteAnchor"/>
          <w:rtl w:val="true"/>
        </w:rPr>
        <w:footnoteReference w:id="12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بما رواه،عن إبراهيم بن محمّد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محمّد بن عبد الرّحمن الهمدانيّ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إلى أبي الحسن الثّالث عليه السّلام سألته عن الوضوء للصّلاة في غسل الجمعة؟فكتب</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وضوء للصّلاة في غسل يوم الجمعة و لا غيره</w:t>
      </w:r>
      <w:r>
        <w:rPr>
          <w:rFonts w:eastAsia="Amiri" w:cs="Amiri" w:ascii="Amiri" w:hAnsi="Amiri"/>
          <w:color w:val="111111"/>
          <w:sz w:val="28"/>
          <w:szCs w:val="28"/>
          <w:rtl w:val="true"/>
          <w:lang w:bidi="ar-SA"/>
        </w:rPr>
        <w:t xml:space="preserve">» </w:t>
      </w:r>
      <w:r>
        <w:rPr>
          <w:rStyle w:val="FootnoteAnchor"/>
          <w:rtl w:val="true"/>
        </w:rPr>
        <w:footnoteReference w:id="130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روى،عن عمّار السّاباطيّ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أبو عبد اللّه عليه السّلام عن الرّجل إذا اغتسل من جنابة أو يوم جمعة أو يوم عيد،هل عليه الوضوء قبل ذلك أو بعده؟فقال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لا،ليس عليه قبل و لا بعد قد أجزأه الغسل،و المرأة مثل ذلك إذا اغتسلت من حيض أو غير ذلك فليس عليها الوضوء لا قبل و لا بعد،قد أجزأها الغسل</w:t>
      </w:r>
      <w:r>
        <w:rPr>
          <w:rFonts w:eastAsia="Amiri" w:cs="Amiri" w:ascii="Amiri" w:hAnsi="Amiri"/>
          <w:color w:val="111111"/>
          <w:sz w:val="28"/>
          <w:szCs w:val="28"/>
          <w:rtl w:val="true"/>
          <w:lang w:bidi="ar-SA"/>
        </w:rPr>
        <w:t xml:space="preserve">» </w:t>
      </w:r>
      <w:r>
        <w:rPr>
          <w:rStyle w:val="FootnoteAnchor"/>
          <w:rtl w:val="true"/>
        </w:rPr>
        <w:footnoteReference w:id="13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رواه حمّاد بن عثمان،عن رجل،عن أبي عبد اللّه عليه السّلام،في الرّجل يغتسل للجمعة أو غير ذلك أ يجزيه من الوضوء؟فقال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أيّ وضوء أطهر من الغسل</w:t>
      </w:r>
      <w:r>
        <w:rPr>
          <w:rFonts w:eastAsia="Amiri" w:cs="Amiri" w:ascii="Amiri" w:hAnsi="Amiri"/>
          <w:color w:val="111111"/>
          <w:sz w:val="28"/>
          <w:szCs w:val="28"/>
          <w:rtl w:val="true"/>
          <w:lang w:bidi="ar-SA"/>
        </w:rPr>
        <w:t xml:space="preserve">» </w:t>
      </w:r>
      <w:r>
        <w:rPr>
          <w:rStyle w:val="FootnoteAnchor"/>
          <w:rtl w:val="true"/>
        </w:rPr>
        <w:footnoteReference w:id="13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الجواب عن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الألف و اللام لا يدلّ على الاستغراق،فلا احتجاج فيه، إذ يصدق بصدق أحد جزئيّاته،و قد ثبت هذا الحكم لبعض الأغسال،فيبقى الباقي على 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يحمل الألف و اللاّم على العهد جمعا بين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الأخبار الباقية بالمنع من صحّة سندها،فإنّ الأوّل رواه الحسن بن عليّ بن إبراهيم بن محمّد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جدّه إبراهيم،و لا يحضرني الآن حالهما،و محمّد بن عبد الرّحمن الهمدانيّ،لا أعرف حاله</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رواه عمّار و هو فطحي </w:t>
      </w:r>
      <w:r>
        <w:rPr>
          <w:rStyle w:val="FootnoteAnchor"/>
          <w:rtl w:val="true"/>
        </w:rPr>
        <w:footnoteReference w:id="1303"/>
      </w:r>
      <w:r>
        <w:rPr>
          <w:rFonts w:ascii="Amiri" w:hAnsi="Amiri" w:eastAsia="Amiri" w:cs="Amiri"/>
          <w:color w:val="111111"/>
          <w:sz w:val="28"/>
          <w:sz w:val="28"/>
          <w:szCs w:val="28"/>
          <w:rtl w:val="true"/>
          <w:lang w:bidi="ar-SA"/>
        </w:rPr>
        <w:t xml:space="preserve">،و في طريقه ابن فضّال و هو فطحيّ </w:t>
      </w:r>
      <w:r>
        <w:rPr>
          <w:rStyle w:val="FootnoteAnchor"/>
          <w:rtl w:val="true"/>
        </w:rPr>
        <w:footnoteReference w:id="1304"/>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bookmarkStart w:id="794" w:name="pg12669_113035"/>
    </w:p>
    <w:p>
      <w:pPr>
        <w:pStyle w:val="BookText"/>
        <w:rPr/>
      </w:pPr>
      <w:bookmarkEnd w:id="794"/>
      <w:r>
        <w:rPr>
          <w:rFonts w:ascii="Amiri" w:hAnsi="Amiri" w:eastAsia="Amiri" w:cs="Amiri"/>
          <w:color w:val="111111"/>
          <w:sz w:val="28"/>
          <w:sz w:val="28"/>
          <w:szCs w:val="28"/>
          <w:rtl w:val="true"/>
          <w:lang w:bidi="ar-SA"/>
        </w:rPr>
        <w:t>و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مرسل،و في طريقه الحسن بن عليّ بن فضّال،و هو فطحيّ </w:t>
      </w:r>
      <w:r>
        <w:rPr>
          <w:rStyle w:val="FootnoteAnchor"/>
          <w:rtl w:val="true"/>
        </w:rPr>
        <w:footnoteReference w:id="1305"/>
      </w:r>
      <w:r>
        <w:rPr>
          <w:rFonts w:ascii="Amiri" w:hAnsi="Amiri" w:eastAsia="Amiri" w:cs="Amiri"/>
          <w:color w:val="111111"/>
          <w:sz w:val="28"/>
          <w:sz w:val="28"/>
          <w:szCs w:val="28"/>
          <w:rtl w:val="true"/>
          <w:lang w:bidi="ar-SA"/>
        </w:rPr>
        <w:t>و في طريقه الحسن بن حسين اللّؤلؤي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النّجاشي و إن كان قد وثّقه </w:t>
      </w:r>
      <w:r>
        <w:rPr>
          <w:rStyle w:val="FootnoteAnchor"/>
          <w:rtl w:val="true"/>
        </w:rPr>
        <w:footnoteReference w:id="1306"/>
      </w:r>
      <w:r>
        <w:rPr>
          <w:rFonts w:ascii="Amiri" w:hAnsi="Amiri" w:eastAsia="Amiri" w:cs="Amiri"/>
          <w:color w:val="111111"/>
          <w:sz w:val="28"/>
          <w:sz w:val="28"/>
          <w:szCs w:val="28"/>
          <w:rtl w:val="true"/>
          <w:lang w:bidi="ar-SA"/>
        </w:rPr>
        <w:t xml:space="preserve">إلاّ انّ الشّيخ حكى في كتاب الرّجال انّ ابن بابويه ضعّفه </w:t>
      </w:r>
      <w:r>
        <w:rPr>
          <w:rStyle w:val="FootnoteAnchor"/>
          <w:rtl w:val="true"/>
        </w:rPr>
        <w:footnoteReference w:id="1307"/>
      </w:r>
      <w:r>
        <w:rPr>
          <w:rFonts w:ascii="Amiri" w:hAnsi="Amiri" w:eastAsia="Amiri" w:cs="Amiri"/>
          <w:color w:val="111111"/>
          <w:sz w:val="28"/>
          <w:sz w:val="28"/>
          <w:szCs w:val="28"/>
          <w:rtl w:val="true"/>
          <w:lang w:bidi="ar-SA"/>
        </w:rPr>
        <w:t xml:space="preserve">،فلا يعارض ما ذكرناه من الأدلّة، على انّه يحتمل ما ذكره الشّيخ،من انّ المقصود هو ما إذا اجتمعت هذه أو شيء منها مع غسل الجنابة </w:t>
      </w:r>
      <w:r>
        <w:rPr>
          <w:rStyle w:val="FootnoteAnchor"/>
          <w:rtl w:val="true"/>
        </w:rPr>
        <w:footnoteReference w:id="130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يمكن أن يقال في الجواب عن الأحاديث كلّها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انّها تدلّ على كماليّة الأغسال،و الاكتفاء بها فيما شرّعت له،و نحن نقول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الوضوء لا نوجبه في غسل الحيض و الجمعة مثلا ليكمل الغسل عنهما،و إنّما نوجب الوضوء للصّلاة،فعند غسل الحيض يرتفع حدث الحيض و تبقى المرأة كغيرها من المكلّفين،إذا أرادت الصّلاة يجب عليها الوضوء،و كذا باقي الأغسال</w:t>
      </w:r>
      <w:r>
        <w:rPr>
          <w:rFonts w:eastAsia="Amiri" w:cs="Amiri" w:ascii="Amiri" w:hAnsi="Amiri"/>
          <w:color w:val="111111"/>
          <w:sz w:val="28"/>
          <w:szCs w:val="28"/>
          <w:rtl w:val="true"/>
          <w:lang w:bidi="ar-SA"/>
        </w:rPr>
        <w:t>.</w:t>
      </w:r>
    </w:p>
    <w:p>
      <w:pPr>
        <w:pStyle w:val="Heading6"/>
        <w:numPr>
          <w:ilvl w:val="5"/>
          <w:numId w:val="1"/>
        </w:numPr>
        <w:rPr/>
      </w:pPr>
      <w:bookmarkStart w:id="795" w:name="__RefHeading___Toc795771_222507752"/>
      <w:bookmarkStart w:id="796" w:name="_Toc325"/>
      <w:bookmarkEnd w:id="795"/>
      <w:r>
        <w:rPr>
          <w:rtl w:val="true"/>
        </w:rPr>
        <w:t>الثّالث</w:t>
      </w:r>
      <w:r>
        <w:rPr>
          <w:rtl w:val="true"/>
        </w:rPr>
        <w:t>:</w:t>
      </w:r>
      <w:r>
        <w:rPr>
          <w:rtl w:val="true"/>
        </w:rPr>
        <w:t>لو اجتمعت أغسال واجبة معه أجزأه غسل واحد</w:t>
      </w:r>
      <w:bookmarkEnd w:id="796"/>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به قال الشّيخ </w:t>
      </w:r>
      <w:r>
        <w:rPr>
          <w:rStyle w:val="FootnoteAnchor"/>
          <w:rtl w:val="true"/>
        </w:rPr>
        <w:footnoteReference w:id="1309"/>
      </w:r>
      <w:r>
        <w:rPr>
          <w:rFonts w:ascii="Amiri" w:hAnsi="Amiri" w:eastAsia="Amiri" w:cs="Amiri"/>
          <w:color w:val="111111"/>
          <w:sz w:val="28"/>
          <w:sz w:val="28"/>
          <w:szCs w:val="28"/>
          <w:rtl w:val="true"/>
          <w:lang w:bidi="ar-SA"/>
        </w:rPr>
        <w:t>و أكثر أهل العلم كعطاء،و أبي الزّناد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ربيعة </w:t>
      </w:r>
      <w:r>
        <w:rPr>
          <w:rStyle w:val="FootnoteAnchor"/>
          <w:rtl w:val="true"/>
        </w:rPr>
        <w:footnoteReference w:id="1310"/>
      </w:r>
      <w:r>
        <w:rPr>
          <w:rFonts w:ascii="Amiri" w:hAnsi="Amiri" w:eastAsia="Amiri" w:cs="Amiri"/>
          <w:color w:val="111111"/>
          <w:sz w:val="28"/>
          <w:sz w:val="28"/>
          <w:szCs w:val="28"/>
          <w:rtl w:val="true"/>
          <w:lang w:bidi="ar-SA"/>
        </w:rPr>
        <w:t xml:space="preserve">،و مالك </w:t>
      </w:r>
      <w:r>
        <w:rPr>
          <w:rStyle w:val="FootnoteAnchor"/>
          <w:rtl w:val="true"/>
        </w:rPr>
        <w:footnoteReference w:id="1311"/>
      </w:r>
      <w:r>
        <w:rPr>
          <w:rFonts w:ascii="Amiri" w:hAnsi="Amiri" w:eastAsia="Amiri" w:cs="Amiri"/>
          <w:color w:val="111111"/>
          <w:sz w:val="28"/>
          <w:sz w:val="28"/>
          <w:szCs w:val="28"/>
          <w:rtl w:val="true"/>
          <w:lang w:bidi="ar-SA"/>
        </w:rPr>
        <w:t xml:space="preserve">،و الشّافعيّ </w:t>
      </w:r>
      <w:r>
        <w:rPr>
          <w:rStyle w:val="FootnoteAnchor"/>
          <w:rtl w:val="true"/>
        </w:rPr>
        <w:footnoteReference w:id="1312"/>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إسحاق،و أصحاب الرّأي،و أحمد بن حنبل </w:t>
      </w:r>
      <w:r>
        <w:rPr>
          <w:rStyle w:val="FootnoteAnchor"/>
          <w:rtl w:val="true"/>
        </w:rPr>
        <w:footnoteReference w:id="131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روي،عن الحسن،و النّخعيّ في الحائض و الجنب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يغتسل غسلين </w:t>
      </w:r>
      <w:r>
        <w:rPr>
          <w:rStyle w:val="FootnoteAnchor"/>
          <w:rtl w:val="true"/>
        </w:rPr>
        <w:footnoteReference w:id="13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رواه الجمهور انّ النّبيّ صلّى اللّه عليه و آله لم يكن يغتسل من الجماع إلاّ غسلا واحدا </w:t>
      </w:r>
      <w:r>
        <w:rPr>
          <w:rStyle w:val="FootnoteAnchor"/>
          <w:rtl w:val="true"/>
        </w:rPr>
        <w:footnoteReference w:id="1315"/>
      </w:r>
      <w:r>
        <w:rPr>
          <w:rFonts w:ascii="Amiri" w:hAnsi="Amiri" w:eastAsia="Amiri" w:cs="Amiri"/>
          <w:color w:val="111111"/>
          <w:sz w:val="28"/>
          <w:sz w:val="28"/>
          <w:szCs w:val="28"/>
          <w:rtl w:val="true"/>
          <w:lang w:bidi="ar-SA"/>
        </w:rPr>
        <w:t>،و هو يتضمّن شيئين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الالتقاء،و الإنزال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طريق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الشّيخ،عن زرارة،عن أحدهما عليهما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اغتسلت بعد طلوع الفجر أجزأك غسلك ذلك للجنابة و الجمعة و عرفة و النّحر و الذّبح و الزّيارة،فإذا اجتمعت للّه عليك حقوق أجزأها عنك غسل 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كذلك المرأة يجزيها غسل واحد لجنابتها و إحرامها و جمعتها و غسلها من حيضها و عيدها</w:t>
      </w:r>
      <w:r>
        <w:rPr>
          <w:rFonts w:eastAsia="Amiri" w:cs="Amiri" w:ascii="Amiri" w:hAnsi="Amiri"/>
          <w:color w:val="111111"/>
          <w:sz w:val="28"/>
          <w:szCs w:val="28"/>
          <w:rtl w:val="true"/>
          <w:lang w:bidi="ar-SA"/>
        </w:rPr>
        <w:t xml:space="preserve">» </w:t>
      </w:r>
      <w:r>
        <w:rPr>
          <w:rStyle w:val="FootnoteAnchor"/>
          <w:rtl w:val="true"/>
        </w:rPr>
        <w:footnoteReference w:id="131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رواه ابن يعقوب في الصّحيح،عن زرارة أيضا </w:t>
      </w:r>
      <w:r>
        <w:rPr>
          <w:rStyle w:val="FootnoteAnchor"/>
          <w:rtl w:val="true"/>
        </w:rPr>
        <w:footnoteReference w:id="13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ابن يعقوب،عن جميل 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درّاج</w:t>
      </w:r>
      <w:r>
        <w:rPr>
          <w:rFonts w:eastAsia="Amiri" w:cs="Amiri" w:ascii="Amiri" w:hAnsi="Amiri"/>
          <w:color w:val="111111"/>
          <w:sz w:val="28"/>
          <w:szCs w:val="28"/>
          <w:rtl w:val="true"/>
          <w:lang w:bidi="ar-SA"/>
        </w:rPr>
        <w:t xml:space="preserve">] </w:t>
      </w:r>
      <w:r>
        <w:rPr>
          <w:rStyle w:val="FootnoteAnchor"/>
          <w:rtl w:val="true"/>
        </w:rPr>
        <w:footnoteReference w:id="1318"/>
      </w:r>
      <w:r>
        <w:rPr>
          <w:rFonts w:ascii="Amiri" w:hAnsi="Amiri" w:eastAsia="Amiri" w:cs="Amiri"/>
          <w:color w:val="111111"/>
          <w:sz w:val="28"/>
          <w:sz w:val="28"/>
          <w:szCs w:val="28"/>
          <w:rtl w:val="true"/>
          <w:lang w:bidi="ar-SA"/>
        </w:rPr>
        <w:t>،عن بعض أصحابنا،عن أحدهما عليهما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اغتسل الجنب بعد طلوع الفجر أجزأ عنه ذلك الغسل من كلّ غسل يلزمه في ذلك اليوم</w:t>
      </w:r>
      <w:r>
        <w:rPr>
          <w:rFonts w:eastAsia="Amiri" w:cs="Amiri" w:ascii="Amiri" w:hAnsi="Amiri"/>
          <w:color w:val="111111"/>
          <w:sz w:val="28"/>
          <w:szCs w:val="28"/>
          <w:rtl w:val="true"/>
          <w:lang w:bidi="ar-SA"/>
        </w:rPr>
        <w:t xml:space="preserve">» </w:t>
      </w:r>
      <w:r>
        <w:rPr>
          <w:rStyle w:val="FootnoteAnchor"/>
          <w:rtl w:val="true"/>
        </w:rPr>
        <w:footnoteReference w:id="1319"/>
      </w:r>
      <w:r>
        <w:rPr>
          <w:rFonts w:eastAsia="Times New Roman" w:cs="Times New Roman" w:ascii="Times New Roman" w:hAnsi="Times New Roman"/>
          <w:color w:val="111111"/>
          <w:sz w:val="28"/>
          <w:szCs w:val="28"/>
          <w:rtl w:val="true"/>
          <w:lang w:val="en-US" w:bidi="en-US"/>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تقرّر هذا،فنقول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نوى بالاغتسال رفع الحدث أو غسل الجنابة أجزأ عن الوضوء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لو نوى به غسلا آخر كالحيض و غيره،فعلى ما اخترناه لا يجزئه عن الوضوء،و في ارتفاع حدث الجنابة </w:t>
      </w:r>
    </w:p>
    <w:p>
      <w:pPr>
        <w:pStyle w:val="BookText"/>
        <w:rPr/>
      </w:pPr>
      <w:r>
        <w:rPr>
          <w:rFonts w:ascii="Amiri" w:hAnsi="Amiri" w:eastAsia="Amiri" w:cs="Amiri"/>
          <w:color w:val="111111"/>
          <w:sz w:val="28"/>
          <w:sz w:val="28"/>
          <w:szCs w:val="28"/>
          <w:rtl w:val="true"/>
          <w:lang w:bidi="ar-SA"/>
        </w:rPr>
        <w:t>حينئذ إشكال ينشأ من تبعيّة الأفعال للقصود و الدّواعي،فإن قلنا بالإجزاء فلا وضوء حينئذ،و إن قلنا بعدمه فمع الوضوء هل يرتفع أم لا؟فيه نظر ينشأ من عموم الإذن في الدّخول في الصّلاة مع الاغتسال من الحيض و النّفاس و الوضوء،و ذلك يستلزم رفع كل حدث،و من كون الغسل الأوّل لم يقع عن الجنابة،و الوضوء ليس برافع لها،فنحن في هذا من المتوقّفين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غسل الجنابة قد اشتمل على نوع من التّمام و الكمال لم يشتمل عليه غيره،بحيث صار متحمّلا لقوّة رفع الحدث بانفراده،و لا يلزم من نيّة الفعل الضّعيف حصول القويّ،و على هذا البحث فلا بدّ من نيّة التّعيين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لو نوى به غسلا مطلقا، لم يجز عن واحد من الجنابة و لا من الجمعة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اغتسل و نوى به غسل الجنابة دون غسل الجمعة،أجزأ عن الجنابة 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أحد قولي الشّافعيّ </w:t>
      </w:r>
      <w:r>
        <w:rPr>
          <w:rStyle w:val="FootnoteAnchor"/>
          <w:rtl w:val="true"/>
        </w:rPr>
        <w:footnoteReference w:id="132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الشّيخ </w:t>
      </w:r>
      <w:r>
        <w:rPr>
          <w:rStyle w:val="FootnoteAnchor"/>
          <w:rtl w:val="true"/>
        </w:rPr>
        <w:footnoteReference w:id="132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يجزي عنهما،و به قال أبو حنيفة،و هو القول الآخر للشّافعيّ </w:t>
      </w:r>
      <w:r>
        <w:rPr>
          <w:rStyle w:val="FootnoteAnchor"/>
          <w:rtl w:val="true"/>
        </w:rPr>
        <w:footnoteReference w:id="13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تعالى وَ أَنْ لَيْسَ لِلْإِنْسانِ إِلاّ ما سَعى </w:t>
      </w:r>
      <w:r>
        <w:rPr>
          <w:rStyle w:val="FootnoteAnchor"/>
          <w:rtl w:val="true"/>
        </w:rPr>
        <w:footnoteReference w:id="1323"/>
      </w:r>
      <w:r>
        <w:rPr>
          <w:rFonts w:ascii="Amiri" w:hAnsi="Amiri" w:eastAsia="Amiri" w:cs="Amiri"/>
          <w:color w:val="111111"/>
          <w:sz w:val="28"/>
          <w:sz w:val="28"/>
          <w:szCs w:val="28"/>
          <w:rtl w:val="true"/>
          <w:lang w:bidi="ar-SA"/>
        </w:rPr>
        <w:t>و هو لم يفعل إلاّ غسل الجنابة،ضرورة تبعيّة الفعل للقصد لقوله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الأعمال بالنّيّات، و إنّما لكلّ امرئ ما نوى</w:t>
      </w:r>
      <w:r>
        <w:rPr>
          <w:rFonts w:eastAsia="Amiri" w:cs="Amiri" w:ascii="Amiri" w:hAnsi="Amiri"/>
          <w:color w:val="111111"/>
          <w:sz w:val="28"/>
          <w:szCs w:val="28"/>
          <w:rtl w:val="true"/>
          <w:lang w:bidi="ar-SA"/>
        </w:rPr>
        <w:t xml:space="preserve">» </w:t>
      </w:r>
      <w:r>
        <w:rPr>
          <w:rStyle w:val="FootnoteAnchor"/>
          <w:rtl w:val="true"/>
        </w:rPr>
        <w:footnoteReference w:id="1324"/>
      </w:r>
      <w:r>
        <w:rPr>
          <w:rFonts w:eastAsia="Times New Roman" w:cs="Times New Roman" w:ascii="Times New Roman" w:hAnsi="Times New Roman"/>
          <w:color w:val="111111"/>
          <w:sz w:val="28"/>
          <w:szCs w:val="28"/>
          <w:rtl w:val="true"/>
          <w:lang w:val="en-US" w:bidi="en-US"/>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نوى غسل الجمعة دون الجنابة،قال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يجزئه عن واحد منهما </w:t>
      </w:r>
      <w:r>
        <w:rPr>
          <w:rStyle w:val="FootnoteAnchor"/>
          <w:rtl w:val="true"/>
        </w:rPr>
        <w:footnoteReference w:id="1325"/>
      </w:r>
      <w:r>
        <w:rPr>
          <w:rFonts w:eastAsia="Times New Roman" w:cs="Times New Roman" w:ascii="Times New Roman" w:hAnsi="Times New Roman"/>
          <w:color w:val="111111"/>
          <w:sz w:val="28"/>
          <w:szCs w:val="28"/>
          <w:rtl w:val="true"/>
          <w:lang w:val="en-US" w:bidi="en-US"/>
        </w:rPr>
        <w:t xml:space="preserve">. </w:t>
      </w:r>
      <w:bookmarkStart w:id="797" w:name="pg12669_113038"/>
    </w:p>
    <w:p>
      <w:pPr>
        <w:pStyle w:val="BookText"/>
        <w:rPr/>
      </w:pPr>
      <w:bookmarkEnd w:id="797"/>
      <w:r>
        <w:rPr>
          <w:rFonts w:ascii="Amiri" w:hAnsi="Amiri" w:eastAsia="Amiri" w:cs="Amiri"/>
          <w:color w:val="111111"/>
          <w:sz w:val="28"/>
          <w:sz w:val="28"/>
          <w:szCs w:val="28"/>
          <w:rtl w:val="true"/>
          <w:lang w:bidi="ar-SA"/>
        </w:rPr>
        <w:t>و قال الشّافعيّ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يجزئه عن الجنابة قولا واحدا،و في إجزائه عن الجمعة قولان </w:t>
      </w:r>
      <w:r>
        <w:rPr>
          <w:rStyle w:val="FootnoteAnchor"/>
          <w:rtl w:val="true"/>
        </w:rPr>
        <w:footnoteReference w:id="132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أبو حنيفة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يجزئه عنها بناء على عدم اشتراط النّيّة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احتجّ الشّيخ بأنّ الجنابة لم ترفع لعدم النّيّة،و غسل الجمعة يراد للتّنظيف و زيادة التّطهير،و هو لا يصحّ إلاّ مع ارتفاع حدث الجنابة </w:t>
      </w:r>
      <w:r>
        <w:rPr>
          <w:rStyle w:val="FootnoteAnchor"/>
          <w:rtl w:val="true"/>
        </w:rPr>
        <w:footnoteReference w:id="132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يمكن أن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يجزئه عن غسل الجمعة،و ما ذكره الشّيخ منقوض بغسل الإحرام للحائض</w:t>
      </w:r>
      <w:r>
        <w:rPr>
          <w:rFonts w:eastAsia="Amiri" w:cs="Amiri" w:ascii="Amiri" w:hAnsi="Amiri"/>
          <w:color w:val="111111"/>
          <w:sz w:val="28"/>
          <w:szCs w:val="28"/>
          <w:rtl w:val="true"/>
          <w:lang w:bidi="ar-SA"/>
        </w:rPr>
        <w:t>.</w:t>
      </w:r>
    </w:p>
    <w:p>
      <w:pPr>
        <w:pStyle w:val="Heading6"/>
        <w:numPr>
          <w:ilvl w:val="5"/>
          <w:numId w:val="1"/>
        </w:numPr>
        <w:rPr/>
      </w:pPr>
      <w:bookmarkStart w:id="798" w:name="__RefHeading___Toc795773_222507752"/>
      <w:bookmarkStart w:id="799" w:name="_Toc326"/>
      <w:bookmarkEnd w:id="798"/>
      <w:r>
        <w:rPr>
          <w:rtl w:val="true"/>
        </w:rPr>
        <w:t>مسألة</w:t>
      </w:r>
      <w:r>
        <w:rPr>
          <w:rtl w:val="true"/>
        </w:rPr>
        <w:t>:</w:t>
      </w:r>
      <w:r>
        <w:rPr>
          <w:rtl w:val="true"/>
        </w:rPr>
        <w:t>إذا جرى الماء تحت قدمي الجنب أجزأه و إلاّ وجب غسلهما</w:t>
      </w:r>
      <w:r>
        <w:rPr>
          <w:rtl w:val="true"/>
        </w:rPr>
        <w:t>.</w:t>
      </w:r>
      <w:bookmarkEnd w:id="799"/>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الإجزاء مع الجريان قول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جرى عليه الماء فقد طهّره</w:t>
      </w:r>
      <w:r>
        <w:rPr>
          <w:rFonts w:eastAsia="Amiri" w:cs="Amiri" w:ascii="Amiri" w:hAnsi="Amiri"/>
          <w:color w:val="111111"/>
          <w:sz w:val="28"/>
          <w:szCs w:val="28"/>
          <w:rtl w:val="true"/>
          <w:lang w:bidi="ar-SA"/>
        </w:rPr>
        <w:t xml:space="preserve">» </w:t>
      </w:r>
      <w:r>
        <w:rPr>
          <w:rStyle w:val="FootnoteAnchor"/>
          <w:rtl w:val="true"/>
        </w:rPr>
        <w:footnoteReference w:id="1328"/>
      </w:r>
      <w:r>
        <w:rPr>
          <w:rFonts w:ascii="Amiri" w:hAnsi="Amiri" w:eastAsia="Amiri" w:cs="Amiri"/>
          <w:color w:val="111111"/>
          <w:sz w:val="28"/>
          <w:sz w:val="28"/>
          <w:szCs w:val="28"/>
          <w:rtl w:val="true"/>
          <w:lang w:bidi="ar-SA"/>
        </w:rPr>
        <w:t>و على عدمه مع العدم،انّه لم يحصل كمال الغسل فلا تحصل 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الشّيخ،عن بكر بن كرب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الرّجل يغتسل من الجنابة أ يغسل رجليه بعد الغسل؟فقال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يغتسل في مكان يسيل الماء على رجليه فلا عليه أن لا يغسلهما،و إن كان يغتسل في مكان تستنقع رجلاه في الماء فليغسلهما</w:t>
      </w:r>
      <w:r>
        <w:rPr>
          <w:rFonts w:eastAsia="Amiri" w:cs="Amiri" w:ascii="Amiri" w:hAnsi="Amiri"/>
          <w:color w:val="111111"/>
          <w:sz w:val="28"/>
          <w:szCs w:val="28"/>
          <w:rtl w:val="true"/>
          <w:lang w:bidi="ar-SA"/>
        </w:rPr>
        <w:t xml:space="preserve">» </w:t>
      </w:r>
      <w:r>
        <w:rPr>
          <w:rStyle w:val="FootnoteAnchor"/>
          <w:rtl w:val="true"/>
        </w:rPr>
        <w:footnoteReference w:id="13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روى،عن هشام بن سالم،عن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جعلت فداك،اغتسلت في الكنيف الّذي يبال فيه و عليّ نعل سنديّة؟فقال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الماء الّذي يسيل من جسدك يصيب أسفل قدميك فلا تغسل قدميك</w:t>
      </w:r>
      <w:r>
        <w:rPr>
          <w:rFonts w:eastAsia="Amiri" w:cs="Amiri" w:ascii="Amiri" w:hAnsi="Amiri"/>
          <w:color w:val="111111"/>
          <w:sz w:val="28"/>
          <w:szCs w:val="28"/>
          <w:rtl w:val="true"/>
          <w:lang w:bidi="ar-SA"/>
        </w:rPr>
        <w:t xml:space="preserve">» </w:t>
      </w:r>
      <w:r>
        <w:rPr>
          <w:rStyle w:val="FootnoteAnchor"/>
          <w:rtl w:val="true"/>
        </w:rPr>
        <w:footnoteReference w:id="1330"/>
      </w:r>
      <w:r>
        <w:rPr>
          <w:rFonts w:eastAsia="Times New Roman" w:cs="Times New Roman" w:ascii="Times New Roman" w:hAnsi="Times New Roman"/>
          <w:color w:val="111111"/>
          <w:sz w:val="28"/>
          <w:szCs w:val="28"/>
          <w:rtl w:val="true"/>
          <w:lang w:val="en-US" w:bidi="en-US"/>
        </w:rPr>
        <w:t xml:space="preserve">. </w:t>
      </w:r>
      <w:bookmarkStart w:id="800" w:name="pg12669_113039"/>
    </w:p>
    <w:p>
      <w:pPr>
        <w:pStyle w:val="Heading6"/>
        <w:numPr>
          <w:ilvl w:val="5"/>
          <w:numId w:val="1"/>
        </w:numPr>
        <w:rPr/>
      </w:pPr>
      <w:bookmarkStart w:id="801" w:name="__RefHeading___Toc795775_222507752"/>
      <w:bookmarkStart w:id="802" w:name="_Toc327"/>
      <w:bookmarkEnd w:id="800"/>
      <w:bookmarkEnd w:id="801"/>
      <w:r>
        <w:rPr>
          <w:rtl w:val="true"/>
        </w:rPr>
        <w:t>فروع</w:t>
      </w:r>
      <w:r>
        <w:rPr>
          <w:rtl w:val="true"/>
        </w:rPr>
        <w:t>:</w:t>
      </w:r>
      <w:bookmarkEnd w:id="802"/>
    </w:p>
    <w:p>
      <w:pPr>
        <w:pStyle w:val="Heading6"/>
        <w:numPr>
          <w:ilvl w:val="5"/>
          <w:numId w:val="1"/>
        </w:numPr>
        <w:rPr/>
      </w:pPr>
      <w:bookmarkStart w:id="803" w:name="__RefHeading___Toc795777_222507752"/>
      <w:bookmarkStart w:id="804" w:name="_Toc328"/>
      <w:bookmarkEnd w:id="803"/>
      <w:r>
        <w:rPr>
          <w:rtl w:val="true"/>
        </w:rPr>
        <w:t>الأوّل</w:t>
      </w:r>
      <w:r>
        <w:rPr>
          <w:rtl w:val="true"/>
        </w:rPr>
        <w:t>:</w:t>
      </w:r>
      <w:r>
        <w:rPr>
          <w:rtl w:val="true"/>
        </w:rPr>
        <w:t>غسل الرّجلين تابع للطّرفين،</w:t>
      </w:r>
      <w:bookmarkEnd w:id="804"/>
    </w:p>
    <w:p>
      <w:pPr>
        <w:pStyle w:val="BookText"/>
        <w:rPr/>
      </w:pPr>
      <w:r>
        <w:rPr>
          <w:rFonts w:ascii="Amiri" w:hAnsi="Amiri" w:eastAsia="Amiri" w:cs="Amiri"/>
          <w:color w:val="111111"/>
          <w:sz w:val="28"/>
          <w:sz w:val="28"/>
          <w:szCs w:val="28"/>
          <w:rtl w:val="true"/>
          <w:lang w:bidi="ar-SA"/>
        </w:rPr>
        <w:t>فاليمنى يجب تقديمها على اليسرى مع التّرتيب</w:t>
      </w:r>
      <w:r>
        <w:rPr>
          <w:rFonts w:eastAsia="Amiri" w:cs="Amiri" w:ascii="Amiri" w:hAnsi="Amiri"/>
          <w:color w:val="111111"/>
          <w:sz w:val="28"/>
          <w:szCs w:val="28"/>
          <w:rtl w:val="true"/>
          <w:lang w:bidi="ar-SA"/>
        </w:rPr>
        <w:t>.</w:t>
      </w:r>
    </w:p>
    <w:p>
      <w:pPr>
        <w:pStyle w:val="Heading6"/>
        <w:numPr>
          <w:ilvl w:val="5"/>
          <w:numId w:val="1"/>
        </w:numPr>
        <w:rPr/>
      </w:pPr>
      <w:bookmarkStart w:id="805" w:name="__RefHeading___Toc795779_222507752"/>
      <w:bookmarkStart w:id="806" w:name="_Toc329"/>
      <w:bookmarkEnd w:id="805"/>
      <w:r>
        <w:rPr>
          <w:rtl w:val="true"/>
        </w:rPr>
        <w:t>الثّاني</w:t>
      </w:r>
      <w:r>
        <w:rPr>
          <w:rtl w:val="true"/>
        </w:rPr>
        <w:t>:</w:t>
      </w:r>
      <w:r>
        <w:rPr>
          <w:rtl w:val="true"/>
        </w:rPr>
        <w:t>لا يجب عليه تخليل الأصابع</w:t>
      </w:r>
      <w:bookmarkEnd w:id="806"/>
    </w:p>
    <w:p>
      <w:pPr>
        <w:pStyle w:val="BookText"/>
        <w:rPr/>
      </w:pPr>
      <w:r>
        <w:rPr>
          <w:rFonts w:ascii="Amiri" w:hAnsi="Amiri" w:eastAsia="Amiri" w:cs="Amiri"/>
          <w:color w:val="111111"/>
          <w:sz w:val="28"/>
          <w:sz w:val="28"/>
          <w:szCs w:val="28"/>
          <w:rtl w:val="true"/>
          <w:lang w:bidi="ar-SA"/>
        </w:rPr>
        <w:t>إلاّ مع عدم الظّنّ بوصول الماء</w:t>
      </w:r>
      <w:r>
        <w:rPr>
          <w:rFonts w:eastAsia="Amiri" w:cs="Amiri" w:ascii="Amiri" w:hAnsi="Amiri"/>
          <w:color w:val="111111"/>
          <w:sz w:val="28"/>
          <w:szCs w:val="28"/>
          <w:rtl w:val="true"/>
          <w:lang w:bidi="ar-SA"/>
        </w:rPr>
        <w:t>.</w:t>
      </w:r>
    </w:p>
    <w:p>
      <w:pPr>
        <w:pStyle w:val="Heading6"/>
        <w:numPr>
          <w:ilvl w:val="5"/>
          <w:numId w:val="1"/>
        </w:numPr>
        <w:rPr/>
      </w:pPr>
      <w:bookmarkStart w:id="807" w:name="__RefHeading___Toc795781_222507752"/>
      <w:bookmarkStart w:id="808" w:name="_Toc330"/>
      <w:bookmarkEnd w:id="807"/>
      <w:r>
        <w:rPr>
          <w:rtl w:val="true"/>
        </w:rPr>
        <w:t>الثّالث</w:t>
      </w:r>
      <w:r>
        <w:rPr>
          <w:rtl w:val="true"/>
        </w:rPr>
        <w:t>:</w:t>
      </w:r>
      <w:r>
        <w:rPr>
          <w:rtl w:val="true"/>
        </w:rPr>
        <w:t>لو خاض في النّهر و أرضه وحلة للاغتسال،فإن كان مرتمسا أجزأه،</w:t>
      </w:r>
      <w:bookmarkEnd w:id="808"/>
    </w:p>
    <w:p>
      <w:pPr>
        <w:pStyle w:val="BookText"/>
        <w:rPr/>
      </w:pPr>
      <w:r>
        <w:rPr>
          <w:rFonts w:ascii="Amiri" w:hAnsi="Amiri" w:eastAsia="Amiri" w:cs="Amiri"/>
          <w:color w:val="111111"/>
          <w:sz w:val="28"/>
          <w:sz w:val="28"/>
          <w:szCs w:val="28"/>
          <w:rtl w:val="true"/>
          <w:lang w:bidi="ar-SA"/>
        </w:rPr>
        <w:t>لأنّه حيث نوى و نزل حصلت الطّهارة لرجليه قبل ثبوتها في الوحل و منعه من إيصال الماء إلى البشرة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لو كان مرتّبا وجب عليه نزع رجليه من الوحل على التّرتيب،و غسل كلّ رجل مع جانبها</w:t>
      </w:r>
      <w:r>
        <w:rPr>
          <w:rFonts w:eastAsia="Amiri" w:cs="Amiri" w:ascii="Amiri" w:hAnsi="Amiri"/>
          <w:color w:val="111111"/>
          <w:sz w:val="28"/>
          <w:szCs w:val="28"/>
          <w:rtl w:val="true"/>
          <w:lang w:bidi="ar-SA"/>
        </w:rPr>
        <w:t>.</w:t>
      </w:r>
    </w:p>
    <w:p>
      <w:pPr>
        <w:pStyle w:val="Heading6"/>
        <w:numPr>
          <w:ilvl w:val="5"/>
          <w:numId w:val="1"/>
        </w:numPr>
        <w:rPr/>
      </w:pPr>
      <w:bookmarkStart w:id="809" w:name="__RefHeading___Toc795783_222507752"/>
      <w:bookmarkStart w:id="810" w:name="_Toc331"/>
      <w:bookmarkEnd w:id="809"/>
      <w:r>
        <w:rPr>
          <w:rtl w:val="true"/>
        </w:rPr>
        <w:t>مسألة</w:t>
      </w:r>
      <w:r>
        <w:rPr>
          <w:rtl w:val="true"/>
        </w:rPr>
        <w:t>:</w:t>
      </w:r>
      <w:r>
        <w:rPr>
          <w:rtl w:val="true"/>
        </w:rPr>
        <w:t>إذا اغتسل ثمَّ رأى بللا،فإنّ تيقّنه منيّا أعاد الغسل،</w:t>
      </w:r>
      <w:bookmarkEnd w:id="810"/>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الموجب للغسل إنّما هو الخروج لا الانتقال عن مستقرّه،سواء بال و اجتهد أو لم يبل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به قال الشّافعيّ </w:t>
      </w:r>
      <w:r>
        <w:rPr>
          <w:rStyle w:val="FootnoteAnchor"/>
          <w:rtl w:val="true"/>
        </w:rPr>
        <w:footnoteReference w:id="133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الأوزاعيّ </w:t>
      </w:r>
      <w:r>
        <w:rPr>
          <w:rStyle w:val="FootnoteAnchor"/>
          <w:rtl w:val="true"/>
        </w:rPr>
        <w:footnoteReference w:id="1332"/>
      </w:r>
      <w:r>
        <w:rPr>
          <w:rFonts w:ascii="Amiri" w:hAnsi="Amiri" w:eastAsia="Amiri" w:cs="Amiri"/>
          <w:color w:val="111111"/>
          <w:sz w:val="28"/>
          <w:sz w:val="28"/>
          <w:szCs w:val="28"/>
          <w:rtl w:val="true"/>
          <w:lang w:bidi="ar-SA"/>
        </w:rPr>
        <w:t xml:space="preserve">،و أبو حنيفة </w:t>
      </w:r>
      <w:r>
        <w:rPr>
          <w:rStyle w:val="FootnoteAnchor"/>
          <w:rtl w:val="true"/>
        </w:rPr>
        <w:footnoteReference w:id="133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خرج بعد البول فلا غسل و إلاّ فعليه الغسل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أحمد </w:t>
      </w:r>
      <w:r>
        <w:rPr>
          <w:rStyle w:val="FootnoteAnchor"/>
          <w:rtl w:val="true"/>
        </w:rPr>
        <w:footnoteReference w:id="1334"/>
      </w:r>
      <w:r>
        <w:rPr>
          <w:rFonts w:ascii="Amiri" w:hAnsi="Amiri" w:eastAsia="Amiri" w:cs="Amiri"/>
          <w:color w:val="111111"/>
          <w:sz w:val="28"/>
          <w:sz w:val="28"/>
          <w:szCs w:val="28"/>
          <w:rtl w:val="true"/>
          <w:lang w:bidi="ar-SA"/>
        </w:rPr>
        <w:t xml:space="preserve">،و مالك </w:t>
      </w:r>
      <w:r>
        <w:rPr>
          <w:rStyle w:val="FootnoteAnchor"/>
          <w:rtl w:val="true"/>
        </w:rPr>
        <w:footnoteReference w:id="1335"/>
      </w:r>
      <w:r>
        <w:rPr>
          <w:rFonts w:ascii="Amiri" w:hAnsi="Amiri" w:eastAsia="Amiri" w:cs="Amiri"/>
          <w:color w:val="111111"/>
          <w:sz w:val="28"/>
          <w:sz w:val="28"/>
          <w:szCs w:val="28"/>
          <w:rtl w:val="true"/>
          <w:lang w:bidi="ar-SA"/>
        </w:rPr>
        <w:t>،و اللّيث،و الثّوريّ،و إسحاق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الوضوء </w:t>
      </w:r>
    </w:p>
    <w:p>
      <w:pPr>
        <w:pStyle w:val="BookText"/>
        <w:rPr/>
      </w:pPr>
      <w:r>
        <w:rPr>
          <w:rFonts w:ascii="Amiri" w:hAnsi="Amiri" w:eastAsia="Amiri" w:cs="Amiri"/>
          <w:color w:val="111111"/>
          <w:sz w:val="28"/>
          <w:sz w:val="28"/>
          <w:szCs w:val="28"/>
          <w:rtl w:val="true"/>
          <w:lang w:bidi="ar-SA"/>
        </w:rPr>
        <w:t xml:space="preserve">خاصّة لا الغسل </w:t>
      </w:r>
      <w:r>
        <w:rPr>
          <w:rStyle w:val="FootnoteAnchor"/>
          <w:rtl w:val="true"/>
        </w:rPr>
        <w:footnoteReference w:id="13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الماء من الماء</w:t>
      </w:r>
      <w:r>
        <w:rPr>
          <w:rFonts w:eastAsia="Amiri" w:cs="Amiri" w:ascii="Amiri" w:hAnsi="Amiri"/>
          <w:color w:val="111111"/>
          <w:sz w:val="28"/>
          <w:szCs w:val="28"/>
          <w:rtl w:val="true"/>
          <w:lang w:bidi="ar-SA"/>
        </w:rPr>
        <w:t xml:space="preserve">) </w:t>
      </w:r>
      <w:r>
        <w:rPr>
          <w:rStyle w:val="FootnoteAnchor"/>
          <w:rtl w:val="true"/>
        </w:rPr>
        <w:footnoteReference w:id="1337"/>
      </w:r>
      <w:r>
        <w:rPr>
          <w:rFonts w:ascii="Amiri" w:hAnsi="Amiri" w:eastAsia="Amiri" w:cs="Amiri"/>
          <w:color w:val="111111"/>
          <w:sz w:val="28"/>
          <w:sz w:val="28"/>
          <w:szCs w:val="28"/>
          <w:rtl w:val="true"/>
          <w:lang w:bidi="ar-SA"/>
        </w:rPr>
        <w:t>و لأنّ الاعتبار بالخروج كسائر الأحداث و قد تجدّد الخروج فيجب،و لا منافاة في سابقيّة الغسل و البول،و لأنّه بقيّة ماء خرج بالدّفق و الشّهوة فأوجب الغسل كالأوّل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احتجّ المخالف بأنّه جنابة واحدة فلم يجب بها غسلان،كما لو خرج دفعة واحدة </w:t>
      </w:r>
      <w:r>
        <w:rPr>
          <w:rStyle w:val="FootnoteAnchor"/>
          <w:rtl w:val="true"/>
        </w:rPr>
        <w:footnoteReference w:id="1338"/>
      </w:r>
      <w:r>
        <w:rPr>
          <w:rFonts w:ascii="Amiri" w:hAnsi="Amiri" w:eastAsia="Amiri" w:cs="Amiri"/>
          <w:color w:val="111111"/>
          <w:sz w:val="28"/>
          <w:sz w:val="28"/>
          <w:szCs w:val="28"/>
          <w:rtl w:val="true"/>
          <w:lang w:bidi="ar-SA"/>
        </w:rPr>
        <w:t>،و لأنّ الشّهوة غير حاصلة و هي معتبرة في الإيجاب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 عن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ينتقض بما إذا جامع فلم ينزل فاغتسل ثمَّ أنزل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بالمنع من اعتبار الشّهوة،و قد تقدّم </w:t>
      </w:r>
      <w:r>
        <w:rPr>
          <w:rStyle w:val="FootnoteAnchor"/>
          <w:rtl w:val="true"/>
        </w:rPr>
        <w:footnoteReference w:id="13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إذا لم يعلم انّه منيّ ففيه ثلاث تقديرات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إحداها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لم يكن قد بال و لا استبرأ أعاد الغسل،لأنّ الغالب عدم نفوذ أجزاء المنيّ بأسرها و خروجها عن قصبة القضيب من غير بول أو اجتهاد،فيحال الخارج على المعتادة </w:t>
      </w:r>
      <w:r>
        <w:rPr>
          <w:rStyle w:val="FootnoteAnchor"/>
          <w:rtl w:val="true"/>
        </w:rPr>
        <w:footnoteReference w:id="13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الشّيخ،عن سليمان بن خالد،عن أبي عبد اللّه عليه السّلام،قال</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سألته عن رجل أجنب فاغتسل قبل أن يبول فخرج منه شيء؟قال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يعيد 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المرأة يخرج منها بعد الغسل؟قال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الفرق بينهما؟قال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ما يخرج من المرأة إنّما هو من ماء الرّجل</w:t>
      </w:r>
      <w:r>
        <w:rPr>
          <w:rFonts w:eastAsia="Amiri" w:cs="Amiri" w:ascii="Amiri" w:hAnsi="Amiri"/>
          <w:color w:val="111111"/>
          <w:sz w:val="28"/>
          <w:szCs w:val="28"/>
          <w:rtl w:val="true"/>
          <w:lang w:bidi="ar-SA"/>
        </w:rPr>
        <w:t xml:space="preserve">» </w:t>
      </w:r>
      <w:r>
        <w:rPr>
          <w:rStyle w:val="FootnoteAnchor"/>
          <w:rtl w:val="true"/>
        </w:rPr>
        <w:footnoteReference w:id="1341"/>
      </w:r>
      <w:r>
        <w:rPr>
          <w:rFonts w:ascii="Amiri" w:hAnsi="Amiri" w:eastAsia="Amiri" w:cs="Amiri"/>
          <w:color w:val="111111"/>
          <w:sz w:val="28"/>
          <w:sz w:val="28"/>
          <w:szCs w:val="28"/>
          <w:rtl w:val="true"/>
          <w:lang w:bidi="ar-SA"/>
        </w:rPr>
        <w:t xml:space="preserve">و في الطّريق عثمان بن عيسى و هو واقفيّ </w:t>
      </w:r>
      <w:r>
        <w:rPr>
          <w:rStyle w:val="FootnoteAnchor"/>
          <w:rtl w:val="true"/>
        </w:rPr>
        <w:footnoteReference w:id="13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في الصّحيح،عن منصور،عن أبي عبد اللّه عليه السّلام مثله و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ما يخرج من المرأة ماء الرّجل</w:t>
      </w:r>
      <w:r>
        <w:rPr>
          <w:rFonts w:eastAsia="Amiri" w:cs="Amiri" w:ascii="Amiri" w:hAnsi="Amiri"/>
          <w:color w:val="111111"/>
          <w:sz w:val="28"/>
          <w:szCs w:val="28"/>
          <w:rtl w:val="true"/>
          <w:lang w:bidi="ar-SA"/>
        </w:rPr>
        <w:t xml:space="preserve">» </w:t>
      </w:r>
      <w:r>
        <w:rPr>
          <w:rStyle w:val="FootnoteAnchor"/>
          <w:rtl w:val="true"/>
        </w:rPr>
        <w:footnoteReference w:id="13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روى،عن سماعة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الرّجل يجنب،ثمَّ يغتسل قبل أن يبول فيجد بللا بعد ما يغتسل؟قال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يعيد الغسل فإن كان بال قبل أن يغتسل،فلا يعيد غسله و لكن يتوضّأ و يستنجي</w:t>
      </w:r>
      <w:r>
        <w:rPr>
          <w:rFonts w:eastAsia="Amiri" w:cs="Amiri" w:ascii="Amiri" w:hAnsi="Amiri"/>
          <w:color w:val="111111"/>
          <w:sz w:val="28"/>
          <w:szCs w:val="28"/>
          <w:rtl w:val="true"/>
          <w:lang w:bidi="ar-SA"/>
        </w:rPr>
        <w:t xml:space="preserve">» </w:t>
      </w:r>
      <w:r>
        <w:rPr>
          <w:rStyle w:val="FootnoteAnchor"/>
          <w:rtl w:val="true"/>
        </w:rPr>
        <w:footnoteReference w:id="1344"/>
      </w:r>
      <w:r>
        <w:rPr>
          <w:rFonts w:ascii="Amiri" w:hAnsi="Amiri" w:eastAsia="Amiri" w:cs="Amiri"/>
          <w:color w:val="111111"/>
          <w:sz w:val="28"/>
          <w:sz w:val="28"/>
          <w:szCs w:val="28"/>
          <w:rtl w:val="true"/>
          <w:lang w:bidi="ar-SA"/>
        </w:rPr>
        <w:t xml:space="preserve">و سماعة واقفيّ </w:t>
      </w:r>
      <w:r>
        <w:rPr>
          <w:rStyle w:val="FootnoteAnchor"/>
          <w:rtl w:val="true"/>
        </w:rPr>
        <w:footnoteReference w:id="1345"/>
      </w:r>
      <w:r>
        <w:rPr>
          <w:rFonts w:ascii="Amiri" w:hAnsi="Amiri" w:eastAsia="Amiri" w:cs="Amiri"/>
          <w:color w:val="111111"/>
          <w:sz w:val="28"/>
          <w:sz w:val="28"/>
          <w:szCs w:val="28"/>
          <w:rtl w:val="true"/>
          <w:lang w:bidi="ar-SA"/>
        </w:rPr>
        <w:t xml:space="preserve">و الرّاوي عنه زرعة،و هو واقفيّ أيضا </w:t>
      </w:r>
      <w:r>
        <w:rPr>
          <w:rStyle w:val="FootnoteAnchor"/>
          <w:rtl w:val="true"/>
        </w:rPr>
        <w:footnoteReference w:id="13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في الصّحيح عن محمّد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الرّجل يخرج من إحليله بعد ما اغتسل شيء؟قال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يغتسل و يعيد الصّلاة إلاّ أن يكون بال قبل أن يغتسل فإنّه لا يعيد </w:t>
      </w:r>
      <w:r>
        <w:rPr>
          <w:rStyle w:val="FootnoteAnchor"/>
          <w:rtl w:val="true"/>
        </w:rPr>
        <w:footnoteReference w:id="1347"/>
      </w:r>
      <w:r>
        <w:rPr>
          <w:rFonts w:ascii="IRNazanin" w:hAnsi="IRNazanin" w:eastAsia="IRNazanin"/>
          <w:color w:val="111111"/>
          <w:sz w:val="28"/>
          <w:sz w:val="28"/>
          <w:szCs w:val="28"/>
          <w:rtl w:val="true"/>
          <w:lang w:bidi="fa-IR"/>
        </w:rPr>
        <w:t>غسله</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روى،عن معاوية بن ميسرة،عن أبي عبد اللّه عليه السّلام في رجل رأى بعد الغسل شيئا؟قال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كان بال بعد جماعة قبل الغسل فليتوضّأ،و إن لم يبل حتّى </w:t>
      </w:r>
    </w:p>
    <w:p>
      <w:pPr>
        <w:pStyle w:val="BookText"/>
        <w:rPr/>
      </w:pPr>
      <w:r>
        <w:rPr>
          <w:rFonts w:ascii="Amiri" w:hAnsi="Amiri" w:eastAsia="Amiri" w:cs="Amiri"/>
          <w:color w:val="111111"/>
          <w:sz w:val="28"/>
          <w:sz w:val="28"/>
          <w:szCs w:val="28"/>
          <w:rtl w:val="true"/>
          <w:lang w:bidi="ar-SA"/>
        </w:rPr>
        <w:t>اغتسل ثمَّ وجد البلل فليعد الغسل</w:t>
      </w:r>
      <w:r>
        <w:rPr>
          <w:rFonts w:eastAsia="Amiri" w:cs="Amiri" w:ascii="Amiri" w:hAnsi="Amiri"/>
          <w:color w:val="111111"/>
          <w:sz w:val="28"/>
          <w:szCs w:val="28"/>
          <w:rtl w:val="true"/>
          <w:lang w:bidi="ar-SA"/>
        </w:rPr>
        <w:t xml:space="preserve">» </w:t>
      </w:r>
      <w:r>
        <w:rPr>
          <w:rStyle w:val="FootnoteAnchor"/>
          <w:rtl w:val="true"/>
        </w:rPr>
        <w:footnoteReference w:id="13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في الحسن،عن الحلبيّ،عن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عن الرّجل يغتسل ثمَّ يجد بللا و قد كان بال قبل أن يغتسل؟قال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بال قبل أن يغتسل،فلا يعيد الغسل</w:t>
      </w:r>
      <w:r>
        <w:rPr>
          <w:rFonts w:eastAsia="Amiri" w:cs="Amiri" w:ascii="Amiri" w:hAnsi="Amiri"/>
          <w:color w:val="111111"/>
          <w:sz w:val="28"/>
          <w:szCs w:val="28"/>
          <w:rtl w:val="true"/>
          <w:lang w:bidi="ar-SA"/>
        </w:rPr>
        <w:t xml:space="preserve">» </w:t>
      </w:r>
      <w:r>
        <w:rPr>
          <w:rStyle w:val="FootnoteAnchor"/>
          <w:rtl w:val="true"/>
        </w:rPr>
        <w:footnoteReference w:id="1349"/>
      </w:r>
      <w:r>
        <w:rPr>
          <w:rFonts w:ascii="Amiri" w:hAnsi="Amiri" w:eastAsia="Amiri" w:cs="Amiri"/>
          <w:color w:val="111111"/>
          <w:sz w:val="28"/>
          <w:sz w:val="28"/>
          <w:szCs w:val="28"/>
          <w:rtl w:val="true"/>
          <w:lang w:bidi="ar-SA"/>
        </w:rPr>
        <w:t>و هذا حكم معلّق على الشّرط،فيكون عدما عند عدمه، تحقيقا لمعنى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روى الشّيخ،عن جميل بن درّاج،عن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الرّجل تصيبه الجنابة فينسى أن يبول حتّى يغتسل،ثمَّ يرى بعد الغسل شيئا،أ يغتسل أيضا؟قال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لا،قد تعصّرت و نزل من الحبائل</w:t>
      </w:r>
      <w:r>
        <w:rPr>
          <w:rFonts w:eastAsia="Amiri" w:cs="Amiri" w:ascii="Amiri" w:hAnsi="Amiri"/>
          <w:color w:val="111111"/>
          <w:sz w:val="28"/>
          <w:szCs w:val="28"/>
          <w:rtl w:val="true"/>
          <w:lang w:bidi="ar-SA"/>
        </w:rPr>
        <w:t xml:space="preserve">» </w:t>
      </w:r>
      <w:r>
        <w:rPr>
          <w:rStyle w:val="FootnoteAnchor"/>
          <w:rtl w:val="true"/>
        </w:rPr>
        <w:footnoteReference w:id="13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روى،عن أحمد بن هلال،قال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رجل اغتسل قبل أن يبول؟ فكتب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الغسل بعد البول،إلاّ أن يكون ناسيا فلا يعيد منه الغسل</w:t>
      </w:r>
      <w:r>
        <w:rPr>
          <w:rFonts w:eastAsia="Amiri" w:cs="Amiri" w:ascii="Amiri" w:hAnsi="Amiri"/>
          <w:color w:val="111111"/>
          <w:sz w:val="28"/>
          <w:szCs w:val="28"/>
          <w:rtl w:val="true"/>
          <w:lang w:bidi="ar-SA"/>
        </w:rPr>
        <w:t xml:space="preserve">» </w:t>
      </w:r>
      <w:r>
        <w:rPr>
          <w:rStyle w:val="FootnoteAnchor"/>
          <w:rtl w:val="true"/>
        </w:rPr>
        <w:footnoteReference w:id="1351"/>
      </w:r>
      <w:r>
        <w:rPr>
          <w:rFonts w:eastAsia="Times New Roman" w:cs="Times New Roman" w:ascii="Times New Roman" w:hAnsi="Times New Roman"/>
          <w:color w:val="111111"/>
          <w:sz w:val="28"/>
          <w:szCs w:val="28"/>
          <w:rtl w:val="true"/>
          <w:lang w:val="en-US" w:bidi="en-US"/>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روى،عن عبد اللّه بن هلال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 في الرّجل يجامع أهله،ثمَّ يغتسل قبل أن يبول ثمَّ،يخرج منه شيء بعد الغسل؟فقال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شيء عليه </w:t>
      </w:r>
    </w:p>
    <w:p>
      <w:pPr>
        <w:pStyle w:val="BookText"/>
        <w:rPr/>
      </w:pPr>
      <w:r>
        <w:rPr>
          <w:rFonts w:ascii="Amiri" w:hAnsi="Amiri" w:eastAsia="Amiri" w:cs="Amiri"/>
          <w:color w:val="111111"/>
          <w:sz w:val="28"/>
          <w:sz w:val="28"/>
          <w:szCs w:val="28"/>
          <w:rtl w:val="true"/>
          <w:lang w:bidi="ar-SA"/>
        </w:rPr>
        <w:t>انّ ذلك ممّا وضعه اللّه عنه</w:t>
      </w:r>
      <w:r>
        <w:rPr>
          <w:rFonts w:eastAsia="Amiri" w:cs="Amiri" w:ascii="Amiri" w:hAnsi="Amiri"/>
          <w:color w:val="111111"/>
          <w:sz w:val="28"/>
          <w:szCs w:val="28"/>
          <w:rtl w:val="true"/>
          <w:lang w:bidi="ar-SA"/>
        </w:rPr>
        <w:t xml:space="preserve">» </w:t>
      </w:r>
      <w:r>
        <w:rPr>
          <w:rStyle w:val="FootnoteAnchor"/>
          <w:rtl w:val="true"/>
        </w:rPr>
        <w:footnoteReference w:id="13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عن زيد الشّحّام،عن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رجل احتلم ثمَّ اغتسل قبل أن يبول ثمَّ رأى شيئا؟قال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يعيد الغسل،ليس ذلك الّذي رأى شيئا</w:t>
      </w:r>
      <w:r>
        <w:rPr>
          <w:rFonts w:eastAsia="Amiri" w:cs="Amiri" w:ascii="Amiri" w:hAnsi="Amiri"/>
          <w:color w:val="111111"/>
          <w:sz w:val="28"/>
          <w:szCs w:val="28"/>
          <w:rtl w:val="true"/>
          <w:lang w:bidi="ar-SA"/>
        </w:rPr>
        <w:t xml:space="preserve">» </w:t>
      </w:r>
      <w:r>
        <w:rPr>
          <w:rStyle w:val="FootnoteAnchor"/>
          <w:rtl w:val="true"/>
        </w:rPr>
        <w:footnoteReference w:id="13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فهذه الأخبار تدلّ على عدم وجوب الغسل مع عدم البول،و ذلك ينافي ما ذكرتموه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لأنّا نجيب عن الأوّل باحتمال أن يكون الّذي رآه مذيا و علم كذلك فلا إعادة لأنّ الموجب خروج المنيّ،و في طريقها عليّ بن السّندي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احقّق الآن حاله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انّه يحتمل انّه اجتهد و اخترط و لم يتأتّ له البول،و يحمل النّسيان هاهنا على التّرك المطلق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الخبر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رواية أحمد بن هلال،و هو ضعيف جدّا،قال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غال </w:t>
      </w:r>
      <w:r>
        <w:rPr>
          <w:rStyle w:val="FootnoteAnchor"/>
          <w:rtl w:val="true"/>
        </w:rPr>
        <w:footnoteReference w:id="135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النّجاشيّ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ورد فيه ذموم من سيّدنا العسكريّ عليه السّلام </w:t>
      </w:r>
      <w:r>
        <w:rPr>
          <w:rStyle w:val="FootnoteAnchor"/>
          <w:rtl w:val="true"/>
        </w:rPr>
        <w:footnoteReference w:id="1355"/>
      </w:r>
      <w:r>
        <w:rPr>
          <w:rFonts w:ascii="Amiri" w:hAnsi="Amiri" w:eastAsia="Amiri" w:cs="Amiri"/>
          <w:color w:val="111111"/>
          <w:sz w:val="28"/>
          <w:sz w:val="28"/>
          <w:szCs w:val="28"/>
          <w:rtl w:val="true"/>
          <w:lang w:bidi="ar-SA"/>
        </w:rPr>
        <w:t>،فلا تعويل على روايته إذن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انّه لم يسندها إلى إمام،فلعلّه أخبر عمّن لا تقوم الحجّة بقوله</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لم يذكر انّه قد خرج منه شيء بعد الغسل،فقال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يعيد الغسل لعدم الخروج،لا لعدم وجوب الإعادة مع عدم البول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عن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باحتمال أن يكون قد اجتهد و لم يتأتّ البول،فلا شيء عليه حينئذ أو انّه جامع و لم ينزل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انّ في طريقه عبد اللّه بن هلال،و لا أعرفه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تأوّلنا به ما تقدّم،و في طريقه أبو جميلة،و فيه ضعف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يكون قد بال و لم يجتهد،ثمَّ رأى بللا،فعليه إعادة الوضوء لا الغسل، أمّا الوضوء فلأنّه لعدم الاستبراء لم تخرج أجزاء البول بكمالها،فالظّاهر انّ البلل من بقاياه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عدم الغسل فلأنّ البول أزال المتخلّف من أجزاء المنيّ،و لما رواه الشّيخ في الصّحيح،عن محمّد بن مسلم،عن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يكون بال قبل أن يغتسل فإنّه لا يعيد غسله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أبو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اغتسل و هو جنب قبل أن يبول ثمَّ يجد بللا فقد انتقض غسله و إن كان بال،ثمَّ اغتسل،ثمَّ وجد بللا فليس ينقض غسله و لكن عليه الوضوء،لأنّ البول لم يدع شيئا</w:t>
      </w:r>
      <w:r>
        <w:rPr>
          <w:rFonts w:eastAsia="Amiri" w:cs="Amiri" w:ascii="Amiri" w:hAnsi="Amiri"/>
          <w:color w:val="111111"/>
          <w:sz w:val="28"/>
          <w:szCs w:val="28"/>
          <w:rtl w:val="true"/>
          <w:lang w:bidi="ar-SA"/>
        </w:rPr>
        <w:t xml:space="preserve">» </w:t>
      </w:r>
      <w:r>
        <w:rPr>
          <w:rStyle w:val="FootnoteAnchor"/>
          <w:rtl w:val="true"/>
        </w:rPr>
        <w:footnoteReference w:id="13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لرواية معاوية بن ميسرة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،فإنّها تدلّ على عدم إيجاب الغسل،و على إيجاب الوضوء </w:t>
      </w:r>
      <w:r>
        <w:rPr>
          <w:rStyle w:val="FootnoteAnchor"/>
          <w:rtl w:val="true"/>
        </w:rPr>
        <w:footnoteReference w:id="135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لرواية الحلبيّ </w:t>
      </w:r>
      <w:r>
        <w:rPr>
          <w:rStyle w:val="FootnoteAnchor"/>
          <w:rtl w:val="true"/>
        </w:rPr>
        <w:footnoteReference w:id="1358"/>
      </w:r>
      <w:r>
        <w:rPr>
          <w:rFonts w:ascii="Amiri" w:hAnsi="Amiri" w:eastAsia="Amiri" w:cs="Amiri"/>
          <w:color w:val="111111"/>
          <w:sz w:val="28"/>
          <w:sz w:val="28"/>
          <w:szCs w:val="28"/>
          <w:rtl w:val="true"/>
          <w:lang w:bidi="ar-SA"/>
        </w:rPr>
        <w:t>،و هي تدلّ على عدم إيجاب الغسل مع البول</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ثالثها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يكون قد بال و اجتهد،ثمَّ اغتسل،ثمَّ رأى البلل،فلا إعادة للغسل و لا للوضوء،لأنّ البول أزال أجزاء المنيّ المتوهّمة،و الاستبراء أزال أجزاء البول </w:t>
      </w:r>
      <w:bookmarkStart w:id="811" w:name="pg12669_113045"/>
    </w:p>
    <w:p>
      <w:pPr>
        <w:pStyle w:val="BookText"/>
        <w:rPr/>
      </w:pPr>
      <w:bookmarkEnd w:id="811"/>
      <w:r>
        <w:rPr>
          <w:rFonts w:ascii="Amiri" w:hAnsi="Amiri" w:eastAsia="Amiri" w:cs="Amiri"/>
          <w:color w:val="111111"/>
          <w:sz w:val="28"/>
          <w:sz w:val="28"/>
          <w:szCs w:val="28"/>
          <w:rtl w:val="true"/>
          <w:lang w:bidi="ar-SA"/>
        </w:rPr>
        <w:t>المتوهّمة،فلا التفات إلى الخارج بعد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يدلّ عليه أيضا،الأحاديث الدّالّة على انّ بعد البول لا إعادة للغسل،و بعد الاستبراء لا اعتداد بالخارج </w:t>
      </w:r>
      <w:r>
        <w:rPr>
          <w:rStyle w:val="FootnoteAnchor"/>
          <w:rtl w:val="true"/>
        </w:rPr>
        <w:footnoteReference w:id="135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812" w:name="__RefHeading___Toc795785_222507752"/>
      <w:bookmarkStart w:id="813" w:name="_Toc332"/>
      <w:bookmarkEnd w:id="812"/>
      <w:r>
        <w:rPr>
          <w:rtl w:val="true"/>
        </w:rPr>
        <w:t>فروع</w:t>
      </w:r>
      <w:r>
        <w:rPr>
          <w:rtl w:val="true"/>
        </w:rPr>
        <w:t>:</w:t>
      </w:r>
      <w:bookmarkEnd w:id="813"/>
    </w:p>
    <w:p>
      <w:pPr>
        <w:pStyle w:val="Heading6"/>
        <w:numPr>
          <w:ilvl w:val="5"/>
          <w:numId w:val="1"/>
        </w:numPr>
        <w:rPr/>
      </w:pPr>
      <w:bookmarkStart w:id="814" w:name="__RefHeading___Toc795787_222507752"/>
      <w:bookmarkStart w:id="815" w:name="_Toc333"/>
      <w:bookmarkEnd w:id="814"/>
      <w:r>
        <w:rPr>
          <w:rtl w:val="true"/>
        </w:rPr>
        <w:t>الأوّل</w:t>
      </w:r>
      <w:r>
        <w:rPr>
          <w:rtl w:val="true"/>
        </w:rPr>
        <w:t>:</w:t>
      </w:r>
      <w:r>
        <w:rPr>
          <w:rtl w:val="true"/>
        </w:rPr>
        <w:t>لو صلّى،ثمَّ رأى بعد ذلك منيّا قطعا،أعاد الغسل</w:t>
      </w:r>
      <w:bookmarkEnd w:id="815"/>
    </w:p>
    <w:p>
      <w:pPr>
        <w:pStyle w:val="BookText"/>
        <w:rPr/>
      </w:pPr>
      <w:r>
        <w:rPr>
          <w:rFonts w:ascii="Amiri" w:hAnsi="Amiri" w:eastAsia="Amiri" w:cs="Amiri"/>
          <w:color w:val="111111"/>
          <w:sz w:val="28"/>
          <w:sz w:val="28"/>
          <w:szCs w:val="28"/>
          <w:rtl w:val="true"/>
          <w:lang w:bidi="ar-SA"/>
        </w:rPr>
        <w:t>عندنا قولا واحدا، و هل يعيد الصّلاة أم لا؟قال بعض علمائنا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بجيّد،لأنّ الصّلاة وقعت مشروعة فيثبت الإجزاء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احتجّ الآخرون بأنّ هذا المنيّ من بقايا الأوّل،فالجنابة واحدة لم تزل بالغسل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الموجب للغسل الثّاني هو الخروج الّذي لم يكن،لا الانتقال عن المحل،فيكون غير الأوّل</w:t>
      </w:r>
      <w:r>
        <w:rPr>
          <w:rFonts w:eastAsia="Amiri" w:cs="Amiri" w:ascii="Amiri" w:hAnsi="Amiri"/>
          <w:color w:val="111111"/>
          <w:sz w:val="28"/>
          <w:szCs w:val="28"/>
          <w:rtl w:val="true"/>
          <w:lang w:bidi="ar-SA"/>
        </w:rPr>
        <w:t>.</w:t>
      </w:r>
    </w:p>
    <w:p>
      <w:pPr>
        <w:pStyle w:val="Heading6"/>
        <w:numPr>
          <w:ilvl w:val="5"/>
          <w:numId w:val="1"/>
        </w:numPr>
        <w:rPr/>
      </w:pPr>
      <w:bookmarkStart w:id="816" w:name="__RefHeading___Toc795789_222507752"/>
      <w:bookmarkStart w:id="817" w:name="_Toc334"/>
      <w:bookmarkEnd w:id="816"/>
      <w:r>
        <w:rPr>
          <w:rtl w:val="true"/>
        </w:rPr>
        <w:t>الثّاني</w:t>
      </w:r>
      <w:r>
        <w:rPr>
          <w:rtl w:val="true"/>
        </w:rPr>
        <w:t>:</w:t>
      </w:r>
      <w:r>
        <w:rPr>
          <w:rtl w:val="true"/>
        </w:rPr>
        <w:t>لو جامع و لم ينزل لم يجب عليه الاستبراء،</w:t>
      </w:r>
      <w:bookmarkEnd w:id="817"/>
    </w:p>
    <w:p>
      <w:pPr>
        <w:pStyle w:val="BookText"/>
        <w:rPr/>
      </w:pPr>
      <w:r>
        <w:rPr>
          <w:rFonts w:ascii="Amiri" w:hAnsi="Amiri" w:eastAsia="Amiri" w:cs="Amiri"/>
          <w:color w:val="111111"/>
          <w:sz w:val="28"/>
          <w:sz w:val="28"/>
          <w:szCs w:val="28"/>
          <w:rtl w:val="true"/>
          <w:lang w:bidi="ar-SA"/>
        </w:rPr>
        <w:t>و لو رأى بللا يعلم انّه منيّ وجب عليه الإعادة،أمّا المشتبه فلا،لأنّا إنّما حكمنا هناك بكون البلل منيّا بناء على الغالب من استخلاف الأجزاء بعد الإنزال،و هذا المعنى غير موجود مع الجماع الخالي عن الإنزال</w:t>
      </w:r>
      <w:r>
        <w:rPr>
          <w:rFonts w:eastAsia="Amiri" w:cs="Amiri" w:ascii="Amiri" w:hAnsi="Amiri"/>
          <w:color w:val="111111"/>
          <w:sz w:val="28"/>
          <w:szCs w:val="28"/>
          <w:rtl w:val="true"/>
          <w:lang w:bidi="ar-SA"/>
        </w:rPr>
        <w:t>.</w:t>
      </w:r>
    </w:p>
    <w:p>
      <w:pPr>
        <w:pStyle w:val="Heading6"/>
        <w:numPr>
          <w:ilvl w:val="5"/>
          <w:numId w:val="1"/>
        </w:numPr>
        <w:rPr/>
      </w:pPr>
      <w:bookmarkStart w:id="818" w:name="__RefHeading___Toc795791_222507752"/>
      <w:bookmarkStart w:id="819" w:name="_Toc335"/>
      <w:bookmarkEnd w:id="818"/>
      <w:r>
        <w:rPr>
          <w:rtl w:val="true"/>
        </w:rPr>
        <w:t>الثّالث</w:t>
      </w:r>
      <w:r>
        <w:rPr>
          <w:rtl w:val="true"/>
        </w:rPr>
        <w:t>:</w:t>
      </w:r>
      <w:r>
        <w:rPr>
          <w:rtl w:val="true"/>
        </w:rPr>
        <w:t>هل تستبرئ المرأة أم لا؟فيه توقّف،</w:t>
      </w:r>
      <w:bookmarkEnd w:id="819"/>
    </w:p>
    <w:p>
      <w:pPr>
        <w:pStyle w:val="BookText"/>
        <w:rPr/>
      </w:pPr>
      <w:r>
        <w:rPr>
          <w:rFonts w:ascii="Amiri" w:hAnsi="Amiri" w:eastAsia="Amiri" w:cs="Amiri"/>
          <w:color w:val="111111"/>
          <w:sz w:val="28"/>
          <w:sz w:val="28"/>
          <w:szCs w:val="28"/>
          <w:rtl w:val="true"/>
          <w:lang w:bidi="ar-SA"/>
        </w:rPr>
        <w:t>منشأه انّ مخرج البول غير مخرج المنيّ،فلا فائدة فيه</w:t>
      </w:r>
      <w:r>
        <w:rPr>
          <w:rFonts w:eastAsia="Amiri" w:cs="Amiri" w:ascii="Amiri" w:hAnsi="Amiri"/>
          <w:color w:val="111111"/>
          <w:sz w:val="28"/>
          <w:szCs w:val="28"/>
          <w:rtl w:val="true"/>
          <w:lang w:bidi="ar-SA"/>
        </w:rPr>
        <w:t>.</w:t>
      </w:r>
    </w:p>
    <w:p>
      <w:pPr>
        <w:pStyle w:val="Heading6"/>
        <w:numPr>
          <w:ilvl w:val="5"/>
          <w:numId w:val="1"/>
        </w:numPr>
        <w:rPr/>
      </w:pPr>
      <w:bookmarkStart w:id="820" w:name="__RefHeading___Toc795793_222507752"/>
      <w:bookmarkStart w:id="821" w:name="_Toc336"/>
      <w:bookmarkEnd w:id="820"/>
      <w:r>
        <w:rPr>
          <w:rtl w:val="true"/>
        </w:rPr>
        <w:t>الرّابع</w:t>
      </w:r>
      <w:r>
        <w:rPr>
          <w:rtl w:val="true"/>
        </w:rPr>
        <w:t>:</w:t>
      </w:r>
      <w:r>
        <w:rPr>
          <w:rtl w:val="true"/>
        </w:rPr>
        <w:t>لو رأت بللا فلا إعادة،</w:t>
      </w:r>
      <w:bookmarkEnd w:id="821"/>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لأنّ الأظهر انّه من بقايا منيّ الرّجل،و ذلك غير موجب للغسل لما قدّمناه من رواية سليمان بن خالد،و رواية عبد الرّحمن بن أبي عبد </w:t>
      </w:r>
      <w:bookmarkStart w:id="822" w:name="pg12669_113046"/>
    </w:p>
    <w:p>
      <w:pPr>
        <w:pStyle w:val="BookText"/>
        <w:rPr/>
      </w:pPr>
      <w:bookmarkEnd w:id="822"/>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أوجب ابن إدريس الإعادة </w:t>
      </w:r>
      <w:r>
        <w:rPr>
          <w:rStyle w:val="FootnoteAnchor"/>
          <w:rtl w:val="true"/>
        </w:rPr>
        <w:footnoteReference w:id="1360"/>
      </w:r>
      <w:r>
        <w:rPr>
          <w:rFonts w:ascii="Amiri" w:hAnsi="Amiri" w:eastAsia="Amiri" w:cs="Amiri"/>
          <w:color w:val="111111"/>
          <w:sz w:val="28"/>
          <w:sz w:val="28"/>
          <w:szCs w:val="28"/>
          <w:rtl w:val="true"/>
          <w:lang w:bidi="ar-SA"/>
        </w:rPr>
        <w:t>بقوله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الماء من الماء</w:t>
      </w:r>
      <w:r>
        <w:rPr>
          <w:rFonts w:eastAsia="Amiri" w:cs="Amiri" w:ascii="Amiri" w:hAnsi="Amiri"/>
          <w:color w:val="111111"/>
          <w:sz w:val="28"/>
          <w:szCs w:val="28"/>
          <w:rtl w:val="true"/>
          <w:lang w:bidi="ar-SA"/>
        </w:rPr>
        <w:t xml:space="preserve">) </w:t>
      </w:r>
      <w:r>
        <w:rPr>
          <w:rStyle w:val="FootnoteAnchor"/>
          <w:rtl w:val="true"/>
        </w:rPr>
        <w:footnoteReference w:id="1361"/>
      </w:r>
      <w:r>
        <w:rPr>
          <w:rFonts w:ascii="Amiri" w:hAnsi="Amiri" w:eastAsia="Amiri" w:cs="Amiri"/>
          <w:color w:val="111111"/>
          <w:sz w:val="28"/>
          <w:sz w:val="28"/>
          <w:szCs w:val="28"/>
          <w:rtl w:val="true"/>
          <w:lang w:bidi="ar-SA"/>
        </w:rPr>
        <w:t>و ليس بشيء</w:t>
      </w:r>
      <w:r>
        <w:rPr>
          <w:rFonts w:eastAsia="Amiri" w:cs="Amiri" w:ascii="Amiri" w:hAnsi="Amiri"/>
          <w:color w:val="111111"/>
          <w:sz w:val="28"/>
          <w:szCs w:val="28"/>
          <w:rtl w:val="true"/>
          <w:lang w:bidi="ar-SA"/>
        </w:rPr>
        <w:t>.</w:t>
      </w:r>
    </w:p>
    <w:p>
      <w:pPr>
        <w:pStyle w:val="Heading6"/>
        <w:numPr>
          <w:ilvl w:val="5"/>
          <w:numId w:val="1"/>
        </w:numPr>
        <w:rPr/>
      </w:pPr>
      <w:bookmarkStart w:id="823" w:name="__RefHeading___Toc795795_222507752"/>
      <w:bookmarkStart w:id="824" w:name="_Toc337"/>
      <w:bookmarkEnd w:id="823"/>
      <w:r>
        <w:rPr>
          <w:rtl w:val="true"/>
        </w:rPr>
        <w:t>الخامس</w:t>
      </w:r>
      <w:r>
        <w:rPr>
          <w:rtl w:val="true"/>
        </w:rPr>
        <w:t>:</w:t>
      </w:r>
      <w:r>
        <w:rPr>
          <w:rtl w:val="true"/>
        </w:rPr>
        <w:t>لو لم يتأتّ البول ففي إلحاقه بحدث البول إشكال</w:t>
      </w:r>
      <w:bookmarkEnd w:id="824"/>
    </w:p>
    <w:p>
      <w:pPr>
        <w:pStyle w:val="BookText"/>
        <w:rPr/>
      </w:pPr>
      <w:r>
        <w:rPr>
          <w:rFonts w:ascii="Amiri" w:hAnsi="Amiri" w:eastAsia="Amiri" w:cs="Amiri"/>
          <w:color w:val="111111"/>
          <w:sz w:val="28"/>
          <w:sz w:val="28"/>
          <w:szCs w:val="28"/>
          <w:rtl w:val="true"/>
          <w:lang w:bidi="ar-SA"/>
        </w:rPr>
        <w:t>،فإن ألحقناه به، كفى الاختراط و الاجتهاد في إسقاط الغسل لو رأى البلل المشتبه بعد الإنزال مع الاجتهاد،و إلاّ فلا</w:t>
      </w:r>
      <w:r>
        <w:rPr>
          <w:rFonts w:eastAsia="Amiri" w:cs="Amiri" w:ascii="Amiri" w:hAnsi="Amiri"/>
          <w:color w:val="111111"/>
          <w:sz w:val="28"/>
          <w:szCs w:val="28"/>
          <w:rtl w:val="true"/>
          <w:lang w:bidi="ar-SA"/>
        </w:rPr>
        <w:t>.</w:t>
      </w:r>
    </w:p>
    <w:p>
      <w:pPr>
        <w:pStyle w:val="Heading6"/>
        <w:numPr>
          <w:ilvl w:val="5"/>
          <w:numId w:val="1"/>
        </w:numPr>
        <w:rPr/>
      </w:pPr>
      <w:bookmarkStart w:id="825" w:name="__RefHeading___Toc795797_222507752"/>
      <w:bookmarkStart w:id="826" w:name="_Toc338"/>
      <w:bookmarkEnd w:id="825"/>
      <w:r>
        <w:rPr>
          <w:rtl w:val="true"/>
        </w:rPr>
        <w:t>مسألة</w:t>
      </w:r>
      <w:r>
        <w:rPr>
          <w:rtl w:val="true"/>
        </w:rPr>
        <w:t>:</w:t>
      </w:r>
      <w:r>
        <w:rPr>
          <w:rtl w:val="true"/>
        </w:rPr>
        <w:t>إذا أحدث حدثا أصغر في أثناء الغسل،قال الشّيخ في النّهاية</w:t>
      </w:r>
      <w:bookmarkEnd w:id="826"/>
    </w:p>
    <w:p>
      <w:pPr>
        <w:pStyle w:val="BookText"/>
        <w:rPr/>
      </w:pPr>
      <w:r>
        <w:rPr>
          <w:rFonts w:ascii="Amiri" w:hAnsi="Amiri" w:eastAsia="Amiri" w:cs="Amiri"/>
          <w:color w:val="111111"/>
          <w:sz w:val="28"/>
          <w:sz w:val="28"/>
          <w:szCs w:val="28"/>
          <w:rtl w:val="true"/>
          <w:lang w:bidi="ar-SA"/>
        </w:rPr>
        <w:t>و المبسوط و ابنا بابويه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يعيد الغسل من أوّله </w:t>
      </w:r>
      <w:r>
        <w:rPr>
          <w:rFonts w:eastAsia="Amiri" w:cs="Amiri" w:ascii="Amiri" w:hAnsi="Amiri"/>
          <w:color w:val="111111"/>
          <w:sz w:val="28"/>
          <w:szCs w:val="28"/>
          <w:rtl w:val="true"/>
          <w:lang w:bidi="ar-SA"/>
        </w:rPr>
        <w:t>.</w:t>
      </w:r>
    </w:p>
    <w:p>
      <w:pPr>
        <w:pStyle w:val="BookText"/>
        <w:rPr/>
      </w:pPr>
      <w:r>
        <w:rPr>
          <w:rStyle w:val="FootnoteAnchor"/>
          <w:rtl w:val="true"/>
        </w:rPr>
        <w:footnoteReference w:id="1362"/>
      </w:r>
      <w:r>
        <w:rPr>
          <w:rStyle w:val="FootnoteAnchor"/>
          <w:rtl w:val="true"/>
        </w:rPr>
        <w:footnoteReference w:id="13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قول الحسن البصريّ </w:t>
      </w:r>
      <w:r>
        <w:rPr>
          <w:rStyle w:val="FootnoteAnchor"/>
          <w:rtl w:val="true"/>
        </w:rPr>
        <w:footnoteReference w:id="136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ابن البرّاج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يتمّ غسله و لا وضوء عليه </w:t>
      </w:r>
      <w:r>
        <w:rPr>
          <w:rStyle w:val="FootnoteAnchor"/>
          <w:rtl w:val="true"/>
        </w:rPr>
        <w:footnoteReference w:id="136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اختاره ابن إدريس </w:t>
      </w:r>
      <w:r>
        <w:rPr>
          <w:rStyle w:val="FootnoteAnchor"/>
          <w:rtl w:val="true"/>
        </w:rPr>
        <w:footnoteReference w:id="136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علم الهدى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يتمّ غسله و يتوضّأ لحدثه </w:t>
      </w:r>
      <w:r>
        <w:rPr>
          <w:rStyle w:val="FootnoteAnchor"/>
          <w:rtl w:val="true"/>
        </w:rPr>
        <w:footnoteReference w:id="136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به قال عطاء،و عمر و بن دينار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الثّوريّ </w:t>
      </w:r>
      <w:r>
        <w:rPr>
          <w:rStyle w:val="FootnoteAnchor"/>
          <w:rtl w:val="true"/>
        </w:rPr>
        <w:footnoteReference w:id="1368"/>
      </w:r>
      <w:r>
        <w:rPr>
          <w:rFonts w:ascii="Amiri" w:hAnsi="Amiri" w:eastAsia="Amiri" w:cs="Amiri"/>
          <w:color w:val="111111"/>
          <w:sz w:val="28"/>
          <w:sz w:val="28"/>
          <w:szCs w:val="28"/>
          <w:rtl w:val="true"/>
          <w:lang w:bidi="ar-SA"/>
        </w:rPr>
        <w:t>،و الحقّ عندي الأوّل</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حدث ناقض للطّهارة الكبرى بكمالها فلبعضها أولى،و مع النّقض ينظر إلى حاله،إن كان جنبا اغتسل و إلاّ توضّأ،و هاهنا هو جنب قطعا،ضرورة عدم </w:t>
      </w:r>
    </w:p>
    <w:p>
      <w:pPr>
        <w:pStyle w:val="BookText"/>
        <w:rPr/>
      </w:pPr>
      <w:r>
        <w:rPr>
          <w:rFonts w:ascii="Amiri" w:hAnsi="Amiri" w:eastAsia="Amiri" w:cs="Amiri"/>
          <w:color w:val="111111"/>
          <w:sz w:val="28"/>
          <w:sz w:val="28"/>
          <w:szCs w:val="28"/>
          <w:rtl w:val="true"/>
          <w:lang w:bidi="ar-SA"/>
        </w:rPr>
        <w:t>ارتفاع الجنابة من غير إكمال 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احتجّ ابن إدريس بأنّ الإعادة لا وجه لها،إذ الإجماع على انّ الحدث الأصغر موجب للصّغرى لا للكبرى،و أبطل القول الثّالث بأنّه حالة الحدث جنب فلا حاجة إلى الوضوء مع الاغتسال لقوله إِلاّ عابِرِي سَبِيلٍ حَتَّى تَغْتَسِلُوا </w:t>
      </w:r>
      <w:r>
        <w:rPr>
          <w:rStyle w:val="FootnoteAnchor"/>
          <w:rtl w:val="true"/>
        </w:rPr>
        <w:footnoteReference w:id="1369"/>
      </w:r>
      <w:r>
        <w:rPr>
          <w:rStyle w:val="FootnoteAnchor"/>
          <w:rtl w:val="true"/>
        </w:rPr>
        <w:footnoteReference w:id="13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احتجّ السّيّد المرتضى بأنّ الحدث الأصغر موجب للوضوء و ليس موجبا للغسل و لا لبعضه،فيسقط وجوب الإعادة و لا يسقط حكم الحدث بما بقي من الغسل،و ألزم الفريق الثّاني الشّناعة بما لو بقي من الغسل مقدار الدّرهم من جانبه الأيسر،ثمَّ تغوّط، أن يكتفي عن الوضوء بغسل موضع الدّرهم و هو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 عن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الدّليل على الإعادة قد ذكرناه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الحدث الأصغر موجب للصّغرى لا للكبرى مسلّم،و لكنّه غير نافع،لأنّا نحن لم نقل انّ الموجب للكبرى إنّما هو الحدث الأصغر،بل الموجب هو بقاء الجنابة،فتوهّم من إيجاب إعادة الغسل لأجل وجود الجنابة،استناد الإعادة إلى الحدث الأصغر،و ليس كذلك، و إبطاله القول الثّالث 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ذكرناه أوّلا،من انّ الموجب ليس هو الحدث الأصغر،بل الأكبر الباقي مع فعل البعض المنتقض بالحدث الأصغر،فغلط هؤلاء نشأ من أخذ مانع العلّة مكان العلّة</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يسقط حكم الحدث بما بقي من الغسل،محلّ النّزاع عند الفريق الثّاني، فإنّ به يرتفع الحدث الأكبر فالأصغر أولى،و الشّناعة الّتي ذكرها عليهم غير واردة،لأنّا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عقل ارتفاع حدث الجنابة بغسل ذلك القدر اليسير فليعقل ارتفاع الأصغر به، على انّها معارضة بالمثل،فإنّه يلزم انّ من غسل من رأسه جزءا لا يتجزّأ،ثمَّ أحدث،أن </w:t>
      </w:r>
      <w:bookmarkStart w:id="827" w:name="pg12669_113048"/>
    </w:p>
    <w:p>
      <w:pPr>
        <w:pStyle w:val="BookText"/>
        <w:rPr/>
      </w:pPr>
      <w:bookmarkEnd w:id="827"/>
      <w:r>
        <w:rPr>
          <w:rFonts w:ascii="Amiri" w:hAnsi="Amiri" w:eastAsia="Amiri" w:cs="Amiri"/>
          <w:color w:val="111111"/>
          <w:sz w:val="28"/>
          <w:sz w:val="28"/>
          <w:szCs w:val="28"/>
          <w:rtl w:val="true"/>
          <w:lang w:bidi="ar-SA"/>
        </w:rPr>
        <w:t>لا يسوغ له الصّلاة إلاّ بعد الوضوء</w:t>
      </w:r>
      <w:r>
        <w:rPr>
          <w:rFonts w:eastAsia="Amiri" w:cs="Amiri" w:ascii="Amiri" w:hAnsi="Amiri"/>
          <w:color w:val="111111"/>
          <w:sz w:val="28"/>
          <w:szCs w:val="28"/>
          <w:rtl w:val="true"/>
          <w:lang w:bidi="ar-SA"/>
        </w:rPr>
        <w:t>.</w:t>
      </w:r>
    </w:p>
    <w:p>
      <w:pPr>
        <w:pStyle w:val="Heading6"/>
        <w:numPr>
          <w:ilvl w:val="5"/>
          <w:numId w:val="1"/>
        </w:numPr>
        <w:rPr/>
      </w:pPr>
      <w:bookmarkStart w:id="828" w:name="__RefHeading___Toc795799_222507752"/>
      <w:bookmarkStart w:id="829" w:name="_Toc339"/>
      <w:bookmarkEnd w:id="828"/>
      <w:r>
        <w:rPr>
          <w:rtl w:val="true"/>
        </w:rPr>
        <w:t>خاتمة</w:t>
      </w:r>
      <w:r>
        <w:rPr>
          <w:rtl w:val="true"/>
        </w:rPr>
        <w:t>:</w:t>
      </w:r>
      <w:r>
        <w:rPr>
          <w:rtl w:val="true"/>
        </w:rPr>
        <w:t>تشتمل على فصول</w:t>
      </w:r>
      <w:r>
        <w:rPr>
          <w:rtl w:val="true"/>
        </w:rPr>
        <w:t>:</w:t>
      </w:r>
      <w:bookmarkEnd w:id="829"/>
    </w:p>
    <w:p>
      <w:pPr>
        <w:pStyle w:val="Heading6"/>
        <w:numPr>
          <w:ilvl w:val="5"/>
          <w:numId w:val="1"/>
        </w:numPr>
        <w:rPr/>
      </w:pPr>
      <w:bookmarkStart w:id="830" w:name="__RefHeading___Toc795801_222507752"/>
      <w:bookmarkStart w:id="831" w:name="_Toc340"/>
      <w:bookmarkEnd w:id="830"/>
      <w:r>
        <w:rPr>
          <w:rtl w:val="true"/>
        </w:rPr>
        <w:t>فصل</w:t>
      </w:r>
      <w:r>
        <w:rPr>
          <w:rtl w:val="true"/>
        </w:rPr>
        <w:t>:</w:t>
      </w:r>
      <w:r>
        <w:rPr>
          <w:rtl w:val="true"/>
        </w:rPr>
        <w:t>أطنب المتأخّرون في المنازعة بينهم في انّ غسل الجنابة هل هو واجب لنفسه أو</w:t>
      </w:r>
      <w:bookmarkEnd w:id="831"/>
    </w:p>
    <w:p>
      <w:pPr>
        <w:pStyle w:val="BookText"/>
        <w:rPr/>
      </w:pPr>
      <w:r>
        <w:rPr>
          <w:rFonts w:ascii="Amiri" w:hAnsi="Amiri" w:eastAsia="Amiri" w:cs="Amiri"/>
          <w:color w:val="111111"/>
          <w:sz w:val="28"/>
          <w:sz w:val="28"/>
          <w:szCs w:val="28"/>
          <w:rtl w:val="true"/>
          <w:lang w:bidi="ar-SA"/>
        </w:rPr>
        <w:t>لغيره</w:t>
      </w:r>
    </w:p>
    <w:p>
      <w:pPr>
        <w:pStyle w:val="BookText"/>
        <w:rPr/>
      </w:pPr>
      <w:r>
        <w:rPr>
          <w:rFonts w:ascii="IRNazanin" w:hAnsi="IRNazanin" w:eastAsia="IRNazanin"/>
          <w:color w:val="111111"/>
          <w:sz w:val="28"/>
          <w:sz w:val="28"/>
          <w:szCs w:val="28"/>
          <w:rtl w:val="true"/>
          <w:lang w:bidi="fa-IR"/>
        </w:rPr>
        <w:t xml:space="preserve">،فبعض قال بالأوّل </w:t>
      </w:r>
      <w:r>
        <w:rPr>
          <w:rStyle w:val="FootnoteAnchor"/>
          <w:rtl w:val="true"/>
        </w:rPr>
        <w:footnoteReference w:id="1371"/>
      </w:r>
      <w:r>
        <w:rPr>
          <w:rFonts w:ascii="Amiri" w:hAnsi="Amiri" w:eastAsia="Amiri" w:cs="Amiri"/>
          <w:color w:val="111111"/>
          <w:sz w:val="28"/>
          <w:sz w:val="28"/>
          <w:szCs w:val="28"/>
          <w:rtl w:val="true"/>
          <w:lang w:bidi="ar-SA"/>
        </w:rPr>
        <w:t xml:space="preserve">،و آخرون قالوا بالثّاني </w:t>
      </w:r>
      <w:r>
        <w:rPr>
          <w:rStyle w:val="FootnoteAnchor"/>
          <w:rtl w:val="true"/>
        </w:rPr>
        <w:footnoteReference w:id="137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الفائدة تظهر في المجنب إذا خلا من وجوب ما يشترط فيه الطّهارة،ثمَّ أراد الاغتسال هل يوقع نيّة الوجوب أو النّدب،فالقائلون بالأوّل قالوا بالأوّل،و القائلون بالثّاني قالوا بالثّاني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الأقرب عندي الأوّل،و هو مذهب والدي رحمه اللّه تعالى </w:t>
      </w:r>
      <w:r>
        <w:rPr>
          <w:rStyle w:val="FootnoteAnchor"/>
          <w:rtl w:val="true"/>
        </w:rPr>
        <w:footnoteReference w:id="1373"/>
      </w:r>
      <w:r>
        <w:rPr>
          <w:rFonts w:ascii="IRNazanin" w:hAnsi="IRNazanin" w:eastAsia="IRNazanin"/>
          <w:color w:val="111111"/>
          <w:sz w:val="28"/>
          <w:sz w:val="28"/>
          <w:szCs w:val="28"/>
          <w:rtl w:val="true"/>
          <w:lang w:bidi="fa-IR"/>
        </w:rPr>
        <w:t>،لوجوه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التقى الختانان وجب الغسل</w:t>
      </w:r>
      <w:r>
        <w:rPr>
          <w:rFonts w:eastAsia="Amiri" w:cs="Amiri" w:ascii="Amiri" w:hAnsi="Amiri"/>
          <w:color w:val="111111"/>
          <w:sz w:val="28"/>
          <w:szCs w:val="28"/>
          <w:rtl w:val="true"/>
          <w:lang w:bidi="ar-SA"/>
        </w:rPr>
        <w:t xml:space="preserve">) </w:t>
      </w:r>
      <w:r>
        <w:rPr>
          <w:rStyle w:val="FootnoteAnchor"/>
          <w:rtl w:val="true"/>
        </w:rPr>
        <w:footnoteReference w:id="1374"/>
      </w:r>
      <w:r>
        <w:rPr>
          <w:rFonts w:ascii="Amiri" w:hAnsi="Amiri" w:eastAsia="Amiri" w:cs="Amiri"/>
          <w:color w:val="111111"/>
          <w:sz w:val="28"/>
          <w:sz w:val="28"/>
          <w:szCs w:val="28"/>
          <w:rtl w:val="true"/>
          <w:lang w:bidi="ar-SA"/>
        </w:rPr>
        <w:t>و ذلك عام فيمن تعلّق به وجوب شيء مشروط بالطّهارة و من لم يتعلّق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الماء من الماء</w:t>
      </w:r>
      <w:r>
        <w:rPr>
          <w:rFonts w:eastAsia="Amiri" w:cs="Amiri" w:ascii="Amiri" w:hAnsi="Amiri"/>
          <w:color w:val="111111"/>
          <w:sz w:val="28"/>
          <w:szCs w:val="28"/>
          <w:rtl w:val="true"/>
          <w:lang w:bidi="ar-SA"/>
        </w:rPr>
        <w:t xml:space="preserve">) </w:t>
      </w:r>
      <w:r>
        <w:rPr>
          <w:rStyle w:val="FootnoteAnchor"/>
          <w:rtl w:val="true"/>
        </w:rPr>
        <w:footnoteReference w:id="1375"/>
      </w:r>
      <w:r>
        <w:rPr>
          <w:rFonts w:ascii="Amiri" w:hAnsi="Amiri" w:eastAsia="Amiri" w:cs="Amiri"/>
          <w:color w:val="111111"/>
          <w:sz w:val="28"/>
          <w:sz w:val="28"/>
          <w:szCs w:val="28"/>
          <w:rtl w:val="true"/>
          <w:lang w:bidi="ar-SA"/>
        </w:rPr>
        <w:t>و هو يقتضي وجوب الغسل عند الإنزال مطلقا</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توجبون عليه الرّجم و الحدّ و لا توجبون عليه صاعا من ماء</w:t>
      </w:r>
      <w:r>
        <w:rPr>
          <w:rFonts w:eastAsia="Amiri" w:cs="Amiri" w:ascii="Amiri" w:hAnsi="Amiri"/>
          <w:color w:val="111111"/>
          <w:sz w:val="28"/>
          <w:szCs w:val="28"/>
          <w:rtl w:val="true"/>
          <w:lang w:bidi="ar-SA"/>
        </w:rPr>
        <w:t xml:space="preserve">» </w:t>
      </w:r>
      <w:r>
        <w:rPr>
          <w:rStyle w:val="FootnoteAnchor"/>
          <w:rtl w:val="true"/>
        </w:rPr>
        <w:footnoteReference w:id="1376"/>
      </w:r>
      <w:r>
        <w:rPr>
          <w:rFonts w:ascii="Amiri" w:hAnsi="Amiri" w:eastAsia="Amiri" w:cs="Amiri"/>
          <w:color w:val="111111"/>
          <w:sz w:val="28"/>
          <w:sz w:val="28"/>
          <w:szCs w:val="28"/>
          <w:rtl w:val="true"/>
          <w:lang w:bidi="ar-SA"/>
        </w:rPr>
        <w:t xml:space="preserve">و ذلك إنكار منه عليه السّلام على الأنصار حيث أوجبوا أصعب </w:t>
      </w:r>
    </w:p>
    <w:p>
      <w:pPr>
        <w:pStyle w:val="BookText"/>
        <w:rPr/>
      </w:pPr>
      <w:r>
        <w:rPr>
          <w:rFonts w:ascii="Amiri" w:hAnsi="Amiri" w:eastAsia="Amiri" w:cs="Amiri"/>
          <w:color w:val="111111"/>
          <w:sz w:val="28"/>
          <w:sz w:val="28"/>
          <w:szCs w:val="28"/>
          <w:rtl w:val="true"/>
          <w:lang w:bidi="ar-SA"/>
        </w:rPr>
        <w:t>العقوبتين و لم يوجبوا أدناهما،و لمّا لم يكن وجوب الحدّ و الجلد مشروطا بوجوب ما من شرطه الطّهارة،فكذا هنا،لأنّه يدلّ على تعميم الوجوب في كلّ وقت ثبت فيه وجوب العقوبتين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 في الصّحيح،عن محمّد بن مسلم،عن أحدهما عليهما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أدخله فقد وجب الغسل و المهر و الجلد</w:t>
      </w:r>
      <w:r>
        <w:rPr>
          <w:rFonts w:eastAsia="Amiri" w:cs="Amiri" w:ascii="Amiri" w:hAnsi="Amiri"/>
          <w:color w:val="111111"/>
          <w:sz w:val="28"/>
          <w:szCs w:val="28"/>
          <w:rtl w:val="true"/>
          <w:lang w:bidi="ar-SA"/>
        </w:rPr>
        <w:t xml:space="preserve">» </w:t>
      </w:r>
      <w:r>
        <w:rPr>
          <w:rStyle w:val="FootnoteAnchor"/>
          <w:rtl w:val="true"/>
        </w:rPr>
        <w:footnoteReference w:id="1377"/>
      </w:r>
      <w:r>
        <w:rPr>
          <w:rFonts w:ascii="IRNazanin" w:hAnsi="IRNazanin" w:eastAsia="IRNazanin"/>
          <w:color w:val="111111"/>
          <w:sz w:val="28"/>
          <w:sz w:val="28"/>
          <w:szCs w:val="28"/>
          <w:rtl w:val="true"/>
          <w:lang w:bidi="fa-IR"/>
        </w:rPr>
        <w:t>وجه الاستدلال به أمران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قدّمناه في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لمّا لم يكن وجوب المهر و الرّجم مشروطين،لم يكن وجوب الغسل مشروطا،قضيّة للعطف الموجب للتّساوي بين المعطوف و المعطوف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لم يجب إلاّ لما يشترط فيه الطّهارة،لما وجب أوّل النّهار للصّوم، و التّالي باطل إجماعا،فالمقدّم مثله،و الشّرطيّة ظاهرة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احتجّ ابن إدريس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الوجه في الوجوب إنّما هو كونه شرطا في صلاة واجبة على المكلّف إجماعا،و لا صلاة حينئذ،لأنّ التّقدير انّه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 في الصّحيح،عن عبد اللّه بن يحيى الكاهليّ،قال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عبد اللّه عليه السّلام عن المرأة يجامعها الرّجل فتحيض و هي في المغتسل، فتغتسل أم لا؟قال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جاء ما يفسد الصّلاة فلا تغتسل</w:t>
      </w:r>
      <w:r>
        <w:rPr>
          <w:rFonts w:eastAsia="Amiri" w:cs="Amiri" w:ascii="Amiri" w:hAnsi="Amiri"/>
          <w:color w:val="111111"/>
          <w:sz w:val="28"/>
          <w:szCs w:val="28"/>
          <w:rtl w:val="true"/>
          <w:lang w:bidi="ar-SA"/>
        </w:rPr>
        <w:t xml:space="preserve">» </w:t>
      </w:r>
      <w:r>
        <w:rPr>
          <w:rStyle w:val="FootnoteAnchor"/>
          <w:rtl w:val="true"/>
        </w:rPr>
        <w:footnoteReference w:id="1378"/>
      </w:r>
      <w:r>
        <w:rPr>
          <w:rFonts w:ascii="Amiri" w:hAnsi="Amiri" w:eastAsia="Amiri" w:cs="Amiri"/>
          <w:color w:val="111111"/>
          <w:sz w:val="28"/>
          <w:sz w:val="28"/>
          <w:szCs w:val="28"/>
          <w:rtl w:val="true"/>
          <w:lang w:bidi="ar-SA"/>
        </w:rPr>
        <w:t>علّق الوجوب بالصّلاة</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عليه السّلام كان يطوف على نسائه بغسل واحد </w:t>
      </w:r>
      <w:r>
        <w:rPr>
          <w:rStyle w:val="FootnoteAnchor"/>
          <w:rtl w:val="true"/>
        </w:rPr>
        <w:footnoteReference w:id="1379"/>
      </w:r>
      <w:r>
        <w:rPr>
          <w:rFonts w:ascii="Amiri" w:hAnsi="Amiri" w:eastAsia="Amiri" w:cs="Amiri"/>
          <w:color w:val="111111"/>
          <w:sz w:val="28"/>
          <w:sz w:val="28"/>
          <w:szCs w:val="28"/>
          <w:rtl w:val="true"/>
          <w:lang w:bidi="ar-SA"/>
        </w:rPr>
        <w:t xml:space="preserve">،فلو كان واجبا </w:t>
      </w:r>
    </w:p>
    <w:p>
      <w:pPr>
        <w:pStyle w:val="BookText"/>
        <w:rPr/>
      </w:pPr>
      <w:r>
        <w:rPr>
          <w:rFonts w:ascii="Amiri" w:hAnsi="Amiri" w:eastAsia="Amiri" w:cs="Amiri"/>
          <w:color w:val="111111"/>
          <w:sz w:val="28"/>
          <w:sz w:val="28"/>
          <w:szCs w:val="28"/>
          <w:rtl w:val="true"/>
          <w:lang w:bidi="ar-SA"/>
        </w:rPr>
        <w:t>لما جاز تركه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انعقد الإجماع على جواز النّوم للجنب من غير اغتسال،و إنّ للمكلّف التّأخير،فلو كان واجبا لما جاز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يلزم انّ من جامع يجب عليه الاغتسال في الحال حتّى لو كان عنده ماء، فآثر الخروج من منزله للاغتسال من نهر أو حمّام،كان معاقبا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تعالى وَ إِنْ كُنْتُمْ جُنُباً فَاطَّهَّرُوا </w:t>
      </w:r>
      <w:r>
        <w:rPr>
          <w:rStyle w:val="FootnoteAnchor"/>
          <w:rtl w:val="true"/>
        </w:rPr>
        <w:footnoteReference w:id="1380"/>
      </w:r>
      <w:r>
        <w:rPr>
          <w:rFonts w:ascii="Amiri" w:hAnsi="Amiri" w:eastAsia="Amiri" w:cs="Amiri"/>
          <w:color w:val="111111"/>
          <w:sz w:val="28"/>
          <w:sz w:val="28"/>
          <w:szCs w:val="28"/>
          <w:rtl w:val="true"/>
          <w:lang w:bidi="ar-SA"/>
        </w:rPr>
        <w:t>و لا شكّ انّ الوضوء للصّلاة،فيكون الغسل لها أيضا،قضيّة للعطف الموجب للتّسوية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أجاب عن الخامس بوجهين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الإجماع منعقد إمّا على تعميم الوجوب في كلّ وقت،أو على اختصاص الوجوب بحال الصّلاة و الطّواف الواجبين،فالقول بالوجوب في حالة الصّوم أوّل الفجر، مع عدمه في غير حالة الصّلاة و الوجوب قول 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سلّمنا انّ ما لا يتمّ الواجب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الصّوم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الغسل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يكون واجبا،إلاّ انّ هذه المسألة ليست من هذا القبيل،لأنّ صوم رمضان يتمّ من دون نيّة الوجوب للاغتسال،و هو أن يغتسل لرفع الحدث مندوبا قربة،و قد ارتفع حدثه و صحّ صومه،فقد صحّ فعل الواجب من دون نيّة الوجوب </w:t>
      </w:r>
      <w:r>
        <w:rPr>
          <w:rStyle w:val="FootnoteAnchor"/>
          <w:rtl w:val="true"/>
        </w:rPr>
        <w:footnoteReference w:id="1381"/>
      </w:r>
      <w:r>
        <w:rPr>
          <w:rFonts w:eastAsia="Times New Roman" w:cs="Times New Roman" w:ascii="Times New Roman" w:hAnsi="Times New Roman"/>
          <w:color w:val="111111"/>
          <w:sz w:val="28"/>
          <w:szCs w:val="28"/>
          <w:rtl w:val="true"/>
          <w:lang w:val="en-US" w:bidi="en-US"/>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الجواب عن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بالمنع من كون الوجه في الوجوب إنّما هو الصّلاة،و هل محلّ النّزاع إلاّ هو؟فكيف يدّعي الإجماع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الغسل إنّما يجب إذا كان رافعا للحدث،و هو مستحيل عند تجدّد الحيض الّذي هو حدث ملازم،على انّ هذا من قبيل المفهوم فلا يعارض المنطوق</w:t>
      </w:r>
      <w:r>
        <w:rPr>
          <w:rFonts w:eastAsia="Amiri" w:cs="Amiri" w:ascii="Amiri" w:hAnsi="Amiri"/>
          <w:color w:val="111111"/>
          <w:sz w:val="28"/>
          <w:szCs w:val="28"/>
          <w:rtl w:val="true"/>
          <w:lang w:bidi="ar-SA"/>
        </w:rPr>
        <w:t xml:space="preserve">. </w:t>
      </w:r>
      <w:bookmarkStart w:id="832" w:name="pg12669_113051"/>
    </w:p>
    <w:p>
      <w:pPr>
        <w:pStyle w:val="BookText"/>
        <w:rPr/>
      </w:pPr>
      <w:bookmarkEnd w:id="832"/>
      <w:r>
        <w:rPr>
          <w:rFonts w:ascii="Amiri" w:hAnsi="Amiri" w:eastAsia="Amiri" w:cs="Amiri"/>
          <w:color w:val="111111"/>
          <w:sz w:val="28"/>
          <w:sz w:val="28"/>
          <w:szCs w:val="28"/>
          <w:rtl w:val="true"/>
          <w:lang w:bidi="ar-SA"/>
        </w:rPr>
        <w:t>و عن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بالمطالبة عن دليل الملازمة بين الوجوب و العقاب بالتّأخير،فإنّ الأمر لا يقتضي الفور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هو الجواب عن الرّابع و الخامس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السّادس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مع تسليم انّ الواو للعطف لا الاستئناف نلتزم بما يدلّ عليه، و هو الوجوب عند القيام للصّلاة،أمّا على عدم الوجوب عند غير تلك الحال،فلا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جواباه عن الخامس فمشبهان لاستدلاله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الجواب عن الأوّل منهما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شنّع على المستدلّ بشيء ليس هو قائلا به،لأنّه ألزمه خرق الإجماع،و هو لا يلزمه ذلك،لأنّه أبطل أحد القولين بالتزام الخرق لأحد الإجماعين،لأنّ الغسل إمّا أنّ يجب عند الصّبح في رمضان أو لا؟و على الثّاني يلزم خرق الإجماع،و هو صحّة ابتداء الصّوم من دون الطّهارة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 أن يجب عاما و هو إبطال لما ادّعي بطلانه،أو لا،و هو خرق الإجماع الّذي ادّعاه،فهو بالشّناعة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ثانيهما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المستدلّ لم يوجب النّيّة بناء على انّ ما لا يتمّ الواجب إلاّ به يكون واجبا،بل أوجب الغسل،و هذا قد سلّمه ابن إدريس،حيث سلّم انّ الصّوم الواجب لا يتمّ ابتداء إلاّ بالطّهارة،و انّ ما لا يتمّ الواجب إلاّ به يكون واجبا،ثمَّ من أعجب العجائب إيجاب الغسل عليه،و إيجاب النّيّة عليه،إذ الفعل لا يقع إلاّ مع النّيّة،و أن لا ينوي نيّة الوجوب بل النّدب،فللمغتسل أن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كان الغسل ندبا،فلي أن لا أفعله،فإن سوّغ له الصّوم من دون اغتسال فهو خلاف الإجماع،و إلاّ لزمه القول بالوجوب،أو القول بعدم وجوب ما لا يتمّ الواجب إلاّ به،و إن كان واجبا فكيف نوى النّدب في فعل واجب،و عندك الفعل إنّما يقع على حسب القصود </w:t>
      </w:r>
      <w:r>
        <w:rPr>
          <w:rStyle w:val="FootnoteAnchor"/>
          <w:rtl w:val="true"/>
        </w:rPr>
        <w:footnoteReference w:id="1382"/>
      </w:r>
      <w:r>
        <w:rPr>
          <w:rFonts w:ascii="Amiri" w:hAnsi="Amiri" w:eastAsia="Amiri" w:cs="Amiri"/>
          <w:color w:val="111111"/>
          <w:sz w:val="28"/>
          <w:sz w:val="28"/>
          <w:szCs w:val="28"/>
          <w:rtl w:val="true"/>
          <w:lang w:bidi="ar-SA"/>
        </w:rPr>
        <w:t>و الدّواعي،فانظر إلى هذا الرّجل كيف يخبط في كلامه،و لا يحترز عن التّناقض فيه، و إنّما أطنبنا القول في هذا الباب و إن كان قليل الفائدة،لكثرة تشنيعه فيه</w:t>
      </w:r>
      <w:r>
        <w:rPr>
          <w:rFonts w:eastAsia="Amiri" w:cs="Amiri" w:ascii="Amiri" w:hAnsi="Amiri"/>
          <w:color w:val="111111"/>
          <w:sz w:val="28"/>
          <w:szCs w:val="28"/>
          <w:rtl w:val="true"/>
          <w:lang w:bidi="ar-SA"/>
        </w:rPr>
        <w:t>.</w:t>
      </w:r>
    </w:p>
    <w:p>
      <w:pPr>
        <w:pStyle w:val="Heading6"/>
        <w:numPr>
          <w:ilvl w:val="5"/>
          <w:numId w:val="1"/>
        </w:numPr>
        <w:rPr/>
      </w:pPr>
      <w:bookmarkStart w:id="833" w:name="__RefHeading___Toc795803_222507752"/>
      <w:bookmarkStart w:id="834" w:name="_Toc341"/>
      <w:bookmarkEnd w:id="833"/>
      <w:r>
        <w:rPr>
          <w:rtl w:val="true"/>
        </w:rPr>
        <w:t>فصل</w:t>
      </w:r>
      <w:r>
        <w:rPr>
          <w:rtl w:val="true"/>
        </w:rPr>
        <w:t>:</w:t>
      </w:r>
      <w:r>
        <w:rPr>
          <w:rtl w:val="true"/>
        </w:rPr>
        <w:t>لا بأس بالنّكاح في الحمّام و القراءة فيه،</w:t>
      </w:r>
      <w:bookmarkEnd w:id="834"/>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 روى الشّيخ في الصّحيح،عن </w:t>
      </w:r>
      <w:bookmarkStart w:id="835" w:name="pg12669_113052"/>
    </w:p>
    <w:p>
      <w:pPr>
        <w:pStyle w:val="BookText"/>
        <w:rPr/>
      </w:pPr>
      <w:bookmarkEnd w:id="835"/>
      <w:r>
        <w:rPr>
          <w:rFonts w:ascii="Amiri" w:hAnsi="Amiri" w:eastAsia="Amiri" w:cs="Amiri"/>
          <w:color w:val="111111"/>
          <w:sz w:val="28"/>
          <w:sz w:val="28"/>
          <w:szCs w:val="28"/>
          <w:rtl w:val="true"/>
          <w:lang w:bidi="ar-SA"/>
        </w:rPr>
        <w:t>محمّد بن إسماعيل بن بزيع،عن أبي الحسن الرّضا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الرّجل يقرأ في الحمّام و ينكح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Style w:val="FootnoteAnchor"/>
          <w:rtl w:val="true"/>
        </w:rPr>
        <w:footnoteReference w:id="1383"/>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به</w:t>
      </w:r>
      <w:r>
        <w:rPr>
          <w:rFonts w:eastAsia="IRNazanin" w:cs="IRNazanin"/>
          <w:color w:val="111111"/>
          <w:sz w:val="28"/>
          <w:szCs w:val="28"/>
          <w:rtl w:val="true"/>
          <w:lang w:bidi="fa-IR"/>
        </w:rPr>
        <w:t xml:space="preserve">» </w:t>
      </w:r>
      <w:r>
        <w:rPr>
          <w:rStyle w:val="FootnoteAnchor"/>
          <w:rtl w:val="true"/>
        </w:rPr>
        <w:footnoteReference w:id="13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روى في الصّحيح،عن عليّ بن يقطين،عن أبي الحسن موسى عليه السّلام مثله </w:t>
      </w:r>
      <w:r>
        <w:rPr>
          <w:rStyle w:val="FootnoteAnchor"/>
          <w:rtl w:val="true"/>
        </w:rPr>
        <w:footnoteReference w:id="138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836" w:name="__RefHeading___Toc795805_222507752"/>
      <w:bookmarkStart w:id="837" w:name="_Toc342"/>
      <w:bookmarkEnd w:id="836"/>
      <w:r>
        <w:rPr>
          <w:rtl w:val="true"/>
        </w:rPr>
        <w:t>فصل</w:t>
      </w:r>
      <w:r>
        <w:rPr>
          <w:rtl w:val="true"/>
        </w:rPr>
        <w:t>:</w:t>
      </w:r>
      <w:bookmarkEnd w:id="837"/>
    </w:p>
    <w:p>
      <w:pPr>
        <w:pStyle w:val="BookText"/>
        <w:rPr/>
      </w:pPr>
      <w:r>
        <w:rPr>
          <w:rFonts w:ascii="Amiri" w:hAnsi="Amiri" w:eastAsia="Amiri" w:cs="Amiri"/>
          <w:color w:val="111111"/>
          <w:sz w:val="28"/>
          <w:sz w:val="28"/>
          <w:szCs w:val="28"/>
          <w:rtl w:val="true"/>
          <w:lang w:bidi="ar-SA"/>
        </w:rPr>
        <w:t>روى الشّيخ في الصّحيح،عن إبراهيم بن أبي محمود،قال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الرّضا عليه السّلام عن المرأة وليها قميصها أو إزارها يصيبه من بلل الفرج و هي جنب أ تصلي فيه؟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اغتسلت صلّت فيهما</w:t>
      </w:r>
      <w:r>
        <w:rPr>
          <w:rFonts w:eastAsia="Amiri" w:cs="Amiri" w:ascii="Amiri" w:hAnsi="Amiri"/>
          <w:color w:val="111111"/>
          <w:sz w:val="28"/>
          <w:szCs w:val="28"/>
          <w:rtl w:val="true"/>
          <w:lang w:bidi="ar-SA"/>
        </w:rPr>
        <w:t xml:space="preserve">» </w:t>
      </w:r>
      <w:r>
        <w:rPr>
          <w:rStyle w:val="FootnoteAnchor"/>
          <w:rtl w:val="true"/>
        </w:rPr>
        <w:footnoteReference w:id="1386"/>
      </w:r>
      <w:r>
        <w:rPr>
          <w:rFonts w:ascii="Amiri" w:hAnsi="Amiri" w:eastAsia="Amiri" w:cs="Amiri"/>
          <w:color w:val="111111"/>
          <w:sz w:val="28"/>
          <w:sz w:val="28"/>
          <w:szCs w:val="28"/>
          <w:rtl w:val="true"/>
          <w:lang w:bidi="ar-SA"/>
        </w:rPr>
        <w:t>و هذا يدلّ على طهارة الرّطوبة</w:t>
      </w:r>
      <w:r>
        <w:rPr>
          <w:rFonts w:eastAsia="Amiri" w:cs="Amiri" w:ascii="Amiri" w:hAnsi="Amiri"/>
          <w:color w:val="111111"/>
          <w:sz w:val="28"/>
          <w:szCs w:val="28"/>
          <w:rtl w:val="true"/>
          <w:lang w:bidi="ar-SA"/>
        </w:rPr>
        <w:t>.</w:t>
      </w:r>
    </w:p>
    <w:p>
      <w:pPr>
        <w:pStyle w:val="Heading6"/>
        <w:numPr>
          <w:ilvl w:val="5"/>
          <w:numId w:val="1"/>
        </w:numPr>
        <w:rPr/>
      </w:pPr>
      <w:bookmarkStart w:id="838" w:name="__RefHeading___Toc795807_222507752"/>
      <w:bookmarkStart w:id="839" w:name="_Toc343"/>
      <w:bookmarkEnd w:id="838"/>
      <w:r>
        <w:rPr>
          <w:rtl w:val="true"/>
        </w:rPr>
        <w:t>فصل</w:t>
      </w:r>
      <w:r>
        <w:rPr>
          <w:rtl w:val="true"/>
        </w:rPr>
        <w:t>:</w:t>
      </w:r>
      <w:bookmarkEnd w:id="839"/>
    </w:p>
    <w:p>
      <w:pPr>
        <w:pStyle w:val="BookText"/>
        <w:rPr/>
      </w:pPr>
      <w:r>
        <w:rPr>
          <w:rFonts w:ascii="Amiri" w:hAnsi="Amiri" w:eastAsia="Amiri" w:cs="Amiri"/>
          <w:color w:val="111111"/>
          <w:sz w:val="28"/>
          <w:sz w:val="28"/>
          <w:szCs w:val="28"/>
          <w:rtl w:val="true"/>
          <w:lang w:bidi="ar-SA"/>
        </w:rPr>
        <w:t>و روى،عن إسماعيل بن أبي زياد،عن جعفر،عن أبيه،عن آبائه عليهم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 نساء النّبيّ صلّى اللّه عليه و آله إذا اغتسلن من الجنابة يبقين صفرة الطّيب على أجسادهنّ،و ذلك انّ النّبيّ صلّى اللّه عليه و آله أمرهنّ أن يصن صبّا على أجسادهنّ</w:t>
      </w:r>
      <w:r>
        <w:rPr>
          <w:rFonts w:eastAsia="Amiri" w:cs="Amiri" w:ascii="Amiri" w:hAnsi="Amiri"/>
          <w:color w:val="111111"/>
          <w:sz w:val="28"/>
          <w:szCs w:val="28"/>
          <w:rtl w:val="true"/>
          <w:lang w:bidi="ar-SA"/>
        </w:rPr>
        <w:t xml:space="preserve">» </w:t>
      </w:r>
      <w:r>
        <w:rPr>
          <w:rStyle w:val="FootnoteAnchor"/>
          <w:rtl w:val="true"/>
        </w:rPr>
        <w:footnoteReference w:id="1387"/>
      </w:r>
      <w:r>
        <w:rPr>
          <w:rFonts w:ascii="Amiri" w:hAnsi="Amiri" w:eastAsia="Amiri" w:cs="Amiri"/>
          <w:color w:val="111111"/>
          <w:sz w:val="28"/>
          <w:sz w:val="28"/>
          <w:szCs w:val="28"/>
          <w:rtl w:val="true"/>
          <w:lang w:bidi="ar-SA"/>
        </w:rPr>
        <w:t>و هذا يدلّ على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تأثير الخضاب في الغسل</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عدم وجوب الدّلك،خلافا لمالك </w:t>
      </w:r>
      <w:r>
        <w:rPr>
          <w:rStyle w:val="FootnoteAnchor"/>
          <w:rtl w:val="true"/>
        </w:rPr>
        <w:footnoteReference w:id="138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الرّواية و إن كان في طريقها </w:t>
      </w:r>
      <w:bookmarkStart w:id="840" w:name="pg12669_113053"/>
    </w:p>
    <w:p>
      <w:pPr>
        <w:pStyle w:val="BookText"/>
        <w:rPr/>
      </w:pPr>
      <w:bookmarkEnd w:id="840"/>
      <w:r>
        <w:rPr>
          <w:rFonts w:ascii="Amiri" w:hAnsi="Amiri" w:eastAsia="Amiri" w:cs="Amiri"/>
          <w:color w:val="111111"/>
          <w:sz w:val="28"/>
          <w:sz w:val="28"/>
          <w:szCs w:val="28"/>
          <w:rtl w:val="true"/>
          <w:lang w:bidi="ar-SA"/>
        </w:rPr>
        <w:t xml:space="preserve">إسماعيل بن أبي زياد،و فيه ضعف </w:t>
      </w:r>
      <w:r>
        <w:rPr>
          <w:rStyle w:val="FootnoteAnchor"/>
          <w:rtl w:val="true"/>
        </w:rPr>
        <w:footnoteReference w:id="1389"/>
      </w:r>
      <w:r>
        <w:rPr>
          <w:rFonts w:ascii="Amiri" w:hAnsi="Amiri" w:eastAsia="Amiri" w:cs="Amiri"/>
          <w:color w:val="111111"/>
          <w:sz w:val="28"/>
          <w:sz w:val="28"/>
          <w:szCs w:val="28"/>
          <w:rtl w:val="true"/>
          <w:lang w:bidi="ar-SA"/>
        </w:rPr>
        <w:t>،إلاّ انّ الأصحاب تلقّتها بالقبول</w:t>
      </w:r>
      <w:r>
        <w:rPr>
          <w:rFonts w:eastAsia="Amiri" w:cs="Amiri" w:ascii="Amiri" w:hAnsi="Amiri"/>
          <w:color w:val="111111"/>
          <w:sz w:val="28"/>
          <w:szCs w:val="28"/>
          <w:rtl w:val="true"/>
          <w:lang w:bidi="ar-SA"/>
        </w:rPr>
        <w:t>.</w:t>
      </w:r>
    </w:p>
    <w:p>
      <w:pPr>
        <w:pStyle w:val="Heading6"/>
        <w:numPr>
          <w:ilvl w:val="5"/>
          <w:numId w:val="1"/>
        </w:numPr>
        <w:rPr/>
      </w:pPr>
      <w:bookmarkStart w:id="841" w:name="__RefHeading___Toc795809_222507752"/>
      <w:bookmarkStart w:id="842" w:name="_Toc344"/>
      <w:bookmarkEnd w:id="841"/>
      <w:r>
        <w:rPr>
          <w:rtl w:val="true"/>
        </w:rPr>
        <w:t>فصل</w:t>
      </w:r>
      <w:r>
        <w:rPr>
          <w:rtl w:val="true"/>
        </w:rPr>
        <w:t>:</w:t>
      </w:r>
      <w:r>
        <w:rPr>
          <w:rtl w:val="true"/>
        </w:rPr>
        <w:t>و لا بأس بالجماع في الماء</w:t>
      </w:r>
      <w:bookmarkEnd w:id="842"/>
    </w:p>
    <w:p>
      <w:pPr>
        <w:pStyle w:val="BookText"/>
        <w:rPr/>
      </w:pPr>
      <w:r>
        <w:rPr>
          <w:rFonts w:ascii="Amiri" w:hAnsi="Amiri" w:eastAsia="Amiri" w:cs="Amiri"/>
          <w:color w:val="111111"/>
          <w:sz w:val="28"/>
          <w:sz w:val="28"/>
          <w:szCs w:val="28"/>
          <w:rtl w:val="true"/>
          <w:lang w:bidi="ar-SA"/>
        </w:rPr>
        <w:t>،لما رواه الشّيخ،عن بريد بن معاوية العجليّ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الرّجل يأتي جاريته في الماء؟قال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به بأس</w:t>
      </w:r>
      <w:r>
        <w:rPr>
          <w:rFonts w:eastAsia="Amiri" w:cs="Amiri" w:ascii="Amiri" w:hAnsi="Amiri"/>
          <w:color w:val="111111"/>
          <w:sz w:val="28"/>
          <w:szCs w:val="28"/>
          <w:rtl w:val="true"/>
          <w:lang w:bidi="ar-SA"/>
        </w:rPr>
        <w:t xml:space="preserve">» </w:t>
      </w:r>
      <w:r>
        <w:rPr>
          <w:rStyle w:val="FootnoteAnchor"/>
          <w:rtl w:val="true"/>
        </w:rPr>
        <w:footnoteReference w:id="139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843" w:name="__RefHeading___Toc795811_222507752"/>
      <w:bookmarkStart w:id="844" w:name="_Toc345"/>
      <w:bookmarkEnd w:id="843"/>
      <w:r>
        <w:rPr>
          <w:rtl w:val="true"/>
        </w:rPr>
        <w:t>فصل</w:t>
      </w:r>
      <w:r>
        <w:rPr>
          <w:rtl w:val="true"/>
        </w:rPr>
        <w:t>:</w:t>
      </w:r>
      <w:bookmarkEnd w:id="844"/>
    </w:p>
    <w:p>
      <w:pPr>
        <w:pStyle w:val="BookText"/>
        <w:rPr/>
      </w:pPr>
      <w:r>
        <w:rPr>
          <w:rFonts w:ascii="Amiri" w:hAnsi="Amiri" w:eastAsia="Amiri" w:cs="Amiri"/>
          <w:color w:val="111111"/>
          <w:sz w:val="28"/>
          <w:sz w:val="28"/>
          <w:szCs w:val="28"/>
          <w:rtl w:val="true"/>
          <w:lang w:bidi="ar-SA"/>
        </w:rPr>
        <w:t>روى الشّيخ في الصّحيح،عن الحلبيّ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أبو عبد اللّه عليه السّلام عن رجل أجنب في شهر رمضان فنسي أن يغتسل حتّى خرج شهر رمضان؟قال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أن يقضي الصّلاة و الصّيام</w:t>
      </w:r>
      <w:r>
        <w:rPr>
          <w:rFonts w:eastAsia="Amiri" w:cs="Amiri" w:ascii="Amiri" w:hAnsi="Amiri"/>
          <w:color w:val="111111"/>
          <w:sz w:val="28"/>
          <w:szCs w:val="28"/>
          <w:rtl w:val="true"/>
          <w:lang w:bidi="ar-SA"/>
        </w:rPr>
        <w:t xml:space="preserve">» </w:t>
      </w:r>
      <w:r>
        <w:rPr>
          <w:rStyle w:val="FootnoteAnchor"/>
          <w:rtl w:val="true"/>
        </w:rPr>
        <w:footnoteReference w:id="13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الصّلاة فاتّفاق منّا،و أمّا الصّيام ففيه بحث سيأتي</w:t>
      </w:r>
      <w:r>
        <w:rPr>
          <w:rFonts w:eastAsia="Amiri" w:cs="Amiri" w:ascii="Amiri" w:hAnsi="Amiri"/>
          <w:color w:val="111111"/>
          <w:sz w:val="28"/>
          <w:szCs w:val="28"/>
          <w:rtl w:val="true"/>
          <w:lang w:bidi="ar-SA"/>
        </w:rPr>
        <w:t>.</w:t>
      </w:r>
    </w:p>
    <w:p>
      <w:pPr>
        <w:pStyle w:val="Heading6"/>
        <w:numPr>
          <w:ilvl w:val="5"/>
          <w:numId w:val="1"/>
        </w:numPr>
        <w:rPr/>
      </w:pPr>
      <w:bookmarkStart w:id="845" w:name="__RefHeading___Toc795813_222507752"/>
      <w:bookmarkStart w:id="846" w:name="_Toc346"/>
      <w:bookmarkEnd w:id="845"/>
      <w:r>
        <w:rPr>
          <w:rtl w:val="true"/>
        </w:rPr>
        <w:t>فصل</w:t>
      </w:r>
      <w:r>
        <w:rPr>
          <w:rtl w:val="true"/>
        </w:rPr>
        <w:t>:</w:t>
      </w:r>
      <w:r>
        <w:rPr>
          <w:rtl w:val="true"/>
        </w:rPr>
        <w:t>روى ابن بابويه في الصّحيح،عن الحلبيّ،قال</w:t>
      </w:r>
      <w:r>
        <w:rPr>
          <w:rtl w:val="true"/>
        </w:rPr>
        <w:t>:</w:t>
      </w:r>
      <w:r>
        <w:rPr>
          <w:rtl w:val="true"/>
        </w:rPr>
        <w:t>سألت أبا عبد اللّه عليه</w:t>
      </w:r>
      <w:bookmarkEnd w:id="846"/>
    </w:p>
    <w:p>
      <w:pPr>
        <w:pStyle w:val="BookText"/>
        <w:rPr/>
      </w:pPr>
      <w:r>
        <w:rPr>
          <w:rFonts w:ascii="Amiri" w:hAnsi="Amiri" w:eastAsia="Amiri" w:cs="Amiri"/>
          <w:color w:val="111111"/>
          <w:sz w:val="28"/>
          <w:sz w:val="28"/>
          <w:szCs w:val="28"/>
          <w:rtl w:val="true"/>
          <w:lang w:bidi="ar-SA"/>
        </w:rPr>
        <w:t>السّلام عن الرّجل يغتسل بغير إزار حيث لا يراه أحد؟قال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p>
    <w:p>
      <w:pPr>
        <w:pStyle w:val="BookText"/>
        <w:rPr/>
      </w:pPr>
      <w:r>
        <w:rPr>
          <w:rStyle w:val="FootnoteAnchor"/>
          <w:rtl w:val="true"/>
        </w:rPr>
        <w:footnoteReference w:id="13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موافقة للمذهب</w:t>
      </w:r>
      <w:r>
        <w:rPr>
          <w:rFonts w:eastAsia="Amiri" w:cs="Amiri" w:ascii="Amiri" w:hAnsi="Amiri"/>
          <w:color w:val="111111"/>
          <w:sz w:val="28"/>
          <w:szCs w:val="28"/>
          <w:rtl w:val="true"/>
          <w:lang w:bidi="ar-SA"/>
        </w:rPr>
        <w:t>.</w:t>
      </w:r>
    </w:p>
    <w:p>
      <w:pPr>
        <w:pStyle w:val="Heading6"/>
        <w:numPr>
          <w:ilvl w:val="5"/>
          <w:numId w:val="1"/>
        </w:numPr>
        <w:rPr/>
      </w:pPr>
      <w:bookmarkStart w:id="847" w:name="__RefHeading___Toc795815_222507752"/>
      <w:bookmarkStart w:id="848" w:name="_Toc347"/>
      <w:bookmarkEnd w:id="847"/>
      <w:r>
        <w:rPr>
          <w:rtl w:val="true"/>
        </w:rPr>
        <w:t>فصل</w:t>
      </w:r>
      <w:r>
        <w:rPr>
          <w:rtl w:val="true"/>
        </w:rPr>
        <w:t>:</w:t>
      </w:r>
      <w:r>
        <w:rPr>
          <w:rtl w:val="true"/>
        </w:rPr>
        <w:t>قال ابن بابويه</w:t>
      </w:r>
      <w:r>
        <w:rPr>
          <w:rtl w:val="true"/>
        </w:rPr>
        <w:t>:</w:t>
      </w:r>
      <w:r>
        <w:rPr>
          <w:rtl w:val="true"/>
        </w:rPr>
        <w:t>و من أجنب في أرض و لم يجد الماء إلاّ ماء جامدا و لا يخلص</w:t>
      </w:r>
      <w:bookmarkEnd w:id="848"/>
    </w:p>
    <w:p>
      <w:pPr>
        <w:pStyle w:val="BookText"/>
        <w:rPr/>
      </w:pPr>
      <w:r>
        <w:rPr>
          <w:rFonts w:ascii="Amiri" w:hAnsi="Amiri" w:eastAsia="Amiri" w:cs="Amiri"/>
          <w:color w:val="111111"/>
          <w:sz w:val="28"/>
          <w:sz w:val="28"/>
          <w:szCs w:val="28"/>
          <w:rtl w:val="true"/>
          <w:lang w:bidi="ar-SA"/>
        </w:rPr>
        <w:t>إلى الصّعيد فليصلّ بالمسح</w:t>
      </w:r>
    </w:p>
    <w:p>
      <w:pPr>
        <w:pStyle w:val="BookText"/>
        <w:rPr/>
      </w:pPr>
      <w:r>
        <w:rPr>
          <w:rFonts w:ascii="Amiri" w:hAnsi="Amiri" w:eastAsia="Amiri" w:cs="Amiri"/>
          <w:color w:val="111111"/>
          <w:sz w:val="28"/>
          <w:sz w:val="28"/>
          <w:szCs w:val="28"/>
          <w:rtl w:val="true"/>
          <w:lang w:bidi="ar-SA"/>
        </w:rPr>
        <w:t xml:space="preserve">،ثمَّ لا يعد إلى الأرض الّتي توبق دينه </w:t>
      </w:r>
      <w:r>
        <w:rPr>
          <w:rStyle w:val="FootnoteAnchor"/>
          <w:rtl w:val="true"/>
        </w:rPr>
        <w:footnoteReference w:id="139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محمول على انّه لا يتمكّن من دلك جسده بالثّلج،بحيث يحصل مسمّى الغسل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تقدّم ذلك فيما مضى </w:t>
      </w:r>
      <w:r>
        <w:rPr>
          <w:rStyle w:val="FootnoteAnchor"/>
          <w:rtl w:val="true"/>
        </w:rPr>
        <w:footnoteReference w:id="1394"/>
      </w:r>
      <w:r>
        <w:rPr>
          <w:rFonts w:eastAsia="Times New Roman" w:cs="Times New Roman" w:ascii="Times New Roman" w:hAnsi="Times New Roman"/>
          <w:color w:val="111111"/>
          <w:sz w:val="28"/>
          <w:szCs w:val="28"/>
          <w:rtl w:val="true"/>
          <w:lang w:val="en-US" w:bidi="en-US"/>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849" w:name="__RefHeading___Toc795817_222507752"/>
      <w:bookmarkStart w:id="850" w:name="_Toc348"/>
      <w:bookmarkEnd w:id="849"/>
      <w:r>
        <w:rPr>
          <w:rtl w:val="true"/>
        </w:rPr>
        <w:t>فصل</w:t>
      </w:r>
      <w:r>
        <w:rPr>
          <w:rtl w:val="true"/>
        </w:rPr>
        <w:t>:</w:t>
      </w:r>
      <w:r>
        <w:rPr>
          <w:rtl w:val="true"/>
        </w:rPr>
        <w:t>روى ابن بابويه،قال</w:t>
      </w:r>
      <w:r>
        <w:rPr>
          <w:rtl w:val="true"/>
        </w:rPr>
        <w:t>:</w:t>
      </w:r>
      <w:r>
        <w:rPr>
          <w:rtl w:val="true"/>
        </w:rPr>
        <w:t>جاء نفر من اليهود إلى رسول اللّه صلّى اللّه عليه و آله،</w:t>
      </w:r>
      <w:bookmarkStart w:id="851" w:name="pg12669_113054"/>
      <w:bookmarkEnd w:id="850"/>
    </w:p>
    <w:p>
      <w:pPr>
        <w:pStyle w:val="BookText"/>
        <w:rPr/>
      </w:pPr>
      <w:bookmarkEnd w:id="851"/>
      <w:r>
        <w:rPr>
          <w:rFonts w:ascii="Amiri" w:hAnsi="Amiri" w:eastAsia="Amiri" w:cs="Amiri"/>
          <w:color w:val="111111"/>
          <w:sz w:val="28"/>
          <w:sz w:val="28"/>
          <w:szCs w:val="28"/>
          <w:rtl w:val="true"/>
          <w:lang w:bidi="ar-SA"/>
        </w:rPr>
        <w:t>فسأله أعلمهم عن مسائل،و كان فيما سأله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لأيّ شيء أمر اللّه بالاغتسال من الجنابة و لم يأمر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بالغسل</w:t>
      </w:r>
      <w:r>
        <w:rPr>
          <w:rFonts w:eastAsia="Amiri" w:cs="Amiri" w:ascii="Amiri" w:hAnsi="Amiri"/>
          <w:color w:val="111111"/>
          <w:sz w:val="28"/>
          <w:szCs w:val="28"/>
          <w:rtl w:val="true"/>
          <w:lang w:bidi="ar-SA"/>
        </w:rPr>
        <w:t xml:space="preserve">] </w:t>
      </w:r>
      <w:r>
        <w:rPr>
          <w:rStyle w:val="FootnoteAnchor"/>
          <w:rtl w:val="true"/>
        </w:rPr>
        <w:footnoteReference w:id="1395"/>
      </w:r>
      <w:r>
        <w:rPr>
          <w:rFonts w:ascii="Amiri" w:hAnsi="Amiri" w:eastAsia="Amiri" w:cs="Amiri"/>
          <w:color w:val="111111"/>
          <w:sz w:val="28"/>
          <w:sz w:val="28"/>
          <w:szCs w:val="28"/>
          <w:rtl w:val="true"/>
          <w:lang w:bidi="ar-SA"/>
        </w:rPr>
        <w:t>من الغائط و البول؟فقال رسول اللّه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آدم عليه السّلام لمّا أكل من الشّجرة دبّ ذلك في عروقه و شعره و بشره،فإذا جامع الرّجل أهله،خرج الماء من كلّ عرق و شعرة في جسده،فأوجب اللّه عزّ و جلّ على ذرّيّته الاغتسال من الجنابة إلى يوم القيامة،و البول يخرج من فضلة الشّراب الّذي يشربه الإنسان،و الغائط يخرج من فضلة الطّعام الّذي يأكله الإنسان فعليه في ذلك الوضوء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اليهودي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صدقت يا محمّد </w:t>
      </w:r>
      <w:r>
        <w:rPr>
          <w:rStyle w:val="FootnoteAnchor"/>
          <w:rtl w:val="true"/>
        </w:rPr>
        <w:footnoteReference w:id="13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كتب الرّضا عليه السّلام إلى محمّد بن سنان ممّا كتب من جواب مسائله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علّة غسل الجنابة النّظافة لتطهير الإنسان ممّا أصابه من أذاه و تطهير سائر جسده،لأنّ الجنابة خارجة من كلّ جسده،فلذلك وجب عليه تطهير جسده كلّه،و علّة التّخفيف في البول و الغائط انّه أكثر و أدوم من الجنابة،و رضي منه بالوضوء لكثرته و مشقّته و مجيئه بغير إرادة منه و لا شهوة،و الجنابة لا تكون إلاّ بالاستلذاذ منهم و الإكراه لأنفسهم</w:t>
      </w:r>
      <w:r>
        <w:rPr>
          <w:rFonts w:eastAsia="Amiri" w:cs="Amiri" w:ascii="Amiri" w:hAnsi="Amiri"/>
          <w:color w:val="111111"/>
          <w:sz w:val="28"/>
          <w:szCs w:val="28"/>
          <w:rtl w:val="true"/>
          <w:lang w:bidi="ar-SA"/>
        </w:rPr>
        <w:t xml:space="preserve">» </w:t>
      </w:r>
      <w:r>
        <w:rPr>
          <w:rStyle w:val="FootnoteAnchor"/>
          <w:rtl w:val="true"/>
        </w:rPr>
        <w:footnoteReference w:id="139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852" w:name="__RefHeading___Toc795819_222507752"/>
      <w:bookmarkStart w:id="853" w:name="_Toc349"/>
      <w:bookmarkEnd w:id="852"/>
      <w:r>
        <w:rPr>
          <w:rtl w:val="true"/>
        </w:rPr>
        <w:t>فصل</w:t>
      </w:r>
      <w:r>
        <w:rPr>
          <w:rtl w:val="true"/>
        </w:rPr>
        <w:t>:</w:t>
      </w:r>
      <w:r>
        <w:rPr>
          <w:rtl w:val="true"/>
        </w:rPr>
        <w:t>و إدخال الماء في العين ليس بشرط،</w:t>
      </w:r>
      <w:bookmarkEnd w:id="853"/>
    </w:p>
    <w:p>
      <w:pPr>
        <w:pStyle w:val="BookText"/>
        <w:rPr/>
      </w:pPr>
      <w:r>
        <w:rPr>
          <w:rFonts w:ascii="Amiri" w:hAnsi="Amiri" w:eastAsia="Amiri" w:cs="Amiri"/>
          <w:color w:val="111111"/>
          <w:sz w:val="28"/>
          <w:sz w:val="28"/>
          <w:szCs w:val="28"/>
          <w:rtl w:val="true"/>
          <w:lang w:bidi="ar-SA"/>
        </w:rPr>
        <w:t xml:space="preserve">و هو مذهب أكثر أهل العلم </w:t>
      </w:r>
      <w:r>
        <w:rPr>
          <w:rStyle w:val="FootnoteAnchor"/>
          <w:rtl w:val="true"/>
        </w:rPr>
        <w:footnoteReference w:id="1398"/>
      </w:r>
      <w:r>
        <w:rPr>
          <w:rFonts w:ascii="Amiri" w:hAnsi="Amiri" w:eastAsia="Amiri" w:cs="Amiri"/>
          <w:color w:val="111111"/>
          <w:sz w:val="28"/>
          <w:sz w:val="28"/>
          <w:szCs w:val="28"/>
          <w:rtl w:val="true"/>
          <w:lang w:bidi="ar-SA"/>
        </w:rPr>
        <w:t xml:space="preserve">،و كان عبد اللّه بن عمر يدخل الماء في عينيه من الجنابة </w:t>
      </w:r>
      <w:r>
        <w:rPr>
          <w:rStyle w:val="FootnoteAnchor"/>
          <w:rtl w:val="true"/>
        </w:rPr>
        <w:footnoteReference w:id="1399"/>
      </w:r>
      <w:r>
        <w:rPr>
          <w:rFonts w:eastAsia="Times New Roman" w:cs="Times New Roman" w:ascii="Times New Roman" w:hAnsi="Times New Roman"/>
          <w:color w:val="111111"/>
          <w:sz w:val="28"/>
          <w:szCs w:val="28"/>
          <w:rtl w:val="true"/>
          <w:lang w:val="en-US" w:bidi="en-US"/>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تقدّم من الأحاديث الدّالّة على الاجتزاء بغسل الظّاهر و بغسل الجسد </w:t>
      </w:r>
      <w:r>
        <w:rPr>
          <w:rStyle w:val="FootnoteAnchor"/>
          <w:rtl w:val="true"/>
        </w:rPr>
        <w:footnoteReference w:id="1400"/>
      </w:r>
      <w:r>
        <w:rPr>
          <w:rFonts w:ascii="IRNazanin" w:hAnsi="IRNazanin" w:eastAsia="IRNazanin"/>
          <w:color w:val="111111"/>
          <w:sz w:val="28"/>
          <w:sz w:val="28"/>
          <w:szCs w:val="28"/>
          <w:rtl w:val="true"/>
          <w:lang w:bidi="fa-IR"/>
        </w:rPr>
        <w:t xml:space="preserve">، </w:t>
      </w:r>
      <w:bookmarkStart w:id="854" w:name="pg12669_113055"/>
    </w:p>
    <w:p>
      <w:pPr>
        <w:pStyle w:val="BookText"/>
        <w:rPr/>
      </w:pPr>
      <w:bookmarkEnd w:id="854"/>
      <w:r>
        <w:rPr>
          <w:rFonts w:ascii="Amiri" w:hAnsi="Amiri" w:eastAsia="Amiri" w:cs="Amiri"/>
          <w:color w:val="111111"/>
          <w:sz w:val="28"/>
          <w:sz w:val="28"/>
          <w:szCs w:val="28"/>
          <w:rtl w:val="true"/>
          <w:lang w:bidi="ar-SA"/>
        </w:rPr>
        <w:t>و لأنّ فيه مشقّة فيسقط</w:t>
      </w:r>
      <w:r>
        <w:rPr>
          <w:rFonts w:eastAsia="Amiri" w:cs="Amiri" w:ascii="Amiri" w:hAnsi="Amiri"/>
          <w:color w:val="111111"/>
          <w:sz w:val="28"/>
          <w:szCs w:val="28"/>
          <w:rtl w:val="true"/>
          <w:lang w:bidi="ar-SA"/>
        </w:rPr>
        <w:t>.</w:t>
      </w:r>
    </w:p>
    <w:p>
      <w:pPr>
        <w:pStyle w:val="Heading6"/>
        <w:numPr>
          <w:ilvl w:val="5"/>
          <w:numId w:val="1"/>
        </w:numPr>
        <w:rPr/>
      </w:pPr>
      <w:bookmarkStart w:id="855" w:name="__RefHeading___Toc795821_222507752"/>
      <w:bookmarkStart w:id="856" w:name="_Toc350"/>
      <w:bookmarkEnd w:id="855"/>
      <w:r>
        <w:rPr>
          <w:rtl w:val="true"/>
        </w:rPr>
        <w:t>فصل</w:t>
      </w:r>
      <w:r>
        <w:rPr>
          <w:rtl w:val="true"/>
        </w:rPr>
        <w:t>:</w:t>
      </w:r>
      <w:r>
        <w:rPr>
          <w:rtl w:val="true"/>
        </w:rPr>
        <w:t>هل يجب على الزّوج ثمن الماء الّذي تغتسل به المرأة؟</w:t>
      </w:r>
      <w:bookmarkEnd w:id="856"/>
    </w:p>
    <w:p>
      <w:pPr>
        <w:pStyle w:val="BookText"/>
        <w:rPr/>
      </w:pPr>
      <w:r>
        <w:rPr>
          <w:rFonts w:ascii="Amiri" w:hAnsi="Amiri" w:eastAsia="Amiri" w:cs="Amiri"/>
          <w:color w:val="111111"/>
          <w:sz w:val="28"/>
          <w:sz w:val="28"/>
          <w:szCs w:val="28"/>
          <w:rtl w:val="true"/>
          <w:lang w:bidi="ar-SA"/>
        </w:rPr>
        <w:t>للحنفيّة فيه تفصيل، قال بعضهم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يجب مع غنائها،و مع الفقر يجب على الزّوج تخليتها لتنتقل إلى الماء أو تنقل الماء إليها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آخرون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يجب عليه كما يجب عليه ماء الشّرب </w:t>
      </w:r>
      <w:r>
        <w:rPr>
          <w:rStyle w:val="FootnoteAnchor"/>
          <w:rtl w:val="true"/>
        </w:rPr>
        <w:footnoteReference w:id="140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الجامع انّ كلّ واحد منهما ممّا لا بدّ منه،و الأوّل عندي أقوى</w:t>
      </w:r>
      <w:r>
        <w:rPr>
          <w:rFonts w:eastAsia="Amiri" w:cs="Amiri" w:ascii="Amiri" w:hAnsi="Amiri"/>
          <w:color w:val="111111"/>
          <w:sz w:val="28"/>
          <w:szCs w:val="28"/>
          <w:rtl w:val="true"/>
          <w:lang w:bidi="ar-SA"/>
        </w:rPr>
        <w:t>.</w:t>
      </w:r>
    </w:p>
    <w:p>
      <w:pPr>
        <w:pStyle w:val="Heading6"/>
        <w:numPr>
          <w:ilvl w:val="5"/>
          <w:numId w:val="1"/>
        </w:numPr>
        <w:rPr/>
      </w:pPr>
      <w:bookmarkStart w:id="857" w:name="__RefHeading___Toc795823_222507752"/>
      <w:bookmarkStart w:id="858" w:name="_Toc351"/>
      <w:bookmarkEnd w:id="857"/>
      <w:r>
        <w:rPr>
          <w:rtl w:val="true"/>
        </w:rPr>
        <w:t>فصل</w:t>
      </w:r>
      <w:r>
        <w:rPr>
          <w:rtl w:val="true"/>
        </w:rPr>
        <w:t>:</w:t>
      </w:r>
      <w:r>
        <w:rPr>
          <w:rtl w:val="true"/>
        </w:rPr>
        <w:t>و لا يكره الوضوء و لا الغسل بماء زمزم،</w:t>
      </w:r>
      <w:bookmarkEnd w:id="858"/>
    </w:p>
    <w:p>
      <w:pPr>
        <w:pStyle w:val="BookText"/>
        <w:rPr/>
      </w:pPr>
      <w:r>
        <w:rPr>
          <w:rFonts w:ascii="Amiri" w:hAnsi="Amiri" w:eastAsia="Amiri" w:cs="Amiri"/>
          <w:color w:val="111111"/>
          <w:sz w:val="28"/>
          <w:sz w:val="28"/>
          <w:szCs w:val="28"/>
          <w:rtl w:val="true"/>
          <w:lang w:bidi="ar-SA"/>
        </w:rPr>
        <w:t>لأنّه ماء طهور فأشبه سائر المياه،و لأنّ الكراهة حكم شرعيّ،فيتوقّف على الشّرع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أحمد روايتان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إحداهما مثل ما قلناه، و 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الكراهة،لقول العبّاس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أحلّها لمغتسل،لكن للمحرم حلّ و 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لأنّه يزيل به مانعا من الصّلاة،فأشبه إزالة النّجاسة به </w:t>
      </w:r>
      <w:r>
        <w:rPr>
          <w:rStyle w:val="FootnoteAnchor"/>
          <w:rtl w:val="true"/>
        </w:rPr>
        <w:footnoteReference w:id="140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هذان ضعيفان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الأوّل،فإنّه لا يوجد تصريحه في التّحريم،ففي غيره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الثّاني،فإنّ الشّرف لا يوجب الكراهية لاستعماله،كالماء الّذي وضع فيه رسول اللّه صلّى اللّه عليه و آله كفّه،أو اغتسل منه</w:t>
      </w:r>
      <w:r>
        <w:rPr>
          <w:rFonts w:eastAsia="Amiri" w:cs="Amiri" w:ascii="Amiri" w:hAnsi="Amiri"/>
          <w:color w:val="111111"/>
          <w:sz w:val="28"/>
          <w:szCs w:val="28"/>
          <w:rtl w:val="true"/>
          <w:lang w:bidi="ar-SA"/>
        </w:rPr>
        <w:t>.</w:t>
      </w:r>
    </w:p>
    <w:p>
      <w:pPr>
        <w:pStyle w:val="Heading6"/>
        <w:numPr>
          <w:ilvl w:val="5"/>
          <w:numId w:val="1"/>
        </w:numPr>
        <w:rPr/>
      </w:pPr>
      <w:bookmarkStart w:id="859" w:name="__RefHeading___Toc795825_222507752"/>
      <w:bookmarkStart w:id="860" w:name="_Toc352"/>
      <w:bookmarkEnd w:id="859"/>
      <w:r>
        <w:rPr>
          <w:rtl w:val="true"/>
        </w:rPr>
        <w:t>فصل</w:t>
      </w:r>
      <w:r>
        <w:rPr>
          <w:rtl w:val="true"/>
        </w:rPr>
        <w:t>:</w:t>
      </w:r>
      <w:r>
        <w:rPr>
          <w:rtl w:val="true"/>
        </w:rPr>
        <w:t>و يجوز الاغتسال بفضل غسل المرأة،و بالعكس،</w:t>
      </w:r>
      <w:bookmarkEnd w:id="860"/>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كذا في الوضوء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 أحمد في وضوء الرّجل بفضل طهور المرأة إذا خلت به روايتان،أشهرهما عدم الجواز </w:t>
      </w:r>
      <w:r>
        <w:rPr>
          <w:rStyle w:val="FootnoteAnchor"/>
          <w:rtl w:val="true"/>
        </w:rPr>
        <w:footnoteReference w:id="1403"/>
      </w:r>
      <w:r>
        <w:rPr>
          <w:rFonts w:ascii="IRNazanin" w:hAnsi="IRNazanin" w:eastAsia="IRNazanin"/>
          <w:color w:val="111111"/>
          <w:sz w:val="28"/>
          <w:sz w:val="28"/>
          <w:szCs w:val="28"/>
          <w:rtl w:val="true"/>
          <w:lang w:bidi="fa-IR"/>
        </w:rPr>
        <w:t xml:space="preserve">،و هو قول عبد اللّه بن سرجس،و الحسن </w:t>
      </w:r>
      <w:r>
        <w:rPr>
          <w:rStyle w:val="FootnoteAnchor"/>
          <w:rtl w:val="true"/>
        </w:rPr>
        <w:footnoteReference w:id="1404"/>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غنيم</w:t>
      </w:r>
      <w:r>
        <w:rPr>
          <w:rFonts w:eastAsia="Amiri" w:cs="Amiri" w:ascii="Amiri" w:hAnsi="Amiri"/>
          <w:color w:val="111111"/>
          <w:sz w:val="28"/>
          <w:szCs w:val="28"/>
          <w:rtl w:val="true"/>
          <w:lang w:bidi="ar-SA"/>
        </w:rPr>
        <w:t xml:space="preserve">] </w:t>
      </w:r>
      <w:r>
        <w:rPr>
          <w:rStyle w:val="FootnoteAnchor"/>
          <w:rtl w:val="true"/>
        </w:rPr>
        <w:footnoteReference w:id="1405"/>
      </w:r>
      <w:r>
        <w:rPr>
          <w:rFonts w:ascii="Amiri" w:hAnsi="Amiri" w:eastAsia="Amiri" w:cs="Amiri"/>
          <w:color w:val="111111"/>
          <w:sz w:val="28"/>
          <w:sz w:val="28"/>
          <w:szCs w:val="28"/>
          <w:rtl w:val="true"/>
          <w:lang w:bidi="ar-SA"/>
        </w:rPr>
        <w:t>بن قيس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Style w:val="FootnoteAnchor"/>
          <w:rtl w:val="true"/>
        </w:rPr>
        <w:footnoteReference w:id="1406"/>
      </w:r>
      <w:r>
        <w:rPr>
          <w:rFonts w:ascii="IRNazanin" w:hAnsi="IRNazanin" w:eastAsia="IRNazanin"/>
          <w:color w:val="111111"/>
          <w:sz w:val="28"/>
          <w:sz w:val="28"/>
          <w:szCs w:val="28"/>
          <w:rtl w:val="true"/>
          <w:lang w:bidi="fa-IR"/>
        </w:rPr>
        <w:t xml:space="preserve">،و هو قول ابن عمر </w:t>
      </w:r>
    </w:p>
    <w:p>
      <w:pPr>
        <w:pStyle w:val="BookText"/>
        <w:rPr/>
      </w:pPr>
      <w:r>
        <w:rPr>
          <w:rFonts w:ascii="Amiri" w:hAnsi="Amiri" w:eastAsia="Amiri" w:cs="Amiri"/>
          <w:color w:val="111111"/>
          <w:sz w:val="28"/>
          <w:sz w:val="28"/>
          <w:szCs w:val="28"/>
          <w:rtl w:val="true"/>
          <w:lang w:bidi="ar-SA"/>
        </w:rPr>
        <w:t xml:space="preserve">في الحائض و الجنب </w:t>
      </w:r>
      <w:r>
        <w:rPr>
          <w:rStyle w:val="FootnoteAnchor"/>
          <w:rtl w:val="true"/>
        </w:rPr>
        <w:footnoteReference w:id="1407"/>
      </w:r>
      <w:r>
        <w:rPr>
          <w:rFonts w:ascii="Amiri" w:hAnsi="Amiri" w:eastAsia="Amiri" w:cs="Amiri"/>
          <w:color w:val="111111"/>
          <w:sz w:val="28"/>
          <w:sz w:val="28"/>
          <w:szCs w:val="28"/>
          <w:rtl w:val="true"/>
          <w:lang w:bidi="ar-SA"/>
        </w:rPr>
        <w:t xml:space="preserve">،و ما اخترناه قول أكثر أهل العلم </w:t>
      </w:r>
      <w:r>
        <w:rPr>
          <w:rStyle w:val="FootnoteAnchor"/>
          <w:rtl w:val="true"/>
        </w:rPr>
        <w:footnoteReference w:id="14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مسلم في صحيحه،قال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النّبيّ صلّى اللّه عليه و آله يغتسل بفضل ميمونة </w:t>
      </w:r>
      <w:r>
        <w:rPr>
          <w:rStyle w:val="FootnoteAnchor"/>
          <w:rtl w:val="true"/>
        </w:rPr>
        <w:footnoteReference w:id="140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قالت ميمونة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اغتسلت من جفنة ففضلت فيها فضلة فجاء النّبيّ صلّى اللّه عليه و آله يغتسل،فقلت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قد اغتسلت منه؟فقال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الماء ليس عليه جنابة</w:t>
      </w:r>
      <w:r>
        <w:rPr>
          <w:rFonts w:eastAsia="Amiri" w:cs="Amiri" w:ascii="Amiri" w:hAnsi="Amiri"/>
          <w:color w:val="111111"/>
          <w:sz w:val="28"/>
          <w:szCs w:val="28"/>
          <w:rtl w:val="true"/>
          <w:lang w:bidi="ar-SA"/>
        </w:rPr>
        <w:t xml:space="preserve">) </w:t>
      </w:r>
      <w:r>
        <w:rPr>
          <w:rStyle w:val="FootnoteAnchor"/>
          <w:rtl w:val="true"/>
        </w:rPr>
        <w:footnoteReference w:id="141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بما رويناه من الأحاديث المتقدّمة من طريق الخاصّة </w:t>
      </w:r>
      <w:r>
        <w:rPr>
          <w:rStyle w:val="FootnoteAnchor"/>
          <w:rtl w:val="true"/>
        </w:rPr>
        <w:footnoteReference w:id="14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لأنّه ماء طهور فجاز للمرأة الوضوء به و الاغتسال منه،فجاز للرّجل كفضل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احتجاج أحمد قد تقدّم في مباحث المقصد الأوّل مع الجواب عنه </w:t>
      </w:r>
      <w:r>
        <w:rPr>
          <w:rStyle w:val="FootnoteAnchor"/>
          <w:rtl w:val="true"/>
        </w:rPr>
        <w:footnoteReference w:id="14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اختلفوا في المراد من الخلوة،فقال قوم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هي أن لا يحضرها من لا تحصل الخلوة في النّكاح بحضوره،رجلا كان أو امرأة أو صبيّا عاقلا،لأنّها إحدى الخلوتين،فنافاها حضور أحد هؤلاء كالأخرى </w:t>
      </w:r>
      <w:r>
        <w:rPr>
          <w:rStyle w:val="FootnoteAnchor"/>
          <w:rtl w:val="true"/>
        </w:rPr>
        <w:footnoteReference w:id="1413"/>
      </w:r>
      <w:r>
        <w:rPr>
          <w:rFonts w:eastAsia="Times New Roman" w:cs="Times New Roman" w:ascii="Times New Roman" w:hAnsi="Times New Roman"/>
          <w:color w:val="111111"/>
          <w:sz w:val="28"/>
          <w:szCs w:val="28"/>
          <w:rtl w:val="true"/>
          <w:lang w:val="en-US" w:bidi="en-US"/>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آخرون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هي أن لا يشاهدها رجل مسلم،فإن شاهدها صبيّ،أو </w:t>
      </w:r>
    </w:p>
    <w:p>
      <w:pPr>
        <w:pStyle w:val="BookText"/>
        <w:rPr/>
      </w:pPr>
      <w:r>
        <w:rPr>
          <w:rFonts w:ascii="Amiri" w:hAnsi="Amiri" w:eastAsia="Amiri" w:cs="Amiri"/>
          <w:color w:val="111111"/>
          <w:sz w:val="28"/>
          <w:sz w:val="28"/>
          <w:szCs w:val="28"/>
          <w:rtl w:val="true"/>
          <w:lang w:bidi="ar-SA"/>
        </w:rPr>
        <w:t xml:space="preserve">امرأة،أو كافر لم تخرج عن الخلوة </w:t>
      </w:r>
      <w:r>
        <w:rPr>
          <w:rStyle w:val="FootnoteAnchor"/>
          <w:rtl w:val="true"/>
        </w:rPr>
        <w:footnoteReference w:id="14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آخرون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هي استعمالها للماء من غير مشاركة الرّجل </w:t>
      </w:r>
      <w:r>
        <w:rPr>
          <w:rStyle w:val="FootnoteAnchor"/>
          <w:rtl w:val="true"/>
        </w:rPr>
        <w:footnoteReference w:id="14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إن خلت به في بعض أعضائها،أو في تجديد طهارة،أو استنجاء،أو غسل نجاسة،فعندهم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المنع،لأنّها طهارة 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الجواز،لأنّ إطلاق الطّهارة ينصرف إلى طهارة الحدث الكاملة </w:t>
      </w:r>
      <w:r>
        <w:rPr>
          <w:rStyle w:val="FootnoteAnchor"/>
          <w:rtl w:val="true"/>
        </w:rPr>
        <w:footnoteReference w:id="14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لو خلت به ذمّيّة في اغتسالها،فوجهان عندهم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المنع،لأنّها أدنى حالا من المسلمة و أبعد من الطّهارة،و قد تعلّق بغسلها حكم شرعيّ،و هو حلّ وطئها إذا اغتسلت من الحيض،و أمرها به إذا كان من جنابة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الجواز،لأنّ طهارتها لا تصحّ،فهي كتبريدها </w:t>
      </w:r>
      <w:r>
        <w:rPr>
          <w:rStyle w:val="FootnoteAnchor"/>
          <w:rtl w:val="true"/>
        </w:rPr>
        <w:footnoteReference w:id="14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لو خلت به المرأة في تبرّدها أو تنظيفها أو غسل ثوبها من الوسخ فلا يؤثّر،لأنّه ليس بطهارة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إنّما تؤثّر الخلوة في الماء القليل عندهم </w:t>
      </w:r>
      <w:r>
        <w:rPr>
          <w:rStyle w:val="FootnoteAnchor"/>
          <w:rtl w:val="true"/>
        </w:rPr>
        <w:footnoteReference w:id="1418"/>
      </w:r>
      <w:r>
        <w:rPr>
          <w:rFonts w:ascii="Amiri" w:hAnsi="Amiri" w:eastAsia="Amiri" w:cs="Amiri"/>
          <w:color w:val="111111"/>
          <w:sz w:val="28"/>
          <w:sz w:val="28"/>
          <w:szCs w:val="28"/>
          <w:rtl w:val="true"/>
          <w:lang w:bidi="ar-SA"/>
        </w:rPr>
        <w:t>،لأنّ حقيقة النّجاسة و الحدث لا تمنع و لا تؤثّر في الكثير،فتوهّم ذلك أولى،و إنّما يمنع الرّجل خاصّة لا المرأة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هل يجوز للرّجل غسل النّجاسة به؟فيه وجهان عندهم </w:t>
      </w:r>
      <w:r>
        <w:rPr>
          <w:rStyle w:val="FootnoteAnchor"/>
          <w:rtl w:val="true"/>
        </w:rPr>
        <w:footnoteReference w:id="1419"/>
      </w:r>
      <w:r>
        <w:rPr>
          <w:rFonts w:eastAsia="Times New Roman" w:cs="Times New Roman" w:ascii="Times New Roman" w:hAnsi="Times New Roman"/>
          <w:color w:val="111111"/>
          <w:sz w:val="28"/>
          <w:szCs w:val="28"/>
          <w:rtl w:val="true"/>
          <w:lang w:val="en-US" w:bidi="en-US"/>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المنع لأنّه مائع لا يرفع حدثه فلا يزيل النّجاسة،كسائر المائعات</w:t>
      </w:r>
      <w:r>
        <w:rPr>
          <w:rFonts w:eastAsia="Amiri" w:cs="Amiri" w:ascii="Amiri" w:hAnsi="Amiri"/>
          <w:color w:val="111111"/>
          <w:sz w:val="28"/>
          <w:szCs w:val="28"/>
          <w:rtl w:val="true"/>
          <w:lang w:bidi="ar-SA"/>
        </w:rPr>
        <w:t xml:space="preserve">. </w:t>
      </w:r>
      <w:bookmarkStart w:id="861" w:name="pg12669_113058"/>
    </w:p>
    <w:p>
      <w:pPr>
        <w:pStyle w:val="BookText"/>
        <w:rPr/>
      </w:pPr>
      <w:bookmarkEnd w:id="861"/>
      <w:r>
        <w:rPr>
          <w:rFonts w:ascii="Amiri" w:hAnsi="Amiri" w:eastAsia="Amiri" w:cs="Amiri"/>
          <w:color w:val="111111"/>
          <w:sz w:val="28"/>
          <w:sz w:val="28"/>
          <w:szCs w:val="28"/>
          <w:rtl w:val="true"/>
          <w:lang w:bidi="ar-SA"/>
        </w:rPr>
        <w:t>و الجواز،لأنّه ماء يزيل النّجاسة بمباشرة المرأة،فيزيلها إذا فعله الرّجل كسائر المياه،و المنع تعبّديّ لا يعقل معناه،فلا يتعدّى،و هذه الفروع ساقطة عندنا،لأنّ الخلوة لا تصلح للمنع من الاستعمال</w:t>
      </w:r>
      <w:r>
        <w:rPr>
          <w:rFonts w:eastAsia="Amiri" w:cs="Amiri" w:ascii="Amiri" w:hAnsi="Amiri"/>
          <w:color w:val="111111"/>
          <w:sz w:val="28"/>
          <w:szCs w:val="28"/>
          <w:rtl w:val="true"/>
          <w:lang w:bidi="ar-SA"/>
        </w:rPr>
        <w:t>.</w:t>
      </w:r>
    </w:p>
    <w:p>
      <w:pPr>
        <w:pStyle w:val="Heading4"/>
        <w:numPr>
          <w:ilvl w:val="3"/>
          <w:numId w:val="1"/>
        </w:numPr>
        <w:rPr/>
      </w:pPr>
      <w:bookmarkStart w:id="862" w:name="__RefHeading___Toc795827_222507752"/>
      <w:bookmarkStart w:id="863" w:name="_Toc353"/>
      <w:bookmarkEnd w:id="862"/>
      <w:r>
        <w:rPr>
          <w:rtl w:val="true"/>
        </w:rPr>
        <w:t>الفصل الثّاني</w:t>
      </w:r>
      <w:r>
        <w:rPr>
          <w:rtl w:val="true"/>
        </w:rPr>
        <w:t>:</w:t>
      </w:r>
      <w:r>
        <w:rPr>
          <w:rtl w:val="true"/>
        </w:rPr>
        <w:t>في الحيض</w:t>
      </w:r>
      <w:bookmarkEnd w:id="863"/>
    </w:p>
    <w:p>
      <w:pPr>
        <w:pStyle w:val="Heading5"/>
        <w:numPr>
          <w:ilvl w:val="4"/>
          <w:numId w:val="1"/>
        </w:numPr>
        <w:rPr/>
      </w:pPr>
      <w:bookmarkStart w:id="864" w:name="__RefHeading___Toc795829_222507752"/>
      <w:bookmarkStart w:id="865" w:name="_Toc354"/>
      <w:bookmarkEnd w:id="864"/>
      <w:r>
        <w:rPr>
          <w:rtl w:val="true"/>
        </w:rPr>
        <w:t>اشارة</w:t>
      </w:r>
      <w:bookmarkEnd w:id="865"/>
    </w:p>
    <w:p>
      <w:pPr>
        <w:pStyle w:val="BookText"/>
        <w:rPr/>
      </w:pPr>
      <w:r>
        <w:rPr>
          <w:rFonts w:ascii="Amiri" w:hAnsi="Amiri" w:eastAsia="Amiri" w:cs="Amiri"/>
          <w:color w:val="111111"/>
          <w:sz w:val="28"/>
          <w:sz w:val="28"/>
          <w:szCs w:val="28"/>
          <w:rtl w:val="true"/>
          <w:lang w:bidi="ar-SA"/>
        </w:rPr>
        <w:t>و هو في اللّغة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السّيل،يقال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حاض الوادي،إذا سال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الشّاعر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أجالت حصاهنّ الذّواري و حيّضت عليهنّ حيضات السّيول الطّواحم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في الشّرع عبارة عن الدّم الّذي له تعلّق بانقضاء العدّة،إمّا بظهوره أو بانقطاعه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الدّم الأسود الخارج بحرارة غالبا على وجه يتعلّق به أحكام مخصوصة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لقليله 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الحيض دم يرخيه الرّحم مع بلوغ المرأة،ثمَّ يصير لها عادة في أوقات متداولة معلومة لحكمة تربية الولد،فإذا حملت صرف اللّه تعالى بعنايته ذلك الدّم إلى تغذيته،فإذا وضعت أعدم اللّه عنه الصّورة الدّمويّة و كساه الصّورة اللّبنيّة فاغتذي به الطّفل،و لأجل ذلك قلّ ما تحيض المرضع و الحامل،فإذا خلت المرأة من الحمل و الرّضاع بقي الدّم لا مصرف له،فيستقرّ في مكان،ثمَّ يخرج غالبا في كلّ شهر ستة أيّام أو سبعة،و قد يزيد و يقلّ و يطول زمان خفائه </w:t>
      </w:r>
      <w:r>
        <w:rPr>
          <w:rStyle w:val="FootnoteAnchor"/>
          <w:rtl w:val="true"/>
        </w:rPr>
        <w:footnoteReference w:id="1420"/>
      </w:r>
      <w:r>
        <w:rPr>
          <w:rFonts w:ascii="Amiri" w:hAnsi="Amiri" w:eastAsia="Amiri" w:cs="Amiri"/>
          <w:color w:val="111111"/>
          <w:sz w:val="28"/>
          <w:sz w:val="28"/>
          <w:szCs w:val="28"/>
          <w:rtl w:val="true"/>
          <w:lang w:bidi="ar-SA"/>
        </w:rPr>
        <w:t>،و يقصر بحسب ما ركّبه اللّه تعالى في الطّباع</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رتّب الشّارع على الحيض أحكاما،نحن نذكرها على الاستقصاء بعون اللّه </w:t>
      </w:r>
      <w:bookmarkStart w:id="866" w:name="pg12669_113059"/>
    </w:p>
    <w:p>
      <w:pPr>
        <w:pStyle w:val="BookText"/>
        <w:rPr/>
      </w:pPr>
      <w:bookmarkEnd w:id="866"/>
      <w:r>
        <w:rPr>
          <w:rFonts w:ascii="Amiri" w:hAnsi="Amiri" w:eastAsia="Amiri" w:cs="Amiri"/>
          <w:color w:val="111111"/>
          <w:sz w:val="28"/>
          <w:sz w:val="28"/>
          <w:szCs w:val="28"/>
          <w:rtl w:val="true"/>
          <w:lang w:bidi="ar-SA"/>
        </w:rPr>
        <w:t>تعالى،فالنظر هاهنا يتعلّق بماهيّته،و وقته،و أحكامه،فهاهنا مباحث</w:t>
      </w:r>
      <w:r>
        <w:rPr>
          <w:rFonts w:eastAsia="Amiri" w:cs="Amiri" w:ascii="Amiri" w:hAnsi="Amiri"/>
          <w:color w:val="111111"/>
          <w:sz w:val="28"/>
          <w:szCs w:val="28"/>
          <w:rtl w:val="true"/>
          <w:lang w:bidi="ar-SA"/>
        </w:rPr>
        <w:t>:</w:t>
      </w:r>
    </w:p>
    <w:p>
      <w:pPr>
        <w:pStyle w:val="Heading5"/>
        <w:numPr>
          <w:ilvl w:val="4"/>
          <w:numId w:val="1"/>
        </w:numPr>
        <w:rPr/>
      </w:pPr>
      <w:bookmarkStart w:id="867" w:name="__RefHeading___Toc795831_222507752"/>
      <w:bookmarkStart w:id="868" w:name="_Toc355"/>
      <w:bookmarkEnd w:id="867"/>
      <w:r>
        <w:rPr>
          <w:rtl w:val="true"/>
        </w:rPr>
        <w:t>البحث الأوّل</w:t>
      </w:r>
      <w:bookmarkEnd w:id="868"/>
    </w:p>
    <w:p>
      <w:pPr>
        <w:pStyle w:val="Heading6"/>
        <w:numPr>
          <w:ilvl w:val="5"/>
          <w:numId w:val="1"/>
        </w:numPr>
        <w:rPr/>
      </w:pPr>
      <w:bookmarkStart w:id="869" w:name="__RefHeading___Toc795833_222507752"/>
      <w:bookmarkStart w:id="870" w:name="_Toc356"/>
      <w:bookmarkEnd w:id="869"/>
      <w:r>
        <w:rPr>
          <w:rtl w:val="true"/>
        </w:rPr>
        <w:t>اشارة</w:t>
      </w:r>
      <w:bookmarkEnd w:id="870"/>
    </w:p>
    <w:p>
      <w:pPr>
        <w:pStyle w:val="BookText"/>
        <w:rPr/>
      </w:pPr>
      <w:r>
        <w:rPr>
          <w:rFonts w:ascii="Amiri" w:hAnsi="Amiri" w:eastAsia="Amiri" w:cs="Amiri"/>
          <w:color w:val="111111"/>
          <w:sz w:val="28"/>
          <w:sz w:val="28"/>
          <w:szCs w:val="28"/>
          <w:rtl w:val="true"/>
          <w:lang w:bidi="ar-SA"/>
        </w:rPr>
        <w:t>قد عرفت انّ الحيض هو الدّم الأسود العبيط الحارّ يخرج بقوّة و دفع غالبا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العبيط،هو الطّريّ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به قال الشّافعيّ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أبو حنيفة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عدا البياض الخالص حيض</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حقّ إن كان في زمن العادة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الجمهور،عن النّبيّ صلّى اللّه عليه و آله انّه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دم الحيض عبيط أسود محتدم</w:t>
      </w:r>
      <w:r>
        <w:rPr>
          <w:rFonts w:eastAsia="Amiri" w:cs="Amiri" w:ascii="Amiri" w:hAnsi="Amiri"/>
          <w:color w:val="111111"/>
          <w:sz w:val="28"/>
          <w:szCs w:val="28"/>
          <w:rtl w:val="true"/>
          <w:lang w:bidi="ar-SA"/>
        </w:rPr>
        <w:t xml:space="preserve">) </w:t>
      </w:r>
      <w:r>
        <w:rPr>
          <w:rStyle w:val="FootnoteAnchor"/>
          <w:rtl w:val="true"/>
        </w:rPr>
        <w:footnoteReference w:id="1421"/>
      </w:r>
      <w:r>
        <w:rPr>
          <w:rFonts w:ascii="Amiri" w:hAnsi="Amiri" w:eastAsia="Amiri" w:cs="Amiri"/>
          <w:color w:val="111111"/>
          <w:sz w:val="28"/>
          <w:sz w:val="28"/>
          <w:szCs w:val="28"/>
          <w:rtl w:val="true"/>
          <w:lang w:bidi="ar-SA"/>
        </w:rPr>
        <w:t>و المحتدم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الحارّ كأنّه محترق،يقال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احتدم النّهار إذا اشتدّ حرّه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طريق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 في الحسن،عن حفص بن البختريّ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دخلت على أبي عبد اللّه عليه السّلام امرأة سألته عن المرأة يستمرّ بها الدّم فلا تدري حيض هو أو غيره؟قال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دم الحيض حارّ عبيط أسود له دفع و حرارة، و دم الاستحاضة أصفر بارد،فإذا كان للدّم حرارة و دفع و سواد فلتدع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فخرجت و هي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اللّه لو كان امرأة ما زاد على هذا </w:t>
      </w:r>
      <w:r>
        <w:rPr>
          <w:rStyle w:val="FootnoteAnchor"/>
          <w:rtl w:val="true"/>
        </w:rPr>
        <w:footnoteReference w:id="14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في الصّحيح،عن معاوية بن عمّار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دم الاستحاضة و الحيض ليسا يخرجان من مكان واحد،انّ دم الاستحاضة بارد، و دم الحيض حارّ</w:t>
      </w:r>
      <w:r>
        <w:rPr>
          <w:rFonts w:eastAsia="Amiri" w:cs="Amiri" w:ascii="Amiri" w:hAnsi="Amiri"/>
          <w:color w:val="111111"/>
          <w:sz w:val="28"/>
          <w:szCs w:val="28"/>
          <w:rtl w:val="true"/>
          <w:lang w:bidi="ar-SA"/>
        </w:rPr>
        <w:t xml:space="preserve">» </w:t>
      </w:r>
      <w:r>
        <w:rPr>
          <w:rStyle w:val="FootnoteAnchor"/>
          <w:rtl w:val="true"/>
        </w:rPr>
        <w:footnoteReference w:id="1423"/>
      </w:r>
      <w:r>
        <w:rPr>
          <w:rFonts w:eastAsia="Times New Roman" w:cs="Times New Roman" w:ascii="Times New Roman" w:hAnsi="Times New Roman"/>
          <w:color w:val="111111"/>
          <w:sz w:val="28"/>
          <w:szCs w:val="28"/>
          <w:rtl w:val="true"/>
          <w:lang w:val="en-US" w:bidi="en-US"/>
        </w:rPr>
        <w:t xml:space="preserve">. </w:t>
      </w:r>
      <w:bookmarkStart w:id="871" w:name="pg12669_113060"/>
    </w:p>
    <w:p>
      <w:pPr>
        <w:pStyle w:val="BookText"/>
        <w:rPr/>
      </w:pPr>
      <w:bookmarkEnd w:id="871"/>
      <w:r>
        <w:rPr>
          <w:rFonts w:ascii="Amiri" w:hAnsi="Amiri" w:eastAsia="Amiri" w:cs="Amiri"/>
          <w:color w:val="111111"/>
          <w:sz w:val="28"/>
          <w:sz w:val="28"/>
          <w:szCs w:val="28"/>
          <w:rtl w:val="true"/>
          <w:lang w:bidi="ar-SA"/>
        </w:rPr>
        <w:t>و روى في الصّحيح،عن إسحاق بن جرير،عن أبي عبد اللّه عليه السّلام،قال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دم الحيض ليس به خفاء،هو دم حارّ تجد له حرقة،و دم الاستحاضة دم فاسد بارد</w:t>
      </w:r>
      <w:r>
        <w:rPr>
          <w:rFonts w:eastAsia="Amiri" w:cs="Amiri" w:ascii="Amiri" w:hAnsi="Amiri"/>
          <w:color w:val="111111"/>
          <w:sz w:val="28"/>
          <w:szCs w:val="28"/>
          <w:rtl w:val="true"/>
          <w:lang w:bidi="ar-SA"/>
        </w:rPr>
        <w:t xml:space="preserve">» </w:t>
      </w:r>
      <w:r>
        <w:rPr>
          <w:rStyle w:val="FootnoteAnchor"/>
          <w:rtl w:val="true"/>
        </w:rPr>
        <w:footnoteReference w:id="14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احتجّ أبو حنيفة </w:t>
      </w:r>
      <w:r>
        <w:rPr>
          <w:rStyle w:val="FootnoteAnchor"/>
          <w:rtl w:val="true"/>
        </w:rPr>
        <w:footnoteReference w:id="1425"/>
      </w:r>
      <w:r>
        <w:rPr>
          <w:rFonts w:ascii="Amiri" w:hAnsi="Amiri" w:eastAsia="Amiri" w:cs="Amiri"/>
          <w:color w:val="111111"/>
          <w:sz w:val="28"/>
          <w:sz w:val="28"/>
          <w:szCs w:val="28"/>
          <w:rtl w:val="true"/>
          <w:lang w:bidi="ar-SA"/>
        </w:rPr>
        <w:t>بما روى،عن عائشة انّها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تعجلن حتّى ترين القصّة البيضاء </w:t>
      </w:r>
      <w:r>
        <w:rPr>
          <w:rStyle w:val="FootnoteAnchor"/>
          <w:rtl w:val="true"/>
        </w:rPr>
        <w:footnoteReference w:id="142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ما لا نعرف قياسا،و الظّاهر انّها قالت سماعا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يجوز أن يكون ذلك عن اجتهاد،و يجوز أن يكون ذلك راجعا إلى أيّام العادة،و نحن نقول به</w:t>
      </w:r>
      <w:r>
        <w:rPr>
          <w:rFonts w:eastAsia="Amiri" w:cs="Amiri" w:ascii="Amiri" w:hAnsi="Amiri"/>
          <w:color w:val="111111"/>
          <w:sz w:val="28"/>
          <w:szCs w:val="28"/>
          <w:rtl w:val="true"/>
          <w:lang w:bidi="ar-SA"/>
        </w:rPr>
        <w:t>.</w:t>
      </w:r>
    </w:p>
    <w:p>
      <w:pPr>
        <w:pStyle w:val="Heading6"/>
        <w:numPr>
          <w:ilvl w:val="5"/>
          <w:numId w:val="1"/>
        </w:numPr>
        <w:rPr/>
      </w:pPr>
      <w:bookmarkStart w:id="872" w:name="__RefHeading___Toc795835_222507752"/>
      <w:bookmarkStart w:id="873" w:name="_Toc357"/>
      <w:bookmarkEnd w:id="872"/>
      <w:r>
        <w:rPr>
          <w:rtl w:val="true"/>
        </w:rPr>
        <w:t>مسألة</w:t>
      </w:r>
      <w:r>
        <w:rPr>
          <w:rtl w:val="true"/>
        </w:rPr>
        <w:t>:</w:t>
      </w:r>
      <w:r>
        <w:rPr>
          <w:rtl w:val="true"/>
        </w:rPr>
        <w:t>و لو اشتبه بدم العذرة اعتبر فيه بانغماس القطنة،</w:t>
      </w:r>
      <w:bookmarkEnd w:id="873"/>
    </w:p>
    <w:p>
      <w:pPr>
        <w:pStyle w:val="BookText"/>
        <w:rPr/>
      </w:pPr>
      <w:r>
        <w:rPr>
          <w:rFonts w:ascii="Amiri" w:hAnsi="Amiri" w:eastAsia="Amiri" w:cs="Amiri"/>
          <w:color w:val="111111"/>
          <w:sz w:val="28"/>
          <w:sz w:val="28"/>
          <w:szCs w:val="28"/>
          <w:rtl w:val="true"/>
          <w:lang w:bidi="ar-SA"/>
        </w:rPr>
        <w:t>فمعه يكون حيضا،و مع التّطوّق يكون دم عذرة،لما رواه الشّيخ،عن زياد بن سوقة،عن أبي جعفر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تمسك الكرسف فإن خرجت القطنة مطوّقة بالدّم فإنّه من العذرة تغتسل و تمسك معها قطنة و تصلّي،فإن خرج الكرسف منغمسا بالدّم فهو من الطّمث تقعد عن الصّلاة أيّام الحيض</w:t>
      </w:r>
      <w:r>
        <w:rPr>
          <w:rFonts w:eastAsia="Amiri" w:cs="Amiri" w:ascii="Amiri" w:hAnsi="Amiri"/>
          <w:color w:val="111111"/>
          <w:sz w:val="28"/>
          <w:szCs w:val="28"/>
          <w:rtl w:val="true"/>
          <w:lang w:bidi="ar-SA"/>
        </w:rPr>
        <w:t xml:space="preserve">» </w:t>
      </w:r>
      <w:r>
        <w:rPr>
          <w:rStyle w:val="FootnoteAnchor"/>
          <w:rtl w:val="true"/>
        </w:rPr>
        <w:footnoteReference w:id="14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روى،عن خلف بن حمّاد،قال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الحسن الماضي عليه السّلام</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لها أن تعلم من الحيض هو أو من العذرة؟قال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تستدخل قطنة،ثمَّ تخرجها فإن خرجت القطنة مطوّقة بالدّم فهو من العذرة،و إن خرجت منتقعة </w:t>
      </w:r>
      <w:r>
        <w:rPr>
          <w:rStyle w:val="FootnoteAnchor"/>
          <w:rtl w:val="true"/>
        </w:rPr>
        <w:footnoteReference w:id="1428"/>
      </w:r>
      <w:r>
        <w:rPr>
          <w:rFonts w:ascii="Amiri" w:hAnsi="Amiri" w:eastAsia="Amiri" w:cs="Amiri"/>
          <w:color w:val="111111"/>
          <w:sz w:val="28"/>
          <w:sz w:val="28"/>
          <w:szCs w:val="28"/>
          <w:rtl w:val="true"/>
          <w:lang w:bidi="ar-SA"/>
        </w:rPr>
        <w:t>بالدّم فهو من الطّمث</w:t>
      </w:r>
      <w:r>
        <w:rPr>
          <w:rFonts w:eastAsia="Amiri" w:cs="Amiri" w:ascii="Amiri" w:hAnsi="Amiri"/>
          <w:color w:val="111111"/>
          <w:sz w:val="28"/>
          <w:szCs w:val="28"/>
          <w:rtl w:val="true"/>
          <w:lang w:bidi="ar-SA"/>
        </w:rPr>
        <w:t xml:space="preserve">» </w:t>
      </w:r>
      <w:r>
        <w:rPr>
          <w:rStyle w:val="FootnoteAnchor"/>
          <w:rtl w:val="true"/>
        </w:rPr>
        <w:footnoteReference w:id="1429"/>
      </w:r>
      <w:r>
        <w:rPr>
          <w:rFonts w:eastAsia="Times New Roman" w:cs="Times New Roman" w:ascii="Times New Roman" w:hAnsi="Times New Roman"/>
          <w:color w:val="111111"/>
          <w:sz w:val="28"/>
          <w:szCs w:val="28"/>
          <w:rtl w:val="true"/>
          <w:lang w:val="en-US" w:bidi="en-US"/>
        </w:rPr>
        <w:t xml:space="preserve">. </w:t>
      </w:r>
      <w:bookmarkStart w:id="874" w:name="pg12669_113061"/>
    </w:p>
    <w:p>
      <w:pPr>
        <w:pStyle w:val="BookText"/>
        <w:rPr/>
      </w:pPr>
      <w:bookmarkEnd w:id="874"/>
      <w:r>
        <w:rPr>
          <w:rFonts w:ascii="Amiri" w:hAnsi="Amiri" w:eastAsia="Amiri" w:cs="Amiri"/>
          <w:color w:val="111111"/>
          <w:sz w:val="28"/>
          <w:sz w:val="28"/>
          <w:szCs w:val="28"/>
          <w:rtl w:val="true"/>
          <w:lang w:bidi="ar-SA"/>
        </w:rPr>
        <w:t xml:space="preserve">و رواه أيضا ابن يعقوب في كتابه،عن خلف أيضا،عن أبي الحسن عليه السّلام </w:t>
      </w:r>
      <w:r>
        <w:rPr>
          <w:rStyle w:val="FootnoteAnchor"/>
          <w:rtl w:val="true"/>
        </w:rPr>
        <w:footnoteReference w:id="14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لو اشتبه دم الحيض بدم القرح فلتدخل إصبعها،فإن كان خارجا من الجانب الأيسر فهو دم حيض،و إن كان خارجا من الأيمن فهو دم قرح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ذكره الشّيخ </w:t>
      </w:r>
      <w:r>
        <w:rPr>
          <w:rStyle w:val="FootnoteAnchor"/>
          <w:rtl w:val="true"/>
        </w:rPr>
        <w:footnoteReference w:id="1431"/>
      </w:r>
      <w:r>
        <w:rPr>
          <w:rFonts w:ascii="Amiri" w:hAnsi="Amiri" w:eastAsia="Amiri" w:cs="Amiri"/>
          <w:color w:val="111111"/>
          <w:sz w:val="28"/>
          <w:sz w:val="28"/>
          <w:szCs w:val="28"/>
          <w:rtl w:val="true"/>
          <w:lang w:bidi="ar-SA"/>
        </w:rPr>
        <w:t xml:space="preserve">و ابن بابويه </w:t>
      </w:r>
      <w:r>
        <w:rPr>
          <w:rStyle w:val="FootnoteAnchor"/>
          <w:rtl w:val="true"/>
        </w:rPr>
        <w:footnoteReference w:id="1432"/>
      </w:r>
      <w:r>
        <w:rPr>
          <w:rFonts w:ascii="Amiri" w:hAnsi="Amiri" w:eastAsia="Amiri" w:cs="Amiri"/>
          <w:color w:val="111111"/>
          <w:sz w:val="28"/>
          <w:sz w:val="28"/>
          <w:szCs w:val="28"/>
          <w:rtl w:val="true"/>
          <w:lang w:bidi="ar-SA"/>
        </w:rPr>
        <w:t>،و رواه في التّهذيب،عن محمّد بن يحيى رفعه،عن أبان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فتاة منّا بها قرحة في جوفها و الدّم سائل،لا تدري من دم الحيض أو من دم القرحة؟قال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مرها فلتستلق على ظهرها و ترفع رجليها و تستدخل إصبعها الوسطى فإن خرج الدّم من الجانب الأيمن فهو من الحيض،و إن خرج من الجانب الأيسر فهو من القرحة</w:t>
      </w:r>
      <w:r>
        <w:rPr>
          <w:rFonts w:eastAsia="Amiri" w:cs="Amiri" w:ascii="Amiri" w:hAnsi="Amiri"/>
          <w:color w:val="111111"/>
          <w:sz w:val="28"/>
          <w:szCs w:val="28"/>
          <w:rtl w:val="true"/>
          <w:lang w:bidi="ar-SA"/>
        </w:rPr>
        <w:t xml:space="preserve">» </w:t>
      </w:r>
      <w:r>
        <w:rPr>
          <w:rStyle w:val="FootnoteAnchor"/>
          <w:rtl w:val="true"/>
        </w:rPr>
        <w:footnoteReference w:id="143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كذا ذكره ابن يعقوب في كتابه،عن محمّد بن يحيى أيضا </w:t>
      </w:r>
      <w:r>
        <w:rPr>
          <w:rStyle w:val="FootnoteAnchor"/>
          <w:rtl w:val="true"/>
        </w:rPr>
        <w:footnoteReference w:id="1434"/>
      </w:r>
      <w:r>
        <w:rPr>
          <w:rFonts w:ascii="Amiri" w:hAnsi="Amiri" w:eastAsia="Amiri" w:cs="Amiri"/>
          <w:color w:val="111111"/>
          <w:sz w:val="28"/>
          <w:sz w:val="28"/>
          <w:szCs w:val="28"/>
          <w:rtl w:val="true"/>
          <w:lang w:bidi="ar-SA"/>
        </w:rPr>
        <w:t>،و هذه الرّواية منافية لما ذكره الشّيخ،و ابن بابويه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ابن الجنيد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دم الحيض يخرج من الجانب الأيمن،و دم الاستحاضة يخرج من الجانب الأيسر </w:t>
      </w:r>
      <w:r>
        <w:rPr>
          <w:rStyle w:val="FootnoteAnchor"/>
          <w:rtl w:val="true"/>
        </w:rPr>
        <w:footnoteReference w:id="143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875" w:name="__RefHeading___Toc795837_222507752"/>
      <w:bookmarkStart w:id="876" w:name="_Toc358"/>
      <w:bookmarkEnd w:id="875"/>
      <w:r>
        <w:rPr>
          <w:rtl w:val="true"/>
        </w:rPr>
        <w:t>مسألة</w:t>
      </w:r>
      <w:r>
        <w:rPr>
          <w:rtl w:val="true"/>
        </w:rPr>
        <w:t>:</w:t>
      </w:r>
      <w:r>
        <w:rPr>
          <w:rtl w:val="true"/>
        </w:rPr>
        <w:t>لا حيض مع صغر السنّ و لا مع كبره،</w:t>
      </w:r>
      <w:bookmarkEnd w:id="876"/>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حدّ الصّغر ما نقص عن تسع سنين،لأنّ الصغيرة لا تحيض،لقوله تعالى وَ اللاّئِي لَمْ يَحِضْنَ </w:t>
      </w:r>
      <w:r>
        <w:rPr>
          <w:rStyle w:val="FootnoteAnchor"/>
          <w:rtl w:val="true"/>
        </w:rPr>
        <w:footnoteReference w:id="1436"/>
      </w:r>
      <w:r>
        <w:rPr>
          <w:rFonts w:ascii="Amiri" w:hAnsi="Amiri" w:eastAsia="Amiri" w:cs="Amiri"/>
          <w:color w:val="111111"/>
          <w:sz w:val="28"/>
          <w:sz w:val="28"/>
          <w:szCs w:val="28"/>
          <w:rtl w:val="true"/>
          <w:lang w:bidi="ar-SA"/>
        </w:rPr>
        <w:t xml:space="preserve">و لأنّ المرجع فيه إلى الوجود،و لم يوجد من النّساء من تحيض فيما دون هذا السّن،و لأنّه تعالى إنّما خلق الحيض غذاء للولد،لما رواه ابن يعقوب في كتابه في الحسن،عن سليمان بن </w:t>
      </w:r>
    </w:p>
    <w:p>
      <w:pPr>
        <w:pStyle w:val="BookText"/>
        <w:rPr/>
      </w:pPr>
      <w:r>
        <w:rPr>
          <w:rFonts w:ascii="Amiri" w:hAnsi="Amiri" w:eastAsia="Amiri" w:cs="Amiri"/>
          <w:color w:val="111111"/>
          <w:sz w:val="28"/>
          <w:sz w:val="28"/>
          <w:szCs w:val="28"/>
          <w:rtl w:val="true"/>
          <w:lang w:bidi="ar-SA"/>
        </w:rPr>
        <w:t>خالد،قال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الولد في بطن امّه غذاؤه الدّم</w:t>
      </w:r>
      <w:r>
        <w:rPr>
          <w:rFonts w:eastAsia="Amiri" w:cs="Amiri" w:ascii="Amiri" w:hAnsi="Amiri"/>
          <w:color w:val="111111"/>
          <w:sz w:val="28"/>
          <w:szCs w:val="28"/>
          <w:rtl w:val="true"/>
          <w:lang w:bidi="ar-SA"/>
        </w:rPr>
        <w:t xml:space="preserve">» </w:t>
      </w:r>
      <w:r>
        <w:rPr>
          <w:rStyle w:val="FootnoteAnchor"/>
          <w:rtl w:val="true"/>
        </w:rPr>
        <w:footnoteReference w:id="143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فالحكمة في خلقه تربية الولد، فمن لا يصلح للحمل لا يوجد فيها،لانتفاء حكمته،كالمنيّ لتقاربهما معنى،فإنّ أحدهما يخلق منه الولد،و الآخر يغذّيه و يربّيه،و كلّ منهما لا يوجد مع الصّغر،و وجود كلّ واحد منهما دالّ على البلوغ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أقلّ سنّ تبلغ له الجارية تسع سنين،فكان ذلك أقلّ سنّ تحيض له،و للشّافعيّ قولان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أوّل وقت إمكانه أوّل السّنة التّاسعة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أوّله إذا مضت منها ستّة أشهر </w:t>
      </w:r>
      <w:r>
        <w:rPr>
          <w:rStyle w:val="FootnoteAnchor"/>
          <w:rtl w:val="true"/>
        </w:rPr>
        <w:footnoteReference w:id="14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عنه قول آخر انّ أوّل أوقات إمكانه أوّل العاشرة،قال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رأيت جدّة بنت إحدى و عشرين سنة،فيكون قد حملت لدون عشر سنين </w:t>
      </w:r>
      <w:r>
        <w:rPr>
          <w:rStyle w:val="FootnoteAnchor"/>
          <w:rtl w:val="true"/>
        </w:rPr>
        <w:footnoteReference w:id="143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بعض الحنفيّة باحتمال أن تكون بنت سبع حائضا </w:t>
      </w:r>
      <w:r>
        <w:rPr>
          <w:rStyle w:val="FootnoteAnchor"/>
          <w:rtl w:val="true"/>
        </w:rPr>
        <w:footnoteReference w:id="1440"/>
      </w:r>
      <w:r>
        <w:rPr>
          <w:rFonts w:ascii="Amiri" w:hAnsi="Amiri" w:eastAsia="Amiri" w:cs="Amiri"/>
          <w:color w:val="111111"/>
          <w:sz w:val="28"/>
          <w:sz w:val="28"/>
          <w:szCs w:val="28"/>
          <w:rtl w:val="true"/>
          <w:lang w:bidi="ar-SA"/>
        </w:rPr>
        <w:t>،لقوله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مروهم بالصّلاة إذا بلغوا سبعا</w:t>
      </w:r>
      <w:r>
        <w:rPr>
          <w:rFonts w:eastAsia="Amiri" w:cs="Amiri" w:ascii="Amiri" w:hAnsi="Amiri"/>
          <w:color w:val="111111"/>
          <w:sz w:val="28"/>
          <w:szCs w:val="28"/>
          <w:rtl w:val="true"/>
          <w:lang w:bidi="ar-SA"/>
        </w:rPr>
        <w:t xml:space="preserve">) </w:t>
      </w:r>
      <w:r>
        <w:rPr>
          <w:rStyle w:val="FootnoteAnchor"/>
          <w:rtl w:val="true"/>
        </w:rPr>
        <w:footnoteReference w:id="1441"/>
      </w:r>
      <w:r>
        <w:rPr>
          <w:rFonts w:ascii="Amiri" w:hAnsi="Amiri" w:eastAsia="Amiri" w:cs="Amiri"/>
          <w:color w:val="111111"/>
          <w:sz w:val="28"/>
          <w:sz w:val="28"/>
          <w:szCs w:val="28"/>
          <w:rtl w:val="true"/>
          <w:lang w:bidi="ar-SA"/>
        </w:rPr>
        <w:t>و هو ضعيف،لأنّ الأمر هاهنا للتّمرين</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روي،عن بعضهم انّه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بنت ستّ سنين ترى دم الحيض </w:t>
      </w:r>
      <w:r>
        <w:rPr>
          <w:rStyle w:val="FootnoteAnchor"/>
          <w:rtl w:val="true"/>
        </w:rPr>
        <w:footnoteReference w:id="1442"/>
      </w:r>
      <w:r>
        <w:rPr>
          <w:rFonts w:ascii="Amiri" w:hAnsi="Amiri" w:eastAsia="Amiri" w:cs="Amiri"/>
          <w:color w:val="111111"/>
          <w:sz w:val="28"/>
          <w:sz w:val="28"/>
          <w:szCs w:val="28"/>
          <w:rtl w:val="true"/>
          <w:lang w:bidi="ar-SA"/>
        </w:rPr>
        <w:t>،رواه شارح الطّحاويّ،قال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حكي انّ بنتا لأبي مطيع البلخيّ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صارت جدّة و هي من بنات </w:t>
      </w:r>
    </w:p>
    <w:p>
      <w:pPr>
        <w:pStyle w:val="BookText"/>
        <w:rPr/>
      </w:pPr>
      <w:r>
        <w:rPr>
          <w:rFonts w:ascii="Amiri" w:hAnsi="Amiri" w:eastAsia="Amiri" w:cs="Amiri"/>
          <w:color w:val="111111"/>
          <w:sz w:val="28"/>
          <w:sz w:val="28"/>
          <w:szCs w:val="28"/>
          <w:rtl w:val="true"/>
          <w:lang w:bidi="ar-SA"/>
        </w:rPr>
        <w:t>ثمان عشرة سنة،فقال أبو مطيع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فضحتنا هذه الجارية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نعم،قد تصير جدّة بنت تسع عشرة سنة،لأنّ أقلّ الحمل ستة أشهر،فلو رأت بنت تسع سنين دما بالصّفات المذكورة،فهو حيض مع الشروط الآتية،لأنّها رأت دما صالحا لأن يكون حيضا في وقت إمكانه،فيحكم بأنّه حيض كغيرها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مذهب أهل العلم كافّة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روي،عن أحمد رواية أخرى في بنت عشر رأت الدّم،قال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بحيض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رواها الميمونيّ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القاضي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فعلى هذا يجب أن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 زمان يصحّ فيه وجود الحيض ثنتا عشرة سنة،لأنّه الزّمان الّذي يبلغ فيه الغلام </w:t>
      </w:r>
      <w:r>
        <w:rPr>
          <w:rStyle w:val="FootnoteAnchor"/>
          <w:rtl w:val="true"/>
        </w:rPr>
        <w:footnoteReference w:id="1443"/>
      </w:r>
      <w:r>
        <w:rPr>
          <w:rFonts w:ascii="Amiri" w:hAnsi="Amiri" w:eastAsia="Amiri" w:cs="Amiri"/>
          <w:color w:val="111111"/>
          <w:sz w:val="28"/>
          <w:sz w:val="28"/>
          <w:szCs w:val="28"/>
          <w:rtl w:val="true"/>
          <w:lang w:bidi="ar-SA"/>
        </w:rPr>
        <w:t>،و ليست هذه الرّواية بجيّدة عندهم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رأت دما لدون تسع،فهو دم فساد للعادة،و لما رواه الجمهور،عن عائشة </w:t>
      </w:r>
      <w:r>
        <w:rPr>
          <w:rStyle w:val="FootnoteAnchor"/>
          <w:rtl w:val="true"/>
        </w:rPr>
        <w:footnoteReference w:id="14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حدّ الكبر الّذي ينقطع معه الحيض ففيه روايتان عن أصحابنا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الشّيخ،عن أحمد بن محمّد بن أبي نصر،عن بعض أصحابنا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المرأة الّتي يئست من المحيض حدّها خمسون سنة</w:t>
      </w:r>
      <w:r>
        <w:rPr>
          <w:rFonts w:eastAsia="Amiri" w:cs="Amiri" w:ascii="Amiri" w:hAnsi="Amiri"/>
          <w:color w:val="111111"/>
          <w:sz w:val="28"/>
          <w:szCs w:val="28"/>
          <w:rtl w:val="true"/>
          <w:lang w:bidi="ar-SA"/>
        </w:rPr>
        <w:t xml:space="preserve">» </w:t>
      </w:r>
      <w:r>
        <w:rPr>
          <w:rStyle w:val="FootnoteAnchor"/>
          <w:rtl w:val="true"/>
        </w:rPr>
        <w:footnoteReference w:id="1445"/>
      </w:r>
      <w:r>
        <w:rPr>
          <w:rFonts w:ascii="Amiri" w:hAnsi="Amiri" w:eastAsia="Amiri" w:cs="Amiri"/>
          <w:color w:val="111111"/>
          <w:sz w:val="28"/>
          <w:sz w:val="28"/>
          <w:szCs w:val="28"/>
          <w:rtl w:val="true"/>
          <w:lang w:bidi="ar-SA"/>
        </w:rPr>
        <w:t xml:space="preserve">و في طريقها سهل بن زياد،و هو ضعيف </w:t>
      </w:r>
      <w:r>
        <w:rPr>
          <w:rStyle w:val="FootnoteAnchor"/>
          <w:rtl w:val="true"/>
        </w:rPr>
        <w:footnoteReference w:id="1446"/>
      </w:r>
      <w:r>
        <w:rPr>
          <w:rFonts w:ascii="Amiri" w:hAnsi="Amiri" w:eastAsia="Amiri" w:cs="Amiri"/>
          <w:color w:val="111111"/>
          <w:sz w:val="28"/>
          <w:sz w:val="28"/>
          <w:szCs w:val="28"/>
          <w:rtl w:val="true"/>
          <w:lang w:bidi="ar-SA"/>
        </w:rPr>
        <w:t>،مع إرسالها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رواها ابن يعقوب في كتابه بالسّند المذكور،قال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روي ستّون سنة </w:t>
      </w:r>
      <w:r>
        <w:rPr>
          <w:rStyle w:val="FootnoteAnchor"/>
          <w:rtl w:val="true"/>
        </w:rPr>
        <w:footnoteReference w:id="1447"/>
      </w:r>
      <w:r>
        <w:rPr>
          <w:rFonts w:eastAsia="Times New Roman" w:cs="Times New Roman" w:ascii="Times New Roman" w:hAnsi="Times New Roman"/>
          <w:color w:val="111111"/>
          <w:sz w:val="28"/>
          <w:szCs w:val="28"/>
          <w:rtl w:val="true"/>
          <w:lang w:val="en-US" w:bidi="en-US"/>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روى الشّيخ في الصّحيح،عن عبد الرّحمن بن الحجّاج،عن أبي عبد اللّه عليه </w:t>
      </w:r>
    </w:p>
    <w:p>
      <w:pPr>
        <w:pStyle w:val="BookText"/>
        <w:rPr/>
      </w:pPr>
      <w:r>
        <w:rPr>
          <w:rFonts w:ascii="Amiri" w:hAnsi="Amiri" w:eastAsia="Amiri" w:cs="Amiri"/>
          <w:color w:val="111111"/>
          <w:sz w:val="28"/>
          <w:sz w:val="28"/>
          <w:szCs w:val="28"/>
          <w:rtl w:val="true"/>
          <w:lang w:bidi="ar-SA"/>
        </w:rPr>
        <w:t>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 الّتي يئست من المحيض خمسون سنة</w:t>
      </w:r>
      <w:r>
        <w:rPr>
          <w:rFonts w:eastAsia="Amiri" w:cs="Amiri" w:ascii="Amiri" w:hAnsi="Amiri"/>
          <w:color w:val="111111"/>
          <w:sz w:val="28"/>
          <w:szCs w:val="28"/>
          <w:rtl w:val="true"/>
          <w:lang w:bidi="ar-SA"/>
        </w:rPr>
        <w:t xml:space="preserve">» </w:t>
      </w:r>
      <w:r>
        <w:rPr>
          <w:rStyle w:val="FootnoteAnchor"/>
          <w:rtl w:val="true"/>
        </w:rPr>
        <w:footnoteReference w:id="14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الشّيخ في الصّحيح،عن ابن أبي عمير،عن بعض أصحابنا،عن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بلغت المرأة خمسين سنة لم تر حمرة إلاّ أن تكون امرأة من قريش</w:t>
      </w:r>
      <w:r>
        <w:rPr>
          <w:rFonts w:eastAsia="Amiri" w:cs="Amiri" w:ascii="Amiri" w:hAnsi="Amiri"/>
          <w:color w:val="111111"/>
          <w:sz w:val="28"/>
          <w:szCs w:val="28"/>
          <w:rtl w:val="true"/>
          <w:lang w:bidi="ar-SA"/>
        </w:rPr>
        <w:t xml:space="preserve">» </w:t>
      </w:r>
      <w:r>
        <w:rPr>
          <w:rStyle w:val="FootnoteAnchor"/>
          <w:rtl w:val="true"/>
        </w:rPr>
        <w:footnoteReference w:id="14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الشّيخ في المبسوط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حدّ اليأس خمسون،و في القرشيّة روي انّها ترى الدّم إلى ستّين </w:t>
      </w:r>
      <w:r>
        <w:rPr>
          <w:rStyle w:val="FootnoteAnchor"/>
          <w:rtl w:val="true"/>
        </w:rPr>
        <w:footnoteReference w:id="1450"/>
      </w:r>
      <w:r>
        <w:rPr>
          <w:rFonts w:ascii="Amiri" w:hAnsi="Amiri" w:eastAsia="Amiri" w:cs="Amiri"/>
          <w:color w:val="111111"/>
          <w:sz w:val="28"/>
          <w:sz w:val="28"/>
          <w:szCs w:val="28"/>
          <w:rtl w:val="true"/>
          <w:lang w:bidi="ar-SA"/>
        </w:rPr>
        <w:t xml:space="preserve">،و ألحق في غيره النّبطيّة بالقرشيّة في البلوغ إلى ستّين </w:t>
      </w:r>
      <w:r>
        <w:rPr>
          <w:rStyle w:val="FootnoteAnchor"/>
          <w:rtl w:val="true"/>
        </w:rPr>
        <w:footnoteReference w:id="145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هذا قول أهل المدينة </w:t>
      </w:r>
      <w:r>
        <w:rPr>
          <w:rStyle w:val="FootnoteAnchor"/>
          <w:rtl w:val="true"/>
        </w:rPr>
        <w:footnoteReference w:id="145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اليأس يحصل ببلوغ ستّين،أمكن بناء على الموجود،فإنّ الكلام مفروض فيما إذا وجد من المرأة دم في زمن عادتها على ما كانت تراه قبل ذلك،فالوجود ها هنا دليل الحيض كما كان قبل الخمسين دليلا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بحيض مع وجوده و كونه على صفة الحيض،كان تحكّما لا يقبل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بعد السّتّين،فالإشكال زائل،للعلم بأنّه ليس بحيض لعدم الوجود،و لما علم من انّ للمرأة حالا يبلغها يحصل معها اليأس، لقوله تعالى وَ اللاّئِي يَئِسْنَ مِنَ الْمَحِيضِ </w:t>
      </w:r>
      <w:r>
        <w:rPr>
          <w:rStyle w:val="FootnoteAnchor"/>
          <w:rtl w:val="true"/>
        </w:rPr>
        <w:footnoteReference w:id="1453"/>
      </w:r>
      <w:r>
        <w:rPr>
          <w:rFonts w:eastAsia="Times New Roman" w:cs="Times New Roman" w:ascii="Times New Roman" w:hAnsi="Times New Roman"/>
          <w:color w:val="111111"/>
          <w:sz w:val="28"/>
          <w:szCs w:val="28"/>
          <w:rtl w:val="true"/>
          <w:lang w:val="en-US" w:bidi="en-US"/>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بعض الحنفيّة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بنت سبعين ترى دم الحيض،و بعضهم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بأكثر من سبعين </w:t>
      </w:r>
      <w:r>
        <w:rPr>
          <w:rStyle w:val="FootnoteAnchor"/>
          <w:rtl w:val="true"/>
        </w:rPr>
        <w:footnoteReference w:id="145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محمّد بن الحسن في نوادر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العجوز الكبيرة ترى الدّم،أ يكون حيضا؟قال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w:t>
      </w:r>
      <w:r>
        <w:rPr>
          <w:rStyle w:val="FootnoteAnchor"/>
          <w:rtl w:val="true"/>
        </w:rPr>
        <w:footnoteReference w:id="1455"/>
      </w:r>
      <w:r>
        <w:rPr>
          <w:rFonts w:eastAsia="Times New Roman" w:cs="Times New Roman" w:ascii="Times New Roman" w:hAnsi="Times New Roman"/>
          <w:color w:val="111111"/>
          <w:sz w:val="28"/>
          <w:szCs w:val="28"/>
          <w:rtl w:val="true"/>
          <w:lang w:val="en-US" w:bidi="en-US"/>
        </w:rPr>
        <w:t xml:space="preserve">. </w:t>
      </w:r>
      <w:bookmarkStart w:id="877" w:name="pg12669_113065"/>
    </w:p>
    <w:p>
      <w:pPr>
        <w:pStyle w:val="Heading6"/>
        <w:numPr>
          <w:ilvl w:val="5"/>
          <w:numId w:val="1"/>
        </w:numPr>
        <w:rPr/>
      </w:pPr>
      <w:bookmarkStart w:id="878" w:name="__RefHeading___Toc795839_222507752"/>
      <w:bookmarkStart w:id="879" w:name="_Toc359"/>
      <w:bookmarkEnd w:id="877"/>
      <w:bookmarkEnd w:id="878"/>
      <w:r>
        <w:rPr>
          <w:rtl w:val="true"/>
        </w:rPr>
        <w:t>مسألة</w:t>
      </w:r>
      <w:r>
        <w:rPr>
          <w:rtl w:val="true"/>
        </w:rPr>
        <w:t>:</w:t>
      </w:r>
      <w:r>
        <w:rPr>
          <w:rtl w:val="true"/>
        </w:rPr>
        <w:t>اختلف الأصحاب في الحبلى هل ترى دم الحيض أم لا؟</w:t>
      </w:r>
      <w:bookmarkEnd w:id="879"/>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المفيد </w:t>
      </w:r>
      <w:r>
        <w:rPr>
          <w:rStyle w:val="FootnoteAnchor"/>
          <w:rtl w:val="true"/>
        </w:rPr>
        <w:footnoteReference w:id="1456"/>
      </w:r>
      <w:r>
        <w:rPr>
          <w:rFonts w:ascii="Amiri" w:hAnsi="Amiri" w:eastAsia="Amiri" w:cs="Amiri"/>
          <w:color w:val="111111"/>
          <w:sz w:val="28"/>
          <w:sz w:val="28"/>
          <w:szCs w:val="28"/>
          <w:rtl w:val="true"/>
          <w:lang w:bidi="ar-SA"/>
        </w:rPr>
        <w:t xml:space="preserve">،و ابن الجنيد </w:t>
      </w:r>
      <w:r>
        <w:rPr>
          <w:rStyle w:val="FootnoteAnchor"/>
          <w:rtl w:val="true"/>
        </w:rPr>
        <w:footnoteReference w:id="1457"/>
      </w:r>
      <w:r>
        <w:rPr>
          <w:rFonts w:ascii="Amiri" w:hAnsi="Amiri" w:eastAsia="Amiri" w:cs="Amiri"/>
          <w:color w:val="111111"/>
          <w:sz w:val="28"/>
          <w:sz w:val="28"/>
          <w:szCs w:val="28"/>
          <w:rtl w:val="true"/>
          <w:lang w:bidi="ar-SA"/>
        </w:rPr>
        <w:t>،و ابن إدريس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انّها لا تحيض </w:t>
      </w:r>
      <w:r>
        <w:rPr>
          <w:rStyle w:val="FootnoteAnchor"/>
          <w:rtl w:val="true"/>
        </w:rPr>
        <w:footnoteReference w:id="145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اختيار سعيد بن المسيّب،و عطاء،و الحسن،و جابر بن زيد،و عكرمة،و محمّد بن المنكدر،و الشّعبيّ، و مكحول،و حمّاد،و الثّوريّ،و الأوزاعيّ </w:t>
      </w:r>
      <w:r>
        <w:rPr>
          <w:rStyle w:val="FootnoteAnchor"/>
          <w:rtl w:val="true"/>
        </w:rPr>
        <w:footnoteReference w:id="1459"/>
      </w:r>
      <w:r>
        <w:rPr>
          <w:rFonts w:ascii="Amiri" w:hAnsi="Amiri" w:eastAsia="Amiri" w:cs="Amiri"/>
          <w:color w:val="111111"/>
          <w:sz w:val="28"/>
          <w:sz w:val="28"/>
          <w:szCs w:val="28"/>
          <w:rtl w:val="true"/>
          <w:lang w:bidi="ar-SA"/>
        </w:rPr>
        <w:t xml:space="preserve">،و أبي حنيفة </w:t>
      </w:r>
      <w:r>
        <w:rPr>
          <w:rStyle w:val="FootnoteAnchor"/>
          <w:rtl w:val="true"/>
        </w:rPr>
        <w:footnoteReference w:id="1460"/>
      </w:r>
      <w:r>
        <w:rPr>
          <w:rFonts w:ascii="Amiri" w:hAnsi="Amiri" w:eastAsia="Amiri" w:cs="Amiri"/>
          <w:color w:val="111111"/>
          <w:sz w:val="28"/>
          <w:sz w:val="28"/>
          <w:szCs w:val="28"/>
          <w:rtl w:val="true"/>
          <w:lang w:bidi="ar-SA"/>
        </w:rPr>
        <w:t xml:space="preserve">،و ابن المنذر،و أبي عبيد،و أبي ثور </w:t>
      </w:r>
      <w:r>
        <w:rPr>
          <w:rStyle w:val="FootnoteAnchor"/>
          <w:rtl w:val="true"/>
        </w:rPr>
        <w:footnoteReference w:id="1461"/>
      </w:r>
      <w:r>
        <w:rPr>
          <w:rFonts w:ascii="Amiri" w:hAnsi="Amiri" w:eastAsia="Amiri" w:cs="Amiri"/>
          <w:color w:val="111111"/>
          <w:sz w:val="28"/>
          <w:sz w:val="28"/>
          <w:szCs w:val="28"/>
          <w:rtl w:val="true"/>
          <w:lang w:bidi="ar-SA"/>
        </w:rPr>
        <w:t xml:space="preserve">،و الشّافعيّ في القديم </w:t>
      </w:r>
      <w:r>
        <w:rPr>
          <w:rStyle w:val="FootnoteAnchor"/>
          <w:rtl w:val="true"/>
        </w:rPr>
        <w:footnoteReference w:id="146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السّيّد المرتضى </w:t>
      </w:r>
      <w:r>
        <w:rPr>
          <w:rStyle w:val="FootnoteAnchor"/>
          <w:rtl w:val="true"/>
        </w:rPr>
        <w:footnoteReference w:id="1463"/>
      </w:r>
      <w:r>
        <w:rPr>
          <w:rFonts w:ascii="Amiri" w:hAnsi="Amiri" w:eastAsia="Amiri" w:cs="Amiri"/>
          <w:color w:val="111111"/>
          <w:sz w:val="28"/>
          <w:sz w:val="28"/>
          <w:szCs w:val="28"/>
          <w:rtl w:val="true"/>
          <w:lang w:bidi="ar-SA"/>
        </w:rPr>
        <w:t xml:space="preserve">،و ابنا بابويه </w:t>
      </w:r>
      <w:r>
        <w:rPr>
          <w:rStyle w:val="FootnoteAnchor"/>
          <w:rtl w:val="true"/>
        </w:rPr>
        <w:footnoteReference w:id="146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انّها تحيض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مذهب الشّافعيّ في الجديد </w:t>
      </w:r>
      <w:r>
        <w:rPr>
          <w:rStyle w:val="FootnoteAnchor"/>
          <w:rtl w:val="true"/>
        </w:rPr>
        <w:footnoteReference w:id="1465"/>
      </w:r>
      <w:r>
        <w:rPr>
          <w:rFonts w:ascii="Amiri" w:hAnsi="Amiri" w:eastAsia="Amiri" w:cs="Amiri"/>
          <w:color w:val="111111"/>
          <w:sz w:val="28"/>
          <w:sz w:val="28"/>
          <w:szCs w:val="28"/>
          <w:rtl w:val="true"/>
          <w:lang w:bidi="ar-SA"/>
        </w:rPr>
        <w:t xml:space="preserve">،و مالك </w:t>
      </w:r>
      <w:r>
        <w:rPr>
          <w:rStyle w:val="FootnoteAnchor"/>
          <w:rtl w:val="true"/>
        </w:rPr>
        <w:footnoteReference w:id="1466"/>
      </w:r>
      <w:r>
        <w:rPr>
          <w:rFonts w:ascii="Amiri" w:hAnsi="Amiri" w:eastAsia="Amiri" w:cs="Amiri"/>
          <w:color w:val="111111"/>
          <w:sz w:val="28"/>
          <w:sz w:val="28"/>
          <w:szCs w:val="28"/>
          <w:rtl w:val="true"/>
          <w:lang w:bidi="ar-SA"/>
        </w:rPr>
        <w:t xml:space="preserve">،و الليث، و قتادة،و إسحاق </w:t>
      </w:r>
      <w:r>
        <w:rPr>
          <w:rStyle w:val="FootnoteAnchor"/>
          <w:rtl w:val="true"/>
        </w:rPr>
        <w:footnoteReference w:id="146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الشّيخ في النّهاية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رأته في زمن عادتها فهو حيض، </w:t>
      </w:r>
    </w:p>
    <w:p>
      <w:pPr>
        <w:pStyle w:val="BookText"/>
        <w:rPr/>
      </w:pPr>
      <w:r>
        <w:rPr>
          <w:rFonts w:ascii="Amiri" w:hAnsi="Amiri" w:eastAsia="Amiri" w:cs="Amiri"/>
          <w:color w:val="111111"/>
          <w:sz w:val="28"/>
          <w:sz w:val="28"/>
          <w:szCs w:val="28"/>
          <w:rtl w:val="true"/>
          <w:lang w:bidi="ar-SA"/>
        </w:rPr>
        <w:t xml:space="preserve">و إن تأخّر عنها بمقدار عشرين يوما فليس بحيض </w:t>
      </w:r>
      <w:r>
        <w:rPr>
          <w:rStyle w:val="FootnoteAnchor"/>
          <w:rtl w:val="true"/>
        </w:rPr>
        <w:footnoteReference w:id="146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في الخلاف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انّها تحيض ما لم يستبن حملها،فإذا استبان فلا حيض </w:t>
      </w:r>
      <w:r>
        <w:rPr>
          <w:rStyle w:val="FootnoteAnchor"/>
          <w:rtl w:val="true"/>
        </w:rPr>
        <w:footnoteReference w:id="146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الحقّ عندي مذهب السيّد المرتضى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رواه الجمهور،عن عائشة انّ الحبلى إذا رأت الدّم لا تصلّي </w:t>
      </w:r>
      <w:r>
        <w:rPr>
          <w:rStyle w:val="FootnoteAnchor"/>
          <w:rtl w:val="true"/>
        </w:rPr>
        <w:footnoteReference w:id="14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طريق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 في الصّحيح،عن عبد الرّحمن بن الحجّاج،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إبراهيم عليه السّلام عن الحبلى ترى الدّم و هي حامل كما كانت ترى قبل ذلك في كلّ شهر هل تترك الصّلاة؟قال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تترك إذا دام</w:t>
      </w:r>
      <w:r>
        <w:rPr>
          <w:rFonts w:eastAsia="Amiri" w:cs="Amiri" w:ascii="Amiri" w:hAnsi="Amiri"/>
          <w:color w:val="111111"/>
          <w:sz w:val="28"/>
          <w:szCs w:val="28"/>
          <w:rtl w:val="true"/>
          <w:lang w:bidi="ar-SA"/>
        </w:rPr>
        <w:t xml:space="preserve">» </w:t>
      </w:r>
      <w:r>
        <w:rPr>
          <w:rStyle w:val="FootnoteAnchor"/>
          <w:rtl w:val="true"/>
        </w:rPr>
        <w:footnoteReference w:id="14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روى،عن حريز،عمّن أخبره،عن أبي جعفر و أبي عبد اللّه عليهما السّلام في الحبلى ترى الدّم؟قال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تدع الصّلاة فإنّه ربّما بقي في الرّحم الدّم و لم يخرج و تلك الهراقة</w:t>
      </w:r>
      <w:r>
        <w:rPr>
          <w:rFonts w:eastAsia="Amiri" w:cs="Amiri" w:ascii="Amiri" w:hAnsi="Amiri"/>
          <w:color w:val="111111"/>
          <w:sz w:val="28"/>
          <w:szCs w:val="28"/>
          <w:rtl w:val="true"/>
          <w:lang w:bidi="ar-SA"/>
        </w:rPr>
        <w:t xml:space="preserve">» </w:t>
      </w:r>
      <w:r>
        <w:rPr>
          <w:rStyle w:val="FootnoteAnchor"/>
          <w:rtl w:val="true"/>
        </w:rPr>
        <w:footnoteReference w:id="14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في الصّحيح،عن ابن سنان،عن أبي عبد اللّه عليه السّلام انّه سئل عن الحبلى ترى الدّم أ تترك الصّلاة؟فقال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نعم،انّ الحبلى ربّما قذفت بالدّم</w:t>
      </w:r>
      <w:r>
        <w:rPr>
          <w:rFonts w:eastAsia="Amiri" w:cs="Amiri" w:ascii="Amiri" w:hAnsi="Amiri"/>
          <w:color w:val="111111"/>
          <w:sz w:val="28"/>
          <w:szCs w:val="28"/>
          <w:rtl w:val="true"/>
          <w:lang w:bidi="ar-SA"/>
        </w:rPr>
        <w:t xml:space="preserve">» </w:t>
      </w:r>
      <w:r>
        <w:rPr>
          <w:rStyle w:val="FootnoteAnchor"/>
          <w:rtl w:val="true"/>
        </w:rPr>
        <w:footnoteReference w:id="1473"/>
      </w:r>
      <w:r>
        <w:rPr>
          <w:rFonts w:eastAsia="Times New Roman" w:cs="Times New Roman" w:ascii="Times New Roman" w:hAnsi="Times New Roman"/>
          <w:color w:val="111111"/>
          <w:sz w:val="28"/>
          <w:szCs w:val="28"/>
          <w:rtl w:val="true"/>
          <w:lang w:val="en-US" w:bidi="en-US"/>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في الصّحيح،عن أبي بصير،عن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الحبلى ترى الدّم؟قال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نعم،انّه ربّما قذفت المرأة بالدّم و هي حبلى</w:t>
      </w:r>
      <w:r>
        <w:rPr>
          <w:rFonts w:eastAsia="Amiri" w:cs="Amiri" w:ascii="Amiri" w:hAnsi="Amiri"/>
          <w:color w:val="111111"/>
          <w:sz w:val="28"/>
          <w:szCs w:val="28"/>
          <w:rtl w:val="true"/>
          <w:lang w:bidi="ar-SA"/>
        </w:rPr>
        <w:t xml:space="preserve">» </w:t>
      </w:r>
      <w:r>
        <w:rPr>
          <w:rStyle w:val="FootnoteAnchor"/>
          <w:rtl w:val="true"/>
        </w:rPr>
        <w:footnoteReference w:id="147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روى،عن سماعة،قال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امرأة رأت الدّم في الحبل؟قال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تقعد أيّامها الّتي كانت تحيض،فإذا زاد الدّم على الأيّام الّتي كانت تقعد استظهرت بثلاثة أيّام،ثمَّ هي مستحاضة</w:t>
      </w:r>
      <w:r>
        <w:rPr>
          <w:rFonts w:eastAsia="Amiri" w:cs="Amiri" w:ascii="Amiri" w:hAnsi="Amiri"/>
          <w:color w:val="111111"/>
          <w:sz w:val="28"/>
          <w:szCs w:val="28"/>
          <w:rtl w:val="true"/>
          <w:lang w:bidi="ar-SA"/>
        </w:rPr>
        <w:t xml:space="preserve">» </w:t>
      </w:r>
      <w:r>
        <w:rPr>
          <w:rStyle w:val="FootnoteAnchor"/>
          <w:rtl w:val="true"/>
        </w:rPr>
        <w:footnoteReference w:id="14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في الصّحيح،عن أبي المعزى،قال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الحبلى قد استبان ذلك منها،ترى كما ترى الحائض من الدّم؟قال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تلك الهراقة إن كان دما كثيرا فلا تصلّين،و إن كان قليلا فلتغتسل عند كلّ صلاتين</w:t>
      </w:r>
      <w:r>
        <w:rPr>
          <w:rFonts w:eastAsia="Amiri" w:cs="Amiri" w:ascii="Amiri" w:hAnsi="Amiri"/>
          <w:color w:val="111111"/>
          <w:sz w:val="28"/>
          <w:szCs w:val="28"/>
          <w:rtl w:val="true"/>
          <w:lang w:bidi="ar-SA"/>
        </w:rPr>
        <w:t xml:space="preserve">» </w:t>
      </w:r>
      <w:r>
        <w:rPr>
          <w:rStyle w:val="FootnoteAnchor"/>
          <w:rtl w:val="true"/>
        </w:rPr>
        <w:footnoteReference w:id="14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في الصّحيح،عن إسحاق بن عمّار،قال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المرأة الحبلى ترى الدّم اليوم و اليومين؟قال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دما عبيطا فلا تصلّي ذلك اليومين،و إن كانت صفرة فلتغتسل عند كلّ صلاتين</w:t>
      </w:r>
      <w:r>
        <w:rPr>
          <w:rFonts w:eastAsia="Amiri" w:cs="Amiri" w:ascii="Amiri" w:hAnsi="Amiri"/>
          <w:color w:val="111111"/>
          <w:sz w:val="28"/>
          <w:szCs w:val="28"/>
          <w:rtl w:val="true"/>
          <w:lang w:bidi="ar-SA"/>
        </w:rPr>
        <w:t xml:space="preserve">» </w:t>
      </w:r>
      <w:r>
        <w:rPr>
          <w:rStyle w:val="FootnoteAnchor"/>
          <w:rtl w:val="true"/>
        </w:rPr>
        <w:footnoteReference w:id="14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في الصّحيح،عن صفوان،قال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الحسن عليه السّلام عن الحبلى ترى الدّم ثلاثة أيّام أو أربعة أيّام تصلّي؟قال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تمسك عن الصّلاة</w:t>
      </w:r>
      <w:r>
        <w:rPr>
          <w:rFonts w:eastAsia="Amiri" w:cs="Amiri" w:ascii="Amiri" w:hAnsi="Amiri"/>
          <w:color w:val="111111"/>
          <w:sz w:val="28"/>
          <w:szCs w:val="28"/>
          <w:rtl w:val="true"/>
          <w:lang w:bidi="ar-SA"/>
        </w:rPr>
        <w:t xml:space="preserve">» </w:t>
      </w:r>
      <w:r>
        <w:rPr>
          <w:rStyle w:val="FootnoteAnchor"/>
          <w:rtl w:val="true"/>
        </w:rPr>
        <w:footnoteReference w:id="14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في الصّحيح،عن محمّد بن مسلم،عن أحدهما عليهما السّلام،قال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سألته عن الحبلى ترى الدّم كما ترى أيّام حيضها مستقيما في كلّ شهر؟قال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تمسك عن الصّلاة كما كانت تصنع في حيضها فإذا طهرت صلّت</w:t>
      </w:r>
      <w:r>
        <w:rPr>
          <w:rFonts w:eastAsia="Amiri" w:cs="Amiri" w:ascii="Amiri" w:hAnsi="Amiri"/>
          <w:color w:val="111111"/>
          <w:sz w:val="28"/>
          <w:szCs w:val="28"/>
          <w:rtl w:val="true"/>
          <w:lang w:bidi="ar-SA"/>
        </w:rPr>
        <w:t xml:space="preserve">» </w:t>
      </w:r>
      <w:r>
        <w:rPr>
          <w:rStyle w:val="FootnoteAnchor"/>
          <w:rtl w:val="true"/>
        </w:rPr>
        <w:footnoteReference w:id="1479"/>
      </w:r>
      <w:r>
        <w:rPr>
          <w:rFonts w:eastAsia="Times New Roman" w:cs="Times New Roman" w:ascii="Times New Roman" w:hAnsi="Times New Roman"/>
          <w:color w:val="111111"/>
          <w:sz w:val="28"/>
          <w:szCs w:val="28"/>
          <w:rtl w:val="true"/>
          <w:lang w:val="en-US" w:bidi="en-US"/>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روى محمّد بن يعقوب في كتابه،عن محمّد بن مسلم،عن أحدهما عليهما </w:t>
      </w:r>
    </w:p>
    <w:p>
      <w:pPr>
        <w:pStyle w:val="BookText"/>
        <w:rPr/>
      </w:pPr>
      <w:r>
        <w:rPr>
          <w:rFonts w:ascii="Amiri" w:hAnsi="Amiri" w:eastAsia="Amiri" w:cs="Amiri"/>
          <w:color w:val="111111"/>
          <w:sz w:val="28"/>
          <w:sz w:val="28"/>
          <w:szCs w:val="28"/>
          <w:rtl w:val="true"/>
          <w:lang w:bidi="ar-SA"/>
        </w:rPr>
        <w:t>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المرأة الحبلى قد استبان حبلها ترى ما ترى الحائض من الدّم؟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تلك الهراقة من الدّم إن كان دما أحمر كثيرا فلا تصلّي،و إن كان قليلا أصفر فليس عليها إلاّ الوضوء</w:t>
      </w:r>
      <w:r>
        <w:rPr>
          <w:rFonts w:eastAsia="Amiri" w:cs="Amiri" w:ascii="Amiri" w:hAnsi="Amiri"/>
          <w:color w:val="111111"/>
          <w:sz w:val="28"/>
          <w:szCs w:val="28"/>
          <w:rtl w:val="true"/>
          <w:lang w:bidi="ar-SA"/>
        </w:rPr>
        <w:t xml:space="preserve">» </w:t>
      </w:r>
      <w:r>
        <w:rPr>
          <w:rStyle w:val="FootnoteAnchor"/>
          <w:rtl w:val="true"/>
        </w:rPr>
        <w:footnoteReference w:id="14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ابن يعقوب في الحسن،عن سليمان بن خالد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فداك،الحبلى ربّما طمثت؟فقال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نعم،و ذلك انّ الولد في بطن امّه غذاؤه الدّم فربّما كثر يفضل عنه فإذا فضل دفعته فإذا دفعته حرمت عليها الصّلاة</w:t>
      </w:r>
      <w:r>
        <w:rPr>
          <w:rFonts w:eastAsia="Amiri" w:cs="Amiri" w:ascii="Amiri" w:hAnsi="Amiri"/>
          <w:color w:val="111111"/>
          <w:sz w:val="28"/>
          <w:szCs w:val="28"/>
          <w:rtl w:val="true"/>
          <w:lang w:bidi="ar-SA"/>
        </w:rPr>
        <w:t xml:space="preserve">» </w:t>
      </w:r>
      <w:r>
        <w:rPr>
          <w:rStyle w:val="FootnoteAnchor"/>
          <w:rtl w:val="true"/>
        </w:rPr>
        <w:footnoteReference w:id="14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رواية أخرى،إذا كان كذلك تأخّر الولادة </w:t>
      </w:r>
      <w:r>
        <w:rPr>
          <w:rStyle w:val="FootnoteAnchor"/>
          <w:rtl w:val="true"/>
        </w:rPr>
        <w:footnoteReference w:id="148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لأنّه دم رحم خرج في وقت معتاد،فكان حيضا كالحائل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احتجّ القائلون </w:t>
      </w:r>
      <w:r>
        <w:rPr>
          <w:rStyle w:val="FootnoteAnchor"/>
          <w:rtl w:val="true"/>
        </w:rPr>
        <w:footnoteReference w:id="1483"/>
      </w:r>
      <w:r>
        <w:rPr>
          <w:rFonts w:ascii="Amiri" w:hAnsi="Amiri" w:eastAsia="Amiri" w:cs="Amiri"/>
          <w:color w:val="111111"/>
          <w:sz w:val="28"/>
          <w:sz w:val="28"/>
          <w:szCs w:val="28"/>
          <w:rtl w:val="true"/>
          <w:lang w:bidi="ar-SA"/>
        </w:rPr>
        <w:t>بأنّها لا تحيض،بما رووه،عن النّبيّ صلّى اللّه عليه و آله انّه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لا توطأ الحبالى حتّى يضعن و لا الحبالى حتّى يستبرئن بحيضة</w:t>
      </w:r>
      <w:r>
        <w:rPr>
          <w:rFonts w:eastAsia="Amiri" w:cs="Amiri" w:ascii="Amiri" w:hAnsi="Amiri"/>
          <w:color w:val="111111"/>
          <w:sz w:val="28"/>
          <w:szCs w:val="28"/>
          <w:rtl w:val="true"/>
          <w:lang w:bidi="ar-SA"/>
        </w:rPr>
        <w:t xml:space="preserve">) </w:t>
      </w:r>
      <w:r>
        <w:rPr>
          <w:rStyle w:val="FootnoteAnchor"/>
          <w:rtl w:val="true"/>
        </w:rPr>
        <w:footnoteReference w:id="1484"/>
      </w:r>
      <w:r>
        <w:rPr>
          <w:rFonts w:ascii="Amiri" w:hAnsi="Amiri" w:eastAsia="Amiri" w:cs="Amiri"/>
          <w:color w:val="111111"/>
          <w:sz w:val="28"/>
          <w:sz w:val="28"/>
          <w:szCs w:val="28"/>
          <w:rtl w:val="true"/>
          <w:lang w:bidi="ar-SA"/>
        </w:rPr>
        <w:t>جعل الحيض علامة فراغ الرّحم،فدلّ على انّه لا يتصوّر مع الشّغل</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بما رواه سالم،عن أبيه،انّه طلّق امرأته و هي حائض،فسأل عمر النّبيّ صلّى اللّه عليه و آله،فقال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مره فليراجعها،ثمَّ ليطلّقها طاهرا أو حاملا</w:t>
      </w:r>
      <w:r>
        <w:rPr>
          <w:rFonts w:eastAsia="Amiri" w:cs="Amiri" w:ascii="Amiri" w:hAnsi="Amiri"/>
          <w:color w:val="111111"/>
          <w:sz w:val="28"/>
          <w:szCs w:val="28"/>
          <w:rtl w:val="true"/>
          <w:lang w:bidi="ar-SA"/>
        </w:rPr>
        <w:t xml:space="preserve">) </w:t>
      </w:r>
      <w:r>
        <w:rPr>
          <w:rStyle w:val="FootnoteAnchor"/>
          <w:rtl w:val="true"/>
        </w:rPr>
        <w:footnoteReference w:id="1485"/>
      </w:r>
      <w:r>
        <w:rPr>
          <w:rFonts w:ascii="Amiri" w:hAnsi="Amiri" w:eastAsia="Amiri" w:cs="Amiri"/>
          <w:color w:val="111111"/>
          <w:sz w:val="28"/>
          <w:sz w:val="28"/>
          <w:szCs w:val="28"/>
          <w:rtl w:val="true"/>
          <w:lang w:bidi="ar-SA"/>
        </w:rPr>
        <w:t>فجعل الحمل علما على عدم الحيض كما جعل الطّهر علما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لأنّه زمن لا يعتادها الحيض فيه </w:t>
      </w:r>
    </w:p>
    <w:p>
      <w:pPr>
        <w:pStyle w:val="BookText"/>
        <w:rPr/>
      </w:pPr>
      <w:r>
        <w:rPr>
          <w:rFonts w:ascii="Amiri" w:hAnsi="Amiri" w:eastAsia="Amiri" w:cs="Amiri"/>
          <w:color w:val="111111"/>
          <w:sz w:val="28"/>
          <w:sz w:val="28"/>
          <w:szCs w:val="28"/>
          <w:rtl w:val="true"/>
          <w:lang w:bidi="ar-SA"/>
        </w:rPr>
        <w:t>غالبا،فلم يكن ما تراه فيه حيضا كالآيسة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بما رواه الشيخ،عن السّكونيّ،عن جعفر،عن أبيه عليهما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 اللّه ليجعل حيضا مع حبل يعني إذا رأت الدّم و هي حامل،لا تدع الصّلاة إلاّ أن ترى على رأس الولد إذا ضربها الطّلق فرأت الدّم تركت الصّلاة</w:t>
      </w:r>
      <w:r>
        <w:rPr>
          <w:rFonts w:eastAsia="Amiri" w:cs="Amiri" w:ascii="Amiri" w:hAnsi="Amiri"/>
          <w:color w:val="111111"/>
          <w:sz w:val="28"/>
          <w:szCs w:val="28"/>
          <w:rtl w:val="true"/>
          <w:lang w:bidi="ar-SA"/>
        </w:rPr>
        <w:t xml:space="preserve">» </w:t>
      </w:r>
      <w:r>
        <w:rPr>
          <w:rStyle w:val="FootnoteAnchor"/>
          <w:rtl w:val="true"/>
        </w:rPr>
        <w:footnoteReference w:id="14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ابن إدريس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أجمعنا على بطلان طلاق الحائض مع الدّخول و الحضور،و على صحّة طلاق الحامل مطلقا،و لو كانت تحيض لحصل التّناقض </w:t>
      </w:r>
      <w:r>
        <w:rPr>
          <w:rStyle w:val="FootnoteAnchor"/>
          <w:rtl w:val="true"/>
        </w:rPr>
        <w:footnoteReference w:id="14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احتجّ الشّيخ </w:t>
      </w:r>
      <w:r>
        <w:rPr>
          <w:rStyle w:val="FootnoteAnchor"/>
          <w:rtl w:val="true"/>
        </w:rPr>
        <w:footnoteReference w:id="1488"/>
      </w:r>
      <w:r>
        <w:rPr>
          <w:rFonts w:ascii="Amiri" w:hAnsi="Amiri" w:eastAsia="Amiri" w:cs="Amiri"/>
          <w:color w:val="111111"/>
          <w:sz w:val="28"/>
          <w:sz w:val="28"/>
          <w:szCs w:val="28"/>
          <w:rtl w:val="true"/>
          <w:lang w:bidi="ar-SA"/>
        </w:rPr>
        <w:t xml:space="preserve">بما رواه في الصّحيح،عن الحسن </w:t>
      </w:r>
      <w:r>
        <w:rPr>
          <w:rStyle w:val="FootnoteAnchor"/>
          <w:rtl w:val="true"/>
        </w:rPr>
        <w:footnoteReference w:id="1489"/>
      </w:r>
      <w:r>
        <w:rPr>
          <w:rFonts w:ascii="Amiri" w:hAnsi="Amiri" w:eastAsia="Amiri" w:cs="Amiri"/>
          <w:color w:val="111111"/>
          <w:sz w:val="28"/>
          <w:sz w:val="28"/>
          <w:szCs w:val="28"/>
          <w:rtl w:val="true"/>
          <w:lang w:bidi="ar-SA"/>
        </w:rPr>
        <w:t>بن نعيم الصحّاف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أمّ ولدي ترى الدّم و هي حامل كيف تصنع بالصّلاة؟قال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رأت الحامل الدّم بعد ما يمضي عشرون يوما من الوقت الّذي كانت ترى فيه الدّم من الشّهر الّذي كانت تقعد فيه فإنّ ذلك ليس من الرّحم و لا من الطّمث،فلتتوضّأ و تحتشي بكرسف و تصلّي،فإذا رأت الحامل الدّم قبل الوقت الّذي كانت ترى فيه الدّم بقليل أو في الوقت من ذلك الشّهر فإنّه من الحيضة،فلتمسك عن الصّلاة عدد أيّامها الّتي كانت تقعد في حيضها،فإن انقطع الدّم عنها قبل ذلك فلتغتسل و لتصلّ،و إن لم ينقطع الدّم عنها إلاّ بعد ما تمضي الأيّام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الّتي </w:t>
      </w:r>
      <w:r>
        <w:rPr>
          <w:rStyle w:val="FootnoteAnchor"/>
          <w:rtl w:val="true"/>
        </w:rPr>
        <w:footnoteReference w:id="149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كانت </w:t>
      </w:r>
    </w:p>
    <w:p>
      <w:pPr>
        <w:pStyle w:val="BookText"/>
        <w:rPr/>
      </w:pPr>
      <w:r>
        <w:rPr>
          <w:rFonts w:ascii="Amiri" w:hAnsi="Amiri" w:eastAsia="Amiri" w:cs="Amiri"/>
          <w:color w:val="111111"/>
          <w:sz w:val="28"/>
          <w:sz w:val="28"/>
          <w:szCs w:val="28"/>
          <w:rtl w:val="true"/>
          <w:lang w:bidi="ar-SA"/>
        </w:rPr>
        <w:t>ترى الدّم فيها بيوم أو يومين فلتغتسل و تحتشي و تستذفر و تصلّي الظّهر و العصر،ثمَّ لتنظر</w:t>
      </w:r>
      <w:r>
        <w:rPr>
          <w:rFonts w:eastAsia="Amiri" w:cs="Amiri" w:ascii="Amiri" w:hAnsi="Amiri"/>
          <w:color w:val="111111"/>
          <w:sz w:val="28"/>
          <w:szCs w:val="28"/>
          <w:rtl w:val="true"/>
          <w:lang w:bidi="ar-SA"/>
        </w:rPr>
        <w:t xml:space="preserve">.» </w:t>
      </w:r>
      <w:r>
        <w:rPr>
          <w:rStyle w:val="FootnoteAnchor"/>
          <w:rtl w:val="true"/>
        </w:rPr>
        <w:footnoteReference w:id="1491"/>
      </w:r>
      <w:r>
        <w:rPr>
          <w:rFonts w:ascii="Amiri" w:hAnsi="Amiri" w:eastAsia="Amiri" w:cs="Amiri"/>
          <w:color w:val="111111"/>
          <w:sz w:val="28"/>
          <w:sz w:val="28"/>
          <w:szCs w:val="28"/>
          <w:rtl w:val="true"/>
          <w:lang w:bidi="ar-SA"/>
        </w:rPr>
        <w:t>إلى آخر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 عن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لا شكّ في انّ الغالب انّ الحامل لا ترى الدّم،و يدلّ عليه تعليل الإمام أبي عبد اللّه عليه السّلام بأنّه غذاؤه،و إنّما يخرج الفضل منه،فلا يلزم ما ذكر تموه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البحث عن الثّاني،على انّه يمكن أن يكون حجّة لنا،لأنّه عليه السّلام فصّل بين الطّهر و الحمل،و التّفصيل قاطع للشّركة،فلا يصدق الطّهر حينئذ مع الحبل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بالفرق بين الآئسة و بينها،لاعتيادها دون اعتياد الآئسة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لا يعتادها غالبا،قلنا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الحبلى من حيث هي لا شكّ انّها لا ترى الدّم غالبا،أمّا بالنّظر إلى المرأة المعيّنة الّتي يعتادها الحيض في زمن حبلها على ما كانت عليه قبل الحبل،فلا نسلّم انّه مغلوب في حقّها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السّكونيّ عاميّ،فلا تعارض روايته ما قدّمنا من الرّوايات الصّحيحة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الخامس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الحيض في زمن الحبل سقط اعتباره في نظر الشّرع فيما يرجع إلى منعه من الطّلاق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السّادس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بناء على الغالب،فإنّ أغلب أحوال المرأة إذا خرجت عادتها و لم تر دما و بالخصوص إذا كانت حبلى،انّه لا يكون دم حيض،و ادّعى الشّيخ في الخلاف الإجماع على انّ المستبين حملها لا تحيض،و إنّما الخلاف وقع في غير المستبين، و نحن لا نحقّق هذا الإجماع،مع انّ رواية أبي المعزى تنافي ما ذكره الشّيخ،و كذا رواية محمّد بن مسلم</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التّعليلات الّتي ذكروها عليهم السّلام عامّة،و الصّيغ مطلقة،فالأقرب </w:t>
      </w:r>
      <w:bookmarkStart w:id="880" w:name="pg12669_113071"/>
    </w:p>
    <w:p>
      <w:pPr>
        <w:pStyle w:val="BookText"/>
        <w:rPr/>
      </w:pPr>
      <w:bookmarkEnd w:id="880"/>
      <w:r>
        <w:rPr>
          <w:rFonts w:ascii="Amiri" w:hAnsi="Amiri" w:eastAsia="Amiri" w:cs="Amiri"/>
          <w:color w:val="111111"/>
          <w:sz w:val="28"/>
          <w:sz w:val="28"/>
          <w:szCs w:val="28"/>
          <w:rtl w:val="true"/>
          <w:lang w:bidi="ar-SA"/>
        </w:rPr>
        <w:t>ما ذهبنا نحن إليه</w:t>
      </w:r>
      <w:r>
        <w:rPr>
          <w:rFonts w:eastAsia="Amiri" w:cs="Amiri" w:ascii="Amiri" w:hAnsi="Amiri"/>
          <w:color w:val="111111"/>
          <w:sz w:val="28"/>
          <w:szCs w:val="28"/>
          <w:rtl w:val="true"/>
          <w:lang w:bidi="ar-SA"/>
        </w:rPr>
        <w:t>.</w:t>
      </w:r>
    </w:p>
    <w:p>
      <w:pPr>
        <w:pStyle w:val="Heading6"/>
        <w:numPr>
          <w:ilvl w:val="5"/>
          <w:numId w:val="1"/>
        </w:numPr>
        <w:rPr/>
      </w:pPr>
      <w:bookmarkStart w:id="881" w:name="__RefHeading___Toc795841_222507752"/>
      <w:bookmarkStart w:id="882" w:name="_Toc360"/>
      <w:bookmarkEnd w:id="881"/>
      <w:r>
        <w:rPr>
          <w:rtl w:val="true"/>
        </w:rPr>
        <w:t xml:space="preserve">فرع </w:t>
      </w:r>
      <w:r>
        <w:rPr>
          <w:rtl w:val="true"/>
        </w:rPr>
        <w:t>:</w:t>
      </w:r>
      <w:r>
        <w:rPr>
          <w:rtl w:val="true"/>
        </w:rPr>
        <w:t>لو انقطع دمها،ثمَّ ولدت،فإن كان بين الانقطاع و الولادة أقلّ الطّهر</w:t>
      </w:r>
      <w:bookmarkEnd w:id="882"/>
    </w:p>
    <w:p>
      <w:pPr>
        <w:pStyle w:val="BookText"/>
        <w:rPr/>
      </w:pPr>
      <w:r>
        <w:rPr>
          <w:rFonts w:ascii="Amiri" w:hAnsi="Amiri" w:eastAsia="Amiri" w:cs="Amiri"/>
          <w:color w:val="111111"/>
          <w:sz w:val="28"/>
          <w:sz w:val="28"/>
          <w:szCs w:val="28"/>
          <w:rtl w:val="true"/>
          <w:lang w:bidi="ar-SA"/>
        </w:rPr>
        <w:t>فالمنقطع حيض</w:t>
      </w:r>
    </w:p>
    <w:p>
      <w:pPr>
        <w:pStyle w:val="BookText"/>
        <w:rPr/>
      </w:pPr>
      <w:r>
        <w:rPr>
          <w:rStyle w:val="FootnoteAnchor"/>
          <w:rtl w:val="true"/>
        </w:rPr>
        <w:footnoteReference w:id="14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قصر ما بينهما عن أقلّ الطّهر فليس بحيض،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لاشتماله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قصور الطّهر عن أقلّه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أحد وجهي الشّافعيّة،و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يكون حيضا </w:t>
      </w:r>
      <w:r>
        <w:rPr>
          <w:rStyle w:val="FootnoteAnchor"/>
          <w:rtl w:val="true"/>
        </w:rPr>
        <w:footnoteReference w:id="149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إنّما يعتبر الطّهر الكامل بين دمي حيض،لأنّ الدّم الثّاني،لا دلالة عليه إلاّ وجوده بعد الطّهر الكامل،و هنا دمان مختلفان،و على الثّاني دلالة،و هي خروج الولد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تقدّمت الولادة و انقطع دمها على الأكثر و رأت دما بعد تخلّل أقلّ الطّهر كان حيضا،و إن كان قبله لم يكن حيضا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أحد وجهي الشّافعيّة،و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حيضا،لأنّهما دمان مختلفان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نفاس و حيض،فلا يعتبر بينهما أقلّ الطّهر </w:t>
      </w:r>
      <w:r>
        <w:rPr>
          <w:rStyle w:val="FootnoteAnchor"/>
          <w:rtl w:val="true"/>
        </w:rPr>
        <w:footnoteReference w:id="149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83" w:name="__RefHeading___Toc795843_222507752"/>
      <w:bookmarkStart w:id="884" w:name="_Toc361"/>
      <w:bookmarkEnd w:id="883"/>
      <w:r>
        <w:rPr>
          <w:rtl w:val="true"/>
        </w:rPr>
        <w:t>البحث الثّاني</w:t>
      </w:r>
      <w:r>
        <w:rPr>
          <w:rtl w:val="true"/>
        </w:rPr>
        <w:t>:</w:t>
      </w:r>
      <w:r>
        <w:rPr>
          <w:rtl w:val="true"/>
        </w:rPr>
        <w:t>في وقته</w:t>
      </w:r>
      <w:bookmarkEnd w:id="884"/>
    </w:p>
    <w:p>
      <w:pPr>
        <w:pStyle w:val="Heading6"/>
        <w:numPr>
          <w:ilvl w:val="5"/>
          <w:numId w:val="1"/>
        </w:numPr>
        <w:rPr/>
      </w:pPr>
      <w:bookmarkStart w:id="885" w:name="__RefHeading___Toc795845_222507752"/>
      <w:bookmarkStart w:id="886" w:name="_Toc362"/>
      <w:bookmarkEnd w:id="885"/>
      <w:r>
        <w:rPr>
          <w:rtl w:val="true"/>
        </w:rPr>
        <w:t>مسألة</w:t>
      </w:r>
      <w:r>
        <w:rPr>
          <w:rtl w:val="true"/>
        </w:rPr>
        <w:t>:</w:t>
      </w:r>
      <w:r>
        <w:rPr>
          <w:rtl w:val="true"/>
        </w:rPr>
        <w:t>و لأيّام الحيض طرفان قلّة و كثرة</w:t>
      </w:r>
      <w:bookmarkEnd w:id="886"/>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،فأقلّ أيّامه ثلاثة بلياليها،و أكثره عشرة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مذهب علمائنا أجمع،و به قال أبو </w:t>
      </w:r>
      <w:r>
        <w:rPr>
          <w:rStyle w:val="FootnoteAnchor"/>
          <w:rtl w:val="true"/>
        </w:rPr>
        <w:footnoteReference w:id="1495"/>
      </w:r>
      <w:r>
        <w:rPr>
          <w:rFonts w:ascii="Amiri" w:hAnsi="Amiri" w:eastAsia="Amiri" w:cs="Amiri"/>
          <w:color w:val="111111"/>
          <w:sz w:val="28"/>
          <w:sz w:val="28"/>
          <w:szCs w:val="28"/>
          <w:rtl w:val="true"/>
          <w:lang w:bidi="ar-SA"/>
        </w:rPr>
        <w:t xml:space="preserve">حنيفة،و سفيان الثّوريّ،و أبو يوسف،و محمّد </w:t>
      </w:r>
      <w:r>
        <w:rPr>
          <w:rStyle w:val="FootnoteAnchor"/>
          <w:rtl w:val="true"/>
        </w:rPr>
        <w:footnoteReference w:id="149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رواه الجمهور عن عليّ عليه السّلام،و عمر،و ابن مسعود،و ابن </w:t>
      </w:r>
    </w:p>
    <w:p>
      <w:pPr>
        <w:pStyle w:val="BookText"/>
        <w:rPr/>
      </w:pPr>
      <w:r>
        <w:rPr>
          <w:rFonts w:ascii="Amiri" w:hAnsi="Amiri" w:eastAsia="Amiri" w:cs="Amiri"/>
          <w:color w:val="111111"/>
          <w:sz w:val="28"/>
          <w:sz w:val="28"/>
          <w:szCs w:val="28"/>
          <w:rtl w:val="true"/>
          <w:lang w:bidi="ar-SA"/>
        </w:rPr>
        <w:t>عبّاس،و عثمان بن أبي العاص الثّقفيّ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أنس بن مالك </w:t>
      </w:r>
      <w:r>
        <w:rPr>
          <w:rStyle w:val="FootnoteAnchor"/>
          <w:rtl w:val="true"/>
        </w:rPr>
        <w:footnoteReference w:id="149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للشّافعيّ قولان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دم الحيض أقلّه يوم و ليلة،و أكثره خمسة عشر يوما </w:t>
      </w:r>
      <w:r>
        <w:rPr>
          <w:rStyle w:val="FootnoteAnchor"/>
          <w:rtl w:val="true"/>
        </w:rPr>
        <w:footnoteReference w:id="149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قال أبو ثور </w:t>
      </w:r>
      <w:r>
        <w:rPr>
          <w:rStyle w:val="FootnoteAnchor"/>
          <w:rtl w:val="true"/>
        </w:rPr>
        <w:footnoteReference w:id="1499"/>
      </w:r>
      <w:r>
        <w:rPr>
          <w:rFonts w:eastAsia="Times New Roman" w:cs="Times New Roman" w:ascii="Times New Roman" w:hAnsi="Times New Roman"/>
          <w:color w:val="111111"/>
          <w:sz w:val="28"/>
          <w:szCs w:val="28"/>
          <w:rtl w:val="true"/>
          <w:lang w:val="en-US" w:bidi="en-US"/>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أقلّه يوم و أكثره خمسة عشر يوما </w:t>
      </w:r>
      <w:r>
        <w:rPr>
          <w:rStyle w:val="FootnoteAnchor"/>
          <w:rtl w:val="true"/>
        </w:rPr>
        <w:footnoteReference w:id="150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قال داود </w:t>
      </w:r>
      <w:r>
        <w:rPr>
          <w:rStyle w:val="FootnoteAnchor"/>
          <w:rtl w:val="true"/>
        </w:rPr>
        <w:footnoteReference w:id="1501"/>
      </w:r>
      <w:r>
        <w:rPr>
          <w:rFonts w:ascii="Amiri" w:hAnsi="Amiri" w:eastAsia="Amiri" w:cs="Amiri"/>
          <w:color w:val="111111"/>
          <w:sz w:val="28"/>
          <w:sz w:val="28"/>
          <w:szCs w:val="28"/>
          <w:rtl w:val="true"/>
          <w:lang w:bidi="ar-SA"/>
        </w:rPr>
        <w:t xml:space="preserve">،و بالقولين روايتان عن أحمد </w:t>
      </w:r>
      <w:r>
        <w:rPr>
          <w:rStyle w:val="FootnoteAnchor"/>
          <w:rtl w:val="true"/>
        </w:rPr>
        <w:footnoteReference w:id="1502"/>
      </w:r>
      <w:r>
        <w:rPr>
          <w:rFonts w:ascii="Amiri" w:hAnsi="Amiri" w:eastAsia="Amiri" w:cs="Amiri"/>
          <w:color w:val="111111"/>
          <w:sz w:val="28"/>
          <w:sz w:val="28"/>
          <w:szCs w:val="28"/>
          <w:rtl w:val="true"/>
          <w:lang w:bidi="ar-SA"/>
        </w:rPr>
        <w:t xml:space="preserve">،و روي عنه ثالثة انّ أكثره سبعة عشر يوما </w:t>
      </w:r>
      <w:r>
        <w:rPr>
          <w:rStyle w:val="FootnoteAnchor"/>
          <w:rtl w:val="true"/>
        </w:rPr>
        <w:footnoteReference w:id="150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سعيد بن جبير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أكثره ثلاثة عشر يوما </w:t>
      </w:r>
      <w:r>
        <w:rPr>
          <w:rStyle w:val="FootnoteAnchor"/>
          <w:rtl w:val="true"/>
        </w:rPr>
        <w:footnoteReference w:id="150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مالك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لأقلّه حدّ و لا لأكثره،بل الحيض ما يوجد،قلّ أو كثر،و الطّهر كذلك </w:t>
      </w:r>
      <w:r>
        <w:rPr>
          <w:rStyle w:val="FootnoteAnchor"/>
          <w:rtl w:val="true"/>
        </w:rPr>
        <w:footnoteReference w:id="150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روي،عن أبي يوسف رواية 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w:t>
      </w:r>
    </w:p>
    <w:p>
      <w:pPr>
        <w:pStyle w:val="BookText"/>
        <w:rPr/>
      </w:pPr>
      <w:r>
        <w:rPr>
          <w:rFonts w:ascii="Amiri" w:hAnsi="Amiri" w:eastAsia="Amiri" w:cs="Amiri"/>
          <w:color w:val="111111"/>
          <w:sz w:val="28"/>
          <w:sz w:val="28"/>
          <w:szCs w:val="28"/>
          <w:rtl w:val="true"/>
          <w:lang w:bidi="ar-SA"/>
        </w:rPr>
        <w:t xml:space="preserve">أقلّ الحيض يومان و أكثر الثّالث </w:t>
      </w:r>
      <w:r>
        <w:rPr>
          <w:rStyle w:val="FootnoteAnchor"/>
          <w:rtl w:val="true"/>
        </w:rPr>
        <w:footnoteReference w:id="15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الجمهور،عن واثلة بن الأسقع انّ النّبيّ صلّى اللّه عليه و آله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أقلّ الحيض ثلاثة أيّام و أكثره عشرة أيّام</w:t>
      </w:r>
      <w:r>
        <w:rPr>
          <w:rFonts w:eastAsia="Amiri" w:cs="Amiri" w:ascii="Amiri" w:hAnsi="Amiri"/>
          <w:color w:val="111111"/>
          <w:sz w:val="28"/>
          <w:szCs w:val="28"/>
          <w:rtl w:val="true"/>
          <w:lang w:bidi="ar-SA"/>
        </w:rPr>
        <w:t xml:space="preserve">) </w:t>
      </w:r>
      <w:r>
        <w:rPr>
          <w:rStyle w:val="FootnoteAnchor"/>
          <w:rtl w:val="true"/>
        </w:rPr>
        <w:footnoteReference w:id="15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رووه،عن أبي أمامة الباهليّ،عن النّبيّ صلّى اللّه عليه و آله انّه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أقلّ الحيض للجارية البكر و الثّيب ثلاثة أيّام و لياليها،و أكثره عشرة أيّام</w:t>
      </w:r>
      <w:r>
        <w:rPr>
          <w:rFonts w:eastAsia="Amiri" w:cs="Amiri" w:ascii="Amiri" w:hAnsi="Amiri"/>
          <w:color w:val="111111"/>
          <w:sz w:val="28"/>
          <w:szCs w:val="28"/>
          <w:rtl w:val="true"/>
          <w:lang w:bidi="ar-SA"/>
        </w:rPr>
        <w:t xml:space="preserve">) </w:t>
      </w:r>
      <w:r>
        <w:rPr>
          <w:rStyle w:val="FootnoteAnchor"/>
          <w:rtl w:val="true"/>
        </w:rPr>
        <w:footnoteReference w:id="15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أنس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قرء المرأة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ثلاث،أربع،خمس،ست،سبع،ثمان،تسع، عشر </w:t>
      </w:r>
      <w:r>
        <w:rPr>
          <w:rStyle w:val="FootnoteAnchor"/>
          <w:rtl w:val="true"/>
        </w:rPr>
        <w:footnoteReference w:id="150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يقول ذلك إلاّ توقيفا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طريق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 في الصّحيح،عن يعقوب بن يقطين،عن أبي الحسن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أدنى الحيض ثلاثة و أقصاه عشرة</w:t>
      </w:r>
      <w:r>
        <w:rPr>
          <w:rFonts w:eastAsia="Amiri" w:cs="Amiri" w:ascii="Amiri" w:hAnsi="Amiri"/>
          <w:color w:val="111111"/>
          <w:sz w:val="28"/>
          <w:szCs w:val="28"/>
          <w:rtl w:val="true"/>
          <w:lang w:bidi="ar-SA"/>
        </w:rPr>
        <w:t xml:space="preserve">» </w:t>
      </w:r>
      <w:r>
        <w:rPr>
          <w:rStyle w:val="FootnoteAnchor"/>
          <w:rtl w:val="true"/>
        </w:rPr>
        <w:footnoteReference w:id="15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في الصّحيح،عن صفوان بن يحيى،قال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الحسن عليه السّلام عن أدنى ما يكون من الحيض؟قال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أدناه ثلاثة و أبعده عشرة</w:t>
      </w:r>
      <w:r>
        <w:rPr>
          <w:rFonts w:eastAsia="Amiri" w:cs="Amiri" w:ascii="Amiri" w:hAnsi="Amiri"/>
          <w:color w:val="111111"/>
          <w:sz w:val="28"/>
          <w:szCs w:val="28"/>
          <w:rtl w:val="true"/>
          <w:lang w:bidi="ar-SA"/>
        </w:rPr>
        <w:t xml:space="preserve">» </w:t>
      </w:r>
      <w:r>
        <w:rPr>
          <w:rStyle w:val="FootnoteAnchor"/>
          <w:rtl w:val="true"/>
        </w:rPr>
        <w:footnoteReference w:id="15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روى،عن الحسن بن عليّ بن زياد الخزّاز،عن أبي الحسن عليه السّلام،قال</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أقلّ الحيض ثلاثة و أكثره عشرة</w:t>
      </w:r>
      <w:r>
        <w:rPr>
          <w:rFonts w:eastAsia="Amiri" w:cs="Amiri" w:ascii="Amiri" w:hAnsi="Amiri"/>
          <w:color w:val="111111"/>
          <w:sz w:val="28"/>
          <w:szCs w:val="28"/>
          <w:rtl w:val="true"/>
          <w:lang w:bidi="ar-SA"/>
        </w:rPr>
        <w:t xml:space="preserve">» </w:t>
      </w:r>
      <w:r>
        <w:rPr>
          <w:rStyle w:val="FootnoteAnchor"/>
          <w:rtl w:val="true"/>
        </w:rPr>
        <w:footnoteReference w:id="151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روى،عن أحمد بن محمّد بن أبي نصر،قال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الحسن عليه السّلام عن أدنى ما يكون من الحيض؟قال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 أيّام و أكثره عشرة أيّام</w:t>
      </w:r>
      <w:r>
        <w:rPr>
          <w:rFonts w:eastAsia="Amiri" w:cs="Amiri" w:ascii="Amiri" w:hAnsi="Amiri"/>
          <w:color w:val="111111"/>
          <w:sz w:val="28"/>
          <w:szCs w:val="28"/>
          <w:rtl w:val="true"/>
          <w:lang w:bidi="ar-SA"/>
        </w:rPr>
        <w:t xml:space="preserve">» </w:t>
      </w:r>
      <w:r>
        <w:rPr>
          <w:rStyle w:val="FootnoteAnchor"/>
          <w:rtl w:val="true"/>
        </w:rPr>
        <w:footnoteReference w:id="15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روى،عن سماعة بن مهران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فلها أن تجلس و تدع الصّلاة ما دامت ترى الدّم ما لم تجز العشرة</w:t>
      </w:r>
      <w:r>
        <w:rPr>
          <w:rFonts w:eastAsia="Amiri" w:cs="Amiri" w:ascii="Amiri" w:hAnsi="Amiri"/>
          <w:color w:val="111111"/>
          <w:sz w:val="28"/>
          <w:szCs w:val="28"/>
          <w:rtl w:val="true"/>
          <w:lang w:bidi="ar-SA"/>
        </w:rPr>
        <w:t xml:space="preserve">» </w:t>
      </w:r>
      <w:r>
        <w:rPr>
          <w:rStyle w:val="FootnoteAnchor"/>
          <w:rtl w:val="true"/>
        </w:rPr>
        <w:footnoteReference w:id="15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روى،عن سماعة أيضا،قال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أكثر جلوسها عشرة أيّام و أقلّه ثلاثة أيّام</w:t>
      </w:r>
      <w:r>
        <w:rPr>
          <w:rFonts w:eastAsia="Amiri" w:cs="Amiri" w:ascii="Amiri" w:hAnsi="Amiri"/>
          <w:color w:val="111111"/>
          <w:sz w:val="28"/>
          <w:szCs w:val="28"/>
          <w:rtl w:val="true"/>
          <w:lang w:bidi="ar-SA"/>
        </w:rPr>
        <w:t xml:space="preserve">» </w:t>
      </w:r>
      <w:r>
        <w:rPr>
          <w:rStyle w:val="FootnoteAnchor"/>
          <w:rtl w:val="true"/>
        </w:rPr>
        <w:footnoteReference w:id="15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يعارض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 في الصّحيح،عن عبد اللّه بن سنان،عن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أكثر ما يكون الحيض ثمان،و أدنى ما يكون منه ثلاثة</w:t>
      </w:r>
      <w:r>
        <w:rPr>
          <w:rFonts w:eastAsia="Amiri" w:cs="Amiri" w:ascii="Amiri" w:hAnsi="Amiri"/>
          <w:color w:val="111111"/>
          <w:sz w:val="28"/>
          <w:szCs w:val="28"/>
          <w:rtl w:val="true"/>
          <w:lang w:bidi="ar-SA"/>
        </w:rPr>
        <w:t xml:space="preserve">» </w:t>
      </w:r>
      <w:r>
        <w:rPr>
          <w:rStyle w:val="FootnoteAnchor"/>
          <w:rtl w:val="true"/>
        </w:rPr>
        <w:footnoteReference w:id="15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خبر لم يذهب إليه أحد من المسلمين،فيجب تأويله بالمحتمل و هو أمران</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يكون المراد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كانت عادتها انّها لا تحيض أكثر من ثمانية أيّام، ثمَّ استحاضت حتّى لا يتميّز لها دم الحيض من الاستحاضة،فإنّ أكثر ما تحتسب به من أيّام الحيض ثمانية أيّام حسب ما جرت عادتها قبل استمرار الدّم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ذكره الشّيخ في التّهذيب </w:t>
      </w:r>
      <w:r>
        <w:rPr>
          <w:rStyle w:val="FootnoteAnchor"/>
          <w:rtl w:val="true"/>
        </w:rPr>
        <w:footnoteReference w:id="151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يحتمل انّه أنّ أكثر ما يكون الحيض ثمانية أيّام فإنّ وقوع العشرة نادر كما انّ وقوع الثّلاثة كذلك،بل الغالب وقوع الوسط و هو ثمانية،أو سبعة،أو ستّة فيكون ذلك إشارة إلى بيان أكثر أيّامه في الغالب لا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احتجّ الشّافعيّ بأنّ النّبيّ صلّى اللّه عليه و آله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دعي الصّلاة يوم قرئك</w:t>
      </w:r>
      <w:r>
        <w:rPr>
          <w:rFonts w:eastAsia="Amiri" w:cs="Amiri" w:ascii="Amiri" w:hAnsi="Amiri"/>
          <w:color w:val="111111"/>
          <w:sz w:val="28"/>
          <w:szCs w:val="28"/>
          <w:rtl w:val="true"/>
          <w:lang w:bidi="ar-SA"/>
        </w:rPr>
        <w:t xml:space="preserve">) </w:t>
      </w:r>
      <w:r>
        <w:rPr>
          <w:rStyle w:val="FootnoteAnchor"/>
          <w:rtl w:val="true"/>
        </w:rPr>
        <w:footnoteReference w:id="1518"/>
      </w:r>
      <w:r>
        <w:rPr>
          <w:rFonts w:ascii="Amiri" w:hAnsi="Amiri" w:eastAsia="Amiri" w:cs="Amiri"/>
          <w:color w:val="111111"/>
          <w:sz w:val="28"/>
          <w:sz w:val="28"/>
          <w:szCs w:val="28"/>
          <w:rtl w:val="true"/>
          <w:lang w:bidi="ar-SA"/>
        </w:rPr>
        <w:t>من غير فصل بين عدد القليل و الكثير،و هذا يدلّ على انّ أقلّ الحيض يوم 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الكثرة بأنّ الشّهر في حقّ الآئسة و الصّغيرة أقيم مقام حيض و طهر،فجعل العدّة ثلاثة أشهر مكان ثلاثة قروء فيقسّم عليها نصفين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غير محدود في الشّريعة و اللّغة،فيجب الرّجوع فيه إلى العرف و العادة، و قد وجد حيض معتاد يوما،قال عطاء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رأيت من النّساء من تحيض يوما و تحيض خمسة عشر </w:t>
      </w:r>
      <w:r>
        <w:rPr>
          <w:rStyle w:val="FootnoteAnchor"/>
          <w:rtl w:val="true"/>
        </w:rPr>
        <w:footnoteReference w:id="151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أحمد بن حنبل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يحيى بن آدم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شريكا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عندنا امرأة تحيض كلّ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شهر</w:t>
      </w:r>
      <w:r>
        <w:rPr>
          <w:rFonts w:eastAsia="Amiri" w:cs="Amiri" w:ascii="Amiri" w:hAnsi="Amiri"/>
          <w:color w:val="111111"/>
          <w:sz w:val="28"/>
          <w:szCs w:val="28"/>
          <w:rtl w:val="true"/>
          <w:lang w:bidi="ar-SA"/>
        </w:rPr>
        <w:t xml:space="preserve">] </w:t>
      </w:r>
      <w:r>
        <w:rPr>
          <w:rStyle w:val="FootnoteAnchor"/>
          <w:rtl w:val="true"/>
        </w:rPr>
        <w:footnoteReference w:id="1520"/>
      </w:r>
      <w:r>
        <w:rPr>
          <w:rFonts w:ascii="Amiri" w:hAnsi="Amiri" w:eastAsia="Amiri" w:cs="Amiri"/>
          <w:color w:val="111111"/>
          <w:sz w:val="28"/>
          <w:sz w:val="28"/>
          <w:szCs w:val="28"/>
          <w:rtl w:val="true"/>
          <w:lang w:bidi="ar-SA"/>
        </w:rPr>
        <w:t xml:space="preserve">خمسة عشر يوما </w:t>
      </w:r>
      <w:r>
        <w:rPr>
          <w:rStyle w:val="FootnoteAnchor"/>
          <w:rtl w:val="true"/>
        </w:rPr>
        <w:footnoteReference w:id="152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ابن المنذر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الأوزاعيّ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عندنا امرأة تحيض غدوة و تطهر عشيّا يرون انّه حيض تدع له الصّلاة </w:t>
      </w:r>
      <w:r>
        <w:rPr>
          <w:rStyle w:val="FootnoteAnchor"/>
          <w:rtl w:val="true"/>
        </w:rPr>
        <w:footnoteReference w:id="152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الشّافعيّ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رأيت امرأة اثبت لي عنها انّها لم تزل تحيض يوما لا تزيد عليه،و أثبت لي عن نساء انّهنّ لم يزلن يحضن أقلّ من ثلاثة أيّام </w:t>
      </w:r>
      <w:r>
        <w:rPr>
          <w:rStyle w:val="FootnoteAnchor"/>
          <w:rtl w:val="true"/>
        </w:rPr>
        <w:footnoteReference w:id="152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إسحاق بن راهويه،عن بكر بن عبد اللّه المزنيّ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تحيض امرأتي يومين </w:t>
      </w:r>
      <w:r>
        <w:rPr>
          <w:rStyle w:val="FootnoteAnchor"/>
          <w:rtl w:val="true"/>
        </w:rPr>
        <w:footnoteReference w:id="152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يدلّ على انّ أقلّ الحيض 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احتجّوا </w:t>
      </w:r>
      <w:r>
        <w:rPr>
          <w:rStyle w:val="FootnoteAnchor"/>
          <w:rtl w:val="true"/>
        </w:rPr>
        <w:footnoteReference w:id="1525"/>
      </w:r>
      <w:r>
        <w:rPr>
          <w:rFonts w:ascii="Amiri" w:hAnsi="Amiri" w:eastAsia="Amiri" w:cs="Amiri"/>
          <w:color w:val="111111"/>
          <w:sz w:val="28"/>
          <w:sz w:val="28"/>
          <w:szCs w:val="28"/>
          <w:rtl w:val="true"/>
          <w:lang w:bidi="ar-SA"/>
        </w:rPr>
        <w:t>أيضا بما رووه،عن عليّ عليه السّلام انّه قال في صفة النّساء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انّهنّ ناقصات عقل و 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نقصان دينهنّ؟قال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تلبث شطر دهرها في بيتها لا تصلّي</w:t>
      </w:r>
      <w:r>
        <w:rPr>
          <w:rFonts w:eastAsia="Amiri" w:cs="Amiri" w:ascii="Amiri" w:hAnsi="Amiri"/>
          <w:color w:val="111111"/>
          <w:sz w:val="28"/>
          <w:szCs w:val="28"/>
          <w:rtl w:val="true"/>
          <w:lang w:bidi="ar-SA"/>
        </w:rPr>
        <w:t xml:space="preserve">) </w:t>
      </w:r>
      <w:r>
        <w:rPr>
          <w:rStyle w:val="FootnoteAnchor"/>
          <w:rtl w:val="true"/>
        </w:rPr>
        <w:footnoteReference w:id="1526"/>
      </w:r>
      <w:r>
        <w:rPr>
          <w:rFonts w:ascii="Amiri" w:hAnsi="Amiri" w:eastAsia="Amiri" w:cs="Amiri"/>
          <w:color w:val="111111"/>
          <w:sz w:val="28"/>
          <w:sz w:val="28"/>
          <w:szCs w:val="28"/>
          <w:rtl w:val="true"/>
          <w:lang w:bidi="ar-SA"/>
        </w:rPr>
        <w:t>و ذلك يدلّ على انّ أكثر الحيض نصف الشّهر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احتجّ مالك بأنّه لو كان لأقلّه حدّ لكانت المرأة لا تدع الصّلاة حتّى يمضي ذلك الحدّ،و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اللّه تعالى فَاعْتَزِلُوا النِّساءَ فِي الْمَحِيضِ </w:t>
      </w:r>
      <w:r>
        <w:rPr>
          <w:rStyle w:val="FootnoteAnchor"/>
          <w:rtl w:val="true"/>
        </w:rPr>
        <w:footnoteReference w:id="1527"/>
      </w:r>
      <w:r>
        <w:rPr>
          <w:rFonts w:ascii="Amiri" w:hAnsi="Amiri" w:eastAsia="Amiri" w:cs="Amiri"/>
          <w:color w:val="111111"/>
          <w:sz w:val="28"/>
          <w:sz w:val="28"/>
          <w:szCs w:val="28"/>
          <w:rtl w:val="true"/>
          <w:lang w:bidi="ar-SA"/>
        </w:rPr>
        <w:t xml:space="preserve">و ذلك عامّ في الأقلّ و الأكثر </w:t>
      </w:r>
      <w:r>
        <w:rPr>
          <w:rStyle w:val="FootnoteAnchor"/>
          <w:rtl w:val="true"/>
        </w:rPr>
        <w:footnoteReference w:id="1528"/>
      </w:r>
      <w:r>
        <w:rPr>
          <w:rFonts w:eastAsia="Times New Roman" w:cs="Times New Roman" w:ascii="Times New Roman" w:hAnsi="Times New Roman"/>
          <w:color w:val="111111"/>
          <w:sz w:val="28"/>
          <w:szCs w:val="28"/>
          <w:rtl w:val="true"/>
          <w:lang w:val="en-US" w:bidi="en-US"/>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الجواب عن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ليس فيه تقدير بيوم،بل فيه بيان بأنّها لا تصلّي في وقت </w:t>
      </w:r>
      <w:bookmarkStart w:id="887" w:name="pg12669_113077"/>
    </w:p>
    <w:p>
      <w:pPr>
        <w:pStyle w:val="BookText"/>
        <w:rPr/>
      </w:pPr>
      <w:bookmarkEnd w:id="887"/>
      <w:r>
        <w:rPr>
          <w:rFonts w:ascii="Amiri" w:hAnsi="Amiri" w:eastAsia="Amiri" w:cs="Amiri"/>
          <w:color w:val="111111"/>
          <w:sz w:val="28"/>
          <w:sz w:val="28"/>
          <w:szCs w:val="28"/>
          <w:rtl w:val="true"/>
          <w:lang w:bidi="ar-SA"/>
        </w:rPr>
        <w:t>الحيض،و نحن نقول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بالمنع من اعتداد الآئسة و الصّغيرة،أوّلا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يأتي،و ثانيا،لو سلّم، لم قلتم انّه لأجل قيام ثلاثة أشهر مقام ثلاثة أقراء؟بل لعلّه أراد به الاستظهار،فإنّ الاعتداد بالأقراء يحصل معه القطع بخلوّ الرّحم،أمّا بالأشهر فأوجب الأكثر من الأقراء للاستظهار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قدّمنا انّه محدود من حيث النّقل عن النّبيّ صلّى اللّه عليه و آله في حديث أبي أمامة،و حديث واثلة،و ما رووه عن أكثر الصّحابة كعليّ عليه السّلام، و عمر،و ابن مسعود،و غيرهم ممّن نقلنا عنهم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لا نعرف فيه قياسا،فالنّقل عن كلّ واحد منهم كروايته،عن النّبيّ صلّى اللّه عليه و آله،و ما رويناه،عن أهل البيت عليهم السّلام،فكيف يصحّ ادّعاء عدم التّقدير الشّرعيّ؟و ما نقلوه،عن النّساء فضعيف لا يعارض به الأحاديث النّبويّة و آثار أهل البيت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الشّطر لا يراد به النّصف ها هنا،لعدم تطرّق الخلف إلى كلامه عليه السّلام،فيحمل على ما يقارب النّصف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انّهم أخذوا الشّطر بالنّسبة إلى الشّهر،فهو غير مذكور في كلامه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لقائل أنّ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يجوز اعتباره بالنّسبة إلى السّنة،فإنّها إذا لبثت عشرة حائضا و عشرة طهرا و هكذا،حصل من ذلك مساواة ترك الصّلاة لفعلها في الأزمنة،و يناسبه انّ الدّهر في اللغة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الزّمان الطّويل،و ذلك لا يناسب الشّهر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الخامس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بالمنع من الملازمة في ذات العادة بناء على الغالب و بالتزامها و بالمنع من إبطال التّالي في المبتدئة،و سيأتي 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السّادس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الآية مجملة من حيث المقدار،و بيانه في حديث أبي أمامة، و واثلة،و أحاديث الأئمّة عليهم السّلام،و قد تقدّمت</w:t>
      </w:r>
      <w:r>
        <w:rPr>
          <w:rFonts w:eastAsia="Amiri" w:cs="Amiri" w:ascii="Amiri" w:hAnsi="Amiri"/>
          <w:color w:val="111111"/>
          <w:sz w:val="28"/>
          <w:szCs w:val="28"/>
          <w:rtl w:val="true"/>
          <w:lang w:bidi="ar-SA"/>
        </w:rPr>
        <w:t>.</w:t>
      </w:r>
    </w:p>
    <w:p>
      <w:pPr>
        <w:pStyle w:val="Heading6"/>
        <w:numPr>
          <w:ilvl w:val="5"/>
          <w:numId w:val="1"/>
        </w:numPr>
        <w:rPr/>
      </w:pPr>
      <w:bookmarkStart w:id="888" w:name="__RefHeading___Toc795847_222507752"/>
      <w:bookmarkStart w:id="889" w:name="_Toc363"/>
      <w:bookmarkEnd w:id="888"/>
      <w:r>
        <w:rPr>
          <w:rtl w:val="true"/>
        </w:rPr>
        <w:t>مسألة</w:t>
      </w:r>
      <w:r>
        <w:rPr>
          <w:rtl w:val="true"/>
        </w:rPr>
        <w:t>:</w:t>
      </w:r>
      <w:r>
        <w:rPr>
          <w:rtl w:val="true"/>
        </w:rPr>
        <w:t>هل يشترط في الثّلاثة الأيّام،التّوالي أم لا؟فيه للأصحاب قولان</w:t>
      </w:r>
      <w:r>
        <w:rPr>
          <w:rtl w:val="true"/>
        </w:rPr>
        <w:t>:</w:t>
      </w:r>
      <w:bookmarkEnd w:id="889"/>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الشّيخ في النّهاية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يشترط،بمعنى انّها لو رأت الأوّل و الثّالث و الخامس </w:t>
      </w:r>
    </w:p>
    <w:p>
      <w:pPr>
        <w:pStyle w:val="BookText"/>
        <w:rPr/>
      </w:pPr>
      <w:r>
        <w:rPr>
          <w:rFonts w:ascii="Amiri" w:hAnsi="Amiri" w:eastAsia="Amiri" w:cs="Amiri"/>
          <w:color w:val="111111"/>
          <w:sz w:val="28"/>
          <w:sz w:val="28"/>
          <w:szCs w:val="28"/>
          <w:rtl w:val="true"/>
          <w:lang w:bidi="ar-SA"/>
        </w:rPr>
        <w:t xml:space="preserve">مثلا،لكان حيضا </w:t>
      </w:r>
      <w:r>
        <w:rPr>
          <w:rStyle w:val="FootnoteAnchor"/>
          <w:rtl w:val="true"/>
        </w:rPr>
        <w:footnoteReference w:id="152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في المبسوط و الجمل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يشترط التّتابع </w:t>
      </w:r>
      <w:r>
        <w:rPr>
          <w:rStyle w:val="FootnoteAnchor"/>
          <w:rtl w:val="true"/>
        </w:rPr>
        <w:footnoteReference w:id="153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به قال ابنا بابويه </w:t>
      </w:r>
      <w:r>
        <w:rPr>
          <w:rStyle w:val="FootnoteAnchor"/>
          <w:rtl w:val="true"/>
        </w:rPr>
        <w:footnoteReference w:id="1531"/>
      </w:r>
      <w:r>
        <w:rPr>
          <w:rFonts w:ascii="Amiri" w:hAnsi="Amiri" w:eastAsia="Amiri" w:cs="Amiri"/>
          <w:color w:val="111111"/>
          <w:sz w:val="28"/>
          <w:sz w:val="28"/>
          <w:szCs w:val="28"/>
          <w:rtl w:val="true"/>
          <w:lang w:bidi="ar-SA"/>
        </w:rPr>
        <w:t xml:space="preserve">و السّيّد المرتضى </w:t>
      </w:r>
      <w:r>
        <w:rPr>
          <w:rStyle w:val="FootnoteAnchor"/>
          <w:rtl w:val="true"/>
        </w:rPr>
        <w:footnoteReference w:id="153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اتّفق الفريقان على انّه يشترط كون الثّلاثة من جملة العشرة،و القول الأوّل اختيار الحنفيّة </w:t>
      </w:r>
      <w:r>
        <w:rPr>
          <w:rStyle w:val="FootnoteAnchor"/>
          <w:rtl w:val="true"/>
        </w:rPr>
        <w:footnoteReference w:id="15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احتجّ الشّيخ </w:t>
      </w:r>
      <w:r>
        <w:rPr>
          <w:rStyle w:val="FootnoteAnchor"/>
          <w:rtl w:val="true"/>
        </w:rPr>
        <w:footnoteReference w:id="1534"/>
      </w:r>
      <w:r>
        <w:rPr>
          <w:rFonts w:ascii="Amiri" w:hAnsi="Amiri" w:eastAsia="Amiri" w:cs="Amiri"/>
          <w:color w:val="111111"/>
          <w:sz w:val="28"/>
          <w:sz w:val="28"/>
          <w:szCs w:val="28"/>
          <w:rtl w:val="true"/>
          <w:lang w:bidi="ar-SA"/>
        </w:rPr>
        <w:t>على الأوّل بما رواه يونس،عن بعض رجاله،عن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رأت المرأة الدّم في أيّام حيضها تركت الصّلاة،فإن استمرّ بها الدّم ثلاثة أيّام فهي حائض،و إن انقطع الدّم بعد ما رأته يوما أو يومين اغتسلت و صلّت و انتظرت من يوم رأت الدّم إلى عشرة أيّام،فإن رأت في تلك العشرة أيّام من يوم رأت الدّم يوما أو يومين حتّى يتمّ لها ثلاثة أيّام فذلك الّذي رأته في أوّل الأمر مع هذا الّذي رأته بعد ذلك في العشرة هو من الحيض،و إن مرّ بها من يوم رأت عشرة أيّام و لم تر الدّم فذلك اليوم و اليومان الّذي رأته لم يكن من الحيض إنّما كان من علّة</w:t>
      </w:r>
      <w:r>
        <w:rPr>
          <w:rFonts w:eastAsia="Amiri" w:cs="Amiri" w:ascii="Amiri" w:hAnsi="Amiri"/>
          <w:color w:val="111111"/>
          <w:sz w:val="28"/>
          <w:szCs w:val="28"/>
          <w:rtl w:val="true"/>
          <w:lang w:bidi="ar-SA"/>
        </w:rPr>
        <w:t xml:space="preserve">» </w:t>
      </w:r>
      <w:r>
        <w:rPr>
          <w:rStyle w:val="FootnoteAnchor"/>
          <w:rtl w:val="true"/>
        </w:rPr>
        <w:footnoteReference w:id="1535"/>
      </w:r>
      <w:r>
        <w:rPr>
          <w:rFonts w:ascii="Amiri" w:hAnsi="Amiri" w:eastAsia="Amiri" w:cs="Amiri"/>
          <w:color w:val="111111"/>
          <w:sz w:val="28"/>
          <w:sz w:val="28"/>
          <w:szCs w:val="28"/>
          <w:rtl w:val="true"/>
          <w:lang w:bidi="ar-SA"/>
        </w:rPr>
        <w:t>و هذه الرّواية مرسلة لا يعوّل عليها</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الشّيخ،عن محمّد بن مسلم،عن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أقلّ ما يكون الحيض ثلاثة أيّام و إذا رأت الدّم قبل عشرة أيّام فهي من الحيضة الاولى،و إذا رأته بعد عشرة أيّام فهي من حيضة أخرى مستقبلة</w:t>
      </w:r>
      <w:r>
        <w:rPr>
          <w:rFonts w:eastAsia="Amiri" w:cs="Amiri" w:ascii="Amiri" w:hAnsi="Amiri"/>
          <w:color w:val="111111"/>
          <w:sz w:val="28"/>
          <w:szCs w:val="28"/>
          <w:rtl w:val="true"/>
          <w:lang w:bidi="ar-SA"/>
        </w:rPr>
        <w:t xml:space="preserve">» </w:t>
      </w:r>
      <w:r>
        <w:rPr>
          <w:rStyle w:val="FootnoteAnchor"/>
          <w:rtl w:val="true"/>
        </w:rPr>
        <w:footnoteReference w:id="1536"/>
      </w:r>
      <w:r>
        <w:rPr>
          <w:rFonts w:ascii="Amiri" w:hAnsi="Amiri" w:eastAsia="Amiri" w:cs="Amiri"/>
          <w:color w:val="111111"/>
          <w:sz w:val="28"/>
          <w:sz w:val="28"/>
          <w:szCs w:val="28"/>
          <w:rtl w:val="true"/>
          <w:lang w:bidi="ar-SA"/>
        </w:rPr>
        <w:t xml:space="preserve">و في طريقها ابن فضّال،و هو </w:t>
      </w:r>
      <w:bookmarkStart w:id="890" w:name="pg12669_113079"/>
    </w:p>
    <w:p>
      <w:pPr>
        <w:pStyle w:val="BookText"/>
        <w:rPr/>
      </w:pPr>
      <w:bookmarkEnd w:id="890"/>
      <w:r>
        <w:rPr>
          <w:rFonts w:ascii="Amiri" w:hAnsi="Amiri" w:eastAsia="Amiri" w:cs="Amiri"/>
          <w:color w:val="111111"/>
          <w:sz w:val="28"/>
          <w:sz w:val="28"/>
          <w:szCs w:val="28"/>
          <w:rtl w:val="true"/>
          <w:lang w:bidi="ar-SA"/>
        </w:rPr>
        <w:t xml:space="preserve">ضعيف </w:t>
      </w:r>
      <w:r>
        <w:rPr>
          <w:rStyle w:val="FootnoteAnchor"/>
          <w:rtl w:val="true"/>
        </w:rPr>
        <w:footnoteReference w:id="1537"/>
      </w:r>
      <w:r>
        <w:rPr>
          <w:rFonts w:ascii="Amiri" w:hAnsi="Amiri" w:eastAsia="Amiri" w:cs="Amiri"/>
          <w:color w:val="111111"/>
          <w:sz w:val="28"/>
          <w:sz w:val="28"/>
          <w:szCs w:val="28"/>
          <w:rtl w:val="true"/>
          <w:lang w:bidi="ar-SA"/>
        </w:rPr>
        <w:t>،مع عدم إفادتها المطلوب،إذ لا دلالة فيها على انّ الحيضة الأولى أقلّ من ثلاثة،بل دلّت على انّ ما تراه في العشرة فهو من الحيضة الاولى،و نحن لا نسمّي الدّم حيضا إلاّ ما بلغ ثلاثة فصاعدا،فمتى رأت الدّم ثلاثا،ثمَّ انقطع،ثمَّ رأته في العشرة و لم تجاوز كان الجميع حيضا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روى هذه الرّواية أيضا من طريق حسن،عن محمّد بن مسلم،و لم نظفر بحديث سوى ما ذكرناه فلنرجع إلى الأصل،و هو شغل الذّمّة بالعبادة المستفادة من الأمر إلى أن يظهر المزيل</w:t>
      </w:r>
      <w:r>
        <w:rPr>
          <w:rFonts w:eastAsia="Amiri" w:cs="Amiri" w:ascii="Amiri" w:hAnsi="Amiri"/>
          <w:color w:val="111111"/>
          <w:sz w:val="28"/>
          <w:szCs w:val="28"/>
          <w:rtl w:val="true"/>
          <w:lang w:bidi="ar-SA"/>
        </w:rPr>
        <w:t>.</w:t>
      </w:r>
    </w:p>
    <w:p>
      <w:pPr>
        <w:pStyle w:val="Heading6"/>
        <w:numPr>
          <w:ilvl w:val="5"/>
          <w:numId w:val="1"/>
        </w:numPr>
        <w:rPr/>
      </w:pPr>
      <w:bookmarkStart w:id="891" w:name="__RefHeading___Toc795849_222507752"/>
      <w:bookmarkStart w:id="892" w:name="_Toc364"/>
      <w:bookmarkEnd w:id="891"/>
      <w:r>
        <w:rPr>
          <w:rtl w:val="true"/>
        </w:rPr>
        <w:t>مسألة</w:t>
      </w:r>
      <w:r>
        <w:rPr>
          <w:rtl w:val="true"/>
        </w:rPr>
        <w:t>:</w:t>
      </w:r>
      <w:r>
        <w:rPr>
          <w:rtl w:val="true"/>
        </w:rPr>
        <w:t>كلّ دم تراه المرأة ما بين الثّلاثة إلى العشرة،ثمَّ ينقطع عليها فهو حيض</w:t>
      </w:r>
      <w:bookmarkEnd w:id="892"/>
    </w:p>
    <w:p>
      <w:pPr>
        <w:pStyle w:val="BookText"/>
        <w:rPr/>
      </w:pPr>
      <w:r>
        <w:rPr>
          <w:rFonts w:ascii="Amiri" w:hAnsi="Amiri" w:eastAsia="Amiri" w:cs="Amiri"/>
          <w:color w:val="111111"/>
          <w:sz w:val="28"/>
          <w:sz w:val="28"/>
          <w:szCs w:val="28"/>
          <w:rtl w:val="true"/>
          <w:lang w:bidi="ar-SA"/>
        </w:rPr>
        <w:t>ما لم يعلم أنّها لعذرة أو قرح،و لا اعتبار باللّون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مذهب علمائنا أجمع،و لا نعرف مخالفا،لأنّه في زمان يمكن أن يكون حيضا،فيكون حيضا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الجمهور،عن عائشة انّها كانت تبعث إليها النّساء بالدّرجة فيها الكرسف فيها الصّفرة و الكدرة فتقول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تعجلن حتّى ترين القصّة البيضاء </w:t>
      </w:r>
      <w:r>
        <w:rPr>
          <w:rStyle w:val="FootnoteAnchor"/>
          <w:rtl w:val="true"/>
        </w:rPr>
        <w:footnoteReference w:id="15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طريق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 في الحسن،عن محمّد بن مسلم،عن أبي جعفر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رأت المرأة أقلّ من العشرة فهو من الحيضة الاولى،و إن كان بعد العشرة فهو من الحيضة المستقبلة</w:t>
      </w:r>
      <w:r>
        <w:rPr>
          <w:rFonts w:eastAsia="Amiri" w:cs="Amiri" w:ascii="Amiri" w:hAnsi="Amiri"/>
          <w:color w:val="111111"/>
          <w:sz w:val="28"/>
          <w:szCs w:val="28"/>
          <w:rtl w:val="true"/>
          <w:lang w:bidi="ar-SA"/>
        </w:rPr>
        <w:t xml:space="preserve">» </w:t>
      </w:r>
      <w:r>
        <w:rPr>
          <w:rStyle w:val="FootnoteAnchor"/>
          <w:rtl w:val="true"/>
        </w:rPr>
        <w:footnoteReference w:id="1539"/>
      </w:r>
      <w:r>
        <w:rPr>
          <w:rFonts w:ascii="Amiri" w:hAnsi="Amiri" w:eastAsia="Amiri" w:cs="Amiri"/>
          <w:color w:val="111111"/>
          <w:sz w:val="28"/>
          <w:sz w:val="28"/>
          <w:szCs w:val="28"/>
          <w:rtl w:val="true"/>
          <w:lang w:bidi="ar-SA"/>
        </w:rPr>
        <w:t>و هو لفظ مطلق ليس فيه تخصيص بلون دون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في الصّحيح،عن محمّد بن مسلم،عن أبي جعفر عليه السّلام،قال</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خرج فيها شيء من الدّم،فلا تغتسل</w:t>
      </w:r>
      <w:r>
        <w:rPr>
          <w:rFonts w:eastAsia="Amiri" w:cs="Amiri" w:ascii="Amiri" w:hAnsi="Amiri"/>
          <w:color w:val="111111"/>
          <w:sz w:val="28"/>
          <w:szCs w:val="28"/>
          <w:rtl w:val="true"/>
          <w:lang w:bidi="ar-SA"/>
        </w:rPr>
        <w:t xml:space="preserve">» </w:t>
      </w:r>
      <w:r>
        <w:rPr>
          <w:rStyle w:val="FootnoteAnchor"/>
          <w:rtl w:val="true"/>
        </w:rPr>
        <w:footnoteReference w:id="1540"/>
      </w:r>
      <w:r>
        <w:rPr>
          <w:rFonts w:eastAsia="Times New Roman" w:cs="Times New Roman" w:ascii="Times New Roman" w:hAnsi="Times New Roman"/>
          <w:color w:val="111111"/>
          <w:sz w:val="28"/>
          <w:szCs w:val="28"/>
          <w:rtl w:val="true"/>
          <w:lang w:val="en-US" w:bidi="en-US"/>
        </w:rPr>
        <w:t xml:space="preserve">. </w:t>
      </w:r>
      <w:bookmarkStart w:id="893" w:name="pg12669_113080"/>
    </w:p>
    <w:p>
      <w:pPr>
        <w:pStyle w:val="BookText"/>
        <w:rPr/>
      </w:pPr>
      <w:bookmarkEnd w:id="893"/>
      <w:r>
        <w:rPr>
          <w:rFonts w:ascii="Amiri" w:hAnsi="Amiri" w:eastAsia="Amiri" w:cs="Amiri"/>
          <w:color w:val="111111"/>
          <w:sz w:val="28"/>
          <w:sz w:val="28"/>
          <w:szCs w:val="28"/>
          <w:rtl w:val="true"/>
          <w:lang w:bidi="ar-SA"/>
        </w:rPr>
        <w:t>و روى،عن سماعة،عن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المرأة ترى الطّهر و ترى الصّفرة أو الشّيء،فلا تدري أ طهرت أم لا؟قال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كان كذلك فلتقم فلتلصق بطنها إلى حائط و ترفع رجلها على حائط كما رأيت الكلب يصنع إذا أراد أن يبول ثمَّ تستدخل الكرسف فإذا كان به من الدّم مثل رأس الذّباب خرج،فان خرج دم فلم تطهر،و إن لم يخرج فقد طهرت</w:t>
      </w:r>
      <w:r>
        <w:rPr>
          <w:rFonts w:eastAsia="Amiri" w:cs="Amiri" w:ascii="Amiri" w:hAnsi="Amiri"/>
          <w:color w:val="111111"/>
          <w:sz w:val="28"/>
          <w:szCs w:val="28"/>
          <w:rtl w:val="true"/>
          <w:lang w:bidi="ar-SA"/>
        </w:rPr>
        <w:t xml:space="preserve">» </w:t>
      </w:r>
      <w:r>
        <w:rPr>
          <w:rStyle w:val="FootnoteAnchor"/>
          <w:rtl w:val="true"/>
        </w:rPr>
        <w:footnoteReference w:id="154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894" w:name="__RefHeading___Toc795851_222507752"/>
      <w:bookmarkStart w:id="895" w:name="_Toc365"/>
      <w:bookmarkEnd w:id="894"/>
      <w:r>
        <w:rPr>
          <w:rtl w:val="true"/>
        </w:rPr>
        <w:t>مسألة</w:t>
      </w:r>
      <w:r>
        <w:rPr>
          <w:rtl w:val="true"/>
        </w:rPr>
        <w:t>:</w:t>
      </w:r>
      <w:r>
        <w:rPr>
          <w:rtl w:val="true"/>
        </w:rPr>
        <w:t>أقلّ الطّهر بين الحيضتين عشرة أيّام</w:t>
      </w:r>
      <w:r>
        <w:rPr>
          <w:rtl w:val="true"/>
        </w:rPr>
        <w:t>.</w:t>
      </w:r>
      <w:bookmarkEnd w:id="895"/>
    </w:p>
    <w:p>
      <w:pPr>
        <w:pStyle w:val="BookText"/>
        <w:rPr/>
      </w:pPr>
      <w:r>
        <w:rPr>
          <w:rFonts w:ascii="Amiri" w:hAnsi="Amiri" w:eastAsia="Amiri" w:cs="Amiri"/>
          <w:color w:val="111111"/>
          <w:sz w:val="28"/>
          <w:sz w:val="28"/>
          <w:szCs w:val="28"/>
          <w:rtl w:val="true"/>
          <w:lang w:bidi="ar-SA"/>
        </w:rPr>
        <w:t>و هو مذهب أهل البيت عليهم السّلام</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حدّ لأكثره عند عامّة علمائنا،إلاّ من شذّ كأبي الصّلاح،فإنّه حدّه بثلاثة أشهر </w:t>
      </w:r>
      <w:r>
        <w:rPr>
          <w:rStyle w:val="FootnoteAnchor"/>
          <w:rtl w:val="true"/>
        </w:rPr>
        <w:footnoteReference w:id="154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مالك </w:t>
      </w:r>
      <w:r>
        <w:rPr>
          <w:rStyle w:val="FootnoteAnchor"/>
          <w:rtl w:val="true"/>
        </w:rPr>
        <w:footnoteReference w:id="1543"/>
      </w:r>
      <w:r>
        <w:rPr>
          <w:rFonts w:ascii="Amiri" w:hAnsi="Amiri" w:eastAsia="Amiri" w:cs="Amiri"/>
          <w:color w:val="111111"/>
          <w:sz w:val="28"/>
          <w:sz w:val="28"/>
          <w:szCs w:val="28"/>
          <w:rtl w:val="true"/>
          <w:lang w:bidi="ar-SA"/>
        </w:rPr>
        <w:t xml:space="preserve">،و الثّوريّ </w:t>
      </w:r>
      <w:r>
        <w:rPr>
          <w:rStyle w:val="FootnoteAnchor"/>
          <w:rtl w:val="true"/>
        </w:rPr>
        <w:footnoteReference w:id="1544"/>
      </w:r>
      <w:r>
        <w:rPr>
          <w:rFonts w:ascii="Amiri" w:hAnsi="Amiri" w:eastAsia="Amiri" w:cs="Amiri"/>
          <w:color w:val="111111"/>
          <w:sz w:val="28"/>
          <w:sz w:val="28"/>
          <w:szCs w:val="28"/>
          <w:rtl w:val="true"/>
          <w:lang w:bidi="ar-SA"/>
        </w:rPr>
        <w:t xml:space="preserve">،و الشّافعيّ </w:t>
      </w:r>
      <w:r>
        <w:rPr>
          <w:rStyle w:val="FootnoteAnchor"/>
          <w:rtl w:val="true"/>
        </w:rPr>
        <w:footnoteReference w:id="1545"/>
      </w:r>
      <w:r>
        <w:rPr>
          <w:rFonts w:ascii="Amiri" w:hAnsi="Amiri" w:eastAsia="Amiri" w:cs="Amiri"/>
          <w:color w:val="111111"/>
          <w:sz w:val="28"/>
          <w:sz w:val="28"/>
          <w:szCs w:val="28"/>
          <w:rtl w:val="true"/>
          <w:lang w:bidi="ar-SA"/>
        </w:rPr>
        <w:t>،و أبو حنيفة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أقلّ الطّهر خمسة عشر </w:t>
      </w:r>
      <w:r>
        <w:rPr>
          <w:rStyle w:val="FootnoteAnchor"/>
          <w:rtl w:val="true"/>
        </w:rPr>
        <w:footnoteReference w:id="154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أقلّه ثلاثة عشر يوما </w:t>
      </w:r>
      <w:r>
        <w:rPr>
          <w:rStyle w:val="FootnoteAnchor"/>
          <w:rtl w:val="true"/>
        </w:rPr>
        <w:footnoteReference w:id="154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أبو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أقلّ الطّهر مبنيّ على أكثر الحيض،فإنّ قلنا أكثره خمسة عشر فأقلّ الطّهر خمسة عشر،و إن قلنا أكثره سبعة عشر </w:t>
      </w:r>
    </w:p>
    <w:p>
      <w:pPr>
        <w:pStyle w:val="BookText"/>
        <w:rPr/>
      </w:pPr>
      <w:r>
        <w:rPr>
          <w:rFonts w:ascii="Amiri" w:hAnsi="Amiri" w:eastAsia="Amiri" w:cs="Amiri"/>
          <w:color w:val="111111"/>
          <w:sz w:val="28"/>
          <w:sz w:val="28"/>
          <w:szCs w:val="28"/>
          <w:rtl w:val="true"/>
          <w:lang w:bidi="ar-SA"/>
        </w:rPr>
        <w:t xml:space="preserve">فأقلّ الطّهر ثلاثة عشر </w:t>
      </w:r>
      <w:r>
        <w:rPr>
          <w:rStyle w:val="FootnoteAnchor"/>
          <w:rtl w:val="true"/>
        </w:rPr>
        <w:footnoteReference w:id="154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حكي عن يحيى بن أكثم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أقلّ الطّهر تسعة عشر يوما </w:t>
      </w:r>
      <w:r>
        <w:rPr>
          <w:rStyle w:val="FootnoteAnchor"/>
          <w:rtl w:val="true"/>
        </w:rPr>
        <w:footnoteReference w:id="1549"/>
      </w:r>
      <w:r>
        <w:rPr>
          <w:rFonts w:ascii="Amiri" w:hAnsi="Amiri" w:eastAsia="Amiri" w:cs="Amiri"/>
          <w:color w:val="111111"/>
          <w:sz w:val="28"/>
          <w:sz w:val="28"/>
          <w:szCs w:val="28"/>
          <w:rtl w:val="true"/>
          <w:lang w:bidi="ar-SA"/>
        </w:rPr>
        <w:t>،لأنّ العادة أنّ للمرأة في كلّ شهر حيضا و طهرا،و الشّهر لا ينقص عن تسعة و عشرين يوما،و أكثر الحيض عشرة أيّام،فيبقى أقلّ الطّهر تسعة عشر يوما</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الجمهور،عن عليّ عليه السّلام انّ امرأة جاءته و قد طلّقها زوجها، فزعمت أنّها حاضت في شهر ثلاث حيض طهرت عند كلّ قرء و صلّت،فقال عليّ عليه السّلام لشريح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شريح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جاءت ببيّنة من بطانة أهلها ممّن يرضى دينه و أمانته فشهدت بذلك و إلاّ فهي كاذبة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معناه بالرّوميّة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جيّد </w:t>
      </w:r>
      <w:r>
        <w:rPr>
          <w:rStyle w:val="FootnoteAnchor"/>
          <w:rtl w:val="true"/>
        </w:rPr>
        <w:footnoteReference w:id="1550"/>
      </w:r>
      <w:r>
        <w:rPr>
          <w:rFonts w:ascii="Amiri" w:hAnsi="Amiri" w:eastAsia="Amiri" w:cs="Amiri"/>
          <w:color w:val="111111"/>
          <w:sz w:val="28"/>
          <w:sz w:val="28"/>
          <w:szCs w:val="28"/>
          <w:rtl w:val="true"/>
          <w:lang w:bidi="ar-SA"/>
        </w:rPr>
        <w:t>،و هذا لا يقوله إلاّ توقيفا،و هو قول صحابيّ انتشر و لم يعلم خلافه،فكان إجماعا سكوتيّا،و لا يتقدّر ذلك على تقدير أن يكون أقلّ الطّهر خمسة عشر يوما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بيّنّا انّ أقلّ الحيض ثلاثة أيّام </w:t>
      </w:r>
      <w:r>
        <w:rPr>
          <w:rStyle w:val="FootnoteAnchor"/>
          <w:rtl w:val="true"/>
        </w:rPr>
        <w:footnoteReference w:id="1551"/>
      </w:r>
      <w:r>
        <w:rPr>
          <w:rFonts w:ascii="Amiri" w:hAnsi="Amiri" w:eastAsia="Amiri" w:cs="Amiri"/>
          <w:color w:val="111111"/>
          <w:sz w:val="28"/>
          <w:sz w:val="28"/>
          <w:szCs w:val="28"/>
          <w:rtl w:val="true"/>
          <w:lang w:bidi="ar-SA"/>
        </w:rPr>
        <w:t>،فلا يتقدّر ذلك أيضا إلاّ على تقدير أن يكون أقلّ الطّهر عشرة أيّام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رووه،عن النّبيّ صلّى اللّه عليه و آله في بيان نقصان دين المرأة في الحديث الطّويل تقعد إحداهنّ شطر دهرها لا تصوم و لا تصلّي </w:t>
      </w:r>
      <w:r>
        <w:rPr>
          <w:rStyle w:val="FootnoteAnchor"/>
          <w:rtl w:val="true"/>
        </w:rPr>
        <w:footnoteReference w:id="155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بيّنّا انّ أكثر الحيض عشرة أيّام فأقلّ الطّهر ما يساويه </w:t>
      </w:r>
      <w:r>
        <w:rPr>
          <w:rStyle w:val="FootnoteAnchor"/>
          <w:rtl w:val="true"/>
        </w:rPr>
        <w:footnoteReference w:id="15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طريق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 في الصّحيح،عن محمّد بن مسلم،عن أبي جعفر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يكون القرء في أقلّ من عشرة فما زاد أقلّ ما يكون عشرة من حين تطهر إلى أن ترى الدّم</w:t>
      </w:r>
      <w:r>
        <w:rPr>
          <w:rFonts w:eastAsia="Amiri" w:cs="Amiri" w:ascii="Amiri" w:hAnsi="Amiri"/>
          <w:color w:val="111111"/>
          <w:sz w:val="28"/>
          <w:szCs w:val="28"/>
          <w:rtl w:val="true"/>
          <w:lang w:bidi="ar-SA"/>
        </w:rPr>
        <w:t xml:space="preserve">» </w:t>
      </w:r>
      <w:r>
        <w:rPr>
          <w:rStyle w:val="FootnoteAnchor"/>
          <w:rtl w:val="true"/>
        </w:rPr>
        <w:footnoteReference w:id="15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روى،عن يونس،عن بعض رجاله،عن أبي عبد اللّه عليه السّلام،قال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أدنى الطّهر عشرة أيّام</w:t>
      </w:r>
      <w:r>
        <w:rPr>
          <w:rFonts w:eastAsia="Amiri" w:cs="Amiri" w:ascii="Amiri" w:hAnsi="Amiri"/>
          <w:color w:val="111111"/>
          <w:sz w:val="28"/>
          <w:szCs w:val="28"/>
          <w:rtl w:val="true"/>
          <w:lang w:bidi="ar-SA"/>
        </w:rPr>
        <w:t xml:space="preserve">» </w:t>
      </w:r>
      <w:r>
        <w:rPr>
          <w:rStyle w:val="FootnoteAnchor"/>
          <w:rtl w:val="true"/>
        </w:rPr>
        <w:footnoteReference w:id="15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رواه في الحسن،عن محمّد بن مسلم،عن أبي جعفر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رأت الدّم قبل عشرة أيّام فهو من الحيضة الاولى،و إن كان بعد العشرة فهو من الحيضة المستقبلة</w:t>
      </w:r>
      <w:r>
        <w:rPr>
          <w:rFonts w:eastAsia="Amiri" w:cs="Amiri" w:ascii="Amiri" w:hAnsi="Amiri"/>
          <w:color w:val="111111"/>
          <w:sz w:val="28"/>
          <w:szCs w:val="28"/>
          <w:rtl w:val="true"/>
          <w:lang w:bidi="ar-SA"/>
        </w:rPr>
        <w:t xml:space="preserve">» </w:t>
      </w:r>
      <w:r>
        <w:rPr>
          <w:rStyle w:val="FootnoteAnchor"/>
          <w:rtl w:val="true"/>
        </w:rPr>
        <w:footnoteReference w:id="1556"/>
      </w:r>
      <w:r>
        <w:rPr>
          <w:rFonts w:eastAsia="Times New Roman" w:cs="Times New Roman" w:ascii="Times New Roman" w:hAnsi="Times New Roman"/>
          <w:color w:val="111111"/>
          <w:sz w:val="28"/>
          <w:szCs w:val="28"/>
          <w:rtl w:val="true"/>
          <w:lang w:val="en-US" w:bidi="en-US"/>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رواه الشّيخ،عن إسماعيل بن أبي زياد،عن جعفر،عن أبيه عليه السّلام، انّ أمير المؤمنين عليه السّلام قال في امرأة ادّعت انّها حاضت في شهر ثلاث حيض،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كلفوا نسوة من بطانتها انّ حيضها كان فيما مضى على ما ادّعت فإن شهدن </w:t>
      </w:r>
      <w:bookmarkStart w:id="896" w:name="pg12669_113083"/>
    </w:p>
    <w:p>
      <w:pPr>
        <w:pStyle w:val="BookText"/>
        <w:rPr/>
      </w:pPr>
      <w:bookmarkEnd w:id="896"/>
      <w:r>
        <w:rPr>
          <w:rFonts w:ascii="Amiri" w:hAnsi="Amiri" w:eastAsia="Amiri" w:cs="Amiri"/>
          <w:color w:val="111111"/>
          <w:sz w:val="28"/>
          <w:sz w:val="28"/>
          <w:szCs w:val="28"/>
          <w:rtl w:val="true"/>
          <w:lang w:bidi="ar-SA"/>
        </w:rPr>
        <w:t>صدقت و إلاّ فهي كاذبة</w:t>
      </w:r>
      <w:r>
        <w:rPr>
          <w:rFonts w:eastAsia="Amiri" w:cs="Amiri" w:ascii="Amiri" w:hAnsi="Amiri"/>
          <w:color w:val="111111"/>
          <w:sz w:val="28"/>
          <w:szCs w:val="28"/>
          <w:rtl w:val="true"/>
          <w:lang w:bidi="ar-SA"/>
        </w:rPr>
        <w:t xml:space="preserve">» </w:t>
      </w:r>
      <w:r>
        <w:rPr>
          <w:rStyle w:val="FootnoteAnchor"/>
          <w:rtl w:val="true"/>
        </w:rPr>
        <w:footnoteReference w:id="15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احتجّ الجمهور بما رووه،عن عطاء بن يسار و إبراهيم النّخعيّ،انّهما 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أقلّ الطّهر خمسة عشر يوما </w:t>
      </w:r>
      <w:r>
        <w:rPr>
          <w:rStyle w:val="FootnoteAnchor"/>
          <w:rtl w:val="true"/>
        </w:rPr>
        <w:footnoteReference w:id="155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ذلك إلاّ عن توقيف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يجوز أن يكون إنّما صار إليه عن اجتهاد،فإنّ الشّهر عندهم ينقسم إلى الطّهر و الحيض،و قد أفتيا بأنّ أكثر الحيض خمسة عشر،فلزمهم </w:t>
      </w:r>
      <w:r>
        <w:rPr>
          <w:rStyle w:val="FootnoteAnchor"/>
          <w:rtl w:val="true"/>
        </w:rPr>
        <w:footnoteReference w:id="1559"/>
      </w:r>
      <w:r>
        <w:rPr>
          <w:rFonts w:ascii="Amiri" w:hAnsi="Amiri" w:eastAsia="Amiri" w:cs="Amiri"/>
          <w:color w:val="111111"/>
          <w:sz w:val="28"/>
          <w:sz w:val="28"/>
          <w:szCs w:val="28"/>
          <w:rtl w:val="true"/>
          <w:lang w:bidi="ar-SA"/>
        </w:rPr>
        <w:t xml:space="preserve">مساواة أقلّ الطّهر له،و نحن لمّا بيّنّا </w:t>
      </w:r>
      <w:r>
        <w:rPr>
          <w:rStyle w:val="FootnoteAnchor"/>
          <w:rtl w:val="true"/>
        </w:rPr>
        <w:footnoteReference w:id="1560"/>
      </w:r>
      <w:r>
        <w:rPr>
          <w:rFonts w:ascii="Amiri" w:hAnsi="Amiri" w:eastAsia="Amiri" w:cs="Amiri"/>
          <w:color w:val="111111"/>
          <w:sz w:val="28"/>
          <w:sz w:val="28"/>
          <w:szCs w:val="28"/>
          <w:rtl w:val="true"/>
          <w:lang w:bidi="ar-SA"/>
        </w:rPr>
        <w:t>كمّيّة أكثر الحيض بطل هذا التّقدير،على انّ قولهما معارض بقول عليّ عليه السّلام و هو الحجّة</w:t>
      </w:r>
      <w:r>
        <w:rPr>
          <w:rFonts w:eastAsia="Amiri" w:cs="Amiri" w:ascii="Amiri" w:hAnsi="Amiri"/>
          <w:color w:val="111111"/>
          <w:sz w:val="28"/>
          <w:szCs w:val="28"/>
          <w:rtl w:val="true"/>
          <w:lang w:bidi="ar-SA"/>
        </w:rPr>
        <w:t>.</w:t>
      </w:r>
    </w:p>
    <w:p>
      <w:pPr>
        <w:pStyle w:val="Heading6"/>
        <w:numPr>
          <w:ilvl w:val="5"/>
          <w:numId w:val="1"/>
        </w:numPr>
        <w:rPr/>
      </w:pPr>
      <w:bookmarkStart w:id="897" w:name="__RefHeading___Toc795853_222507752"/>
      <w:bookmarkStart w:id="898" w:name="_Toc366"/>
      <w:bookmarkEnd w:id="897"/>
      <w:r>
        <w:rPr>
          <w:rtl w:val="true"/>
        </w:rPr>
        <w:t>مسألة</w:t>
      </w:r>
      <w:r>
        <w:rPr>
          <w:rtl w:val="true"/>
        </w:rPr>
        <w:t>:</w:t>
      </w:r>
      <w:r>
        <w:rPr>
          <w:rtl w:val="true"/>
        </w:rPr>
        <w:t>ألوان الدّماء ستّة</w:t>
      </w:r>
      <w:r>
        <w:rPr>
          <w:rtl w:val="true"/>
        </w:rPr>
        <w:t>:</w:t>
      </w:r>
      <w:bookmarkEnd w:id="898"/>
    </w:p>
    <w:p>
      <w:pPr>
        <w:pStyle w:val="BookText"/>
        <w:rPr/>
      </w:pPr>
      <w:r>
        <w:rPr>
          <w:rFonts w:ascii="Amiri" w:hAnsi="Amiri" w:eastAsia="Amiri" w:cs="Amiri"/>
          <w:color w:val="111111"/>
          <w:sz w:val="28"/>
          <w:sz w:val="28"/>
          <w:szCs w:val="28"/>
          <w:rtl w:val="true"/>
          <w:lang w:bidi="ar-SA"/>
        </w:rPr>
        <w:t>السّواد الخالص،و البياض الخالص،و الحمرة، و الصّفرة،و الخضرة،و الكدرة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فالسّواد،دم حيض إجماعا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البياض،فليس بحيض إجماعا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أمّا الحمرة فقد روي،عن أبي حنيفة أنّها في أيّام الحيض حيض </w:t>
      </w:r>
      <w:r>
        <w:rPr>
          <w:rStyle w:val="FootnoteAnchor"/>
          <w:rtl w:val="true"/>
        </w:rPr>
        <w:footnoteReference w:id="1561"/>
      </w:r>
      <w:r>
        <w:rPr>
          <w:rFonts w:eastAsia="Times New Roman" w:cs="Times New Roman" w:ascii="Times New Roman" w:hAnsi="Times New Roman"/>
          <w:color w:val="111111"/>
          <w:sz w:val="28"/>
          <w:szCs w:val="28"/>
          <w:rtl w:val="true"/>
          <w:lang w:val="en-US" w:bidi="en-US"/>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مذهبنا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أمّا الصّفرة فكذلك على رأينا و رأي أبي </w:t>
      </w:r>
      <w:r>
        <w:rPr>
          <w:rStyle w:val="FootnoteAnchor"/>
          <w:rtl w:val="true"/>
        </w:rPr>
        <w:footnoteReference w:id="1562"/>
      </w:r>
      <w:r>
        <w:rPr>
          <w:rFonts w:ascii="Amiri" w:hAnsi="Amiri" w:eastAsia="Amiri" w:cs="Amiri"/>
          <w:color w:val="111111"/>
          <w:sz w:val="28"/>
          <w:sz w:val="28"/>
          <w:szCs w:val="28"/>
          <w:rtl w:val="true"/>
          <w:lang w:bidi="ar-SA"/>
        </w:rPr>
        <w:t>حنيفة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أبو يوسف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الصّفرة حيض،و الكدرة ليس بحيض إلاّ أن يتقدّمها دم </w:t>
      </w:r>
      <w:r>
        <w:rPr>
          <w:rStyle w:val="FootnoteAnchor"/>
          <w:rtl w:val="true"/>
        </w:rPr>
        <w:footnoteReference w:id="15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w:t>
      </w:r>
    </w:p>
    <w:p>
      <w:pPr>
        <w:pStyle w:val="BookText"/>
        <w:rPr/>
      </w:pPr>
      <w:r>
        <w:rPr>
          <w:rFonts w:ascii="Amiri" w:hAnsi="Amiri" w:eastAsia="Amiri" w:cs="Amiri"/>
          <w:color w:val="111111"/>
          <w:sz w:val="28"/>
          <w:sz w:val="28"/>
          <w:szCs w:val="28"/>
          <w:rtl w:val="true"/>
          <w:lang w:bidi="ar-SA"/>
        </w:rPr>
        <w:t xml:space="preserve">الصفرة و الكدرة ليستا حيضا </w:t>
      </w:r>
      <w:r>
        <w:rPr>
          <w:rStyle w:val="FootnoteAnchor"/>
          <w:rtl w:val="true"/>
        </w:rPr>
        <w:footnoteReference w:id="156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أبو بكر الإسكاف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كانت الصّفرة على لون القز فهي حيض و إلاّ فلا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آخرون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كانت الصّفرة أقرب إلى البياض فليس بحيض،و إن كانت أقرب إلى الحمرة فهي حيض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الكدرة،فعلى قول أبي حنيفة،و محمّد يكون حيضا في الأحوال كلّها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تقدّم أو تأخّر </w:t>
      </w:r>
      <w:r>
        <w:rPr>
          <w:rStyle w:val="FootnoteAnchor"/>
          <w:rtl w:val="true"/>
        </w:rPr>
        <w:footnoteReference w:id="156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أبو يوسف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خرج عقيب الدّم كان حيضا،و إن تقدّم لم يكن حيضا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الخضرة فالخلاف فيها كالكدرة</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تلخّص من هذا انّ الصّفرة و الكدرة في أيّام الحيض حيض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قول يحيى الأنصاريّ </w:t>
      </w:r>
      <w:r>
        <w:rPr>
          <w:rStyle w:val="FootnoteAnchor"/>
          <w:rtl w:val="true"/>
        </w:rPr>
        <w:footnoteReference w:id="1566"/>
      </w:r>
      <w:r>
        <w:rPr>
          <w:rFonts w:ascii="Amiri" w:hAnsi="Amiri" w:eastAsia="Amiri" w:cs="Amiri"/>
          <w:color w:val="111111"/>
          <w:sz w:val="28"/>
          <w:sz w:val="28"/>
          <w:szCs w:val="28"/>
          <w:rtl w:val="true"/>
          <w:lang w:bidi="ar-SA"/>
        </w:rPr>
        <w:t xml:space="preserve">،و ربيعة </w:t>
      </w:r>
      <w:r>
        <w:rPr>
          <w:rStyle w:val="FootnoteAnchor"/>
          <w:rtl w:val="true"/>
        </w:rPr>
        <w:footnoteReference w:id="1567"/>
      </w:r>
      <w:r>
        <w:rPr>
          <w:rFonts w:ascii="Amiri" w:hAnsi="Amiri" w:eastAsia="Amiri" w:cs="Amiri"/>
          <w:color w:val="111111"/>
          <w:sz w:val="28"/>
          <w:sz w:val="28"/>
          <w:szCs w:val="28"/>
          <w:rtl w:val="true"/>
          <w:lang w:bidi="ar-SA"/>
        </w:rPr>
        <w:t xml:space="preserve">،و مالك </w:t>
      </w:r>
      <w:r>
        <w:rPr>
          <w:rStyle w:val="FootnoteAnchor"/>
          <w:rtl w:val="true"/>
        </w:rPr>
        <w:footnoteReference w:id="1568"/>
      </w:r>
      <w:r>
        <w:rPr>
          <w:rFonts w:ascii="Amiri" w:hAnsi="Amiri" w:eastAsia="Amiri" w:cs="Amiri"/>
          <w:color w:val="111111"/>
          <w:sz w:val="28"/>
          <w:sz w:val="28"/>
          <w:szCs w:val="28"/>
          <w:rtl w:val="true"/>
          <w:lang w:bidi="ar-SA"/>
        </w:rPr>
        <w:t xml:space="preserve">،و الثّوريّ،و الأوزاعيّ </w:t>
      </w:r>
      <w:r>
        <w:rPr>
          <w:rStyle w:val="FootnoteAnchor"/>
          <w:rtl w:val="true"/>
        </w:rPr>
        <w:footnoteReference w:id="1569"/>
      </w:r>
      <w:r>
        <w:rPr>
          <w:rFonts w:ascii="Amiri" w:hAnsi="Amiri" w:eastAsia="Amiri" w:cs="Amiri"/>
          <w:color w:val="111111"/>
          <w:sz w:val="28"/>
          <w:sz w:val="28"/>
          <w:szCs w:val="28"/>
          <w:rtl w:val="true"/>
          <w:lang w:bidi="ar-SA"/>
        </w:rPr>
        <w:t>،و عبد الرّحمن بن مهديّ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Style w:val="FootnoteAnchor"/>
          <w:rtl w:val="true"/>
        </w:rPr>
        <w:footnoteReference w:id="1570"/>
      </w:r>
      <w:r>
        <w:rPr>
          <w:rFonts w:ascii="Amiri" w:hAnsi="Amiri" w:eastAsia="Amiri" w:cs="Amiri"/>
          <w:color w:val="111111"/>
          <w:sz w:val="28"/>
          <w:sz w:val="28"/>
          <w:szCs w:val="28"/>
          <w:rtl w:val="true"/>
          <w:lang w:bidi="ar-SA"/>
        </w:rPr>
        <w:t xml:space="preserve">،و الشّافعيّ </w:t>
      </w:r>
      <w:r>
        <w:rPr>
          <w:rStyle w:val="FootnoteAnchor"/>
          <w:rtl w:val="true"/>
        </w:rPr>
        <w:footnoteReference w:id="1571"/>
      </w:r>
      <w:r>
        <w:rPr>
          <w:rFonts w:ascii="IRNazanin" w:hAnsi="IRNazanin" w:eastAsia="IRNazanin"/>
          <w:color w:val="111111"/>
          <w:sz w:val="28"/>
          <w:sz w:val="28"/>
          <w:szCs w:val="28"/>
          <w:rtl w:val="true"/>
          <w:lang w:bidi="fa-IR"/>
        </w:rPr>
        <w:t xml:space="preserve">،و إسحاق </w:t>
      </w:r>
      <w:r>
        <w:rPr>
          <w:rStyle w:val="FootnoteAnchor"/>
          <w:rtl w:val="true"/>
        </w:rPr>
        <w:footnoteReference w:id="157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أبو يوسف،و أبو ثور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يكون </w:t>
      </w:r>
    </w:p>
    <w:p>
      <w:pPr>
        <w:pStyle w:val="BookText"/>
        <w:rPr/>
      </w:pPr>
      <w:r>
        <w:rPr>
          <w:rFonts w:ascii="Amiri" w:hAnsi="Amiri" w:eastAsia="Amiri" w:cs="Amiri"/>
          <w:color w:val="111111"/>
          <w:sz w:val="28"/>
          <w:sz w:val="28"/>
          <w:szCs w:val="28"/>
          <w:rtl w:val="true"/>
          <w:lang w:bidi="ar-SA"/>
        </w:rPr>
        <w:t xml:space="preserve">حيضا إلاّ أن يتقدّمها دم أسود </w:t>
      </w:r>
      <w:r>
        <w:rPr>
          <w:rStyle w:val="FootnoteAnchor"/>
          <w:rtl w:val="true"/>
        </w:rPr>
        <w:footnoteReference w:id="15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تعالى وَ يَسْئَلُونَكَ عَنِ الْمَحِيضِ قُلْ هُوَ أَذىً </w:t>
      </w:r>
      <w:r>
        <w:rPr>
          <w:rStyle w:val="FootnoteAnchor"/>
          <w:rtl w:val="true"/>
        </w:rPr>
        <w:footnoteReference w:id="1574"/>
      </w:r>
      <w:r>
        <w:rPr>
          <w:rFonts w:ascii="Amiri" w:hAnsi="Amiri" w:eastAsia="Amiri" w:cs="Amiri"/>
          <w:color w:val="111111"/>
          <w:sz w:val="28"/>
          <w:sz w:val="28"/>
          <w:szCs w:val="28"/>
          <w:rtl w:val="true"/>
          <w:lang w:bidi="ar-SA"/>
        </w:rPr>
        <w:t>و هو يتناول الصّفرة و الكدرة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حديث عائشة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تعجلن حتّى ترين القصّة البيضاء </w:t>
      </w:r>
      <w:r>
        <w:rPr>
          <w:rStyle w:val="FootnoteAnchor"/>
          <w:rtl w:val="true"/>
        </w:rPr>
        <w:footnoteReference w:id="15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طريق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الشّيخ،عن يونس،عن بعض رجاله،عن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ما رأت المرأة في أيّام حيضها من صفرة أو حمرة فهو من الحيض،و كلّ ما رأته بعد أيّام حيضها فليس من الحيض</w:t>
      </w:r>
      <w:r>
        <w:rPr>
          <w:rFonts w:eastAsia="Amiri" w:cs="Amiri" w:ascii="Amiri" w:hAnsi="Amiri"/>
          <w:color w:val="111111"/>
          <w:sz w:val="28"/>
          <w:szCs w:val="28"/>
          <w:rtl w:val="true"/>
          <w:lang w:bidi="ar-SA"/>
        </w:rPr>
        <w:t xml:space="preserve">» </w:t>
      </w:r>
      <w:r>
        <w:rPr>
          <w:rStyle w:val="FootnoteAnchor"/>
          <w:rtl w:val="true"/>
        </w:rPr>
        <w:footnoteReference w:id="15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في الصحيح،عن محمّد بن مسلم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المرأة ترى الصّفرة في أيّامها؟فقال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تصلّي حتى تنقضي أيّامها فإن رأت الصّفرة في غير أيّامها توضّأت و صلّت</w:t>
      </w:r>
      <w:r>
        <w:rPr>
          <w:rFonts w:eastAsia="Amiri" w:cs="Amiri" w:ascii="Amiri" w:hAnsi="Amiri"/>
          <w:color w:val="111111"/>
          <w:sz w:val="28"/>
          <w:szCs w:val="28"/>
          <w:rtl w:val="true"/>
          <w:lang w:bidi="ar-SA"/>
        </w:rPr>
        <w:t xml:space="preserve">» </w:t>
      </w:r>
      <w:r>
        <w:rPr>
          <w:rStyle w:val="FootnoteAnchor"/>
          <w:rtl w:val="true"/>
        </w:rPr>
        <w:footnoteReference w:id="15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في الحسن،عن أبي بصير،عن أبي عبد اللّه عليه السّلام في المرأة ترى الصّفرة؟قال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قبل الحيض بيومين فهو من الحيض،و إن كان بعد الحيض بيومين فليس منه</w:t>
      </w:r>
      <w:r>
        <w:rPr>
          <w:rFonts w:eastAsia="Amiri" w:cs="Amiri" w:ascii="Amiri" w:hAnsi="Amiri"/>
          <w:color w:val="111111"/>
          <w:sz w:val="28"/>
          <w:szCs w:val="28"/>
          <w:rtl w:val="true"/>
          <w:lang w:bidi="ar-SA"/>
        </w:rPr>
        <w:t xml:space="preserve">» </w:t>
      </w:r>
      <w:r>
        <w:rPr>
          <w:rStyle w:val="FootnoteAnchor"/>
          <w:rtl w:val="true"/>
        </w:rPr>
        <w:footnoteReference w:id="1578"/>
      </w:r>
      <w:r>
        <w:rPr>
          <w:rFonts w:eastAsia="Times New Roman" w:cs="Times New Roman" w:ascii="Times New Roman" w:hAnsi="Times New Roman"/>
          <w:color w:val="111111"/>
          <w:sz w:val="28"/>
          <w:szCs w:val="28"/>
          <w:rtl w:val="true"/>
          <w:lang w:val="en-US" w:bidi="en-US"/>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روى،عن عليّ بن أبي حمزة،قال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أبو عبد اللّه عليه السّلام و أنا حاضر عن المرأة ترى الصّفرة؟فقال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كان قبل الحيض فهو من الحيض،و ما كان بعد </w:t>
      </w:r>
    </w:p>
    <w:p>
      <w:pPr>
        <w:pStyle w:val="BookText"/>
        <w:rPr/>
      </w:pPr>
      <w:r>
        <w:rPr>
          <w:rFonts w:ascii="Amiri" w:hAnsi="Amiri" w:eastAsia="Amiri" w:cs="Amiri"/>
          <w:color w:val="111111"/>
          <w:sz w:val="28"/>
          <w:sz w:val="28"/>
          <w:szCs w:val="28"/>
          <w:rtl w:val="true"/>
          <w:lang w:bidi="ar-SA"/>
        </w:rPr>
        <w:t>الحيض فليس منه</w:t>
      </w:r>
      <w:r>
        <w:rPr>
          <w:rFonts w:eastAsia="Amiri" w:cs="Amiri" w:ascii="Amiri" w:hAnsi="Amiri"/>
          <w:color w:val="111111"/>
          <w:sz w:val="28"/>
          <w:szCs w:val="28"/>
          <w:rtl w:val="true"/>
          <w:lang w:bidi="ar-SA"/>
        </w:rPr>
        <w:t xml:space="preserve">» </w:t>
      </w:r>
      <w:r>
        <w:rPr>
          <w:rStyle w:val="FootnoteAnchor"/>
          <w:rtl w:val="true"/>
        </w:rPr>
        <w:footnoteReference w:id="1579"/>
      </w:r>
      <w:r>
        <w:rPr>
          <w:rFonts w:ascii="Amiri" w:hAnsi="Amiri" w:eastAsia="Amiri" w:cs="Amiri"/>
          <w:color w:val="111111"/>
          <w:sz w:val="28"/>
          <w:sz w:val="28"/>
          <w:szCs w:val="28"/>
          <w:rtl w:val="true"/>
          <w:lang w:bidi="ar-SA"/>
        </w:rPr>
        <w:t xml:space="preserve">و في طريقه عليّ بن أبي حمزة،و فيه ضعف </w:t>
      </w:r>
      <w:r>
        <w:rPr>
          <w:rStyle w:val="FootnoteAnchor"/>
          <w:rtl w:val="true"/>
        </w:rPr>
        <w:footnoteReference w:id="15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ابن يعقوب،في كتابه،عن إسماعيل الجعفيّ،عن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رأت المرأة الصّفرة قبل انقضاء أيّام عدّتها لم تصلّ و إن كانت صفرة بعد انقضاء أيّام قرئها صلّت</w:t>
      </w:r>
      <w:r>
        <w:rPr>
          <w:rFonts w:eastAsia="Amiri" w:cs="Amiri" w:ascii="Amiri" w:hAnsi="Amiri"/>
          <w:color w:val="111111"/>
          <w:sz w:val="28"/>
          <w:szCs w:val="28"/>
          <w:rtl w:val="true"/>
          <w:lang w:bidi="ar-SA"/>
        </w:rPr>
        <w:t xml:space="preserve">» </w:t>
      </w:r>
      <w:r>
        <w:rPr>
          <w:rStyle w:val="FootnoteAnchor"/>
          <w:rtl w:val="true"/>
        </w:rPr>
        <w:footnoteReference w:id="1581"/>
      </w:r>
      <w:r>
        <w:rPr>
          <w:rFonts w:ascii="Amiri" w:hAnsi="Amiri" w:eastAsia="Amiri" w:cs="Amiri"/>
          <w:color w:val="111111"/>
          <w:sz w:val="28"/>
          <w:sz w:val="28"/>
          <w:szCs w:val="28"/>
          <w:rtl w:val="true"/>
          <w:lang w:bidi="ar-SA"/>
        </w:rPr>
        <w:t>و في الطّريق عليّ بن محمّد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 ضعف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روى،عن معاوية بن حكيم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الصّفرة قبل الحيض بيومين من الحيض و بعد أيّام الحيض ليس من الحيض و هي في أيّام الحيض حيض</w:t>
      </w:r>
      <w:r>
        <w:rPr>
          <w:rFonts w:eastAsia="Amiri" w:cs="Amiri" w:ascii="Amiri" w:hAnsi="Amiri"/>
          <w:color w:val="111111"/>
          <w:sz w:val="28"/>
          <w:szCs w:val="28"/>
          <w:rtl w:val="true"/>
          <w:lang w:bidi="ar-SA"/>
        </w:rPr>
        <w:t xml:space="preserve">» </w:t>
      </w:r>
      <w:r>
        <w:rPr>
          <w:rStyle w:val="FootnoteAnchor"/>
          <w:rtl w:val="true"/>
        </w:rPr>
        <w:footnoteReference w:id="15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ابن يعقوب،عن داود مولى أبي المعزى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عمّن أخبره،عن أبي عبد اللّه عليه السّلام،قلت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المرأة يكون حيضها سبعة أيّام أو ثمانية أيّام،حيضها دائم مستقيم،ثمَّ تحيض ثلاثة أيّام ثمَّ ينقطع عنها الدّم فترى البياض لا صفرة و لا دما؟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تغتسل و تصلّي و تصوم</w:t>
      </w:r>
      <w:r>
        <w:rPr>
          <w:rFonts w:eastAsia="Amiri" w:cs="Amiri" w:ascii="Amiri" w:hAnsi="Amiri"/>
          <w:color w:val="111111"/>
          <w:sz w:val="28"/>
          <w:szCs w:val="28"/>
          <w:rtl w:val="true"/>
          <w:lang w:bidi="ar-SA"/>
        </w:rPr>
        <w:t xml:space="preserve">» </w:t>
      </w:r>
      <w:r>
        <w:rPr>
          <w:rStyle w:val="FootnoteAnchor"/>
          <w:rtl w:val="true"/>
        </w:rPr>
        <w:footnoteReference w:id="1583"/>
      </w:r>
      <w:r>
        <w:rPr>
          <w:rFonts w:eastAsia="Times New Roman" w:cs="Times New Roman" w:ascii="Times New Roman" w:hAnsi="Times New Roman"/>
          <w:color w:val="111111"/>
          <w:sz w:val="28"/>
          <w:szCs w:val="28"/>
          <w:rtl w:val="true"/>
          <w:lang w:val="en-US" w:bidi="en-US"/>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احتجّ المخالف </w:t>
      </w:r>
      <w:r>
        <w:rPr>
          <w:rStyle w:val="FootnoteAnchor"/>
          <w:rtl w:val="true"/>
        </w:rPr>
        <w:footnoteReference w:id="1584"/>
      </w:r>
      <w:r>
        <w:rPr>
          <w:rFonts w:ascii="Amiri" w:hAnsi="Amiri" w:eastAsia="Amiri" w:cs="Amiri"/>
          <w:color w:val="111111"/>
          <w:sz w:val="28"/>
          <w:sz w:val="28"/>
          <w:szCs w:val="28"/>
          <w:rtl w:val="true"/>
          <w:lang w:bidi="ar-SA"/>
        </w:rPr>
        <w:t>بحديث أمّ عطية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كنّا لا نعتدّ بالصّفرة و الكدرة </w:t>
      </w:r>
      <w:bookmarkStart w:id="899" w:name="pg12669_113087"/>
    </w:p>
    <w:p>
      <w:pPr>
        <w:pStyle w:val="BookText"/>
        <w:rPr/>
      </w:pPr>
      <w:bookmarkEnd w:id="899"/>
      <w:r>
        <w:rPr>
          <w:rFonts w:ascii="Amiri" w:hAnsi="Amiri" w:eastAsia="Amiri" w:cs="Amiri"/>
          <w:color w:val="111111"/>
          <w:sz w:val="28"/>
          <w:sz w:val="28"/>
          <w:szCs w:val="28"/>
          <w:rtl w:val="true"/>
          <w:lang w:bidi="ar-SA"/>
        </w:rPr>
        <w:t xml:space="preserve">بعد الغسل شيئا </w:t>
      </w:r>
      <w:r>
        <w:rPr>
          <w:rStyle w:val="FootnoteAnchor"/>
          <w:rtl w:val="true"/>
        </w:rPr>
        <w:footnoteReference w:id="15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إنّما يتناول ما بعد الطّهر و الاغتسال،و نحن نقول به</w:t>
      </w:r>
      <w:r>
        <w:rPr>
          <w:rFonts w:eastAsia="Amiri" w:cs="Amiri" w:ascii="Amiri" w:hAnsi="Amiri"/>
          <w:color w:val="111111"/>
          <w:sz w:val="28"/>
          <w:szCs w:val="28"/>
          <w:rtl w:val="true"/>
          <w:lang w:bidi="ar-SA"/>
        </w:rPr>
        <w:t>.</w:t>
      </w:r>
    </w:p>
    <w:p>
      <w:pPr>
        <w:pStyle w:val="Heading6"/>
        <w:numPr>
          <w:ilvl w:val="5"/>
          <w:numId w:val="1"/>
        </w:numPr>
        <w:rPr/>
      </w:pPr>
      <w:bookmarkStart w:id="900" w:name="__RefHeading___Toc795855_222507752"/>
      <w:bookmarkStart w:id="901" w:name="_Toc367"/>
      <w:bookmarkEnd w:id="900"/>
      <w:r>
        <w:rPr>
          <w:rtl w:val="true"/>
        </w:rPr>
        <w:t>مسألة</w:t>
      </w:r>
      <w:r>
        <w:rPr>
          <w:rtl w:val="true"/>
        </w:rPr>
        <w:t>:</w:t>
      </w:r>
      <w:r>
        <w:rPr>
          <w:rtl w:val="true"/>
        </w:rPr>
        <w:t>قد ذكرنا انّ طرف القلّة حدّه الثّلاثة،</w:t>
      </w:r>
      <w:bookmarkEnd w:id="901"/>
    </w:p>
    <w:p>
      <w:pPr>
        <w:pStyle w:val="BookText"/>
        <w:rPr/>
      </w:pPr>
      <w:r>
        <w:rPr>
          <w:rFonts w:ascii="Amiri" w:hAnsi="Amiri" w:eastAsia="Amiri" w:cs="Amiri"/>
          <w:color w:val="111111"/>
          <w:sz w:val="28"/>
          <w:sz w:val="28"/>
          <w:szCs w:val="28"/>
          <w:rtl w:val="true"/>
          <w:lang w:bidi="ar-SA"/>
        </w:rPr>
        <w:t xml:space="preserve">و حدّ الكثرة العشرة،فما زاد على العشرة فليس بحيض،كما انّ ما نقص عن الثّلاثة غير حيض </w:t>
      </w:r>
      <w:r>
        <w:rPr>
          <w:rStyle w:val="FootnoteAnchor"/>
          <w:rtl w:val="true"/>
        </w:rPr>
        <w:footnoteReference w:id="15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اعلم انّ المرأة إمّا أن تكون ذات عادة أو مبتدئة،و ذات العادة إمّا أن تكون مستقيمة أو مضطربة،و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فهي إمّا ذات تمييز أو لا؟فالأقسام الأول 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الجامعة لوصفي العادة و التّمييز،و الفاقدة لهما،و ذات العادة الخالية عن التّمييز، و بالعكس</w:t>
      </w:r>
      <w:r>
        <w:rPr>
          <w:rFonts w:eastAsia="Amiri" w:cs="Amiri" w:ascii="Amiri" w:hAnsi="Amiri"/>
          <w:color w:val="111111"/>
          <w:sz w:val="28"/>
          <w:szCs w:val="28"/>
          <w:rtl w:val="true"/>
          <w:lang w:bidi="ar-SA"/>
        </w:rPr>
        <w:t>.</w:t>
      </w:r>
    </w:p>
    <w:p>
      <w:pPr>
        <w:pStyle w:val="Heading6"/>
        <w:numPr>
          <w:ilvl w:val="5"/>
          <w:numId w:val="1"/>
        </w:numPr>
        <w:rPr/>
      </w:pPr>
      <w:bookmarkStart w:id="902" w:name="__RefHeading___Toc795857_222507752"/>
      <w:bookmarkStart w:id="903" w:name="_Toc368"/>
      <w:bookmarkEnd w:id="902"/>
      <w:r>
        <w:rPr>
          <w:rtl w:val="true"/>
        </w:rPr>
        <w:t>الأوّل</w:t>
      </w:r>
      <w:r>
        <w:rPr>
          <w:rtl w:val="true"/>
        </w:rPr>
        <w:t>:</w:t>
      </w:r>
      <w:r>
        <w:rPr>
          <w:rtl w:val="true"/>
        </w:rPr>
        <w:t>إن اتّحد زمانا العادة و التّمييز فلا بحث فيه</w:t>
      </w:r>
      <w:bookmarkEnd w:id="903"/>
    </w:p>
    <w:p>
      <w:pPr>
        <w:pStyle w:val="BookText"/>
        <w:rPr/>
      </w:pPr>
      <w:r>
        <w:rPr>
          <w:rFonts w:ascii="Amiri" w:hAnsi="Amiri" w:eastAsia="Amiri" w:cs="Amiri"/>
          <w:color w:val="111111"/>
          <w:sz w:val="28"/>
          <w:sz w:val="28"/>
          <w:szCs w:val="28"/>
          <w:rtl w:val="true"/>
          <w:lang w:bidi="ar-SA"/>
        </w:rPr>
        <w:t>إذ قد اتّفقت العادة و التّمييز على الدّلالة فيعمل بهما،و لا نعرف فيه مخالفا من أهل القبلة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اختلف الزّمان،مثل ان رأت في أيّام العادة صفرة و ما قبلها أو ما بعدها أسود،فإن لم يتجاوز المجموع العشرة فالجميع حيض،و إن تجاوز،قال الشّيخ في المبسوط و الجمل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ترجع إلى العادة </w:t>
      </w:r>
      <w:r>
        <w:rPr>
          <w:rStyle w:val="FootnoteAnchor"/>
          <w:rtl w:val="true"/>
        </w:rPr>
        <w:footnoteReference w:id="1587"/>
      </w:r>
      <w:r>
        <w:rPr>
          <w:rFonts w:eastAsia="Times New Roman" w:cs="Times New Roman" w:ascii="Times New Roman" w:hAnsi="Times New Roman"/>
          <w:color w:val="111111"/>
          <w:sz w:val="28"/>
          <w:szCs w:val="28"/>
          <w:rtl w:val="true"/>
          <w:lang w:val="en-US" w:bidi="en-US"/>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اختاره السّيّد المرتضى،و المفيد </w:t>
      </w:r>
      <w:r>
        <w:rPr>
          <w:rStyle w:val="FootnoteAnchor"/>
          <w:rtl w:val="true"/>
        </w:rPr>
        <w:footnoteReference w:id="1588"/>
      </w:r>
      <w:r>
        <w:rPr>
          <w:rFonts w:ascii="IRNazanin" w:hAnsi="IRNazanin" w:eastAsia="IRNazanin"/>
          <w:color w:val="111111"/>
          <w:sz w:val="28"/>
          <w:sz w:val="28"/>
          <w:szCs w:val="28"/>
          <w:rtl w:val="true"/>
          <w:lang w:bidi="fa-IR"/>
        </w:rPr>
        <w:t xml:space="preserve">،و أتباعهم </w:t>
      </w:r>
      <w:r>
        <w:rPr>
          <w:rStyle w:val="FootnoteAnchor"/>
          <w:rtl w:val="true"/>
        </w:rPr>
        <w:footnoteReference w:id="1589"/>
      </w:r>
      <w:r>
        <w:rPr>
          <w:rFonts w:ascii="Amiri" w:hAnsi="Amiri" w:eastAsia="Amiri" w:cs="Amiri"/>
          <w:color w:val="111111"/>
          <w:sz w:val="28"/>
          <w:sz w:val="28"/>
          <w:szCs w:val="28"/>
          <w:rtl w:val="true"/>
          <w:lang w:bidi="ar-SA"/>
        </w:rPr>
        <w:t xml:space="preserve">،و هو إحدى الرّوايتين عن أحمد </w:t>
      </w:r>
      <w:r>
        <w:rPr>
          <w:rStyle w:val="FootnoteAnchor"/>
          <w:rtl w:val="true"/>
        </w:rPr>
        <w:footnoteReference w:id="1590"/>
      </w:r>
      <w:r>
        <w:rPr>
          <w:rFonts w:ascii="Amiri" w:hAnsi="Amiri" w:eastAsia="Amiri" w:cs="Amiri"/>
          <w:color w:val="111111"/>
          <w:sz w:val="28"/>
          <w:sz w:val="28"/>
          <w:szCs w:val="28"/>
          <w:rtl w:val="true"/>
          <w:lang w:bidi="ar-SA"/>
        </w:rPr>
        <w:t xml:space="preserve">، و به قال أبو حنيفة </w:t>
      </w:r>
      <w:r>
        <w:rPr>
          <w:rStyle w:val="FootnoteAnchor"/>
          <w:rtl w:val="true"/>
        </w:rPr>
        <w:footnoteReference w:id="1591"/>
      </w:r>
      <w:r>
        <w:rPr>
          <w:rFonts w:ascii="Amiri" w:hAnsi="Amiri" w:eastAsia="Amiri" w:cs="Amiri"/>
          <w:color w:val="111111"/>
          <w:sz w:val="28"/>
          <w:sz w:val="28"/>
          <w:szCs w:val="28"/>
          <w:rtl w:val="true"/>
          <w:lang w:bidi="ar-SA"/>
        </w:rPr>
        <w:t xml:space="preserve">،و الثّوريّ </w:t>
      </w:r>
      <w:r>
        <w:rPr>
          <w:rStyle w:val="FootnoteAnchor"/>
          <w:rtl w:val="true"/>
        </w:rPr>
        <w:footnoteReference w:id="1592"/>
      </w:r>
      <w:r>
        <w:rPr>
          <w:rFonts w:ascii="Amiri" w:hAnsi="Amiri" w:eastAsia="Amiri" w:cs="Amiri"/>
          <w:color w:val="111111"/>
          <w:sz w:val="28"/>
          <w:sz w:val="28"/>
          <w:szCs w:val="28"/>
          <w:rtl w:val="true"/>
          <w:lang w:bidi="ar-SA"/>
        </w:rPr>
        <w:t xml:space="preserve">،و أبو عليّ بن خيران من الشّافعيّة </w:t>
      </w:r>
      <w:r>
        <w:rPr>
          <w:rStyle w:val="FootnoteAnchor"/>
          <w:rtl w:val="true"/>
        </w:rPr>
        <w:footnoteReference w:id="1593"/>
      </w:r>
      <w:r>
        <w:rPr>
          <w:rFonts w:ascii="Amiri" w:hAnsi="Amiri" w:eastAsia="Amiri" w:cs="Amiri"/>
          <w:color w:val="111111"/>
          <w:sz w:val="28"/>
          <w:sz w:val="28"/>
          <w:szCs w:val="28"/>
          <w:rtl w:val="true"/>
          <w:lang w:bidi="ar-SA"/>
        </w:rPr>
        <w:t xml:space="preserve">،و أبو سعيد </w:t>
      </w:r>
    </w:p>
    <w:p>
      <w:pPr>
        <w:pStyle w:val="BookText"/>
        <w:rPr/>
      </w:pPr>
      <w:r>
        <w:rPr>
          <w:rFonts w:ascii="Amiri" w:hAnsi="Amiri" w:eastAsia="Amiri" w:cs="Amiri"/>
          <w:color w:val="111111"/>
          <w:sz w:val="28"/>
          <w:sz w:val="28"/>
          <w:szCs w:val="28"/>
          <w:rtl w:val="true"/>
          <w:lang w:bidi="ar-SA"/>
        </w:rPr>
        <w:t>الإصطخريّ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منهم </w:t>
      </w:r>
      <w:r>
        <w:rPr>
          <w:rStyle w:val="FootnoteAnchor"/>
          <w:rtl w:val="true"/>
        </w:rPr>
        <w:footnoteReference w:id="1594"/>
      </w:r>
      <w:r>
        <w:rPr>
          <w:rFonts w:ascii="Amiri" w:hAnsi="Amiri" w:eastAsia="Amiri" w:cs="Amiri"/>
          <w:color w:val="111111"/>
          <w:sz w:val="28"/>
          <w:sz w:val="28"/>
          <w:szCs w:val="28"/>
          <w:rtl w:val="true"/>
          <w:lang w:bidi="ar-SA"/>
        </w:rPr>
        <w:t>،و هو الصّحيح عندي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في النّهاية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ترجع إلى التّمييز </w:t>
      </w:r>
      <w:r>
        <w:rPr>
          <w:rStyle w:val="FootnoteAnchor"/>
          <w:rtl w:val="true"/>
        </w:rPr>
        <w:footnoteReference w:id="159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ظاهر مذهب الشّافعيّ </w:t>
      </w:r>
      <w:r>
        <w:rPr>
          <w:rStyle w:val="FootnoteAnchor"/>
          <w:rtl w:val="true"/>
        </w:rPr>
        <w:footnoteReference w:id="1596"/>
      </w:r>
      <w:r>
        <w:rPr>
          <w:rFonts w:ascii="Amiri" w:hAnsi="Amiri" w:eastAsia="Amiri" w:cs="Amiri"/>
          <w:color w:val="111111"/>
          <w:sz w:val="28"/>
          <w:sz w:val="28"/>
          <w:szCs w:val="28"/>
          <w:rtl w:val="true"/>
          <w:lang w:bidi="ar-SA"/>
        </w:rPr>
        <w:t xml:space="preserve">،و الرّواية الأخرى عن أحمد </w:t>
      </w:r>
      <w:r>
        <w:rPr>
          <w:rStyle w:val="FootnoteAnchor"/>
          <w:rtl w:val="true"/>
        </w:rPr>
        <w:footnoteReference w:id="1597"/>
      </w:r>
      <w:r>
        <w:rPr>
          <w:rFonts w:ascii="Amiri" w:hAnsi="Amiri" w:eastAsia="Amiri" w:cs="Amiri"/>
          <w:color w:val="111111"/>
          <w:sz w:val="28"/>
          <w:sz w:val="28"/>
          <w:szCs w:val="28"/>
          <w:rtl w:val="true"/>
          <w:lang w:bidi="ar-SA"/>
        </w:rPr>
        <w:t xml:space="preserve">،و به قال من الشّافعيّة أبو العبّاس،و أبو إسحاق </w:t>
      </w:r>
      <w:r>
        <w:rPr>
          <w:rStyle w:val="FootnoteAnchor"/>
          <w:rtl w:val="true"/>
        </w:rPr>
        <w:footnoteReference w:id="1598"/>
      </w:r>
      <w:r>
        <w:rPr>
          <w:rFonts w:ascii="Amiri" w:hAnsi="Amiri" w:eastAsia="Amiri" w:cs="Amiri"/>
          <w:color w:val="111111"/>
          <w:sz w:val="28"/>
          <w:sz w:val="28"/>
          <w:szCs w:val="28"/>
          <w:rtl w:val="true"/>
          <w:lang w:bidi="ar-SA"/>
        </w:rPr>
        <w:t xml:space="preserve">،و به قال الأوزاعيّ،و مالك </w:t>
      </w:r>
      <w:r>
        <w:rPr>
          <w:rStyle w:val="FootnoteAnchor"/>
          <w:rtl w:val="true"/>
        </w:rPr>
        <w:footnoteReference w:id="15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الجمهور انّ النّبي صلّى اللّه عليه و آله ردّ أمّ حبيبة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Style w:val="FootnoteAnchor"/>
          <w:rtl w:val="true"/>
        </w:rPr>
        <w:footnoteReference w:id="1600"/>
      </w:r>
      <w:r>
        <w:rPr>
          <w:rFonts w:ascii="Amiri" w:hAnsi="Amiri" w:eastAsia="Amiri" w:cs="Amiri"/>
          <w:color w:val="111111"/>
          <w:sz w:val="28"/>
          <w:sz w:val="28"/>
          <w:szCs w:val="28"/>
          <w:rtl w:val="true"/>
          <w:lang w:bidi="ar-SA"/>
        </w:rPr>
        <w:t xml:space="preserve">و المرأة الّتي استفتت لها أمّ سلمة إلى العادة </w:t>
      </w:r>
      <w:r>
        <w:rPr>
          <w:rStyle w:val="FootnoteAnchor"/>
          <w:rtl w:val="true"/>
        </w:rPr>
        <w:footnoteReference w:id="1601"/>
      </w:r>
      <w:r>
        <w:rPr>
          <w:rFonts w:ascii="Amiri" w:hAnsi="Amiri" w:eastAsia="Amiri" w:cs="Amiri"/>
          <w:color w:val="111111"/>
          <w:sz w:val="28"/>
          <w:sz w:val="28"/>
          <w:szCs w:val="28"/>
          <w:rtl w:val="true"/>
          <w:lang w:bidi="ar-SA"/>
        </w:rPr>
        <w:t>و لم يستفصل و لم يفرّق بين كونها ذات تمييز أو غيرها</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طريق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 في الصّحيح،عن إسحاق بن جرير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الدّم يستمرّ بها الشّهر و الشّهرين و الثّلاثة كيف تصنع بالصّلاة؟قال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تجلس أيّام حيضها ثمَّ تغتسل لكلّ صلاتين</w:t>
      </w:r>
      <w:r>
        <w:rPr>
          <w:rFonts w:eastAsia="Amiri" w:cs="Amiri" w:ascii="Amiri" w:hAnsi="Amiri"/>
          <w:color w:val="111111"/>
          <w:sz w:val="28"/>
          <w:szCs w:val="28"/>
          <w:rtl w:val="true"/>
          <w:lang w:bidi="ar-SA"/>
        </w:rPr>
        <w:t xml:space="preserve">» </w:t>
      </w:r>
      <w:r>
        <w:rPr>
          <w:rStyle w:val="FootnoteAnchor"/>
          <w:rtl w:val="true"/>
        </w:rPr>
        <w:footnoteReference w:id="1602"/>
      </w:r>
      <w:r>
        <w:rPr>
          <w:rFonts w:ascii="Amiri" w:hAnsi="Amiri" w:eastAsia="Amiri" w:cs="Amiri"/>
          <w:color w:val="111111"/>
          <w:sz w:val="28"/>
          <w:sz w:val="28"/>
          <w:szCs w:val="28"/>
          <w:rtl w:val="true"/>
          <w:lang w:bidi="ar-SA"/>
        </w:rPr>
        <w:t>و لم يفرّق بين ذات التّمييز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روى،عن يونس،عن بعض رجاله،عن أبي عبد اللّه عليه السّلام،قال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كلّ ما رأت المرأة في أيّام حيضها من صفرة أو حمرة فهو من الحيض،و كلّ ما رأته بعد أيّام حيضها فليس من الحيض </w:t>
      </w:r>
      <w:r>
        <w:rPr>
          <w:rStyle w:val="FootnoteAnchor"/>
          <w:rtl w:val="true"/>
        </w:rPr>
        <w:footnoteReference w:id="16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روى،عن الحسين بن نعيم الصّحّاف،عن أبي عبد اللّه عليه السّلام،قال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رأت الحامل الدّم قبل الوقت الّذي كانت ترى فيه الدّم بقليل أو في الوقت من ذلك الشّهر فإنّه من الحيضة فلتمسك عن الصّلاة عدد أيّامها الّتي كانت تقعد في حيضها</w:t>
      </w:r>
      <w:r>
        <w:rPr>
          <w:rFonts w:eastAsia="Amiri" w:cs="Amiri" w:ascii="Amiri" w:hAnsi="Amiri"/>
          <w:color w:val="111111"/>
          <w:sz w:val="28"/>
          <w:szCs w:val="28"/>
          <w:rtl w:val="true"/>
          <w:lang w:bidi="ar-SA"/>
        </w:rPr>
        <w:t xml:space="preserve">» </w:t>
      </w:r>
      <w:r>
        <w:rPr>
          <w:rStyle w:val="FootnoteAnchor"/>
          <w:rtl w:val="true"/>
        </w:rPr>
        <w:footnoteReference w:id="1604"/>
      </w:r>
      <w:r>
        <w:rPr>
          <w:rFonts w:eastAsia="Times New Roman" w:cs="Times New Roman" w:ascii="Times New Roman" w:hAnsi="Times New Roman"/>
          <w:color w:val="111111"/>
          <w:sz w:val="28"/>
          <w:szCs w:val="28"/>
          <w:rtl w:val="true"/>
          <w:lang w:val="en-US" w:bidi="en-US"/>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روى،عن إسماعيل الجعفيّ،عن أبي جعفر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المستحاضة تقعد أيّام قرئها ثمَّ تحتاط بيوم أو يومين فإن هي رأت طهرا اغتسلت،و ان لم تر طهرا </w:t>
      </w:r>
    </w:p>
    <w:p>
      <w:pPr>
        <w:pStyle w:val="BookText"/>
        <w:rPr/>
      </w:pPr>
      <w:r>
        <w:rPr>
          <w:rFonts w:ascii="Amiri" w:hAnsi="Amiri" w:eastAsia="Amiri" w:cs="Amiri"/>
          <w:color w:val="111111"/>
          <w:sz w:val="28"/>
          <w:sz w:val="28"/>
          <w:szCs w:val="28"/>
          <w:rtl w:val="true"/>
          <w:lang w:bidi="ar-SA"/>
        </w:rPr>
        <w:t>اغتسلت و احتشت،و لا تزال تصلّي بذلك الغسل حتّى يظهر الدّم على الكرسف فإذا ظهر أعادت الغسل</w:t>
      </w:r>
      <w:r>
        <w:rPr>
          <w:rFonts w:eastAsia="Amiri" w:cs="Amiri" w:ascii="Amiri" w:hAnsi="Amiri"/>
          <w:color w:val="111111"/>
          <w:sz w:val="28"/>
          <w:szCs w:val="28"/>
          <w:rtl w:val="true"/>
          <w:lang w:bidi="ar-SA"/>
        </w:rPr>
        <w:t xml:space="preserve">» </w:t>
      </w:r>
      <w:r>
        <w:rPr>
          <w:rStyle w:val="FootnoteAnchor"/>
          <w:rtl w:val="true"/>
        </w:rPr>
        <w:footnoteReference w:id="16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في الصّحيح،عن محمّد بن عمرو بن سعيد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الحسن الرّضا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الطّامث كم حدّ جلوسها؟فقال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تنتظر عدّة ما كانت تحيض ثمَّ تستظهر بثلاثة أيّام ثمَّ هي مستحاضة</w:t>
      </w:r>
      <w:r>
        <w:rPr>
          <w:rFonts w:eastAsia="Amiri" w:cs="Amiri" w:ascii="Amiri" w:hAnsi="Amiri"/>
          <w:color w:val="111111"/>
          <w:sz w:val="28"/>
          <w:szCs w:val="28"/>
          <w:rtl w:val="true"/>
          <w:lang w:bidi="ar-SA"/>
        </w:rPr>
        <w:t xml:space="preserve">» </w:t>
      </w:r>
      <w:r>
        <w:rPr>
          <w:rStyle w:val="FootnoteAnchor"/>
          <w:rtl w:val="true"/>
        </w:rPr>
        <w:footnoteReference w:id="16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مثله رواه في الحسن </w:t>
      </w:r>
      <w:r>
        <w:rPr>
          <w:rStyle w:val="FootnoteAnchor"/>
          <w:rtl w:val="true"/>
        </w:rPr>
        <w:footnoteReference w:id="1607"/>
      </w:r>
      <w:r>
        <w:rPr>
          <w:rFonts w:eastAsia="Times New Roman" w:cs="Times New Roman" w:ascii="Times New Roman" w:hAnsi="Times New Roman"/>
          <w:color w:val="111111"/>
          <w:sz w:val="28"/>
          <w:szCs w:val="28"/>
          <w:rtl w:val="true"/>
          <w:lang w:val="en-US" w:bidi="en-US"/>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روى،عن يونس،عن غير واحد سألوا أبا عبد اللّه عليه السّلام عن الحيض و السنّة في وقته؟فقال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رسول اللّه صلّى اللّه عليه و آله سنّ في الحيض ثلاث سنن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الحديث 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فاطمة بنت أبي حبيش استحاضت فأتت أمّ سلمة فسألت رسول اللّه صلّى اللّه عليه و آله في ذلك،فقال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تدع الصّلاة قدر أقرائها و قدر حيضها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 بعد حديث طويل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هذه سنة الّتي تعرف أيّام أقرائها لا وقت لها إلاّ أيّامها قلّت أو كثرت</w:t>
      </w:r>
      <w:r>
        <w:rPr>
          <w:rFonts w:eastAsia="Amiri" w:cs="Amiri" w:ascii="Amiri" w:hAnsi="Amiri"/>
          <w:color w:val="111111"/>
          <w:sz w:val="28"/>
          <w:szCs w:val="28"/>
          <w:rtl w:val="true"/>
          <w:lang w:bidi="ar-SA"/>
        </w:rPr>
        <w:t xml:space="preserve">» </w:t>
      </w:r>
      <w:r>
        <w:rPr>
          <w:rStyle w:val="FootnoteAnchor"/>
          <w:rtl w:val="true"/>
        </w:rPr>
        <w:footnoteReference w:id="160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لأنّ العادة أقوى في الدّلالة لكونها لا تبطل دلالتها،و اللّون يبطل مع زيادته على أكثر الحيض و ما لا تبطل دلالته أقوى</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احتجّ المخالف </w:t>
      </w:r>
      <w:r>
        <w:rPr>
          <w:rStyle w:val="FootnoteAnchor"/>
          <w:rtl w:val="true"/>
        </w:rPr>
        <w:footnoteReference w:id="1609"/>
      </w:r>
      <w:r>
        <w:rPr>
          <w:rFonts w:ascii="Amiri" w:hAnsi="Amiri" w:eastAsia="Amiri" w:cs="Amiri"/>
          <w:color w:val="111111"/>
          <w:sz w:val="28"/>
          <w:sz w:val="28"/>
          <w:szCs w:val="28"/>
          <w:rtl w:val="true"/>
          <w:lang w:bidi="ar-SA"/>
        </w:rPr>
        <w:t>بما روته عائشة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جاءت فاطمة بنت أبي حبيش إلى رسول اللّه صلّى اللّه عليه و آله 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إنّي امرأة أستحاض فلا أطهر،أ فأدع الصّلاة؟فقال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ذلك عرق،فإذا كان الدّم دم الحيض فإنّه دم أسود يعرف فامسكي عن الصّلاة و إذا كان الآخر فتوضّئي فإنّما هو عرق</w:t>
      </w:r>
      <w:r>
        <w:rPr>
          <w:rFonts w:eastAsia="Amiri" w:cs="Amiri" w:ascii="Amiri" w:hAnsi="Amiri"/>
          <w:color w:val="111111"/>
          <w:sz w:val="28"/>
          <w:szCs w:val="28"/>
          <w:rtl w:val="true"/>
          <w:lang w:bidi="ar-SA"/>
        </w:rPr>
        <w:t xml:space="preserve">) </w:t>
      </w:r>
      <w:r>
        <w:rPr>
          <w:rStyle w:val="FootnoteAnchor"/>
          <w:rtl w:val="true"/>
        </w:rPr>
        <w:footnoteReference w:id="16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 ما رأت الدّم البحرانيّ فإنّها تدع الصّلاة </w:t>
      </w:r>
      <w:r>
        <w:rPr>
          <w:rStyle w:val="FootnoteAnchor"/>
          <w:rtl w:val="true"/>
        </w:rPr>
        <w:footnoteReference w:id="161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لأنّ صفة الدّم أمارة،و العادة زمان منقض،و لأنّه خارج يوجب الغسل،فيرجع إلى صفته عند الاشتباه كالمنيّ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احتجّ الشّيخ على مذهبه في النّهاية بما رواه في الحسن،عن حفص بن البختريّ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أبي عبد اللّه عليه السّلام امرأة سألته عن المرأة يستمرّ بها الدّم فلا تدري حيض هو أو غيره؟قال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دم الحيض حارّ عبيط أسود له دفع و حرارة،و دم الاستحاضة أصفر بارد فإذا كان للدّم حرارة و دفع و سواد فلتدع الصّلاة</w:t>
      </w:r>
      <w:r>
        <w:rPr>
          <w:rFonts w:eastAsia="Amiri" w:cs="Amiri" w:ascii="Amiri" w:hAnsi="Amiri"/>
          <w:color w:val="111111"/>
          <w:sz w:val="28"/>
          <w:szCs w:val="28"/>
          <w:rtl w:val="true"/>
          <w:lang w:bidi="ar-SA"/>
        </w:rPr>
        <w:t xml:space="preserve">» </w:t>
      </w:r>
      <w:r>
        <w:rPr>
          <w:rStyle w:val="FootnoteAnchor"/>
          <w:rtl w:val="true"/>
        </w:rPr>
        <w:footnoteReference w:id="1612"/>
      </w:r>
      <w:r>
        <w:rPr>
          <w:rFonts w:eastAsia="Times New Roman" w:cs="Times New Roman" w:ascii="Times New Roman" w:hAnsi="Times New Roman"/>
          <w:color w:val="111111"/>
          <w:sz w:val="28"/>
          <w:szCs w:val="28"/>
          <w:rtl w:val="true"/>
          <w:lang w:val="en-US" w:bidi="en-US"/>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الجواب عن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قد روي بغير هذه الصّورة و هو ردّها فيه إلى العادة </w:t>
      </w:r>
      <w:r>
        <w:rPr>
          <w:rStyle w:val="FootnoteAnchor"/>
          <w:rtl w:val="true"/>
        </w:rPr>
        <w:footnoteReference w:id="1613"/>
      </w:r>
      <w:r>
        <w:rPr>
          <w:rFonts w:ascii="IRNazanin" w:hAnsi="IRNazanin" w:eastAsia="IRNazanin"/>
          <w:color w:val="111111"/>
          <w:sz w:val="28"/>
          <w:sz w:val="28"/>
          <w:szCs w:val="28"/>
          <w:rtl w:val="true"/>
          <w:lang w:bidi="fa-IR"/>
        </w:rPr>
        <w:t xml:space="preserve">، </w:t>
      </w:r>
      <w:bookmarkStart w:id="904" w:name="pg12669_113092"/>
    </w:p>
    <w:p>
      <w:pPr>
        <w:pStyle w:val="BookText"/>
        <w:rPr/>
      </w:pPr>
      <w:bookmarkEnd w:id="904"/>
      <w:r>
        <w:rPr>
          <w:rFonts w:ascii="Amiri" w:hAnsi="Amiri" w:eastAsia="Amiri" w:cs="Amiri"/>
          <w:color w:val="111111"/>
          <w:sz w:val="28"/>
          <w:sz w:val="28"/>
          <w:szCs w:val="28"/>
          <w:rtl w:val="true"/>
          <w:lang w:bidi="ar-SA"/>
        </w:rPr>
        <w:t>فتعارضت الرّوايتان،فبقيت الأحاديث الباقية خالية عن المعارض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انّها قضيّة عين و حكاية حال لا عموم لها،فيحتمل انّها أخبرته أنّه لا عادة لها أو علم ذلك من غيرها أو من قرينة حالها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دلالة العادة أقوى،لما بيّنّاه </w:t>
      </w:r>
      <w:r>
        <w:rPr>
          <w:rStyle w:val="FootnoteAnchor"/>
          <w:rtl w:val="true"/>
        </w:rPr>
        <w:footnoteReference w:id="1614"/>
      </w:r>
      <w:r>
        <w:rPr>
          <w:rFonts w:ascii="Amiri" w:hAnsi="Amiri" w:eastAsia="Amiri" w:cs="Amiri"/>
          <w:color w:val="111111"/>
          <w:sz w:val="28"/>
          <w:sz w:val="28"/>
          <w:szCs w:val="28"/>
          <w:rtl w:val="true"/>
          <w:lang w:bidi="ar-SA"/>
        </w:rPr>
        <w:t>،فيجب الرّجوع إليها،و هو الجواب عن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باحتمال أن تكون المرأة لا عادة لها،إذا ليست الصّيغة للعموم،فلا ترجيح حينئذ،فلا معارضة</w:t>
      </w:r>
      <w:r>
        <w:rPr>
          <w:rFonts w:eastAsia="Amiri" w:cs="Amiri" w:ascii="Amiri" w:hAnsi="Amiri"/>
          <w:color w:val="111111"/>
          <w:sz w:val="28"/>
          <w:szCs w:val="28"/>
          <w:rtl w:val="true"/>
          <w:lang w:bidi="ar-SA"/>
        </w:rPr>
        <w:t>.</w:t>
      </w:r>
    </w:p>
    <w:p>
      <w:pPr>
        <w:pStyle w:val="Heading6"/>
        <w:numPr>
          <w:ilvl w:val="5"/>
          <w:numId w:val="1"/>
        </w:numPr>
        <w:rPr/>
      </w:pPr>
      <w:bookmarkStart w:id="905" w:name="__RefHeading___Toc795859_222507752"/>
      <w:bookmarkStart w:id="906" w:name="_Toc369"/>
      <w:bookmarkEnd w:id="905"/>
      <w:r>
        <w:rPr>
          <w:rtl w:val="true"/>
        </w:rPr>
        <w:t>القسم الثّاني</w:t>
      </w:r>
      <w:r>
        <w:rPr>
          <w:rtl w:val="true"/>
        </w:rPr>
        <w:t>:</w:t>
      </w:r>
      <w:r>
        <w:rPr>
          <w:rtl w:val="true"/>
        </w:rPr>
        <w:t>مقابله،</w:t>
      </w:r>
      <w:bookmarkEnd w:id="906"/>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ما تكون المرأة فيه فاقدة للوصفين،و هي المبتدئة إذا استمرّ بها الدّم على حال واحدة،فإن انقطع لعشرة فما دون،ممّا فوق الثّلاثة فهو حيض، و إن تجاوزت رجعت إلى عادة نسائها،كالأمّ و الأخت،و العمّة،و الخالة،فإن لم يكن لها نساء أو كنّ مختلفات،قال في المبسوط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ترجع إلى أقرانها من بلدها،فإن لم يكن لها أقران أو اختلفن رجعت إلى الرّوايات الآتية </w:t>
      </w:r>
      <w:r>
        <w:rPr>
          <w:rStyle w:val="FootnoteAnchor"/>
          <w:rtl w:val="true"/>
        </w:rPr>
        <w:footnoteReference w:id="161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في الخلاف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ترجع بعد فقد نسائها إلى الرّوايات </w:t>
      </w:r>
      <w:r>
        <w:rPr>
          <w:rStyle w:val="FootnoteAnchor"/>
          <w:rtl w:val="true"/>
        </w:rPr>
        <w:footnoteReference w:id="1616"/>
      </w:r>
      <w:r>
        <w:rPr>
          <w:rFonts w:ascii="Amiri" w:hAnsi="Amiri" w:eastAsia="Amiri" w:cs="Amiri"/>
          <w:color w:val="111111"/>
          <w:sz w:val="28"/>
          <w:sz w:val="28"/>
          <w:szCs w:val="28"/>
          <w:rtl w:val="true"/>
          <w:lang w:bidi="ar-SA"/>
        </w:rPr>
        <w:t>،و أسقط اعتبار الأقران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بمثله قال السّيّد المرتضى </w:t>
      </w:r>
      <w:r>
        <w:rPr>
          <w:rStyle w:val="FootnoteAnchor"/>
          <w:rtl w:val="true"/>
        </w:rPr>
        <w:footnoteReference w:id="1617"/>
      </w:r>
      <w:r>
        <w:rPr>
          <w:rFonts w:ascii="Amiri" w:hAnsi="Amiri" w:eastAsia="Amiri" w:cs="Amiri"/>
          <w:color w:val="111111"/>
          <w:sz w:val="28"/>
          <w:sz w:val="28"/>
          <w:szCs w:val="28"/>
          <w:rtl w:val="true"/>
          <w:lang w:bidi="ar-SA"/>
        </w:rPr>
        <w:t xml:space="preserve">و ابن بابويه،و بانتقالها إلى عادة نسائها </w:t>
      </w:r>
      <w:r>
        <w:rPr>
          <w:rStyle w:val="FootnoteAnchor"/>
          <w:rtl w:val="true"/>
        </w:rPr>
        <w:footnoteReference w:id="161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مالك في إحدى الرّوايات </w:t>
      </w:r>
      <w:r>
        <w:rPr>
          <w:rStyle w:val="FootnoteAnchor"/>
          <w:rtl w:val="true"/>
        </w:rPr>
        <w:footnoteReference w:id="1619"/>
      </w:r>
      <w:r>
        <w:rPr>
          <w:rFonts w:ascii="Amiri" w:hAnsi="Amiri" w:eastAsia="Amiri" w:cs="Amiri"/>
          <w:color w:val="111111"/>
          <w:sz w:val="28"/>
          <w:sz w:val="28"/>
          <w:szCs w:val="28"/>
          <w:rtl w:val="true"/>
          <w:lang w:bidi="ar-SA"/>
        </w:rPr>
        <w:t xml:space="preserve">،و الثّوريّ، و الأوزاعي،و إسحاق،و أحمد في إحدى الرّوايات تردّ إلى غالب عادة النّساء ستّ أو سبع </w:t>
      </w:r>
      <w:r>
        <w:rPr>
          <w:rStyle w:val="FootnoteAnchor"/>
          <w:rtl w:val="true"/>
        </w:rPr>
        <w:footnoteReference w:id="1620"/>
      </w:r>
      <w:r>
        <w:rPr>
          <w:rFonts w:ascii="Amiri" w:hAnsi="Amiri" w:eastAsia="Amiri" w:cs="Amiri"/>
          <w:color w:val="111111"/>
          <w:sz w:val="28"/>
          <w:sz w:val="28"/>
          <w:szCs w:val="28"/>
          <w:rtl w:val="true"/>
          <w:lang w:bidi="ar-SA"/>
        </w:rPr>
        <w:t xml:space="preserve">،و هو أحد قولي الشّافعيّ </w:t>
      </w:r>
      <w:r>
        <w:rPr>
          <w:rStyle w:val="FootnoteAnchor"/>
          <w:rtl w:val="true"/>
        </w:rPr>
        <w:footnoteReference w:id="1621"/>
      </w:r>
      <w:r>
        <w:rPr>
          <w:rFonts w:ascii="Amiri" w:hAnsi="Amiri" w:eastAsia="Amiri" w:cs="Amiri"/>
          <w:color w:val="111111"/>
          <w:sz w:val="28"/>
          <w:sz w:val="28"/>
          <w:szCs w:val="28"/>
          <w:rtl w:val="true"/>
          <w:lang w:bidi="ar-SA"/>
        </w:rPr>
        <w:t>،و في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تردّ إلى أقلّ الحيض و تقضي صلاة </w:t>
      </w:r>
    </w:p>
    <w:p>
      <w:pPr>
        <w:pStyle w:val="BookText"/>
        <w:rPr/>
      </w:pPr>
      <w:r>
        <w:rPr>
          <w:rFonts w:ascii="Amiri" w:hAnsi="Amiri" w:eastAsia="Amiri" w:cs="Amiri"/>
          <w:color w:val="111111"/>
          <w:sz w:val="28"/>
          <w:sz w:val="28"/>
          <w:szCs w:val="28"/>
          <w:rtl w:val="true"/>
          <w:lang w:bidi="ar-SA"/>
        </w:rPr>
        <w:t xml:space="preserve">الأكثر فإنّها تترك الصّلاة إلى أكثره </w:t>
      </w:r>
      <w:r>
        <w:rPr>
          <w:rStyle w:val="FootnoteAnchor"/>
          <w:rtl w:val="true"/>
        </w:rPr>
        <w:footnoteReference w:id="1622"/>
      </w:r>
      <w:r>
        <w:rPr>
          <w:rFonts w:ascii="Amiri" w:hAnsi="Amiri" w:eastAsia="Amiri" w:cs="Amiri"/>
          <w:color w:val="111111"/>
          <w:sz w:val="28"/>
          <w:sz w:val="28"/>
          <w:szCs w:val="28"/>
          <w:rtl w:val="true"/>
          <w:lang w:bidi="ar-SA"/>
        </w:rPr>
        <w:t xml:space="preserve">،و به قال أحمد في إحدى الرّوايات </w:t>
      </w:r>
      <w:r>
        <w:rPr>
          <w:rStyle w:val="FootnoteAnchor"/>
          <w:rtl w:val="true"/>
        </w:rPr>
        <w:footnoteReference w:id="1623"/>
      </w:r>
      <w:r>
        <w:rPr>
          <w:rFonts w:ascii="IRNazanin" w:hAnsi="IRNazanin" w:eastAsia="IRNazanin"/>
          <w:color w:val="111111"/>
          <w:sz w:val="28"/>
          <w:sz w:val="28"/>
          <w:szCs w:val="28"/>
          <w:rtl w:val="true"/>
          <w:lang w:bidi="fa-IR"/>
        </w:rPr>
        <w:t xml:space="preserve">،و أبو ثور،و زفر </w:t>
      </w:r>
      <w:r>
        <w:rPr>
          <w:rStyle w:val="FootnoteAnchor"/>
          <w:rtl w:val="true"/>
        </w:rPr>
        <w:footnoteReference w:id="162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مالك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تقعد عادة أقرانها و تستظهر بثلاثة أيّام </w:t>
      </w:r>
      <w:r>
        <w:rPr>
          <w:rStyle w:val="FootnoteAnchor"/>
          <w:rtl w:val="true"/>
        </w:rPr>
        <w:footnoteReference w:id="162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أبو حنيفة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تتحيّض أكثر الحيض </w:t>
      </w:r>
      <w:r>
        <w:rPr>
          <w:rStyle w:val="FootnoteAnchor"/>
          <w:rtl w:val="true"/>
        </w:rPr>
        <w:footnoteReference w:id="162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رواية عن مالك </w:t>
      </w:r>
      <w:r>
        <w:rPr>
          <w:rStyle w:val="FootnoteAnchor"/>
          <w:rtl w:val="true"/>
        </w:rPr>
        <w:footnoteReference w:id="1627"/>
      </w:r>
      <w:r>
        <w:rPr>
          <w:rFonts w:ascii="IRNazanin" w:hAnsi="IRNazanin" w:eastAsia="IRNazanin"/>
          <w:color w:val="111111"/>
          <w:sz w:val="28"/>
          <w:sz w:val="28"/>
          <w:szCs w:val="28"/>
          <w:rtl w:val="true"/>
          <w:lang w:bidi="fa-IR"/>
        </w:rPr>
        <w:t xml:space="preserve">،و عن أحمد </w:t>
      </w:r>
      <w:r>
        <w:rPr>
          <w:rStyle w:val="FootnoteAnchor"/>
          <w:rtl w:val="true"/>
        </w:rPr>
        <w:footnoteReference w:id="162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أبو يوسف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تأخذ في الصّوم و الصّلاة بالأقلّ،و في وطء الزّوج بالأكثر </w:t>
      </w:r>
      <w:r>
        <w:rPr>
          <w:rStyle w:val="FootnoteAnchor"/>
          <w:rtl w:val="true"/>
        </w:rPr>
        <w:footnoteReference w:id="16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الحيض دم جبلّة و خلقة،و في الغالب تساوى المرأة و الأقرباء فيه،فيعمل بالغالب،لأنّه كالأمارة فصار كالتّمييز</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الشّيخ،عن أحمد بن محمّد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رفعه،عن زرعة،عن سماعة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سألته عن جارية حاضت أوّل حيضها فدام دمها ثلاثة أشهر و هي لا تعرف أيّام أقرائها؟قال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أقراؤها مثل أقراء نسائها،و إن كنّ نساؤها مختلفات فأكثر جلوسها عشرة أيّام و أقلّه ثلاثة أيّام</w:t>
      </w:r>
      <w:r>
        <w:rPr>
          <w:rFonts w:eastAsia="Amiri" w:cs="Amiri" w:ascii="Amiri" w:hAnsi="Amiri"/>
          <w:color w:val="111111"/>
          <w:sz w:val="28"/>
          <w:szCs w:val="28"/>
          <w:rtl w:val="true"/>
          <w:lang w:bidi="ar-SA"/>
        </w:rPr>
        <w:t xml:space="preserve">» </w:t>
      </w:r>
      <w:r>
        <w:rPr>
          <w:rStyle w:val="FootnoteAnchor"/>
          <w:rtl w:val="true"/>
        </w:rPr>
        <w:footnoteReference w:id="163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هذه الرّواية مع قطع سندها ضعيفة،فإنّ زرعة و سماعة واقفيّان </w:t>
      </w:r>
      <w:r>
        <w:rPr>
          <w:rStyle w:val="FootnoteAnchor"/>
          <w:rtl w:val="true"/>
        </w:rPr>
        <w:footnoteReference w:id="16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سماعة لم يسندها عن إمام إلاّ انّ الأصحاب تلقّتها بالقبول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الشّيخ،عن محمّد بن مسلم،عن أبي جعفر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يجب للمستحاضة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Style w:val="FootnoteAnchor"/>
          <w:rtl w:val="true"/>
        </w:rPr>
        <w:footnoteReference w:id="1632"/>
      </w:r>
      <w:r>
        <w:rPr>
          <w:rFonts w:ascii="Amiri" w:hAnsi="Amiri" w:eastAsia="Amiri" w:cs="Amiri"/>
          <w:color w:val="111111"/>
          <w:sz w:val="28"/>
          <w:sz w:val="28"/>
          <w:szCs w:val="28"/>
          <w:rtl w:val="true"/>
          <w:lang w:bidi="ar-SA"/>
        </w:rPr>
        <w:t>تنظر بعض نسائها فتقتدي بأقرائها،ثمَّ تستظهر على ذلك بيوم</w:t>
      </w:r>
      <w:r>
        <w:rPr>
          <w:rFonts w:eastAsia="Amiri" w:cs="Amiri" w:ascii="Amiri" w:hAnsi="Amiri"/>
          <w:color w:val="111111"/>
          <w:sz w:val="28"/>
          <w:szCs w:val="28"/>
          <w:rtl w:val="true"/>
          <w:lang w:bidi="ar-SA"/>
        </w:rPr>
        <w:t xml:space="preserve">» </w:t>
      </w:r>
      <w:r>
        <w:rPr>
          <w:rStyle w:val="FootnoteAnchor"/>
          <w:rtl w:val="true"/>
        </w:rPr>
        <w:footnoteReference w:id="1633"/>
      </w:r>
      <w:r>
        <w:rPr>
          <w:rFonts w:ascii="Amiri" w:hAnsi="Amiri" w:eastAsia="Amiri" w:cs="Amiri"/>
          <w:color w:val="111111"/>
          <w:sz w:val="28"/>
          <w:sz w:val="28"/>
          <w:szCs w:val="28"/>
          <w:rtl w:val="true"/>
          <w:lang w:bidi="ar-SA"/>
        </w:rPr>
        <w:t xml:space="preserve">و في طريقها عليّ بن فضّال و هو فطحيّ </w:t>
      </w:r>
      <w:r>
        <w:rPr>
          <w:rStyle w:val="FootnoteAnchor"/>
          <w:rtl w:val="true"/>
        </w:rPr>
        <w:footnoteReference w:id="1634"/>
      </w:r>
      <w:r>
        <w:rPr>
          <w:rFonts w:ascii="Amiri" w:hAnsi="Amiri" w:eastAsia="Amiri" w:cs="Amiri"/>
          <w:color w:val="111111"/>
          <w:sz w:val="28"/>
          <w:sz w:val="28"/>
          <w:szCs w:val="28"/>
          <w:rtl w:val="true"/>
          <w:lang w:bidi="ar-SA"/>
        </w:rPr>
        <w:t>،إلاّ انّ الأصحاب شهدوا له بالثّقة و الصّدق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أمّا الرّجوع إلى الأقران فشيء ذكره الشّيخ في بعض كتبه </w:t>
      </w:r>
      <w:r>
        <w:rPr>
          <w:rStyle w:val="FootnoteAnchor"/>
          <w:rtl w:val="true"/>
        </w:rPr>
        <w:footnoteReference w:id="1635"/>
      </w:r>
      <w:r>
        <w:rPr>
          <w:rFonts w:ascii="Amiri" w:hAnsi="Amiri" w:eastAsia="Amiri" w:cs="Amiri"/>
          <w:color w:val="111111"/>
          <w:sz w:val="28"/>
          <w:sz w:val="28"/>
          <w:szCs w:val="28"/>
          <w:rtl w:val="true"/>
          <w:lang w:bidi="ar-SA"/>
        </w:rPr>
        <w:t>،و لم نقف فيه على أثر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يمكن أن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الغالب التحاق المرأة بأقرانها في الطّبع،و يدلّ عليه من حيث المفهوم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يونس،عن بعض رجاله،عن أبي عبد اللّه عليه السّلام،قال</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أدنى الطّهر عشرة أيّام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ذلك انّ المرأة أوّل ما تحيض ربّما كانت كثيرة الدّم،فيكون حيضها عشرة أيّام،فلا تزال كلّما كبرت نقصت حتّى ترجع إلى ثلاثة أيّام،فإذا </w:t>
      </w:r>
      <w:bookmarkStart w:id="907" w:name="pg12669_113095"/>
    </w:p>
    <w:p>
      <w:pPr>
        <w:pStyle w:val="BookText"/>
        <w:rPr/>
      </w:pPr>
      <w:bookmarkEnd w:id="907"/>
      <w:r>
        <w:rPr>
          <w:rFonts w:ascii="Amiri" w:hAnsi="Amiri" w:eastAsia="Amiri" w:cs="Amiri"/>
          <w:color w:val="111111"/>
          <w:sz w:val="28"/>
          <w:sz w:val="28"/>
          <w:szCs w:val="28"/>
          <w:rtl w:val="true"/>
          <w:lang w:bidi="ar-SA"/>
        </w:rPr>
        <w:t xml:space="preserve">رجعت إلى ثلاثة أيّام ارتفع حيضها،و لا يكون أقلّ من ثلاثة أيّام </w:t>
      </w:r>
      <w:r>
        <w:rPr>
          <w:rStyle w:val="FootnoteAnchor"/>
          <w:rtl w:val="true"/>
        </w:rPr>
        <w:footnoteReference w:id="1636"/>
      </w:r>
      <w:r>
        <w:rPr>
          <w:rFonts w:ascii="Amiri" w:hAnsi="Amiri" w:eastAsia="Amiri" w:cs="Amiri"/>
          <w:color w:val="111111"/>
          <w:sz w:val="28"/>
          <w:sz w:val="28"/>
          <w:szCs w:val="28"/>
          <w:rtl w:val="true"/>
          <w:lang w:bidi="ar-SA"/>
        </w:rPr>
        <w:t>،فقوله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كلّما كبرت نقصت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دالّ على توزيع الأيّام على الأعمار غالبا،و ذلك يؤيّد ما ذكره الشّيخ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السّيّد المرتضى و ابن بابويه فقد استدلاّ على الرّجوع إلى الرّوايات من دون توسّط الأقران بما رواه الشّيخ في الموثّق،عن عبد اللّه بن بكير،عن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المرأة إذا رأت الدّم في أوّل حيضها فاستمرّ الدّم،تركت الصّلاة عشرة أيّام،ثمَّ تصلّي عشرين يوما،فإن استمرّ بها الدّم بعد ذلك تركت الصّلاة ثلاثة أيّام و صلت سبعة و عشرين يوما</w:t>
      </w:r>
      <w:r>
        <w:rPr>
          <w:rFonts w:eastAsia="Amiri" w:cs="Amiri" w:ascii="Amiri" w:hAnsi="Amiri"/>
          <w:color w:val="111111"/>
          <w:sz w:val="28"/>
          <w:szCs w:val="28"/>
          <w:rtl w:val="true"/>
          <w:lang w:bidi="ar-SA"/>
        </w:rPr>
        <w:t xml:space="preserve">» </w:t>
      </w:r>
      <w:r>
        <w:rPr>
          <w:rStyle w:val="FootnoteAnchor"/>
          <w:rtl w:val="true"/>
        </w:rPr>
        <w:footnoteReference w:id="16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روى،عن يونس،عن غير واحد،عن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امرأة يقال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حمنة بنت جحش،أتت رسول اللّه صلّى اللّه عليه و آله 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استحضت حيضة شديدة؟فقال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احتشي كرسفا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أشدّ من ذلك،انّي أثجّه ثجّا؟فقال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تلجّمي و تحيّضي في كلّ شهر في علم اللّه تعالى ستّة أيّام أو سبعة أيّام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هذه سنّة الّتي استمرّ بها الدّم أوّل ما تراه</w:t>
      </w:r>
      <w:r>
        <w:rPr>
          <w:rFonts w:eastAsia="Amiri" w:cs="Amiri" w:ascii="Amiri" w:hAnsi="Amiri"/>
          <w:color w:val="111111"/>
          <w:sz w:val="28"/>
          <w:szCs w:val="28"/>
          <w:rtl w:val="true"/>
          <w:lang w:bidi="ar-SA"/>
        </w:rPr>
        <w:t xml:space="preserve">» </w:t>
      </w:r>
      <w:r>
        <w:rPr>
          <w:rStyle w:val="FootnoteAnchor"/>
          <w:rtl w:val="true"/>
        </w:rPr>
        <w:footnoteReference w:id="163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الأولى عندي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ذكره السّيّد المرتضى</w:t>
      </w:r>
      <w:r>
        <w:rPr>
          <w:rFonts w:eastAsia="Amiri" w:cs="Amiri" w:ascii="Amiri" w:hAnsi="Amiri"/>
          <w:color w:val="111111"/>
          <w:sz w:val="28"/>
          <w:szCs w:val="28"/>
          <w:rtl w:val="true"/>
          <w:lang w:bidi="ar-SA"/>
        </w:rPr>
        <w:t>.</w:t>
      </w:r>
    </w:p>
    <w:p>
      <w:pPr>
        <w:pStyle w:val="Heading6"/>
        <w:numPr>
          <w:ilvl w:val="5"/>
          <w:numId w:val="1"/>
        </w:numPr>
        <w:rPr/>
      </w:pPr>
      <w:bookmarkStart w:id="908" w:name="__RefHeading___Toc795861_222507752"/>
      <w:bookmarkStart w:id="909" w:name="_Toc370"/>
      <w:bookmarkEnd w:id="908"/>
      <w:r>
        <w:rPr>
          <w:rtl w:val="true"/>
        </w:rPr>
        <w:t>فروع</w:t>
      </w:r>
      <w:r>
        <w:rPr>
          <w:rtl w:val="true"/>
        </w:rPr>
        <w:t>:</w:t>
      </w:r>
      <w:bookmarkEnd w:id="909"/>
    </w:p>
    <w:p>
      <w:pPr>
        <w:pStyle w:val="Heading6"/>
        <w:numPr>
          <w:ilvl w:val="5"/>
          <w:numId w:val="1"/>
        </w:numPr>
        <w:rPr/>
      </w:pPr>
      <w:bookmarkStart w:id="910" w:name="__RefHeading___Toc795863_222507752"/>
      <w:bookmarkStart w:id="911" w:name="_Toc371"/>
      <w:bookmarkEnd w:id="910"/>
      <w:r>
        <w:rPr>
          <w:rtl w:val="true"/>
        </w:rPr>
        <w:t>الأوّل</w:t>
      </w:r>
      <w:r>
        <w:rPr>
          <w:rtl w:val="true"/>
        </w:rPr>
        <w:t>:</w:t>
      </w:r>
      <w:r>
        <w:rPr>
          <w:rtl w:val="true"/>
        </w:rPr>
        <w:t>المبتدئة إذا فقدت النّساء المتّفقات،و المضطربة</w:t>
      </w:r>
      <w:bookmarkEnd w:id="911"/>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أعني الّتي لم تستقرّ لها </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عادة،لا في الوقت و لا في العدد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استمرّ بها الدّم و لا تمييز،تتركان الصّوم و الصّلاة في كلّ شهر ستّة أيّام أو سبعة و تغتسلان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اختيار الشّافعيّ في أحد قوليه </w:t>
      </w:r>
      <w:r>
        <w:rPr>
          <w:rStyle w:val="FootnoteAnchor"/>
          <w:rtl w:val="true"/>
        </w:rPr>
        <w:footnoteReference w:id="1639"/>
      </w:r>
      <w:r>
        <w:rPr>
          <w:rFonts w:ascii="Amiri" w:hAnsi="Amiri" w:eastAsia="Amiri" w:cs="Amiri"/>
          <w:color w:val="111111"/>
          <w:sz w:val="28"/>
          <w:sz w:val="28"/>
          <w:szCs w:val="28"/>
          <w:rtl w:val="true"/>
          <w:lang w:bidi="ar-SA"/>
        </w:rPr>
        <w:t xml:space="preserve">،و أحمد في إحدى الرّوايتين عنه </w:t>
      </w:r>
      <w:r>
        <w:rPr>
          <w:rStyle w:val="FootnoteAnchor"/>
          <w:rtl w:val="true"/>
        </w:rPr>
        <w:footnoteReference w:id="164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بعض أصحابنا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تترك الصّلاة و الصّوم في كلّ شهر أقلّ أيّام الحيض </w:t>
      </w:r>
      <w:r>
        <w:rPr>
          <w:rStyle w:val="FootnoteAnchor"/>
          <w:rtl w:val="true"/>
        </w:rPr>
        <w:footnoteReference w:id="1641"/>
      </w:r>
      <w:r>
        <w:rPr>
          <w:rFonts w:ascii="Amiri" w:hAnsi="Amiri" w:eastAsia="Amiri" w:cs="Amiri"/>
          <w:color w:val="111111"/>
          <w:sz w:val="28"/>
          <w:sz w:val="28"/>
          <w:szCs w:val="28"/>
          <w:rtl w:val="true"/>
          <w:lang w:bidi="ar-SA"/>
        </w:rPr>
        <w:t xml:space="preserve">،و هو الرّواية الأخرى الأحمد </w:t>
      </w:r>
      <w:r>
        <w:rPr>
          <w:rStyle w:val="FootnoteAnchor"/>
          <w:rtl w:val="true"/>
        </w:rPr>
        <w:footnoteReference w:id="1642"/>
      </w:r>
      <w:r>
        <w:rPr>
          <w:rFonts w:ascii="Amiri" w:hAnsi="Amiri" w:eastAsia="Amiri" w:cs="Amiri"/>
          <w:color w:val="111111"/>
          <w:sz w:val="28"/>
          <w:sz w:val="28"/>
          <w:szCs w:val="28"/>
          <w:rtl w:val="true"/>
          <w:lang w:bidi="ar-SA"/>
        </w:rPr>
        <w:t xml:space="preserve">و القول الآخر للشّافعيّ </w:t>
      </w:r>
      <w:r>
        <w:rPr>
          <w:rStyle w:val="FootnoteAnchor"/>
          <w:rtl w:val="true"/>
        </w:rPr>
        <w:footnoteReference w:id="164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بعض أصحابنا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تجلس أكثر أيّام الحيض </w:t>
      </w:r>
      <w:r>
        <w:rPr>
          <w:rStyle w:val="FootnoteAnchor"/>
          <w:rtl w:val="true"/>
        </w:rPr>
        <w:footnoteReference w:id="164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مذهب أبي حنيفة </w:t>
      </w:r>
      <w:r>
        <w:rPr>
          <w:rStyle w:val="FootnoteAnchor"/>
          <w:rtl w:val="true"/>
        </w:rPr>
        <w:footnoteReference w:id="1645"/>
      </w:r>
      <w:r>
        <w:rPr>
          <w:rFonts w:ascii="IRNazanin" w:hAnsi="IRNazanin" w:eastAsia="IRNazanin"/>
          <w:color w:val="111111"/>
          <w:sz w:val="28"/>
          <w:sz w:val="28"/>
          <w:szCs w:val="28"/>
          <w:rtl w:val="true"/>
          <w:lang w:bidi="fa-IR"/>
        </w:rPr>
        <w:t xml:space="preserve">،و هو قول ثالث لأحمد </w:t>
      </w:r>
      <w:r>
        <w:rPr>
          <w:rStyle w:val="FootnoteAnchor"/>
          <w:rtl w:val="true"/>
        </w:rPr>
        <w:footnoteReference w:id="164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بعض أصحابنا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تترك الصّلاة و الصّوم في الشّهر الأوّل أقلّ أيّام الحيض،و في الثّاني أكثره </w:t>
      </w:r>
      <w:r>
        <w:rPr>
          <w:rStyle w:val="FootnoteAnchor"/>
          <w:rtl w:val="true"/>
        </w:rPr>
        <w:footnoteReference w:id="164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آخرون بالعكس </w:t>
      </w:r>
      <w:r>
        <w:rPr>
          <w:rStyle w:val="FootnoteAnchor"/>
          <w:rtl w:val="true"/>
        </w:rPr>
        <w:footnoteReference w:id="164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منهم من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تترك </w:t>
      </w:r>
    </w:p>
    <w:p>
      <w:pPr>
        <w:pStyle w:val="BookText"/>
        <w:rPr/>
      </w:pPr>
      <w:r>
        <w:rPr>
          <w:rFonts w:ascii="Amiri" w:hAnsi="Amiri" w:eastAsia="Amiri" w:cs="Amiri"/>
          <w:color w:val="111111"/>
          <w:sz w:val="28"/>
          <w:sz w:val="28"/>
          <w:szCs w:val="28"/>
          <w:rtl w:val="true"/>
          <w:lang w:bidi="ar-SA"/>
        </w:rPr>
        <w:t xml:space="preserve">الصّلاة في كلّ شهر سبعة أيّام </w:t>
      </w:r>
      <w:r>
        <w:rPr>
          <w:rStyle w:val="FootnoteAnchor"/>
          <w:rtl w:val="true"/>
        </w:rPr>
        <w:footnoteReference w:id="1649"/>
      </w:r>
      <w:r>
        <w:rPr>
          <w:rFonts w:ascii="Amiri" w:hAnsi="Amiri" w:eastAsia="Amiri" w:cs="Amiri"/>
          <w:color w:val="111111"/>
          <w:sz w:val="28"/>
          <w:sz w:val="28"/>
          <w:szCs w:val="28"/>
          <w:rtl w:val="true"/>
          <w:lang w:bidi="ar-SA"/>
        </w:rPr>
        <w:t>،و منهم من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ستّة أيّام </w:t>
      </w:r>
      <w:r>
        <w:rPr>
          <w:rStyle w:val="FootnoteAnchor"/>
          <w:rtl w:val="true"/>
        </w:rPr>
        <w:footnoteReference w:id="1650"/>
      </w:r>
      <w:r>
        <w:rPr>
          <w:rFonts w:ascii="Amiri" w:hAnsi="Amiri" w:eastAsia="Amiri" w:cs="Amiri"/>
          <w:color w:val="111111"/>
          <w:sz w:val="28"/>
          <w:sz w:val="28"/>
          <w:szCs w:val="28"/>
          <w:rtl w:val="true"/>
          <w:lang w:bidi="ar-SA"/>
        </w:rPr>
        <w:t>،و منهم من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تعدّ عشرات،عشرة حيضا،و عشرة طهرا،و هكذا إلى أن تستقرّ لها عادة </w:t>
      </w:r>
      <w:r>
        <w:rPr>
          <w:rStyle w:val="FootnoteAnchor"/>
          <w:rtl w:val="true"/>
        </w:rPr>
        <w:footnoteReference w:id="16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رواه الجمهور و الأصحاب،عن النّبيّ صلّى اللّه عليه و آله و سلّم في حديث حمنة بنت جحش،و قد تقدّم </w:t>
      </w:r>
      <w:r>
        <w:rPr>
          <w:rStyle w:val="FootnoteAnchor"/>
          <w:rtl w:val="true"/>
        </w:rPr>
        <w:footnoteReference w:id="165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لأنّ غالب النّساء هكذا تحيض،فتلحق هذه بالأعمّ الأغلب لأرجحيّته،كما رددناها إليهنّ في حصول كلّ حيضة في كلّ 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القائلون بأنّها تتحيّض بالأكثر،فقالوا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انّها زمان الحيض و قد رأت فيه الدّم،فيكون حيضا كالمعتادة</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القائلون بأنّها تجلس في الشّهرين الأكثر و الأقلّ،احتجّوا بأنّه التّوسّط </w:t>
      </w:r>
      <w:r>
        <w:rPr>
          <w:rStyle w:val="FootnoteAnchor"/>
          <w:rtl w:val="true"/>
        </w:rPr>
        <w:footnoteReference w:id="1653"/>
      </w:r>
      <w:r>
        <w:rPr>
          <w:rFonts w:ascii="Amiri" w:hAnsi="Amiri" w:eastAsia="Amiri" w:cs="Amiri"/>
          <w:color w:val="111111"/>
          <w:sz w:val="28"/>
          <w:sz w:val="28"/>
          <w:szCs w:val="28"/>
          <w:rtl w:val="true"/>
          <w:lang w:bidi="ar-SA"/>
        </w:rPr>
        <w:t>بين الأكثر و الأقلّ،و بما رواه الشّيخ،عن عبد اللّه بن بكير،قال في الجارية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 ما تحيض يدفع عليها الدّم فتكون مستحاضة إنّها تنتظر الصّلاة،فلا تصلّي حتّى يمضي أكثر ما يكون من الحيض،فإذا مضى ذلك و هو عشرة أيّام فعلت ما تفعله المستحاضة،ثمَّ صلّت فمكثت تصلّي بقيّة شهرها،ثمَّ تترك الصّلاة في المرّة الثّانية أقلّ ما تترك امرأة الصّلاة، و تجلس أقلّ ما يكون من الطّمث و هو ثلاثة أيّام،فإن دام عليها الحيض صلّت في وقت الصّلاة الّتي صلّت،و جعلت وقت طهرها أكثر ما يكون من الطّهر و تركها الصّلاة أقلّ ما يكون من الحيض </w:t>
      </w:r>
      <w:r>
        <w:rPr>
          <w:rStyle w:val="FootnoteAnchor"/>
          <w:rtl w:val="true"/>
        </w:rPr>
        <w:footnoteReference w:id="1654"/>
      </w:r>
      <w:r>
        <w:rPr>
          <w:rFonts w:eastAsia="Times New Roman" w:cs="Times New Roman" w:ascii="Times New Roman" w:hAnsi="Times New Roman"/>
          <w:color w:val="111111"/>
          <w:sz w:val="28"/>
          <w:szCs w:val="28"/>
          <w:rtl w:val="true"/>
          <w:lang w:val="en-US" w:bidi="en-US"/>
        </w:rPr>
        <w:t xml:space="preserve">. </w:t>
      </w:r>
      <w:bookmarkStart w:id="912" w:name="pg12669_113098"/>
    </w:p>
    <w:p>
      <w:pPr>
        <w:pStyle w:val="BookText"/>
        <w:rPr/>
      </w:pPr>
      <w:bookmarkEnd w:id="912"/>
      <w:r>
        <w:rPr>
          <w:rFonts w:ascii="Amiri" w:hAnsi="Amiri" w:eastAsia="Amiri" w:cs="Amiri"/>
          <w:color w:val="111111"/>
          <w:sz w:val="28"/>
          <w:sz w:val="28"/>
          <w:szCs w:val="28"/>
          <w:rtl w:val="true"/>
          <w:lang w:bidi="ar-SA"/>
        </w:rPr>
        <w:t>و روى،عن عبد اللّه بن بكير،عن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المرأة إذا رأت الدّم في أوّل حيضها فاستمرّ الدّم تركت الصّلاة عشرة أيّام،ثمَّ تصلّي عشرين يوما،فإن استمرّ بها الدّم بعد ذلك تركت الصّلاة ثلاثة أيّام و صلّت سبعة و عشرين يوما</w:t>
      </w:r>
      <w:r>
        <w:rPr>
          <w:rFonts w:eastAsia="Amiri" w:cs="Amiri" w:ascii="Amiri" w:hAnsi="Amiri"/>
          <w:color w:val="111111"/>
          <w:sz w:val="28"/>
          <w:szCs w:val="28"/>
          <w:rtl w:val="true"/>
          <w:lang w:bidi="ar-SA"/>
        </w:rPr>
        <w:t xml:space="preserve">» </w:t>
      </w:r>
      <w:r>
        <w:rPr>
          <w:rStyle w:val="FootnoteAnchor"/>
          <w:rtl w:val="true"/>
        </w:rPr>
        <w:footnoteReference w:id="16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القائلون بأنّها تقعد الأقلّ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الذّمّة مشغولة بالصّلاة فتعمل بالمتيقّن في الحيض احتياطا للعبادة </w:t>
      </w:r>
      <w:r>
        <w:rPr>
          <w:rStyle w:val="FootnoteAnchor"/>
          <w:rtl w:val="true"/>
        </w:rPr>
        <w:footnoteReference w:id="16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الجواب عن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بالمنع من كونه زمان الحيض مع الاستمرار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بأنّ الرّواية ضعيفة،فإنّ عبد اللّه بن بكير </w:t>
      </w:r>
      <w:r>
        <w:rPr>
          <w:rStyle w:val="FootnoteAnchor"/>
          <w:rtl w:val="true"/>
        </w:rPr>
        <w:footnoteReference w:id="1657"/>
      </w:r>
      <w:r>
        <w:rPr>
          <w:rFonts w:ascii="Amiri" w:hAnsi="Amiri" w:eastAsia="Amiri" w:cs="Amiri"/>
          <w:color w:val="111111"/>
          <w:sz w:val="28"/>
          <w:sz w:val="28"/>
          <w:szCs w:val="28"/>
          <w:rtl w:val="true"/>
          <w:lang w:bidi="ar-SA"/>
        </w:rPr>
        <w:t>فطحيّ،و في الأوّل لم يسندها إلى إمام فكانت أضعف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بالمنع من شغل الذّمّة في الأصل،إذ البراءة الأصليّة ثابتة ما لم يظهر الشّاغل،فكان الأصل معارضا للأصل</w:t>
      </w:r>
      <w:r>
        <w:rPr>
          <w:rFonts w:eastAsia="Amiri" w:cs="Amiri" w:ascii="Amiri" w:hAnsi="Amiri"/>
          <w:color w:val="111111"/>
          <w:sz w:val="28"/>
          <w:szCs w:val="28"/>
          <w:rtl w:val="true"/>
          <w:lang w:bidi="ar-SA"/>
        </w:rPr>
        <w:t>.</w:t>
      </w:r>
    </w:p>
    <w:p>
      <w:pPr>
        <w:pStyle w:val="Heading6"/>
        <w:numPr>
          <w:ilvl w:val="5"/>
          <w:numId w:val="1"/>
        </w:numPr>
        <w:rPr/>
      </w:pPr>
      <w:bookmarkStart w:id="913" w:name="__RefHeading___Toc795865_222507752"/>
      <w:bookmarkStart w:id="914" w:name="_Toc372"/>
      <w:bookmarkEnd w:id="913"/>
      <w:r>
        <w:rPr>
          <w:rtl w:val="true"/>
        </w:rPr>
        <w:t>الثّاني</w:t>
      </w:r>
      <w:r>
        <w:rPr>
          <w:rtl w:val="true"/>
        </w:rPr>
        <w:t>:</w:t>
      </w:r>
      <w:r>
        <w:rPr>
          <w:rtl w:val="true"/>
        </w:rPr>
        <w:t>قيل</w:t>
      </w:r>
      <w:r>
        <w:rPr>
          <w:rtl w:val="true"/>
        </w:rPr>
        <w:t>:</w:t>
      </w:r>
      <w:r>
        <w:rPr>
          <w:rtl w:val="true"/>
        </w:rPr>
        <w:t>انّ المراد بقوله عليه السّلام</w:t>
      </w:r>
      <w:r>
        <w:rPr>
          <w:rtl w:val="true"/>
        </w:rPr>
        <w:t>:(</w:t>
      </w:r>
      <w:r>
        <w:rPr>
          <w:rtl w:val="true"/>
        </w:rPr>
        <w:t>ستّة أو سبعة</w:t>
      </w:r>
      <w:r>
        <w:rPr>
          <w:rtl w:val="true"/>
        </w:rPr>
        <w:t>)</w:t>
      </w:r>
      <w:r>
        <w:rPr>
          <w:rtl w:val="true"/>
        </w:rPr>
        <w:t>الرّدّ إلى اجتهادها</w:t>
      </w:r>
      <w:bookmarkEnd w:id="914"/>
    </w:p>
    <w:p>
      <w:pPr>
        <w:pStyle w:val="BookText"/>
        <w:rPr/>
      </w:pPr>
      <w:r>
        <w:rPr>
          <w:rFonts w:ascii="Amiri" w:hAnsi="Amiri" w:eastAsia="Amiri" w:cs="Amiri"/>
          <w:color w:val="111111"/>
          <w:sz w:val="28"/>
          <w:sz w:val="28"/>
          <w:szCs w:val="28"/>
          <w:rtl w:val="true"/>
          <w:lang w:bidi="ar-SA"/>
        </w:rPr>
        <w:t>و رأيها</w:t>
      </w:r>
    </w:p>
    <w:p>
      <w:pPr>
        <w:pStyle w:val="BookText"/>
        <w:rPr/>
      </w:pPr>
      <w:r>
        <w:rPr>
          <w:rFonts w:ascii="Amiri" w:hAnsi="Amiri" w:eastAsia="Amiri" w:cs="Amiri"/>
          <w:color w:val="111111"/>
          <w:sz w:val="28"/>
          <w:sz w:val="28"/>
          <w:szCs w:val="28"/>
          <w:rtl w:val="true"/>
          <w:lang w:bidi="ar-SA"/>
        </w:rPr>
        <w:t>فيما يغلب على ظنّها انّه أقرب إلى عادتها أو عادة نسائها أو ما يكون أشبه بكونه</w:t>
      </w:r>
      <w:r>
        <w:rPr>
          <w:rFonts w:eastAsia="Amiri" w:cs="Amiri" w:ascii="Amiri" w:hAnsi="Amiri"/>
          <w:color w:val="111111"/>
          <w:sz w:val="28"/>
          <w:szCs w:val="28"/>
          <w:rtl w:val="true"/>
          <w:lang w:bidi="ar-SA"/>
        </w:rPr>
        <w:t xml:space="preserve">) </w:t>
      </w:r>
      <w:r>
        <w:rPr>
          <w:rStyle w:val="FootnoteAnchor"/>
          <w:rtl w:val="true"/>
        </w:rPr>
        <w:footnoteReference w:id="165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حيضا</w:t>
      </w:r>
      <w:r>
        <w:rPr>
          <w:rFonts w:eastAsia="Amiri" w:cs="Amiri" w:ascii="Amiri" w:hAnsi="Amiri"/>
          <w:color w:val="111111"/>
          <w:sz w:val="28"/>
          <w:szCs w:val="28"/>
          <w:rtl w:val="true"/>
          <w:lang w:bidi="ar-SA"/>
        </w:rPr>
        <w:t xml:space="preserve">] </w:t>
      </w:r>
      <w:r>
        <w:rPr>
          <w:rStyle w:val="FootnoteAnchor"/>
          <w:rtl w:val="true"/>
        </w:rPr>
        <w:footnoteReference w:id="165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التّخيير،لأنّ حرف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موضوع له </w:t>
      </w:r>
      <w:r>
        <w:rPr>
          <w:rStyle w:val="FootnoteAnchor"/>
          <w:rtl w:val="true"/>
        </w:rPr>
        <w:footnoteReference w:id="1660"/>
      </w:r>
      <w:r>
        <w:rPr>
          <w:rFonts w:eastAsia="Times New Roman" w:cs="Times New Roman" w:ascii="Times New Roman" w:hAnsi="Times New Roman"/>
          <w:color w:val="111111"/>
          <w:sz w:val="28"/>
          <w:szCs w:val="28"/>
          <w:rtl w:val="true"/>
          <w:lang w:val="en-US" w:bidi="en-US"/>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الأقرب الأوّل،و إلاّ لزم التّخيير في اليوم السّابع بين وجوب الصّلاة و عدمها،و لا تخيير </w:t>
      </w:r>
      <w:bookmarkStart w:id="915" w:name="pg12669_113099"/>
    </w:p>
    <w:p>
      <w:pPr>
        <w:pStyle w:val="BookText"/>
        <w:rPr/>
      </w:pPr>
      <w:bookmarkEnd w:id="915"/>
      <w:r>
        <w:rPr>
          <w:rFonts w:ascii="Amiri" w:hAnsi="Amiri" w:eastAsia="Amiri" w:cs="Amiri"/>
          <w:color w:val="111111"/>
          <w:sz w:val="28"/>
          <w:sz w:val="28"/>
          <w:szCs w:val="28"/>
          <w:rtl w:val="true"/>
          <w:lang w:bidi="ar-SA"/>
        </w:rPr>
        <w:t>في الواجب،لمنافاته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انّها موضوعة للتّخيير،معارض بأنّها موضوعة للتّفصيل و الشّكّ و الإبهام،و الأخيران غير مرادين،فيبقى إمّا التّخيير أو التّفصيل،و الأوّل لا يصحّ إرادته لما بيّنّاه،فتعيّن الثّاني</w:t>
      </w:r>
      <w:r>
        <w:rPr>
          <w:rFonts w:eastAsia="Amiri" w:cs="Amiri" w:ascii="Amiri" w:hAnsi="Amiri"/>
          <w:color w:val="111111"/>
          <w:sz w:val="28"/>
          <w:szCs w:val="28"/>
          <w:rtl w:val="true"/>
          <w:lang w:bidi="ar-SA"/>
        </w:rPr>
        <w:t>.</w:t>
      </w:r>
    </w:p>
    <w:p>
      <w:pPr>
        <w:pStyle w:val="Heading6"/>
        <w:numPr>
          <w:ilvl w:val="5"/>
          <w:numId w:val="1"/>
        </w:numPr>
        <w:rPr/>
      </w:pPr>
      <w:bookmarkStart w:id="916" w:name="__RefHeading___Toc795867_222507752"/>
      <w:bookmarkStart w:id="917" w:name="_Toc373"/>
      <w:bookmarkEnd w:id="916"/>
      <w:r>
        <w:rPr>
          <w:rtl w:val="true"/>
        </w:rPr>
        <w:t>الثّالث</w:t>
      </w:r>
      <w:r>
        <w:rPr>
          <w:rtl w:val="true"/>
        </w:rPr>
        <w:t>:</w:t>
      </w:r>
      <w:r>
        <w:rPr>
          <w:rtl w:val="true"/>
        </w:rPr>
        <w:t>حكم المتحيّرة حكم المبتدئة و المضطربة،</w:t>
      </w:r>
      <w:bookmarkEnd w:id="917"/>
    </w:p>
    <w:p>
      <w:pPr>
        <w:pStyle w:val="BookText"/>
        <w:rPr/>
      </w:pPr>
      <w:r>
        <w:rPr>
          <w:rFonts w:ascii="Amiri" w:hAnsi="Amiri" w:eastAsia="Amiri" w:cs="Amiri"/>
          <w:color w:val="111111"/>
          <w:sz w:val="28"/>
          <w:sz w:val="28"/>
          <w:szCs w:val="28"/>
          <w:rtl w:val="true"/>
          <w:lang w:bidi="ar-SA"/>
        </w:rPr>
        <w:t>و المراد بها من كانت لها عادة إلاّ انّها نسيتها عددا و وقتا،فإنّها تجلس ستّة أيّام أو سبعة،و هو قول أحمد،و قال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تجلس أقلّ الحيض </w:t>
      </w:r>
      <w:r>
        <w:rPr>
          <w:rStyle w:val="FootnoteAnchor"/>
          <w:rtl w:val="true"/>
        </w:rPr>
        <w:footnoteReference w:id="166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تفعل ثلاثة أيّام في أوّل الشّهر ما تفعله المستحاضة،و تغتسل فيما بعد لكلّ صلاة،و صلّت و صامت شهر رمضان،و قد روي أنّها تترك الصّلاة في كلّ شهر سبعة أيّام،و تصلّي و تصوم ما بقي </w:t>
      </w:r>
      <w:r>
        <w:rPr>
          <w:rStyle w:val="FootnoteAnchor"/>
          <w:rtl w:val="true"/>
        </w:rPr>
        <w:footnoteReference w:id="166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الشّافعيّ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حيض لها بيقين،و جميع زمانها مشكوك فيه تغتسل لكلّ صلاة و تصوم و تصلّي </w:t>
      </w:r>
      <w:r>
        <w:rPr>
          <w:rStyle w:val="FootnoteAnchor"/>
          <w:rtl w:val="true"/>
        </w:rPr>
        <w:footnoteReference w:id="166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يقارب قول الشّيخ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رواه الجمهور و الخاصّة من حديث حمنة بنت جحش عن النّبي صلّى اللّه عليه و آله </w:t>
      </w:r>
      <w:r>
        <w:rPr>
          <w:rStyle w:val="FootnoteAnchor"/>
          <w:rtl w:val="true"/>
        </w:rPr>
        <w:footnoteReference w:id="1664"/>
      </w:r>
      <w:r>
        <w:rPr>
          <w:rFonts w:ascii="Amiri" w:hAnsi="Amiri" w:eastAsia="Amiri" w:cs="Amiri"/>
          <w:color w:val="111111"/>
          <w:sz w:val="28"/>
          <w:sz w:val="28"/>
          <w:szCs w:val="28"/>
          <w:rtl w:val="true"/>
          <w:lang w:bidi="ar-SA"/>
        </w:rPr>
        <w:t>و لم يستفصلها هل هي مبتدئة أو ناسية،و لأنّها لا عادة لها و لا تمييز، فأشبهت المبتدئة</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احتجّ الشّافعي بأنّ هذه لنا أيّام معروفة فلا يمكن ردّها إلى غيرها،فجميع زمانها مشكوك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بما روته عائشة انّ أمّ حبيبة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استحيضت سبع سنين فسألت النّبيّ صلّى اللّه عليه و آله فأمر أن تغتسل لكلّ صلاة </w:t>
      </w:r>
      <w:r>
        <w:rPr>
          <w:rStyle w:val="FootnoteAnchor"/>
          <w:rtl w:val="true"/>
        </w:rPr>
        <w:footnoteReference w:id="1665"/>
      </w:r>
      <w:r>
        <w:rPr>
          <w:rFonts w:eastAsia="Times New Roman" w:cs="Times New Roman" w:ascii="Times New Roman" w:hAnsi="Times New Roman"/>
          <w:color w:val="111111"/>
          <w:sz w:val="28"/>
          <w:szCs w:val="28"/>
          <w:rtl w:val="true"/>
          <w:lang w:val="en-US" w:bidi="en-US"/>
        </w:rPr>
        <w:t xml:space="preserve">. </w:t>
      </w:r>
      <w:bookmarkStart w:id="918" w:name="pg12669_113100"/>
    </w:p>
    <w:p>
      <w:pPr>
        <w:pStyle w:val="BookText"/>
        <w:rPr/>
      </w:pPr>
      <w:bookmarkEnd w:id="918"/>
      <w:r>
        <w:rPr>
          <w:rFonts w:ascii="Amiri" w:hAnsi="Amiri" w:eastAsia="Amiri" w:cs="Amiri"/>
          <w:color w:val="111111"/>
          <w:sz w:val="28"/>
          <w:sz w:val="28"/>
          <w:szCs w:val="28"/>
          <w:rtl w:val="true"/>
          <w:lang w:bidi="ar-SA"/>
        </w:rPr>
        <w:t>و الجواب عن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نسلّم انّها كانت ذات أيّام معروفة،لكنّ تلك المعروفة قد زالت فصار وجودها كالعدم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الأمر يحتمل النّدبيّة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انّه إنّما روي،عن الزّهريّ،و أنكره اللّيث بن سعد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يذكر ابن شهاب انّ رسول اللّه صلّى اللّه عليه و آله أمر أمّ حبيبة أن تغتسل لكلّ صلاة و لكنّه شيء فعلته هي </w:t>
      </w:r>
      <w:r>
        <w:rPr>
          <w:rStyle w:val="FootnoteAnchor"/>
          <w:rtl w:val="true"/>
        </w:rPr>
        <w:footnoteReference w:id="166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919" w:name="__RefHeading___Toc795869_222507752"/>
      <w:bookmarkStart w:id="920" w:name="_Toc374"/>
      <w:bookmarkEnd w:id="919"/>
      <w:r>
        <w:rPr>
          <w:rtl w:val="true"/>
        </w:rPr>
        <w:t>الرّابع</w:t>
      </w:r>
      <w:r>
        <w:rPr>
          <w:rtl w:val="true"/>
        </w:rPr>
        <w:t>:</w:t>
      </w:r>
      <w:r>
        <w:rPr>
          <w:rtl w:val="true"/>
        </w:rPr>
        <w:t>هذه و المبتدئة و المضطربة تتخيّر في الأيّام أيّها شاءت جعلتها أيّام</w:t>
      </w:r>
      <w:bookmarkEnd w:id="920"/>
    </w:p>
    <w:p>
      <w:pPr>
        <w:pStyle w:val="BookText"/>
        <w:rPr/>
      </w:pPr>
      <w:r>
        <w:rPr>
          <w:rFonts w:ascii="Amiri" w:hAnsi="Amiri" w:eastAsia="Amiri" w:cs="Amiri"/>
          <w:color w:val="111111"/>
          <w:sz w:val="28"/>
          <w:sz w:val="28"/>
          <w:szCs w:val="28"/>
          <w:rtl w:val="true"/>
          <w:lang w:bidi="ar-SA"/>
        </w:rPr>
        <w:t>حيضها</w:t>
      </w:r>
    </w:p>
    <w:p>
      <w:pPr>
        <w:pStyle w:val="BookText"/>
        <w:rPr/>
      </w:pPr>
      <w:r>
        <w:rPr>
          <w:rFonts w:ascii="Amiri" w:hAnsi="Amiri" w:eastAsia="Amiri" w:cs="Amiri"/>
          <w:color w:val="111111"/>
          <w:sz w:val="28"/>
          <w:sz w:val="28"/>
          <w:szCs w:val="28"/>
          <w:rtl w:val="true"/>
          <w:lang w:bidi="ar-SA"/>
        </w:rPr>
        <w:t>،لأنّ تخصيص بعض الأزمنة هنا بها ترجيح من غير مرجّح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انّها تتحيّض في أوّل الشّهر لقوله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تصلّي عشرين يوما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تصلي سبعة و عشرين يوما</w:t>
      </w:r>
      <w:r>
        <w:rPr>
          <w:rFonts w:eastAsia="Amiri" w:cs="Amiri" w:ascii="Amiri" w:hAnsi="Amiri"/>
          <w:color w:val="111111"/>
          <w:sz w:val="28"/>
          <w:szCs w:val="28"/>
          <w:rtl w:val="true"/>
          <w:lang w:bidi="ar-SA"/>
        </w:rPr>
        <w:t xml:space="preserve">» </w:t>
      </w:r>
      <w:r>
        <w:rPr>
          <w:rStyle w:val="FootnoteAnchor"/>
          <w:rtl w:val="true"/>
        </w:rPr>
        <w:footnoteReference w:id="1667"/>
      </w:r>
      <w:r>
        <w:rPr>
          <w:rFonts w:ascii="Amiri" w:hAnsi="Amiri" w:eastAsia="Amiri" w:cs="Amiri"/>
          <w:color w:val="111111"/>
          <w:sz w:val="28"/>
          <w:sz w:val="28"/>
          <w:szCs w:val="28"/>
          <w:rtl w:val="true"/>
          <w:lang w:bidi="ar-SA"/>
        </w:rPr>
        <w:t>و لا دلالة فيه،إذ مع اختيارها للثّلاثة الأخيرة مثلا تصلّي سبعة و عشرين يوما،و كذا لو اختارت الوسطى</w:t>
      </w:r>
      <w:r>
        <w:rPr>
          <w:rFonts w:eastAsia="Amiri" w:cs="Amiri" w:ascii="Amiri" w:hAnsi="Amiri"/>
          <w:color w:val="111111"/>
          <w:sz w:val="28"/>
          <w:szCs w:val="28"/>
          <w:rtl w:val="true"/>
          <w:lang w:bidi="ar-SA"/>
        </w:rPr>
        <w:t>.</w:t>
      </w:r>
    </w:p>
    <w:p>
      <w:pPr>
        <w:pStyle w:val="Heading6"/>
        <w:numPr>
          <w:ilvl w:val="5"/>
          <w:numId w:val="1"/>
        </w:numPr>
        <w:rPr/>
      </w:pPr>
      <w:bookmarkStart w:id="921" w:name="__RefHeading___Toc795871_222507752"/>
      <w:bookmarkStart w:id="922" w:name="_Toc375"/>
      <w:bookmarkEnd w:id="921"/>
      <w:r>
        <w:rPr>
          <w:rtl w:val="true"/>
        </w:rPr>
        <w:t>الخامس</w:t>
      </w:r>
      <w:r>
        <w:rPr>
          <w:rtl w:val="true"/>
        </w:rPr>
        <w:t>:</w:t>
      </w:r>
      <w:r>
        <w:rPr>
          <w:rtl w:val="true"/>
        </w:rPr>
        <w:t>إذا ردّ بناؤها إلى الثّلاثة دائما أو في أحد الشّهرين،فالثّلاثة حيض</w:t>
      </w:r>
      <w:bookmarkEnd w:id="922"/>
    </w:p>
    <w:p>
      <w:pPr>
        <w:pStyle w:val="BookText"/>
        <w:rPr/>
      </w:pPr>
      <w:r>
        <w:rPr>
          <w:rFonts w:ascii="Amiri" w:hAnsi="Amiri" w:eastAsia="Amiri" w:cs="Amiri"/>
          <w:color w:val="111111"/>
          <w:sz w:val="28"/>
          <w:sz w:val="28"/>
          <w:szCs w:val="28"/>
          <w:rtl w:val="true"/>
          <w:lang w:bidi="ar-SA"/>
        </w:rPr>
        <w:t>بيقين و الزّائد عن العشرة طهر بيقين،و ما بين الثّلاثة إلى العشرة هل هو طهر بيقين أو مشكوك فيه؟فيه احتمال،فعلى الأوّل لا تحتاط في الأيّام الزّائدة على العادة،و ذات التّمييز بعد وجود اللّون الضّعيف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تحتاط فلا يقربها زوجها و تصلّي و لا تقضي صلاتها،لأنّها إن كانت حائضا فلا قضاء،و إن كانت طاهرا فقد صلّت، و تصوم و تقضيه</w:t>
      </w:r>
      <w:r>
        <w:rPr>
          <w:rFonts w:eastAsia="Amiri" w:cs="Amiri" w:ascii="Amiri" w:hAnsi="Amiri"/>
          <w:color w:val="111111"/>
          <w:sz w:val="28"/>
          <w:szCs w:val="28"/>
          <w:rtl w:val="true"/>
          <w:lang w:bidi="ar-SA"/>
        </w:rPr>
        <w:t>.</w:t>
      </w:r>
    </w:p>
    <w:p>
      <w:pPr>
        <w:pStyle w:val="Heading6"/>
        <w:numPr>
          <w:ilvl w:val="5"/>
          <w:numId w:val="1"/>
        </w:numPr>
        <w:rPr/>
      </w:pPr>
      <w:bookmarkStart w:id="923" w:name="__RefHeading___Toc795873_222507752"/>
      <w:bookmarkStart w:id="924" w:name="_Toc376"/>
      <w:bookmarkEnd w:id="923"/>
      <w:r>
        <w:rPr>
          <w:rtl w:val="true"/>
        </w:rPr>
        <w:t>السّادس</w:t>
      </w:r>
      <w:r>
        <w:rPr>
          <w:rtl w:val="true"/>
        </w:rPr>
        <w:t>:</w:t>
      </w:r>
      <w:r>
        <w:rPr>
          <w:rtl w:val="true"/>
        </w:rPr>
        <w:t>لو ردّ بناؤها إلى السّتة أو السّبعة،فثلاثة حيض بيقين</w:t>
      </w:r>
      <w:bookmarkEnd w:id="924"/>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زاد على العشرة طهر بيقين،و ما زاد على الثّلاثة إلى السّتّة أو السّبعة هل هو حيض بيقين أو مشكوك فيه؟يحتمل الأوّل كالمعتادة في أيّام عادتها،و ذات التّمييز في لون الدّم </w:t>
      </w:r>
      <w:bookmarkStart w:id="925" w:name="pg12669_113101"/>
    </w:p>
    <w:p>
      <w:pPr>
        <w:pStyle w:val="BookText"/>
        <w:rPr/>
      </w:pPr>
      <w:bookmarkEnd w:id="925"/>
      <w:r>
        <w:rPr>
          <w:rFonts w:ascii="Amiri" w:hAnsi="Amiri" w:eastAsia="Amiri" w:cs="Amiri"/>
          <w:color w:val="111111"/>
          <w:sz w:val="28"/>
          <w:sz w:val="28"/>
          <w:szCs w:val="28"/>
          <w:rtl w:val="true"/>
          <w:lang w:bidi="ar-SA"/>
        </w:rPr>
        <w:t>القويّ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يستعمل فيه الاحتياط بأن تقضي صلاة تلك الأيّام،و ما زاد على السّتّة أو السّبعة إلى العشرة هل هو طهر بيقين أو مشكوك فيه؟فيه الاحتمالان</w:t>
      </w:r>
      <w:r>
        <w:rPr>
          <w:rFonts w:eastAsia="Amiri" w:cs="Amiri" w:ascii="Amiri" w:hAnsi="Amiri"/>
          <w:color w:val="111111"/>
          <w:sz w:val="28"/>
          <w:szCs w:val="28"/>
          <w:rtl w:val="true"/>
          <w:lang w:bidi="ar-SA"/>
        </w:rPr>
        <w:t>.</w:t>
      </w:r>
    </w:p>
    <w:p>
      <w:pPr>
        <w:pStyle w:val="Heading6"/>
        <w:numPr>
          <w:ilvl w:val="5"/>
          <w:numId w:val="1"/>
        </w:numPr>
        <w:rPr/>
      </w:pPr>
      <w:bookmarkStart w:id="926" w:name="__RefHeading___Toc795875_222507752"/>
      <w:bookmarkStart w:id="927" w:name="_Toc377"/>
      <w:bookmarkEnd w:id="926"/>
      <w:r>
        <w:rPr>
          <w:rtl w:val="true"/>
        </w:rPr>
        <w:t>السّابع</w:t>
      </w:r>
      <w:r>
        <w:rPr>
          <w:rtl w:val="true"/>
        </w:rPr>
        <w:t>:</w:t>
      </w:r>
      <w:r>
        <w:rPr>
          <w:rtl w:val="true"/>
        </w:rPr>
        <w:t>لو اتّفق لها ذلك في رمضان قضت صوم عشرة احتياطا،</w:t>
      </w:r>
      <w:bookmarkEnd w:id="927"/>
    </w:p>
    <w:p>
      <w:pPr>
        <w:pStyle w:val="BookText"/>
        <w:rPr/>
      </w:pPr>
      <w:r>
        <w:rPr>
          <w:rFonts w:ascii="Amiri" w:hAnsi="Amiri" w:eastAsia="Amiri" w:cs="Amiri"/>
          <w:color w:val="111111"/>
          <w:sz w:val="28"/>
          <w:sz w:val="28"/>
          <w:szCs w:val="28"/>
          <w:rtl w:val="true"/>
          <w:lang w:bidi="ar-SA"/>
        </w:rPr>
        <w:t>و كذا المبتدئة و المضطربة إذا فقدتا التّمييز،قاله علماؤنا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الأقرب عندي انّها تقضي أحد عشر يوما</w:t>
      </w:r>
      <w:r>
        <w:rPr>
          <w:rFonts w:eastAsia="Amiri" w:cs="Amiri" w:ascii="Amiri" w:hAnsi="Amiri"/>
          <w:color w:val="111111"/>
          <w:sz w:val="28"/>
          <w:szCs w:val="28"/>
          <w:rtl w:val="true"/>
          <w:lang w:bidi="ar-SA"/>
        </w:rPr>
        <w:t>.</w:t>
      </w:r>
    </w:p>
    <w:p>
      <w:pPr>
        <w:pStyle w:val="Heading6"/>
        <w:numPr>
          <w:ilvl w:val="5"/>
          <w:numId w:val="1"/>
        </w:numPr>
        <w:rPr/>
      </w:pPr>
      <w:bookmarkStart w:id="928" w:name="__RefHeading___Toc795877_222507752"/>
      <w:bookmarkStart w:id="929" w:name="_Toc378"/>
      <w:bookmarkEnd w:id="928"/>
      <w:r>
        <w:rPr>
          <w:rtl w:val="true"/>
        </w:rPr>
        <w:t>القسم الثّالث</w:t>
      </w:r>
      <w:r>
        <w:rPr>
          <w:rtl w:val="true"/>
        </w:rPr>
        <w:t>:</w:t>
      </w:r>
      <w:bookmarkEnd w:id="929"/>
    </w:p>
    <w:p>
      <w:pPr>
        <w:pStyle w:val="BookText"/>
        <w:rPr/>
      </w:pPr>
      <w:r>
        <w:rPr>
          <w:rFonts w:ascii="Amiri" w:hAnsi="Amiri" w:eastAsia="Amiri" w:cs="Amiri"/>
          <w:color w:val="111111"/>
          <w:sz w:val="28"/>
          <w:sz w:val="28"/>
          <w:szCs w:val="28"/>
          <w:rtl w:val="true"/>
          <w:lang w:bidi="ar-SA"/>
        </w:rPr>
        <w:t>ذات العادة الفاقدة للتّمييز،</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دمها على لون واحد،أو يكون مختلفا و لم يستجمع شرائط التّمييز الآتية،قال أهل العلم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انّها ترجع إلى العادة،عدا مالكا </w:t>
      </w:r>
      <w:r>
        <w:rPr>
          <w:rStyle w:val="FootnoteAnchor"/>
          <w:rtl w:val="true"/>
        </w:rPr>
        <w:footnoteReference w:id="1668"/>
      </w:r>
      <w:r>
        <w:rPr>
          <w:rFonts w:ascii="Amiri" w:hAnsi="Amiri" w:eastAsia="Amiri" w:cs="Amiri"/>
          <w:color w:val="111111"/>
          <w:sz w:val="28"/>
          <w:sz w:val="28"/>
          <w:szCs w:val="28"/>
          <w:rtl w:val="true"/>
          <w:lang w:bidi="ar-SA"/>
        </w:rPr>
        <w:t>، فإنّه لم يعتبر العادة بل التّمييز،فإن فقد استظهرت بعد زمان عادتها بثلاثة 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الجمهور،عن أمّ سلمة انّها كانت تهراق الدّماء على عهد رسول اللّه صلّى اللّه عليه و آله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لتنظر عدّة الأيّام و اللّيالي الّتي كانت تحيضهنّ قبل أن يصيبها الّذي أصابها فلتترك الصّلاة قدر ذلك من الشّهر،فإذا خلّفت ذلك فلتغتسل،ثمَّ لتستثفر بثوب،ثمَّ لتصلّ</w:t>
      </w:r>
      <w:r>
        <w:rPr>
          <w:rFonts w:eastAsia="Amiri" w:cs="Amiri" w:ascii="Amiri" w:hAnsi="Amiri"/>
          <w:color w:val="111111"/>
          <w:sz w:val="28"/>
          <w:szCs w:val="28"/>
          <w:rtl w:val="true"/>
          <w:lang w:bidi="ar-SA"/>
        </w:rPr>
        <w:t xml:space="preserve">) </w:t>
      </w:r>
      <w:r>
        <w:rPr>
          <w:rStyle w:val="FootnoteAnchor"/>
          <w:rtl w:val="true"/>
        </w:rPr>
        <w:footnoteReference w:id="1669"/>
      </w:r>
      <w:r>
        <w:rPr>
          <w:rFonts w:eastAsia="Times New Roman" w:cs="Times New Roman" w:ascii="Times New Roman" w:hAnsi="Times New Roman"/>
          <w:color w:val="111111"/>
          <w:sz w:val="28"/>
          <w:szCs w:val="28"/>
          <w:rtl w:val="true"/>
          <w:lang w:val="en-US" w:bidi="en-US"/>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روته أمّ حبيبة انّها سألت النّبيّ صلّى اللّه عليه و آله عن الدّم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امكثي و احتشي قدر ما كانت تحبسك حيضتك،ثمَّ اغتسلي و صلّي</w:t>
      </w:r>
      <w:r>
        <w:rPr>
          <w:rFonts w:eastAsia="Amiri" w:cs="Amiri" w:ascii="Amiri" w:hAnsi="Amiri"/>
          <w:color w:val="111111"/>
          <w:sz w:val="28"/>
          <w:szCs w:val="28"/>
          <w:rtl w:val="true"/>
          <w:lang w:bidi="ar-SA"/>
        </w:rPr>
        <w:t xml:space="preserve">) </w:t>
      </w:r>
      <w:r>
        <w:rPr>
          <w:rStyle w:val="FootnoteAnchor"/>
          <w:rtl w:val="true"/>
        </w:rPr>
        <w:footnoteReference w:id="167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روى عديّ بن ثابت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أبيه،عن جدّه،عن النّبيّ صلّى اللّه عليه و آله في المستحاضة تدع الصّلاة أيّام أقرائها ثمَّ تغتسل و تصوم و تصلّي و تتوضّأ عند كلّ صلاة </w:t>
      </w:r>
      <w:r>
        <w:rPr>
          <w:rStyle w:val="FootnoteAnchor"/>
          <w:rtl w:val="true"/>
        </w:rPr>
        <w:footnoteReference w:id="16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طريق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 في الصّحيح،عن إسحاق بن جرير،عن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الدّم يستمرّ بها الشّهر و الشّهرين و الثّلاثة كيف تصنع بالصّلاة؟قال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تجلس أيّام حيضها ثمَّ تغتسل لكلّ صلاتين</w:t>
      </w:r>
      <w:r>
        <w:rPr>
          <w:rFonts w:eastAsia="Amiri" w:cs="Amiri" w:ascii="Amiri" w:hAnsi="Amiri"/>
          <w:color w:val="111111"/>
          <w:sz w:val="28"/>
          <w:szCs w:val="28"/>
          <w:rtl w:val="true"/>
          <w:lang w:bidi="ar-SA"/>
        </w:rPr>
        <w:t xml:space="preserve">» </w:t>
      </w:r>
      <w:r>
        <w:rPr>
          <w:rStyle w:val="FootnoteAnchor"/>
          <w:rtl w:val="true"/>
        </w:rPr>
        <w:footnoteReference w:id="16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رواه في الصّحيح،عن معاوية بن عمّار،عن أبي عبد اللّه عليه السّلام،قال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المستحاضة تنتظر أيّامها و لا تصلّي فيها و لا يقربها بعلها فإذا جازت أيّامها و رأت الدّم يثقب الكرسف اغتسلت للظّهر و العصر</w:t>
      </w:r>
      <w:r>
        <w:rPr>
          <w:rFonts w:eastAsia="Amiri" w:cs="Amiri" w:ascii="Amiri" w:hAnsi="Amiri"/>
          <w:color w:val="111111"/>
          <w:sz w:val="28"/>
          <w:szCs w:val="28"/>
          <w:rtl w:val="true"/>
          <w:lang w:bidi="ar-SA"/>
        </w:rPr>
        <w:t xml:space="preserve">» </w:t>
      </w:r>
      <w:r>
        <w:rPr>
          <w:rStyle w:val="FootnoteAnchor"/>
          <w:rtl w:val="true"/>
        </w:rPr>
        <w:footnoteReference w:id="16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في الصّحيح،عن ابن سنان،عن أبي عبد اللّه عليه السّلام عن المستحاضة،قال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بأس أن يأتيها بعلها متى شاء إلاّ في أيّام حيضها فيعزلها زوجها</w:t>
      </w:r>
      <w:r>
        <w:rPr>
          <w:rFonts w:eastAsia="Amiri" w:cs="Amiri" w:ascii="Amiri" w:hAnsi="Amiri"/>
          <w:color w:val="111111"/>
          <w:sz w:val="28"/>
          <w:szCs w:val="28"/>
          <w:rtl w:val="true"/>
          <w:lang w:bidi="ar-SA"/>
        </w:rPr>
        <w:t xml:space="preserve">» </w:t>
      </w:r>
      <w:r>
        <w:rPr>
          <w:rStyle w:val="FootnoteAnchor"/>
          <w:rtl w:val="true"/>
        </w:rPr>
        <w:footnoteReference w:id="1674"/>
      </w:r>
      <w:r>
        <w:rPr>
          <w:rFonts w:eastAsia="Times New Roman" w:cs="Times New Roman" w:ascii="Times New Roman" w:hAnsi="Times New Roman"/>
          <w:color w:val="111111"/>
          <w:sz w:val="28"/>
          <w:szCs w:val="28"/>
          <w:rtl w:val="true"/>
          <w:lang w:val="en-US" w:bidi="en-US"/>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احتجّ مالك </w:t>
      </w:r>
      <w:r>
        <w:rPr>
          <w:rStyle w:val="FootnoteAnchor"/>
          <w:rtl w:val="true"/>
        </w:rPr>
        <w:footnoteReference w:id="1675"/>
      </w:r>
      <w:r>
        <w:rPr>
          <w:rFonts w:ascii="Amiri" w:hAnsi="Amiri" w:eastAsia="Amiri" w:cs="Amiri"/>
          <w:color w:val="111111"/>
          <w:sz w:val="28"/>
          <w:sz w:val="28"/>
          <w:szCs w:val="28"/>
          <w:rtl w:val="true"/>
          <w:lang w:bidi="ar-SA"/>
        </w:rPr>
        <w:t xml:space="preserve">بحديث فاطمة بنت أبي حبيش،عن النّبيّ صلّى اللّه عليه و آله </w:t>
      </w:r>
      <w:bookmarkStart w:id="930" w:name="pg12669_113103"/>
    </w:p>
    <w:p>
      <w:pPr>
        <w:pStyle w:val="BookText"/>
        <w:rPr/>
      </w:pPr>
      <w:bookmarkEnd w:id="930"/>
      <w:r>
        <w:rPr>
          <w:rFonts w:ascii="Amiri" w:hAnsi="Amiri" w:eastAsia="Amiri" w:cs="Amiri"/>
          <w:color w:val="111111"/>
          <w:sz w:val="28"/>
          <w:sz w:val="28"/>
          <w:szCs w:val="28"/>
          <w:rtl w:val="true"/>
          <w:lang w:bidi="ar-SA"/>
        </w:rPr>
        <w:t xml:space="preserve">إنه ردّها إلى التّمييز </w:t>
      </w:r>
      <w:r>
        <w:rPr>
          <w:rStyle w:val="FootnoteAnchor"/>
          <w:rtl w:val="true"/>
        </w:rPr>
        <w:footnoteReference w:id="167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تقدّم </w:t>
      </w:r>
      <w:r>
        <w:rPr>
          <w:rStyle w:val="FootnoteAnchor"/>
          <w:rtl w:val="true"/>
        </w:rPr>
        <w:footnoteReference w:id="1677"/>
      </w:r>
      <w:r>
        <w:rPr>
          <w:rFonts w:ascii="Amiri" w:hAnsi="Amiri" w:eastAsia="Amiri" w:cs="Amiri"/>
          <w:color w:val="111111"/>
          <w:sz w:val="28"/>
          <w:sz w:val="28"/>
          <w:szCs w:val="28"/>
          <w:rtl w:val="true"/>
          <w:lang w:bidi="ar-SA"/>
        </w:rPr>
        <w:t>الجواب عنه،مع انّه لا حجّة فيه على ترك العادة فيمن لا تمييز لها</w:t>
      </w:r>
      <w:r>
        <w:rPr>
          <w:rFonts w:eastAsia="Amiri" w:cs="Amiri" w:ascii="Amiri" w:hAnsi="Amiri"/>
          <w:color w:val="111111"/>
          <w:sz w:val="28"/>
          <w:szCs w:val="28"/>
          <w:rtl w:val="true"/>
          <w:lang w:bidi="ar-SA"/>
        </w:rPr>
        <w:t>.</w:t>
      </w:r>
    </w:p>
    <w:p>
      <w:pPr>
        <w:pStyle w:val="Heading6"/>
        <w:numPr>
          <w:ilvl w:val="5"/>
          <w:numId w:val="1"/>
        </w:numPr>
        <w:rPr/>
      </w:pPr>
      <w:bookmarkStart w:id="931" w:name="__RefHeading___Toc795879_222507752"/>
      <w:bookmarkStart w:id="932" w:name="_Toc379"/>
      <w:bookmarkEnd w:id="931"/>
      <w:r>
        <w:rPr>
          <w:rtl w:val="true"/>
        </w:rPr>
        <w:t>مسألة</w:t>
      </w:r>
      <w:r>
        <w:rPr>
          <w:rtl w:val="true"/>
        </w:rPr>
        <w:t>:</w:t>
      </w:r>
      <w:r>
        <w:rPr>
          <w:rtl w:val="true"/>
        </w:rPr>
        <w:t>و تثبت العادة بأن يتوالى على المرأة شهران ترى فيهما الدّم أيّاما سواء</w:t>
      </w:r>
      <w:bookmarkEnd w:id="932"/>
    </w:p>
    <w:p>
      <w:pPr>
        <w:pStyle w:val="BookText"/>
        <w:rPr/>
      </w:pPr>
      <w:r>
        <w:rPr>
          <w:rFonts w:ascii="Amiri" w:hAnsi="Amiri" w:eastAsia="Amiri" w:cs="Amiri"/>
          <w:color w:val="111111"/>
          <w:sz w:val="28"/>
          <w:sz w:val="28"/>
          <w:szCs w:val="28"/>
          <w:rtl w:val="true"/>
          <w:lang w:bidi="ar-SA"/>
        </w:rPr>
        <w:t>لا زيادة فيها و لا نقصان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ذهب الشّافعيّ </w:t>
      </w:r>
      <w:r>
        <w:rPr>
          <w:rStyle w:val="FootnoteAnchor"/>
          <w:rtl w:val="true"/>
        </w:rPr>
        <w:footnoteReference w:id="1678"/>
      </w:r>
      <w:r>
        <w:rPr>
          <w:rFonts w:ascii="IRNazanin" w:hAnsi="IRNazanin" w:eastAsia="IRNazanin"/>
          <w:color w:val="111111"/>
          <w:sz w:val="28"/>
          <w:sz w:val="28"/>
          <w:szCs w:val="28"/>
          <w:rtl w:val="true"/>
          <w:lang w:bidi="fa-IR"/>
        </w:rPr>
        <w:t xml:space="preserve">،و أبو العبّاس </w:t>
      </w:r>
      <w:r>
        <w:rPr>
          <w:rStyle w:val="FootnoteAnchor"/>
          <w:rtl w:val="true"/>
        </w:rPr>
        <w:footnoteReference w:id="1679"/>
      </w:r>
      <w:r>
        <w:rPr>
          <w:rFonts w:ascii="IRNazanin" w:hAnsi="IRNazanin" w:eastAsia="IRNazanin"/>
          <w:color w:val="111111"/>
          <w:sz w:val="28"/>
          <w:sz w:val="28"/>
          <w:szCs w:val="28"/>
          <w:rtl w:val="true"/>
          <w:lang w:bidi="fa-IR"/>
        </w:rPr>
        <w:t xml:space="preserve">،و أبو إسحاق </w:t>
      </w:r>
      <w:r>
        <w:rPr>
          <w:rStyle w:val="FootnoteAnchor"/>
          <w:rtl w:val="true"/>
        </w:rPr>
        <w:footnoteReference w:id="1680"/>
      </w:r>
      <w:r>
        <w:rPr>
          <w:rFonts w:ascii="Amiri" w:hAnsi="Amiri" w:eastAsia="Amiri" w:cs="Amiri"/>
          <w:color w:val="111111"/>
          <w:sz w:val="28"/>
          <w:sz w:val="28"/>
          <w:szCs w:val="28"/>
          <w:rtl w:val="true"/>
          <w:lang w:bidi="ar-SA"/>
        </w:rPr>
        <w:t xml:space="preserve">من الشّافعيّة إلى انّها تثبت بمرّة واحدة،و ذهب أبو حنيفة و بعض الشّافعيّة إلى أنّها تثبت بمرّتين </w:t>
      </w:r>
      <w:r>
        <w:rPr>
          <w:rStyle w:val="FootnoteAnchor"/>
          <w:rtl w:val="true"/>
        </w:rPr>
        <w:footnoteReference w:id="1681"/>
      </w:r>
      <w:r>
        <w:rPr>
          <w:rStyle w:val="FootnoteAnchor"/>
          <w:rtl w:val="true"/>
        </w:rPr>
        <w:footnoteReference w:id="1682"/>
      </w:r>
      <w:r>
        <w:rPr>
          <w:rFonts w:ascii="Amiri" w:hAnsi="Amiri" w:eastAsia="Amiri" w:cs="Amiri"/>
          <w:color w:val="111111"/>
          <w:sz w:val="28"/>
          <w:sz w:val="28"/>
          <w:szCs w:val="28"/>
          <w:rtl w:val="true"/>
          <w:lang w:bidi="ar-SA"/>
        </w:rPr>
        <w:t>كما قلناه،و هو اختيار أحمد في إحدى الرّوايتين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روي عنه أنّها لا تثبت إلاّ بثلاث مرّات </w:t>
      </w:r>
      <w:r>
        <w:rPr>
          <w:rStyle w:val="FootnoteAnchor"/>
          <w:rtl w:val="true"/>
        </w:rPr>
        <w:footnoteReference w:id="168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بعض الشّافعيّة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تثبت في المبتدئة بمرّة و لا تنتقل العادة بمرّة </w:t>
      </w:r>
      <w:r>
        <w:rPr>
          <w:rStyle w:val="FootnoteAnchor"/>
          <w:rtl w:val="true"/>
        </w:rPr>
        <w:footnoteReference w:id="168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كانت عادتها عشرة،ثمَّ انّها رأت في شهر خمسة،ثمَّ استحيضت ردّت إلى العشرة لتأكّد حكم العشرة بالتّكرار،فلا يسقط حكمها إلاّ بما يساويها في القوّة</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الجمهور،عن النّبيّ صلّى اللّه عليه و آله انّه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دعي الصّلاة أيّام أقرائك</w:t>
      </w:r>
      <w:r>
        <w:rPr>
          <w:rFonts w:eastAsia="Amiri" w:cs="Amiri" w:ascii="Amiri" w:hAnsi="Amiri"/>
          <w:color w:val="111111"/>
          <w:sz w:val="28"/>
          <w:szCs w:val="28"/>
          <w:rtl w:val="true"/>
          <w:lang w:bidi="ar-SA"/>
        </w:rPr>
        <w:t xml:space="preserve">) </w:t>
      </w:r>
      <w:r>
        <w:rPr>
          <w:rStyle w:val="FootnoteAnchor"/>
          <w:rtl w:val="true"/>
        </w:rPr>
        <w:footnoteReference w:id="1685"/>
      </w:r>
      <w:r>
        <w:rPr>
          <w:rFonts w:ascii="Amiri" w:hAnsi="Amiri" w:eastAsia="Amiri" w:cs="Amiri"/>
          <w:color w:val="111111"/>
          <w:sz w:val="28"/>
          <w:sz w:val="28"/>
          <w:szCs w:val="28"/>
          <w:rtl w:val="true"/>
          <w:lang w:bidi="ar-SA"/>
        </w:rPr>
        <w:t>و لا يصدق الجمع على الواحد إجماعا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من طريق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الشّيخ،عن سماعة بن مهران،قال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الجارية البكر أوّل ما تحيض تقعد في الشّهر يومين و في الشّهر ثلاثة يختلف عليها لا يكون طمثها في الشّهر عدّة أيّام سواء؟قال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فلها أن تجلس و تدع الصّلاة ما دامت ترى الدّم ما لم تجز العشرة،فإذا اتّفق شهران عدّة أيّام سواء فتلك أيّامها</w:t>
      </w:r>
      <w:r>
        <w:rPr>
          <w:rFonts w:eastAsia="Amiri" w:cs="Amiri" w:ascii="Amiri" w:hAnsi="Amiri"/>
          <w:color w:val="111111"/>
          <w:sz w:val="28"/>
          <w:szCs w:val="28"/>
          <w:rtl w:val="true"/>
          <w:lang w:bidi="ar-SA"/>
        </w:rPr>
        <w:t xml:space="preserve">» </w:t>
      </w:r>
      <w:r>
        <w:rPr>
          <w:rStyle w:val="FootnoteAnchor"/>
          <w:rtl w:val="true"/>
        </w:rPr>
        <w:footnoteReference w:id="1686"/>
      </w:r>
      <w:r>
        <w:rPr>
          <w:rFonts w:ascii="Amiri" w:hAnsi="Amiri" w:eastAsia="Amiri" w:cs="Amiri"/>
          <w:color w:val="111111"/>
          <w:sz w:val="28"/>
          <w:sz w:val="28"/>
          <w:szCs w:val="28"/>
          <w:rtl w:val="true"/>
          <w:lang w:bidi="ar-SA"/>
        </w:rPr>
        <w:t xml:space="preserve">و سماعة واقفيّ </w:t>
      </w:r>
      <w:r>
        <w:rPr>
          <w:rStyle w:val="FootnoteAnchor"/>
          <w:rtl w:val="true"/>
        </w:rPr>
        <w:footnoteReference w:id="1687"/>
      </w:r>
      <w:r>
        <w:rPr>
          <w:rFonts w:ascii="Amiri" w:hAnsi="Amiri" w:eastAsia="Amiri" w:cs="Amiri"/>
          <w:color w:val="111111"/>
          <w:sz w:val="28"/>
          <w:sz w:val="28"/>
          <w:szCs w:val="28"/>
          <w:rtl w:val="true"/>
          <w:lang w:bidi="ar-SA"/>
        </w:rPr>
        <w:t xml:space="preserve">،و الرّاوي عنه عثمان بن </w:t>
      </w:r>
      <w:r>
        <w:rPr>
          <w:rStyle w:val="FootnoteAnchor"/>
          <w:rtl w:val="true"/>
        </w:rPr>
        <w:footnoteReference w:id="1688"/>
      </w:r>
      <w:r>
        <w:rPr>
          <w:rFonts w:ascii="Amiri" w:hAnsi="Amiri" w:eastAsia="Amiri" w:cs="Amiri"/>
          <w:color w:val="111111"/>
          <w:sz w:val="28"/>
          <w:sz w:val="28"/>
          <w:szCs w:val="28"/>
          <w:rtl w:val="true"/>
          <w:lang w:bidi="ar-SA"/>
        </w:rPr>
        <w:t>عيسى،و هو واقفيّ أيضا غير انّ الأصحاب تلقّتها بالقبول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رواه الشّيخ،عن يونس،عن غير واحد سألوا أبا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فاطمة بنت أبي حبيش استحاضت فأتت أمّ سلمة فسألت رسول اللّه صلّى اللّه عليه و آله في ذلك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تدع الصّلاة قدر أقرائها</w:t>
      </w:r>
      <w:r>
        <w:rPr>
          <w:rFonts w:eastAsia="Amiri" w:cs="Amiri" w:ascii="Amiri" w:hAnsi="Amiri"/>
          <w:color w:val="111111"/>
          <w:sz w:val="28"/>
          <w:szCs w:val="28"/>
          <w:rtl w:val="true"/>
          <w:lang w:bidi="ar-SA"/>
        </w:rPr>
        <w:t xml:space="preserve">» </w:t>
      </w:r>
      <w:r>
        <w:rPr>
          <w:rStyle w:val="FootnoteAnchor"/>
          <w:rtl w:val="true"/>
        </w:rPr>
        <w:footnoteReference w:id="1689"/>
      </w:r>
      <w:r>
        <w:rPr>
          <w:rFonts w:ascii="Amiri" w:hAnsi="Amiri" w:eastAsia="Amiri" w:cs="Amiri"/>
          <w:color w:val="111111"/>
          <w:sz w:val="28"/>
          <w:sz w:val="28"/>
          <w:szCs w:val="28"/>
          <w:rtl w:val="true"/>
          <w:lang w:bidi="ar-SA"/>
        </w:rPr>
        <w:t>و قد قلنا انّ الجمع لا يصدق على الواحد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الشّيخ،عن فضيل و زرارة،عن أحدهما عليهما السّلام،قال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المستحاضة تكفّ عن الصّلاة أيّام أقرائها</w:t>
      </w:r>
      <w:r>
        <w:rPr>
          <w:rFonts w:eastAsia="Amiri" w:cs="Amiri" w:ascii="Amiri" w:hAnsi="Amiri"/>
          <w:color w:val="111111"/>
          <w:sz w:val="28"/>
          <w:szCs w:val="28"/>
          <w:rtl w:val="true"/>
          <w:lang w:bidi="ar-SA"/>
        </w:rPr>
        <w:t xml:space="preserve">» </w:t>
      </w:r>
      <w:r>
        <w:rPr>
          <w:rStyle w:val="FootnoteAnchor"/>
          <w:rtl w:val="true"/>
        </w:rPr>
        <w:footnoteReference w:id="1690"/>
      </w:r>
      <w:r>
        <w:rPr>
          <w:rFonts w:eastAsia="Times New Roman" w:cs="Times New Roman" w:ascii="Times New Roman" w:hAnsi="Times New Roman"/>
          <w:color w:val="111111"/>
          <w:sz w:val="28"/>
          <w:szCs w:val="28"/>
          <w:rtl w:val="true"/>
          <w:lang w:val="en-US" w:bidi="en-US"/>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رواه الشّيخ،عن مالك بن أعين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جعفر عليه السّلام عن المستحاضة كيف يغشاها زوجها؟قال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ينظر الأيّام الّتي كانت تحيض فيها و حيضتها مستقيمة فلا يقربها في عدّة تلك الأيّام</w:t>
      </w:r>
      <w:r>
        <w:rPr>
          <w:rFonts w:eastAsia="Amiri" w:cs="Amiri" w:ascii="Amiri" w:hAnsi="Amiri"/>
          <w:color w:val="111111"/>
          <w:sz w:val="28"/>
          <w:szCs w:val="28"/>
          <w:rtl w:val="true"/>
          <w:lang w:bidi="ar-SA"/>
        </w:rPr>
        <w:t xml:space="preserve">» </w:t>
      </w:r>
      <w:r>
        <w:rPr>
          <w:rStyle w:val="FootnoteAnchor"/>
          <w:rtl w:val="true"/>
        </w:rPr>
        <w:footnoteReference w:id="1691"/>
      </w:r>
      <w:r>
        <w:rPr>
          <w:rFonts w:ascii="Amiri" w:hAnsi="Amiri" w:eastAsia="Amiri" w:cs="Amiri"/>
          <w:color w:val="111111"/>
          <w:sz w:val="28"/>
          <w:sz w:val="28"/>
          <w:szCs w:val="28"/>
          <w:rtl w:val="true"/>
          <w:lang w:bidi="ar-SA"/>
        </w:rPr>
        <w:t xml:space="preserve">و الاستقامة إنّما تكون بمعاودة المرّة </w:t>
      </w:r>
      <w:bookmarkStart w:id="933" w:name="pg12669_113105"/>
    </w:p>
    <w:p>
      <w:pPr>
        <w:pStyle w:val="BookText"/>
        <w:rPr/>
      </w:pPr>
      <w:bookmarkEnd w:id="933"/>
      <w:r>
        <w:rPr>
          <w:rFonts w:ascii="Amiri" w:hAnsi="Amiri" w:eastAsia="Amiri" w:cs="Amiri"/>
          <w:color w:val="111111"/>
          <w:sz w:val="28"/>
          <w:sz w:val="28"/>
          <w:szCs w:val="28"/>
          <w:rtl w:val="true"/>
          <w:lang w:bidi="ar-SA"/>
        </w:rPr>
        <w:t>الثّانية على حذو المرّة الاولى،و لأنّ العادة مأخوذة من المعاودة،و المعاودة لا تصدق بالمرّة الواحدة،و صدق المشتق يستدعي صدق المشتق منه قطعا،ضرورة توقّف صدق الكلّ على صدق الجزء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احتجّ الشّافعيّ </w:t>
      </w:r>
      <w:r>
        <w:rPr>
          <w:rStyle w:val="FootnoteAnchor"/>
          <w:rtl w:val="true"/>
        </w:rPr>
        <w:footnoteReference w:id="1692"/>
      </w:r>
      <w:r>
        <w:rPr>
          <w:rFonts w:ascii="Amiri" w:hAnsi="Amiri" w:eastAsia="Amiri" w:cs="Amiri"/>
          <w:color w:val="111111"/>
          <w:sz w:val="28"/>
          <w:sz w:val="28"/>
          <w:szCs w:val="28"/>
          <w:rtl w:val="true"/>
          <w:lang w:bidi="ar-SA"/>
        </w:rPr>
        <w:t>بأنّ النّبيّ صلّى اللّه عليه و آله قال للمرأة الّتي كانت تهراق الدّماء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لتنظر عدّة الأيّام و اللّيالي الّتي كانت تحيضهنّ قبل أن يصيبها الّذي أصابها فلتترك الصّلاة قدر ذلك من الشّهر</w:t>
      </w:r>
      <w:r>
        <w:rPr>
          <w:rFonts w:eastAsia="Amiri" w:cs="Amiri" w:ascii="Amiri" w:hAnsi="Amiri"/>
          <w:color w:val="111111"/>
          <w:sz w:val="28"/>
          <w:szCs w:val="28"/>
          <w:rtl w:val="true"/>
          <w:lang w:bidi="ar-SA"/>
        </w:rPr>
        <w:t xml:space="preserve">) </w:t>
      </w:r>
      <w:r>
        <w:rPr>
          <w:rStyle w:val="FootnoteAnchor"/>
          <w:rtl w:val="true"/>
        </w:rPr>
        <w:footnoteReference w:id="1693"/>
      </w:r>
      <w:r>
        <w:rPr>
          <w:rFonts w:ascii="Amiri" w:hAnsi="Amiri" w:eastAsia="Amiri" w:cs="Amiri"/>
          <w:color w:val="111111"/>
          <w:sz w:val="28"/>
          <w:sz w:val="28"/>
          <w:szCs w:val="28"/>
          <w:rtl w:val="true"/>
          <w:lang w:bidi="ar-SA"/>
        </w:rPr>
        <w:t>ردّها إلى الشّهر الّذي يلي شهر الاستحاضة، و لأنّ ذلك أقرب إليها،فوجب ردّها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الحديث حجّة لنا،لأنّه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لتنظر عدّة اللّيالي و الأيّام الّتي كانت تحيضهنّ من الشّهر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يقال لمن فعل شيئا مرّة واحدة كان يفعل،و لأنّه ليس بصريح في الاقتصار على المرّة،فلا يعارض ما ذكرناه</w:t>
      </w:r>
      <w:r>
        <w:rPr>
          <w:rFonts w:eastAsia="Amiri" w:cs="Amiri" w:ascii="Amiri" w:hAnsi="Amiri"/>
          <w:color w:val="111111"/>
          <w:sz w:val="28"/>
          <w:szCs w:val="28"/>
          <w:rtl w:val="true"/>
          <w:lang w:bidi="ar-SA"/>
        </w:rPr>
        <w:t>.</w:t>
      </w:r>
    </w:p>
    <w:p>
      <w:pPr>
        <w:pStyle w:val="Heading6"/>
        <w:numPr>
          <w:ilvl w:val="5"/>
          <w:numId w:val="1"/>
        </w:numPr>
        <w:rPr/>
      </w:pPr>
      <w:bookmarkStart w:id="934" w:name="__RefHeading___Toc795881_222507752"/>
      <w:bookmarkStart w:id="935" w:name="_Toc380"/>
      <w:bookmarkEnd w:id="934"/>
      <w:r>
        <w:rPr>
          <w:rtl w:val="true"/>
        </w:rPr>
        <w:t>فروع</w:t>
      </w:r>
      <w:r>
        <w:rPr>
          <w:rtl w:val="true"/>
        </w:rPr>
        <w:t>:</w:t>
      </w:r>
      <w:bookmarkEnd w:id="935"/>
    </w:p>
    <w:p>
      <w:pPr>
        <w:pStyle w:val="Heading6"/>
        <w:numPr>
          <w:ilvl w:val="5"/>
          <w:numId w:val="1"/>
        </w:numPr>
        <w:rPr/>
      </w:pPr>
      <w:bookmarkStart w:id="936" w:name="__RefHeading___Toc795883_222507752"/>
      <w:bookmarkStart w:id="937" w:name="_Toc381"/>
      <w:bookmarkEnd w:id="936"/>
      <w:r>
        <w:rPr>
          <w:rtl w:val="true"/>
        </w:rPr>
        <w:t>الأوّل</w:t>
      </w:r>
      <w:r>
        <w:rPr>
          <w:rtl w:val="true"/>
        </w:rPr>
        <w:t>:</w:t>
      </w:r>
      <w:r>
        <w:rPr>
          <w:rtl w:val="true"/>
        </w:rPr>
        <w:t>إذا عرفت المرأة شهرها صارت ذات عادة</w:t>
      </w:r>
      <w:r>
        <w:rPr>
          <w:rtl w:val="true"/>
        </w:rPr>
        <w:t>.</w:t>
      </w:r>
      <w:bookmarkEnd w:id="937"/>
    </w:p>
    <w:p>
      <w:pPr>
        <w:pStyle w:val="BookText"/>
        <w:rPr/>
      </w:pPr>
      <w:r>
        <w:rPr>
          <w:rFonts w:ascii="Amiri" w:hAnsi="Amiri" w:eastAsia="Amiri" w:cs="Amiri"/>
          <w:color w:val="111111"/>
          <w:sz w:val="28"/>
          <w:sz w:val="28"/>
          <w:szCs w:val="28"/>
          <w:rtl w:val="true"/>
          <w:lang w:bidi="ar-SA"/>
        </w:rPr>
        <w:t>و هو إجماع أهل العلم كافّة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بشهر المرأة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المدّة الّتي لها فيها حيض و طهر،و أقلّه ثلاثة عشر يوما عندنا، و هذا مبنيّ على أقلّ الحيض و أكثر الطّهر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القائلون بأنّ أكثر الطّهر خمسة عشر و أقلّ الحيض يوم،فأقصر شهرها ستّة عشر يوما</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عرفت أيّام حيضها و لم تعرف أيّام طهرها أو بالعكس فليست معتادة،لكنّها متى جهلت شهرها،رددناها إلى الغالب فحيضناها في كلّ شهر حيضة</w:t>
      </w:r>
      <w:r>
        <w:rPr>
          <w:rFonts w:eastAsia="Amiri" w:cs="Amiri" w:ascii="Amiri" w:hAnsi="Amiri"/>
          <w:color w:val="111111"/>
          <w:sz w:val="28"/>
          <w:szCs w:val="28"/>
          <w:rtl w:val="true"/>
          <w:lang w:bidi="ar-SA"/>
        </w:rPr>
        <w:t xml:space="preserve">. </w:t>
      </w:r>
      <w:bookmarkStart w:id="938" w:name="pg12669_113106"/>
    </w:p>
    <w:p>
      <w:pPr>
        <w:pStyle w:val="Heading6"/>
        <w:numPr>
          <w:ilvl w:val="5"/>
          <w:numId w:val="1"/>
        </w:numPr>
        <w:rPr/>
      </w:pPr>
      <w:bookmarkStart w:id="939" w:name="__RefHeading___Toc795885_222507752"/>
      <w:bookmarkStart w:id="940" w:name="_Toc382"/>
      <w:bookmarkEnd w:id="938"/>
      <w:bookmarkEnd w:id="939"/>
      <w:r>
        <w:rPr>
          <w:rtl w:val="true"/>
        </w:rPr>
        <w:t>الثّاني</w:t>
      </w:r>
      <w:r>
        <w:rPr>
          <w:rtl w:val="true"/>
        </w:rPr>
        <w:t>:</w:t>
      </w:r>
      <w:r>
        <w:rPr>
          <w:rtl w:val="true"/>
        </w:rPr>
        <w:t>لا يشترط في استقرار العادة استقرار عادة الطّهر</w:t>
      </w:r>
      <w:r>
        <w:rPr>
          <w:rtl w:val="true"/>
        </w:rPr>
        <w:t>.</w:t>
      </w:r>
      <w:bookmarkEnd w:id="940"/>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تدع الصّلاة أيّام أقرائها</w:t>
      </w:r>
      <w:r>
        <w:rPr>
          <w:rFonts w:eastAsia="Amiri" w:cs="Amiri" w:ascii="Amiri" w:hAnsi="Amiri"/>
          <w:color w:val="111111"/>
          <w:sz w:val="28"/>
          <w:szCs w:val="28"/>
          <w:rtl w:val="true"/>
          <w:lang w:bidi="ar-SA"/>
        </w:rPr>
        <w:t xml:space="preserve">) </w:t>
      </w:r>
      <w:r>
        <w:rPr>
          <w:rStyle w:val="FootnoteAnchor"/>
          <w:rtl w:val="true"/>
        </w:rPr>
        <w:footnoteReference w:id="1694"/>
      </w:r>
      <w:r>
        <w:rPr>
          <w:rFonts w:ascii="Amiri" w:hAnsi="Amiri" w:eastAsia="Amiri" w:cs="Amiri"/>
          <w:color w:val="111111"/>
          <w:sz w:val="28"/>
          <w:sz w:val="28"/>
          <w:szCs w:val="28"/>
          <w:rtl w:val="true"/>
          <w:lang w:bidi="ar-SA"/>
        </w:rPr>
        <w:t>فلو رأت في شهر خمسة،ثمَّ رأت طهرا بقيّة الشّهر،ثمَّ رأت في الآخر مرّتين بعدد تلك الأيّام بينهما عشرون،و في الثّالث بالعدد بينهما أقل،استقرّت العادة</w:t>
      </w:r>
      <w:r>
        <w:rPr>
          <w:rFonts w:eastAsia="Amiri" w:cs="Amiri" w:ascii="Amiri" w:hAnsi="Amiri"/>
          <w:color w:val="111111"/>
          <w:sz w:val="28"/>
          <w:szCs w:val="28"/>
          <w:rtl w:val="true"/>
          <w:lang w:bidi="ar-SA"/>
        </w:rPr>
        <w:t>.</w:t>
      </w:r>
    </w:p>
    <w:p>
      <w:pPr>
        <w:pStyle w:val="Heading6"/>
        <w:numPr>
          <w:ilvl w:val="5"/>
          <w:numId w:val="1"/>
        </w:numPr>
        <w:rPr/>
      </w:pPr>
      <w:bookmarkStart w:id="941" w:name="__RefHeading___Toc795887_222507752"/>
      <w:bookmarkStart w:id="942" w:name="_Toc383"/>
      <w:bookmarkEnd w:id="941"/>
      <w:r>
        <w:rPr>
          <w:rtl w:val="true"/>
        </w:rPr>
        <w:t>الثّالث</w:t>
      </w:r>
      <w:r>
        <w:rPr>
          <w:rtl w:val="true"/>
        </w:rPr>
        <w:t>:</w:t>
      </w:r>
      <w:r>
        <w:rPr>
          <w:rtl w:val="true"/>
        </w:rPr>
        <w:t>لا يشترط التّساوي في الوقت،فإنّ العادة تتقدّم و تتأخّر بالوجدان،</w:t>
      </w:r>
      <w:bookmarkEnd w:id="942"/>
    </w:p>
    <w:p>
      <w:pPr>
        <w:pStyle w:val="BookText"/>
        <w:rPr/>
      </w:pPr>
      <w:r>
        <w:rPr>
          <w:rFonts w:ascii="Amiri" w:hAnsi="Amiri" w:eastAsia="Amiri" w:cs="Amiri"/>
          <w:color w:val="111111"/>
          <w:sz w:val="28"/>
          <w:sz w:val="28"/>
          <w:szCs w:val="28"/>
          <w:rtl w:val="true"/>
          <w:lang w:bidi="ar-SA"/>
        </w:rPr>
        <w:t>و لأنّ الحديث دالّ على ترك الصّلاة بقدر الأقراء</w:t>
      </w:r>
      <w:r>
        <w:rPr>
          <w:rFonts w:eastAsia="Amiri" w:cs="Amiri" w:ascii="Amiri" w:hAnsi="Amiri"/>
          <w:color w:val="111111"/>
          <w:sz w:val="28"/>
          <w:szCs w:val="28"/>
          <w:rtl w:val="true"/>
          <w:lang w:bidi="ar-SA"/>
        </w:rPr>
        <w:t>.</w:t>
      </w:r>
    </w:p>
    <w:p>
      <w:pPr>
        <w:pStyle w:val="Heading6"/>
        <w:numPr>
          <w:ilvl w:val="5"/>
          <w:numId w:val="1"/>
        </w:numPr>
        <w:rPr/>
      </w:pPr>
      <w:bookmarkStart w:id="943" w:name="__RefHeading___Toc795889_222507752"/>
      <w:bookmarkStart w:id="944" w:name="_Toc384"/>
      <w:bookmarkEnd w:id="943"/>
      <w:r>
        <w:rPr>
          <w:rtl w:val="true"/>
        </w:rPr>
        <w:t>الرّابع</w:t>
      </w:r>
      <w:r>
        <w:rPr>
          <w:rtl w:val="true"/>
        </w:rPr>
        <w:t>:</w:t>
      </w:r>
      <w:r>
        <w:rPr>
          <w:rtl w:val="true"/>
        </w:rPr>
        <w:t>لا يشترط في العادة تكثّر الأشهر فلو رأت خمسة في شهر،ثمَّ فيه خمسة</w:t>
      </w:r>
      <w:bookmarkEnd w:id="944"/>
    </w:p>
    <w:p>
      <w:pPr>
        <w:pStyle w:val="BookText"/>
        <w:rPr/>
      </w:pPr>
      <w:r>
        <w:rPr>
          <w:rFonts w:ascii="Amiri" w:hAnsi="Amiri" w:eastAsia="Amiri" w:cs="Amiri"/>
          <w:color w:val="111111"/>
          <w:sz w:val="28"/>
          <w:sz w:val="28"/>
          <w:szCs w:val="28"/>
          <w:rtl w:val="true"/>
          <w:lang w:bidi="ar-SA"/>
        </w:rPr>
        <w:t>أخرى،صار ذلك عادة في الشّهر الثّاني</w:t>
      </w:r>
    </w:p>
    <w:p>
      <w:pPr>
        <w:pStyle w:val="BookText"/>
        <w:rPr/>
      </w:pPr>
      <w:r>
        <w:rPr>
          <w:rFonts w:ascii="Amiri" w:hAnsi="Amiri" w:eastAsia="Amiri" w:cs="Amiri"/>
          <w:color w:val="111111"/>
          <w:sz w:val="28"/>
          <w:sz w:val="28"/>
          <w:szCs w:val="28"/>
          <w:rtl w:val="true"/>
          <w:lang w:bidi="ar-SA"/>
        </w:rPr>
        <w:t>إذا استمرّت تحيّضت فيه بالخمستين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رأت خمسة أوّل الشّهر،ثمَّ خمسة و خمسين طهرا،ثمَّ خمسة في أوّل الثّالث،ثمَّ خمسة و خمسين طهرا استقرّت عادتها بخمسة حيضا و بخمسة و خمسين طهرا،و ذلك لأنّ العادة مأخوذة من المعاودة</w:t>
      </w:r>
      <w:r>
        <w:rPr>
          <w:rFonts w:eastAsia="Amiri" w:cs="Amiri" w:ascii="Amiri" w:hAnsi="Amiri"/>
          <w:color w:val="111111"/>
          <w:sz w:val="28"/>
          <w:szCs w:val="28"/>
          <w:rtl w:val="true"/>
          <w:lang w:bidi="ar-SA"/>
        </w:rPr>
        <w:t>.</w:t>
      </w:r>
    </w:p>
    <w:p>
      <w:pPr>
        <w:pStyle w:val="Heading6"/>
        <w:numPr>
          <w:ilvl w:val="5"/>
          <w:numId w:val="1"/>
        </w:numPr>
        <w:rPr/>
      </w:pPr>
      <w:bookmarkStart w:id="945" w:name="__RefHeading___Toc795891_222507752"/>
      <w:bookmarkStart w:id="946" w:name="_Toc385"/>
      <w:bookmarkEnd w:id="945"/>
      <w:r>
        <w:rPr>
          <w:rtl w:val="true"/>
        </w:rPr>
        <w:t>الخامس</w:t>
      </w:r>
      <w:r>
        <w:rPr>
          <w:rtl w:val="true"/>
        </w:rPr>
        <w:t>:</w:t>
      </w:r>
      <w:r>
        <w:rPr>
          <w:rtl w:val="true"/>
        </w:rPr>
        <w:t>لو اتّفق العدد و الوقت في المرّة الثّانية مع الاولى صار عادة،</w:t>
      </w:r>
      <w:bookmarkEnd w:id="946"/>
    </w:p>
    <w:p>
      <w:pPr>
        <w:pStyle w:val="BookText"/>
        <w:rPr/>
      </w:pPr>
      <w:r>
        <w:rPr>
          <w:rFonts w:ascii="Amiri" w:hAnsi="Amiri" w:eastAsia="Amiri" w:cs="Amiri"/>
          <w:color w:val="111111"/>
          <w:sz w:val="28"/>
          <w:sz w:val="28"/>
          <w:szCs w:val="28"/>
          <w:rtl w:val="true"/>
          <w:lang w:bidi="ar-SA"/>
        </w:rPr>
        <w:t>أمّا العدد فظاهر،و أمّا الوقت فلقول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فهذه سنّة الّتي تعرف أيّام أقرائها لا وقت لها إلاّ أيّامها،قلّت أو كثرت</w:t>
      </w:r>
      <w:r>
        <w:rPr>
          <w:rFonts w:eastAsia="Amiri" w:cs="Amiri" w:ascii="Amiri" w:hAnsi="Amiri"/>
          <w:color w:val="111111"/>
          <w:sz w:val="28"/>
          <w:szCs w:val="28"/>
          <w:rtl w:val="true"/>
          <w:lang w:bidi="ar-SA"/>
        </w:rPr>
        <w:t xml:space="preserve">» </w:t>
      </w:r>
      <w:r>
        <w:rPr>
          <w:rStyle w:val="FootnoteAnchor"/>
          <w:rtl w:val="true"/>
        </w:rPr>
        <w:footnoteReference w:id="169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947" w:name="__RefHeading___Toc795893_222507752"/>
      <w:bookmarkStart w:id="948" w:name="_Toc386"/>
      <w:bookmarkEnd w:id="947"/>
      <w:r>
        <w:rPr>
          <w:rtl w:val="true"/>
        </w:rPr>
        <w:t>السّادس</w:t>
      </w:r>
      <w:r>
        <w:rPr>
          <w:rtl w:val="true"/>
        </w:rPr>
        <w:t>:</w:t>
      </w:r>
      <w:r>
        <w:rPr>
          <w:rtl w:val="true"/>
        </w:rPr>
        <w:t>العادة تثبت بالتّمييز،</w:t>
      </w:r>
      <w:bookmarkEnd w:id="948"/>
    </w:p>
    <w:p>
      <w:pPr>
        <w:pStyle w:val="BookText"/>
        <w:rPr/>
      </w:pPr>
      <w:r>
        <w:rPr>
          <w:rFonts w:ascii="Amiri" w:hAnsi="Amiri" w:eastAsia="Amiri" w:cs="Amiri"/>
          <w:color w:val="111111"/>
          <w:sz w:val="28"/>
          <w:sz w:val="28"/>
          <w:szCs w:val="28"/>
          <w:rtl w:val="true"/>
          <w:lang w:bidi="ar-SA"/>
        </w:rPr>
        <w:t>فإذا رأت في الشّهرين الأوّلين خمسة أيّام دما أسود و باقيها أحمر،ثمَّ رأت في الثّالث دما مبهما،تحيّضت بالخمسة</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المبتدئة ترجع إلى التّمييز لما يأتي فتتحيّض به،فإذا عاودها صار عادة، فوجب الرّجوع إليه في الثّالث،و لا نعرف فيه خلافا</w:t>
      </w:r>
      <w:r>
        <w:rPr>
          <w:rFonts w:eastAsia="Amiri" w:cs="Amiri" w:ascii="Amiri" w:hAnsi="Amiri"/>
          <w:color w:val="111111"/>
          <w:sz w:val="28"/>
          <w:szCs w:val="28"/>
          <w:rtl w:val="true"/>
          <w:lang w:bidi="ar-SA"/>
        </w:rPr>
        <w:t xml:space="preserve">. </w:t>
      </w:r>
      <w:bookmarkStart w:id="949" w:name="pg12669_113107"/>
    </w:p>
    <w:p>
      <w:pPr>
        <w:pStyle w:val="Heading6"/>
        <w:numPr>
          <w:ilvl w:val="5"/>
          <w:numId w:val="1"/>
        </w:numPr>
        <w:rPr/>
      </w:pPr>
      <w:bookmarkStart w:id="950" w:name="__RefHeading___Toc795895_222507752"/>
      <w:bookmarkStart w:id="951" w:name="_Toc387"/>
      <w:bookmarkEnd w:id="949"/>
      <w:bookmarkEnd w:id="950"/>
      <w:r>
        <w:rPr>
          <w:rtl w:val="true"/>
        </w:rPr>
        <w:t>السّابع</w:t>
      </w:r>
      <w:r>
        <w:rPr>
          <w:rtl w:val="true"/>
        </w:rPr>
        <w:t>:</w:t>
      </w:r>
      <w:r>
        <w:rPr>
          <w:rtl w:val="true"/>
        </w:rPr>
        <w:t>لو رأت المبتدئة في الشّهر الأوّل عشرة،و في الثّاني خمسة،صارت</w:t>
      </w:r>
      <w:bookmarkEnd w:id="951"/>
    </w:p>
    <w:p>
      <w:pPr>
        <w:pStyle w:val="BookText"/>
        <w:rPr/>
      </w:pPr>
      <w:r>
        <w:rPr>
          <w:rFonts w:ascii="Amiri" w:hAnsi="Amiri" w:eastAsia="Amiri" w:cs="Amiri"/>
          <w:color w:val="111111"/>
          <w:sz w:val="28"/>
          <w:sz w:val="28"/>
          <w:szCs w:val="28"/>
          <w:rtl w:val="true"/>
          <w:lang w:bidi="ar-SA"/>
        </w:rPr>
        <w:t>الخمسة عادة</w:t>
      </w:r>
    </w:p>
    <w:p>
      <w:pPr>
        <w:pStyle w:val="BookText"/>
        <w:rPr/>
      </w:pPr>
      <w:r>
        <w:rPr>
          <w:rFonts w:ascii="Amiri" w:hAnsi="Amiri" w:eastAsia="Amiri" w:cs="Amiri"/>
          <w:color w:val="111111"/>
          <w:sz w:val="28"/>
          <w:sz w:val="28"/>
          <w:szCs w:val="28"/>
          <w:rtl w:val="true"/>
          <w:lang w:bidi="ar-SA"/>
        </w:rPr>
        <w:t>لتكرّرها،فإنّها موجودة في العشرة،و لو انعكست فكذلك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يحتمل فيهما أن لا يكون لها عادة،لأنّها لم تجد فيهما أيّاما سواء</w:t>
      </w:r>
      <w:r>
        <w:rPr>
          <w:rFonts w:eastAsia="Amiri" w:cs="Amiri" w:ascii="Amiri" w:hAnsi="Amiri"/>
          <w:color w:val="111111"/>
          <w:sz w:val="28"/>
          <w:szCs w:val="28"/>
          <w:rtl w:val="true"/>
          <w:lang w:bidi="ar-SA"/>
        </w:rPr>
        <w:t>.</w:t>
      </w:r>
    </w:p>
    <w:p>
      <w:pPr>
        <w:pStyle w:val="Heading6"/>
        <w:numPr>
          <w:ilvl w:val="5"/>
          <w:numId w:val="1"/>
        </w:numPr>
        <w:rPr/>
      </w:pPr>
      <w:bookmarkStart w:id="952" w:name="__RefHeading___Toc795897_222507752"/>
      <w:bookmarkStart w:id="953" w:name="_Toc388"/>
      <w:bookmarkEnd w:id="952"/>
      <w:r>
        <w:rPr>
          <w:rtl w:val="true"/>
        </w:rPr>
        <w:t>مسألة</w:t>
      </w:r>
      <w:r>
        <w:rPr>
          <w:rtl w:val="true"/>
        </w:rPr>
        <w:t>:</w:t>
      </w:r>
      <w:r>
        <w:rPr>
          <w:rtl w:val="true"/>
        </w:rPr>
        <w:t>و العادة إمّا متّفقة و إمّا مختلفة</w:t>
      </w:r>
      <w:bookmarkEnd w:id="953"/>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،فالمتّفقة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تكون أيّامها متساوية، كأربعة في كلّ شهر،فإذا تجاوز الدّم العشرة في شهر،تحيّضت بأربعة 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المختلفة فإمّا أن تكون مترتّبة أو لا؟فالمترتّبة كالمتّفقة،كما إذا رأت في الشّهر الأوّل ثلاثة،و في الثّاني أربعة،و في الثّالث خمسة،ثمَّ عادت إلى ثلاثة،ثمَّ إلى أربعة،ثمَّ إلى خمسة و هكذا،صار ذلك عادة،فإذا تجاوز الدّم في شهر العشرة تحيّضت بنوبة ذلك الشّهر،ثمَّ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تاليه</w:t>
      </w:r>
      <w:r>
        <w:rPr>
          <w:rFonts w:eastAsia="Amiri" w:cs="Amiri" w:ascii="Amiri" w:hAnsi="Amiri"/>
          <w:color w:val="111111"/>
          <w:sz w:val="28"/>
          <w:szCs w:val="28"/>
          <w:rtl w:val="true"/>
          <w:lang w:bidi="ar-SA"/>
        </w:rPr>
        <w:t xml:space="preserve">] </w:t>
      </w:r>
      <w:r>
        <w:rPr>
          <w:rStyle w:val="FootnoteAnchor"/>
          <w:rtl w:val="true"/>
        </w:rPr>
        <w:footnoteReference w:id="1696"/>
      </w:r>
      <w:r>
        <w:rPr>
          <w:rFonts w:ascii="Amiri" w:hAnsi="Amiri" w:eastAsia="Amiri" w:cs="Amiri"/>
          <w:color w:val="111111"/>
          <w:sz w:val="28"/>
          <w:sz w:val="28"/>
          <w:szCs w:val="28"/>
          <w:rtl w:val="true"/>
          <w:lang w:bidi="ar-SA"/>
        </w:rPr>
        <w:t>على العادة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نسيت نوبته فالحقّ عندي أنّها تجلس أقلّ الحيض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شكّت في انّه أحد الأخيرين حيّضناها بأربعة لأنّها اليقين،ثمَّ تجلس في الأخيرين ثلاثة ثلاثة لاحتمال أن يكون ما حيّضناها بالأربعة فيه،شهر الخمسة فالتّالي له ثلاثة،و يحتمل أن يكون شهر الأربعة فالتّالي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لتاليه</w:t>
      </w:r>
      <w:r>
        <w:rPr>
          <w:rFonts w:eastAsia="Amiri" w:cs="Amiri" w:ascii="Amiri" w:hAnsi="Amiri"/>
          <w:color w:val="111111"/>
          <w:sz w:val="28"/>
          <w:szCs w:val="28"/>
          <w:rtl w:val="true"/>
          <w:lang w:bidi="ar-SA"/>
        </w:rPr>
        <w:t xml:space="preserve">] </w:t>
      </w:r>
      <w:r>
        <w:rPr>
          <w:rStyle w:val="FootnoteAnchor"/>
          <w:rtl w:val="true"/>
        </w:rPr>
        <w:footnoteReference w:id="1697"/>
      </w:r>
      <w:r>
        <w:rPr>
          <w:rFonts w:ascii="Amiri" w:hAnsi="Amiri" w:eastAsia="Amiri" w:cs="Amiri"/>
          <w:color w:val="111111"/>
          <w:sz w:val="28"/>
          <w:sz w:val="28"/>
          <w:szCs w:val="28"/>
          <w:rtl w:val="true"/>
          <w:lang w:bidi="ar-SA"/>
        </w:rPr>
        <w:t xml:space="preserve">شهر الثّلاثة،أمّا في الرّابع فتتحيّض بأربعة،ثمَّ تعود إلى الثّلاثة و هكذا إلى وقت الذّكر،و هل يجزيها غسل واحد عند انقضاء المدّة الّتي جلستها؟قيل </w:t>
      </w:r>
      <w:r>
        <w:rPr>
          <w:rStyle w:val="FootnoteAnchor"/>
          <w:rtl w:val="true"/>
        </w:rPr>
        <w:footnoteReference w:id="169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نعم،لأنّها كالنّاسية إذا جلست أقلّ الحيض،لأنّ ما زاد على اليقين مشكوك و لا وجوب مع الشّك،إذ الأصل براءة الذّمة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الوجه عندي وجوب الغسل يوم الرّابع و الخامس معا،لأنّ يقين الحدث و هو الحيض قد حصل،و ارتفاعه بالغسل الأوّل مشكوك فيه،فتعمل باليقين مع التّعارض، و لأنّها في اليوم الخامس تعلم وجوب الغسل عليها في أحد الأيّام الثّلاثة و قد حصل الاشتباه،و صحّة الصّلاة متوقّفة على الغسل،فيجب كالنّاسي لتعيّن الصّلاة الفائتة، </w:t>
      </w:r>
      <w:bookmarkStart w:id="954" w:name="pg12669_113108"/>
    </w:p>
    <w:p>
      <w:pPr>
        <w:pStyle w:val="BookText"/>
        <w:rPr/>
      </w:pPr>
      <w:bookmarkEnd w:id="954"/>
      <w:r>
        <w:rPr>
          <w:rFonts w:ascii="Amiri" w:hAnsi="Amiri" w:eastAsia="Amiri" w:cs="Amiri"/>
          <w:color w:val="111111"/>
          <w:sz w:val="28"/>
          <w:sz w:val="28"/>
          <w:szCs w:val="28"/>
          <w:rtl w:val="true"/>
          <w:lang w:bidi="ar-SA"/>
        </w:rPr>
        <w:t>و بهذا ظهر الفرق بينها و بين النّاسية،إذ تلك لا تعلم لها حيضا زائدا على ما جلسته، و هذه عالمة،فوقف صحّة صلاة هذه على الطّهارة الثّانية بخلاف الاولى،و تتحيّض في رمضان بثلاثة و تقضي يومين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لم تكن مرتّبة،مثل أن رأت في الأوّل ثلاثة،و في الثّاني خمسة،و في الثّالث أربعة،فإن أمكن ضبطه و اعتاد هو،فهو كالمتّفق و إلاّ جلست الأقلّ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تجلس الأكثر كالنّاسية </w:t>
      </w:r>
      <w:r>
        <w:rPr>
          <w:rStyle w:val="FootnoteAnchor"/>
          <w:rtl w:val="true"/>
        </w:rPr>
        <w:footnoteReference w:id="169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خطأ،إذ هذه تعلم وجوب الصّلاة في اليوم الرّابع و الخامس، أو الرّابع في أحد الأشهر،بخلاف تلك الّتي علم حيضها يقينا،و الأصل بقاؤه،فصار كالصّلاة المنسي بعينها</w:t>
      </w:r>
      <w:r>
        <w:rPr>
          <w:rFonts w:eastAsia="Amiri" w:cs="Amiri" w:ascii="Amiri" w:hAnsi="Amiri"/>
          <w:color w:val="111111"/>
          <w:sz w:val="28"/>
          <w:szCs w:val="28"/>
          <w:rtl w:val="true"/>
          <w:lang w:bidi="ar-SA"/>
        </w:rPr>
        <w:t>.</w:t>
      </w:r>
    </w:p>
    <w:p>
      <w:pPr>
        <w:pStyle w:val="Heading6"/>
        <w:numPr>
          <w:ilvl w:val="5"/>
          <w:numId w:val="1"/>
        </w:numPr>
        <w:rPr/>
      </w:pPr>
      <w:bookmarkStart w:id="955" w:name="__RefHeading___Toc795899_222507752"/>
      <w:bookmarkStart w:id="956" w:name="_Toc389"/>
      <w:bookmarkEnd w:id="955"/>
      <w:r>
        <w:rPr>
          <w:rtl w:val="true"/>
        </w:rPr>
        <w:t>فرع</w:t>
      </w:r>
      <w:r>
        <w:rPr>
          <w:rtl w:val="true"/>
        </w:rPr>
        <w:t>:</w:t>
      </w:r>
      <w:r>
        <w:rPr>
          <w:rtl w:val="true"/>
        </w:rPr>
        <w:t>لو رأت الدّم في الشّهر الأوّل سبعة،ثمَّ في الثّاني ستّة،ثمَّ في الثّالث خمسة كان</w:t>
      </w:r>
      <w:bookmarkEnd w:id="956"/>
    </w:p>
    <w:p>
      <w:pPr>
        <w:pStyle w:val="BookText"/>
        <w:rPr/>
      </w:pPr>
      <w:r>
        <w:rPr>
          <w:rFonts w:ascii="Amiri" w:hAnsi="Amiri" w:eastAsia="Amiri" w:cs="Amiri"/>
          <w:color w:val="111111"/>
          <w:sz w:val="28"/>
          <w:sz w:val="28"/>
          <w:szCs w:val="28"/>
          <w:rtl w:val="true"/>
          <w:lang w:bidi="ar-SA"/>
        </w:rPr>
        <w:t>الأقلّ حيضا</w:t>
      </w:r>
    </w:p>
    <w:p>
      <w:pPr>
        <w:pStyle w:val="BookText"/>
        <w:rPr/>
      </w:pPr>
      <w:r>
        <w:rPr>
          <w:rFonts w:ascii="Amiri" w:hAnsi="Amiri" w:eastAsia="Amiri" w:cs="Amiri"/>
          <w:color w:val="111111"/>
          <w:sz w:val="28"/>
          <w:sz w:val="28"/>
          <w:szCs w:val="28"/>
          <w:rtl w:val="true"/>
          <w:lang w:bidi="ar-SA"/>
        </w:rPr>
        <w:t xml:space="preserve">،لحصوله في الشّهرين الأوّلين،و ما زاد عليه لا يكون حيضا في الرّابع لعدم تكراره،هذا عند من يشترط في العادة التّكرار ثلاثا،أمّا نحن فنثبت هذا البحث في شهرين أيضا،و إن جاء في الشّهر الرّابع ستّة صار ذلك عادة لتكرّره </w:t>
      </w:r>
      <w:r>
        <w:rPr>
          <w:rStyle w:val="FootnoteAnchor"/>
          <w:rtl w:val="true"/>
        </w:rPr>
        <w:footnoteReference w:id="170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957" w:name="__RefHeading___Toc795901_222507752"/>
      <w:bookmarkStart w:id="958" w:name="_Toc390"/>
      <w:bookmarkEnd w:id="957"/>
      <w:r>
        <w:rPr>
          <w:rtl w:val="true"/>
        </w:rPr>
        <w:t>مسألة</w:t>
      </w:r>
      <w:r>
        <w:rPr>
          <w:rtl w:val="true"/>
        </w:rPr>
        <w:t>:</w:t>
      </w:r>
      <w:r>
        <w:rPr>
          <w:rtl w:val="true"/>
        </w:rPr>
        <w:t>ذات العادة إن انقطع دمها على عادتها فلا استظهار حينئذ،</w:t>
      </w:r>
      <w:bookmarkEnd w:id="958"/>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استمرّ زائدا على العادة و هي أقلّ من عشرة،قال الشّيخ في النّهاية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تستظهر بعد العادة بترك العبادة بيوم أو يومين </w:t>
      </w:r>
      <w:r>
        <w:rPr>
          <w:rStyle w:val="FootnoteAnchor"/>
          <w:rtl w:val="true"/>
        </w:rPr>
        <w:footnoteReference w:id="1701"/>
      </w:r>
      <w:r>
        <w:rPr>
          <w:rFonts w:ascii="Amiri" w:hAnsi="Amiri" w:eastAsia="Amiri" w:cs="Amiri"/>
          <w:color w:val="111111"/>
          <w:sz w:val="28"/>
          <w:sz w:val="28"/>
          <w:szCs w:val="28"/>
          <w:rtl w:val="true"/>
          <w:lang w:bidi="ar-SA"/>
        </w:rPr>
        <w:t xml:space="preserve">،و به قال ابن بابويه و المفيد </w:t>
      </w:r>
      <w:r>
        <w:rPr>
          <w:rStyle w:val="FootnoteAnchor"/>
          <w:rtl w:val="true"/>
        </w:rPr>
        <w:footnoteReference w:id="170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المرتضى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تستظهر عند استمرار الدّم إلى عشرة أيّام،فإن استمرّ عملت ما تعمله المستحاضة </w:t>
      </w:r>
      <w:r>
        <w:rPr>
          <w:rStyle w:val="FootnoteAnchor"/>
          <w:rtl w:val="true"/>
        </w:rPr>
        <w:footnoteReference w:id="170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في الجمل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تدخل قطنة فإن خرجت ملوّثة فهي بعد حائض تصبر حتّى تنقى </w:t>
      </w:r>
      <w:r>
        <w:rPr>
          <w:rStyle w:val="FootnoteAnchor"/>
          <w:rtl w:val="true"/>
        </w:rPr>
        <w:footnoteReference w:id="170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قال </w:t>
      </w:r>
    </w:p>
    <w:p>
      <w:pPr>
        <w:pStyle w:val="BookText"/>
        <w:rPr/>
      </w:pPr>
      <w:r>
        <w:rPr>
          <w:rFonts w:ascii="Amiri" w:hAnsi="Amiri" w:eastAsia="Amiri" w:cs="Amiri"/>
          <w:color w:val="111111"/>
          <w:sz w:val="28"/>
          <w:sz w:val="28"/>
          <w:szCs w:val="28"/>
          <w:rtl w:val="true"/>
          <w:lang w:bidi="ar-SA"/>
        </w:rPr>
        <w:t>مالك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صاحبة العادة إذا استمرّ بها الدّم فثلاثة أيّام من الزّيادة على العادة تلحق بأيّامها استظهارا،ثمَّ ما بعده طهر </w:t>
      </w:r>
      <w:r>
        <w:rPr>
          <w:rStyle w:val="FootnoteAnchor"/>
          <w:rtl w:val="true"/>
        </w:rPr>
        <w:footnoteReference w:id="170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خالف باقي الجمهور في الاستظهار و اقتصروا على العادة خاصّة </w:t>
      </w:r>
      <w:r>
        <w:rPr>
          <w:rStyle w:val="FootnoteAnchor"/>
          <w:rtl w:val="true"/>
        </w:rPr>
        <w:footnoteReference w:id="170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الأقرب عندي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الاستظهار قضاء العادة بزيادة الأيّام و نقصانها يوما و يومين،فنقول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دم في وقت يمكن أن يكون حيضا،و غلب على الظّنّ ذلك فوجب الاستظهار،و ما نذكره من الرّوايات الدّالّة على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يدلّ على قدر الاستظهار،فما رواه الشّيخ،عن زرارة،عن أبي جعفر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الطّامث تقعد بعدد أيّامها كيف تصنع؟قال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تستظهر بيوم أو يومين ثمَّ هي مستحاضة فلتغتسل</w:t>
      </w:r>
      <w:r>
        <w:rPr>
          <w:rFonts w:eastAsia="Amiri" w:cs="Amiri" w:ascii="Amiri" w:hAnsi="Amiri"/>
          <w:color w:val="111111"/>
          <w:sz w:val="28"/>
          <w:szCs w:val="28"/>
          <w:rtl w:val="true"/>
          <w:lang w:bidi="ar-SA"/>
        </w:rPr>
        <w:t xml:space="preserve">» </w:t>
      </w:r>
      <w:r>
        <w:rPr>
          <w:rStyle w:val="FootnoteAnchor"/>
          <w:rtl w:val="true"/>
        </w:rPr>
        <w:footnoteReference w:id="1707"/>
      </w:r>
      <w:r>
        <w:rPr>
          <w:rFonts w:ascii="Amiri" w:hAnsi="Amiri" w:eastAsia="Amiri" w:cs="Amiri"/>
          <w:color w:val="111111"/>
          <w:sz w:val="28"/>
          <w:sz w:val="28"/>
          <w:szCs w:val="28"/>
          <w:rtl w:val="true"/>
          <w:lang w:bidi="ar-SA"/>
        </w:rPr>
        <w:t xml:space="preserve">و في الطّريق ابن بكير و فيه قول </w:t>
      </w:r>
      <w:r>
        <w:rPr>
          <w:rStyle w:val="FootnoteAnchor"/>
          <w:rtl w:val="true"/>
        </w:rPr>
        <w:footnoteReference w:id="17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رواه،عن إسماعيل الجعفيّ،عن أبي جعفر عليه السّلام،قال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المستحاضة تقعد أيّام قرئها ثمَّ تحتاط بيوم أو يومين</w:t>
      </w:r>
      <w:r>
        <w:rPr>
          <w:rFonts w:eastAsia="Amiri" w:cs="Amiri" w:ascii="Amiri" w:hAnsi="Amiri"/>
          <w:color w:val="111111"/>
          <w:sz w:val="28"/>
          <w:szCs w:val="28"/>
          <w:rtl w:val="true"/>
          <w:lang w:bidi="ar-SA"/>
        </w:rPr>
        <w:t xml:space="preserve">» </w:t>
      </w:r>
      <w:r>
        <w:rPr>
          <w:rStyle w:val="FootnoteAnchor"/>
          <w:rtl w:val="true"/>
        </w:rPr>
        <w:footnoteReference w:id="1709"/>
      </w:r>
      <w:r>
        <w:rPr>
          <w:rFonts w:eastAsia="Times New Roman" w:cs="Times New Roman" w:ascii="Times New Roman" w:hAnsi="Times New Roman"/>
          <w:color w:val="111111"/>
          <w:sz w:val="28"/>
          <w:szCs w:val="28"/>
          <w:rtl w:val="true"/>
          <w:lang w:val="en-US" w:bidi="en-US"/>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رواه الشّيخ في الصّحيح،عن ابن أبي نصر،عن أبي الحسن الرّضا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الحائض كم تستظهر؟فقال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تستظهر بيوم أو يومين أو ثلاثة</w:t>
      </w:r>
      <w:r>
        <w:rPr>
          <w:rFonts w:eastAsia="Amiri" w:cs="Amiri" w:ascii="Amiri" w:hAnsi="Amiri"/>
          <w:color w:val="111111"/>
          <w:sz w:val="28"/>
          <w:szCs w:val="28"/>
          <w:rtl w:val="true"/>
          <w:lang w:bidi="ar-SA"/>
        </w:rPr>
        <w:t xml:space="preserve">» </w:t>
      </w:r>
      <w:r>
        <w:rPr>
          <w:rStyle w:val="FootnoteAnchor"/>
          <w:rtl w:val="true"/>
        </w:rPr>
        <w:footnoteReference w:id="171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روى،عن سعيد بن يسار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المرأة تحيض،ثمَّ تطهر و ربّما رأت بعد ذلك الشّيء من الدّم الرّقيق بعد اغتسالها من طهرها؟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تستظهر بعد أيّامها بيومين أو ثلاثة ثمَّ تصلّي</w:t>
      </w:r>
      <w:r>
        <w:rPr>
          <w:rFonts w:eastAsia="Amiri" w:cs="Amiri" w:ascii="Amiri" w:hAnsi="Amiri"/>
          <w:color w:val="111111"/>
          <w:sz w:val="28"/>
          <w:szCs w:val="28"/>
          <w:rtl w:val="true"/>
          <w:lang w:bidi="ar-SA"/>
        </w:rPr>
        <w:t xml:space="preserve">» </w:t>
      </w:r>
      <w:r>
        <w:rPr>
          <w:rStyle w:val="FootnoteAnchor"/>
          <w:rtl w:val="true"/>
        </w:rPr>
        <w:footnoteReference w:id="1711"/>
      </w:r>
      <w:r>
        <w:rPr>
          <w:rFonts w:ascii="Amiri" w:hAnsi="Amiri" w:eastAsia="Amiri" w:cs="Amiri"/>
          <w:color w:val="111111"/>
          <w:sz w:val="28"/>
          <w:sz w:val="28"/>
          <w:szCs w:val="28"/>
          <w:rtl w:val="true"/>
          <w:lang w:bidi="ar-SA"/>
        </w:rPr>
        <w:t xml:space="preserve">و في طريقها عثمان بن عيسى،و هو واقفيّ </w:t>
      </w:r>
      <w:r>
        <w:rPr>
          <w:rStyle w:val="FootnoteAnchor"/>
          <w:rtl w:val="true"/>
        </w:rPr>
        <w:footnoteReference w:id="17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في الصّحيح،عن عمرو بن سعيد،عن أبي الحسن الرّضا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الطّامث كم حدّ جلوسها؟فقال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تنتظر عدّة ما كانت تحيض،ثمَّ تستظهر بثلاثة أيّام،ثمَّ هي مستحاضة</w:t>
      </w:r>
      <w:r>
        <w:rPr>
          <w:rFonts w:eastAsia="Amiri" w:cs="Amiri" w:ascii="Amiri" w:hAnsi="Amiri"/>
          <w:color w:val="111111"/>
          <w:sz w:val="28"/>
          <w:szCs w:val="28"/>
          <w:rtl w:val="true"/>
          <w:lang w:bidi="ar-SA"/>
        </w:rPr>
        <w:t xml:space="preserve">» </w:t>
      </w:r>
      <w:r>
        <w:rPr>
          <w:rStyle w:val="FootnoteAnchor"/>
          <w:rtl w:val="true"/>
        </w:rPr>
        <w:footnoteReference w:id="17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روى،عن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داود مولى</w:t>
      </w:r>
      <w:r>
        <w:rPr>
          <w:rFonts w:eastAsia="IRNazanin" w:cs="IRNazanin"/>
          <w:color w:val="111111"/>
          <w:sz w:val="28"/>
          <w:szCs w:val="28"/>
          <w:rtl w:val="true"/>
          <w:lang w:bidi="fa-IR"/>
        </w:rPr>
        <w:t xml:space="preserve">] </w:t>
      </w:r>
      <w:r>
        <w:rPr>
          <w:rStyle w:val="FootnoteAnchor"/>
          <w:rtl w:val="true"/>
        </w:rPr>
        <w:footnoteReference w:id="1714"/>
      </w:r>
      <w:r>
        <w:rPr>
          <w:rFonts w:ascii="Amiri" w:hAnsi="Amiri" w:eastAsia="Amiri" w:cs="Amiri"/>
          <w:color w:val="111111"/>
          <w:sz w:val="28"/>
          <w:sz w:val="28"/>
          <w:szCs w:val="28"/>
          <w:rtl w:val="true"/>
          <w:lang w:bidi="ar-SA"/>
        </w:rPr>
        <w:t>أبي المعزى،عمّن أخبره،عن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المرأة تحيض،ثمَّ يمضي وقت طهرها و هي ترى الدّم؟قال</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تستظهر بيوم إن كان حيضها دون العشرة أيّام فإن استمرّ الدّم فهي مستحاضة، و إن انقطع الدّم اغتسلت و صلّت</w:t>
      </w:r>
      <w:r>
        <w:rPr>
          <w:rFonts w:eastAsia="Amiri" w:cs="Amiri" w:ascii="Amiri" w:hAnsi="Amiri"/>
          <w:color w:val="111111"/>
          <w:sz w:val="28"/>
          <w:szCs w:val="28"/>
          <w:rtl w:val="true"/>
          <w:lang w:bidi="ar-SA"/>
        </w:rPr>
        <w:t xml:space="preserve">» </w:t>
      </w:r>
      <w:r>
        <w:rPr>
          <w:rStyle w:val="FootnoteAnchor"/>
          <w:rtl w:val="true"/>
        </w:rPr>
        <w:footnoteReference w:id="171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روى،عن سماعة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الاستظهار بثلاثة أيّام </w:t>
      </w:r>
      <w:r>
        <w:rPr>
          <w:rStyle w:val="FootnoteAnchor"/>
          <w:rtl w:val="true"/>
        </w:rPr>
        <w:footnoteReference w:id="1716"/>
      </w:r>
      <w:r>
        <w:rPr>
          <w:rFonts w:ascii="Amiri" w:hAnsi="Amiri" w:eastAsia="Amiri" w:cs="Amiri"/>
          <w:color w:val="111111"/>
          <w:sz w:val="28"/>
          <w:sz w:val="28"/>
          <w:szCs w:val="28"/>
          <w:rtl w:val="true"/>
          <w:lang w:bidi="ar-SA"/>
        </w:rPr>
        <w:t xml:space="preserve">و قد مضى في الحبلى </w:t>
      </w:r>
      <w:r>
        <w:rPr>
          <w:rStyle w:val="FootnoteAnchor"/>
          <w:rtl w:val="true"/>
        </w:rPr>
        <w:footnoteReference w:id="17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روى،عن فضيل و زرارة،عن أحدهما عليهما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المستحاضة تكفّ عن الصّلاة أيّام أقرائها و تحتاط بيوم أو يومين</w:t>
      </w:r>
      <w:r>
        <w:rPr>
          <w:rFonts w:eastAsia="Amiri" w:cs="Amiri" w:ascii="Amiri" w:hAnsi="Amiri"/>
          <w:color w:val="111111"/>
          <w:sz w:val="28"/>
          <w:szCs w:val="28"/>
          <w:rtl w:val="true"/>
          <w:lang w:bidi="ar-SA"/>
        </w:rPr>
        <w:t xml:space="preserve">» </w:t>
      </w:r>
      <w:r>
        <w:rPr>
          <w:rStyle w:val="FootnoteAnchor"/>
          <w:rtl w:val="true"/>
        </w:rPr>
        <w:footnoteReference w:id="17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روى،عن زرارة،عن أبي جعفر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المستحاضة تستظهر بيوم أو يومين</w:t>
      </w:r>
      <w:r>
        <w:rPr>
          <w:rFonts w:eastAsia="Amiri" w:cs="Amiri" w:ascii="Amiri" w:hAnsi="Amiri"/>
          <w:color w:val="111111"/>
          <w:sz w:val="28"/>
          <w:szCs w:val="28"/>
          <w:rtl w:val="true"/>
          <w:lang w:bidi="ar-SA"/>
        </w:rPr>
        <w:t xml:space="preserve">» </w:t>
      </w:r>
      <w:r>
        <w:rPr>
          <w:rStyle w:val="FootnoteAnchor"/>
          <w:rtl w:val="true"/>
        </w:rPr>
        <w:footnoteReference w:id="17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احتجّ السّيّد </w:t>
      </w:r>
      <w:r>
        <w:rPr>
          <w:rStyle w:val="FootnoteAnchor"/>
          <w:rtl w:val="true"/>
        </w:rPr>
        <w:footnoteReference w:id="1720"/>
      </w:r>
      <w:r>
        <w:rPr>
          <w:rFonts w:ascii="Amiri" w:hAnsi="Amiri" w:eastAsia="Amiri" w:cs="Amiri"/>
          <w:color w:val="111111"/>
          <w:sz w:val="28"/>
          <w:sz w:val="28"/>
          <w:szCs w:val="28"/>
          <w:rtl w:val="true"/>
          <w:lang w:bidi="ar-SA"/>
        </w:rPr>
        <w:t>المرتضى بما رواه الشّيخ،عن عبد اللّه بن المغيرة،عن رجل،عن أبي عبد اللّه عليه السّلام في المرأة ترى الدّم؟قال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قرؤها دون العشرة انتظرت العشرة،و إن كانت أيّامها عشرة لم تستظهر</w:t>
      </w:r>
      <w:r>
        <w:rPr>
          <w:rFonts w:eastAsia="Amiri" w:cs="Amiri" w:ascii="Amiri" w:hAnsi="Amiri"/>
          <w:color w:val="111111"/>
          <w:sz w:val="28"/>
          <w:szCs w:val="28"/>
          <w:rtl w:val="true"/>
          <w:lang w:bidi="ar-SA"/>
        </w:rPr>
        <w:t xml:space="preserve">» </w:t>
      </w:r>
      <w:r>
        <w:rPr>
          <w:rStyle w:val="FootnoteAnchor"/>
          <w:rtl w:val="true"/>
        </w:rPr>
        <w:footnoteReference w:id="1721"/>
      </w:r>
      <w:r>
        <w:rPr>
          <w:rFonts w:eastAsia="Times New Roman" w:cs="Times New Roman" w:ascii="Times New Roman" w:hAnsi="Times New Roman"/>
          <w:color w:val="111111"/>
          <w:sz w:val="28"/>
          <w:szCs w:val="28"/>
          <w:rtl w:val="true"/>
          <w:lang w:val="en-US" w:bidi="en-US"/>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بما رواه في الصّحيح،عن يونس بن يعقوب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امرأة رأت الدّم في حيضها حتّى جاوز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وقتها</w:t>
      </w:r>
      <w:r>
        <w:rPr>
          <w:rFonts w:eastAsia="Amiri" w:cs="Amiri" w:ascii="Amiri" w:hAnsi="Amiri"/>
          <w:color w:val="111111"/>
          <w:sz w:val="28"/>
          <w:szCs w:val="28"/>
          <w:rtl w:val="true"/>
          <w:lang w:bidi="ar-SA"/>
        </w:rPr>
        <w:t xml:space="preserve">] </w:t>
      </w:r>
      <w:r>
        <w:rPr>
          <w:rStyle w:val="FootnoteAnchor"/>
          <w:rtl w:val="true"/>
        </w:rPr>
        <w:footnoteReference w:id="1722"/>
      </w:r>
      <w:r>
        <w:rPr>
          <w:rFonts w:ascii="Amiri" w:hAnsi="Amiri" w:eastAsia="Amiri" w:cs="Amiri"/>
          <w:color w:val="111111"/>
          <w:sz w:val="28"/>
          <w:sz w:val="28"/>
          <w:szCs w:val="28"/>
          <w:rtl w:val="true"/>
          <w:lang w:bidi="ar-SA"/>
        </w:rPr>
        <w:t>متى ينبغي لها أن تصلّي؟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تنتظر عدّتها الّتي كانت تجلس ثمَّ تستظهر بعشرة أيّام،فإن رأت الدّم صبيبا فلتغتسل في وقت كلّ صلاة</w:t>
      </w:r>
      <w:r>
        <w:rPr>
          <w:rFonts w:eastAsia="Amiri" w:cs="Amiri" w:ascii="Amiri" w:hAnsi="Amiri"/>
          <w:color w:val="111111"/>
          <w:sz w:val="28"/>
          <w:szCs w:val="28"/>
          <w:rtl w:val="true"/>
          <w:lang w:bidi="ar-SA"/>
        </w:rPr>
        <w:t xml:space="preserve">» </w:t>
      </w:r>
      <w:r>
        <w:rPr>
          <w:rStyle w:val="FootnoteAnchor"/>
          <w:rtl w:val="true"/>
        </w:rPr>
        <w:footnoteReference w:id="1723"/>
      </w:r>
      <w:r>
        <w:rPr>
          <w:rFonts w:eastAsia="Times New Roman" w:cs="Times New Roman" w:ascii="Times New Roman" w:hAnsi="Times New Roman"/>
          <w:color w:val="111111"/>
          <w:sz w:val="28"/>
          <w:szCs w:val="28"/>
          <w:rtl w:val="true"/>
          <w:lang w:val="en-US" w:bidi="en-US"/>
        </w:rPr>
        <w:t xml:space="preserve">. </w:t>
      </w:r>
      <w:bookmarkStart w:id="959" w:name="pg12669_113112"/>
    </w:p>
    <w:p>
      <w:pPr>
        <w:pStyle w:val="BookText"/>
        <w:rPr/>
      </w:pPr>
      <w:bookmarkEnd w:id="959"/>
      <w:r>
        <w:rPr>
          <w:rFonts w:ascii="Amiri" w:hAnsi="Amiri" w:eastAsia="Amiri" w:cs="Amiri"/>
          <w:color w:val="111111"/>
          <w:sz w:val="28"/>
          <w:sz w:val="28"/>
          <w:szCs w:val="28"/>
          <w:rtl w:val="true"/>
          <w:lang w:bidi="ar-SA"/>
        </w:rPr>
        <w:t>و الجواب عن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بالطّعن في السّند،فإنّ في الطّريق أحمد بن </w:t>
      </w:r>
      <w:r>
        <w:rPr>
          <w:rStyle w:val="FootnoteAnchor"/>
          <w:rtl w:val="true"/>
        </w:rPr>
        <w:footnoteReference w:id="1724"/>
      </w:r>
      <w:r>
        <w:rPr>
          <w:rFonts w:ascii="Amiri" w:hAnsi="Amiri" w:eastAsia="Amiri" w:cs="Amiri"/>
          <w:color w:val="111111"/>
          <w:sz w:val="28"/>
          <w:sz w:val="28"/>
          <w:szCs w:val="28"/>
          <w:rtl w:val="true"/>
          <w:lang w:bidi="ar-SA"/>
        </w:rPr>
        <w:t>هلال،و هو ضعيف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بالتّأويل المحتمل،و هو أن يكون عادتها ثمانية أيّام أو تسعة،جمعا بين الأدلّة و هو الجواب عن الثّاني،على انّ ما ذكرناه أحوط للعبادة،فيكون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احتجّ مالك بأنّ الحيض يزداد و ينقص،فإذا كثرت الزّيادة لم يمكن جعله كلّه حيضا،لعلمنا انّه عن آفة،لكن لا بدّ من إلحاق زيادتها،و الثّلاث عدد معتبر،و هو جمع صحيح،فينبغي أن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أيّامها،ثمَّ يحكم بطهرها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الكلام ضعيف جدّا و لا يخفى وجهه</w:t>
      </w:r>
      <w:r>
        <w:rPr>
          <w:rFonts w:eastAsia="Amiri" w:cs="Amiri" w:ascii="Amiri" w:hAnsi="Amiri"/>
          <w:color w:val="111111"/>
          <w:sz w:val="28"/>
          <w:szCs w:val="28"/>
          <w:rtl w:val="true"/>
          <w:lang w:bidi="ar-SA"/>
        </w:rPr>
        <w:t>.</w:t>
      </w:r>
    </w:p>
    <w:p>
      <w:pPr>
        <w:pStyle w:val="Heading6"/>
        <w:numPr>
          <w:ilvl w:val="5"/>
          <w:numId w:val="1"/>
        </w:numPr>
        <w:rPr/>
      </w:pPr>
      <w:bookmarkStart w:id="960" w:name="__RefHeading___Toc795903_222507752"/>
      <w:bookmarkStart w:id="961" w:name="_Toc391"/>
      <w:bookmarkEnd w:id="960"/>
      <w:r>
        <w:rPr>
          <w:rtl w:val="true"/>
        </w:rPr>
        <w:t>فروع</w:t>
      </w:r>
      <w:r>
        <w:rPr>
          <w:rtl w:val="true"/>
        </w:rPr>
        <w:t>:</w:t>
      </w:r>
      <w:bookmarkEnd w:id="961"/>
    </w:p>
    <w:p>
      <w:pPr>
        <w:pStyle w:val="Heading6"/>
        <w:numPr>
          <w:ilvl w:val="5"/>
          <w:numId w:val="1"/>
        </w:numPr>
        <w:rPr/>
      </w:pPr>
      <w:bookmarkStart w:id="962" w:name="__RefHeading___Toc795905_222507752"/>
      <w:bookmarkStart w:id="963" w:name="_Toc392"/>
      <w:bookmarkEnd w:id="962"/>
      <w:r>
        <w:rPr>
          <w:rtl w:val="true"/>
        </w:rPr>
        <w:t>الأوّل</w:t>
      </w:r>
      <w:r>
        <w:rPr>
          <w:rtl w:val="true"/>
        </w:rPr>
        <w:t>:</w:t>
      </w:r>
      <w:r>
        <w:rPr>
          <w:rtl w:val="true"/>
        </w:rPr>
        <w:t>الاستظهار المذكور ليس على الوجوب،</w:t>
      </w:r>
      <w:bookmarkEnd w:id="963"/>
    </w:p>
    <w:p>
      <w:pPr>
        <w:pStyle w:val="BookText"/>
        <w:rPr/>
      </w:pPr>
      <w:r>
        <w:rPr>
          <w:rFonts w:ascii="Amiri" w:hAnsi="Amiri" w:eastAsia="Amiri" w:cs="Amiri"/>
          <w:color w:val="111111"/>
          <w:sz w:val="28"/>
          <w:sz w:val="28"/>
          <w:szCs w:val="28"/>
          <w:rtl w:val="true"/>
          <w:lang w:bidi="ar-SA"/>
        </w:rPr>
        <w:t>لما رواه الشّيخ،عن مالك بن أعين،عن أبي جعفر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يقربها في عدّة تلك الأيّام من الشّهر، و يقربها فيما سوى ذلك من الأيّام</w:t>
      </w:r>
      <w:r>
        <w:rPr>
          <w:rFonts w:eastAsia="Amiri" w:cs="Amiri" w:ascii="Amiri" w:hAnsi="Amiri"/>
          <w:color w:val="111111"/>
          <w:sz w:val="28"/>
          <w:szCs w:val="28"/>
          <w:rtl w:val="true"/>
          <w:lang w:bidi="ar-SA"/>
        </w:rPr>
        <w:t xml:space="preserve">» </w:t>
      </w:r>
      <w:r>
        <w:rPr>
          <w:rStyle w:val="FootnoteAnchor"/>
          <w:rtl w:val="true"/>
        </w:rPr>
        <w:footnoteReference w:id="1725"/>
      </w:r>
      <w:r>
        <w:rPr>
          <w:rFonts w:eastAsia="Times New Roman" w:cs="Times New Roman" w:ascii="Times New Roman" w:hAnsi="Times New Roman"/>
          <w:color w:val="111111"/>
          <w:sz w:val="28"/>
          <w:szCs w:val="28"/>
          <w:rtl w:val="true"/>
          <w:lang w:val="en-US" w:bidi="en-US"/>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رواه عن ابن أبي يعفور،عن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المستحاضة إذا مضت أيّام حيضها اغتسلت و احتشت كرسفها</w:t>
      </w:r>
      <w:r>
        <w:rPr>
          <w:rFonts w:eastAsia="Amiri" w:cs="Amiri" w:ascii="Amiri" w:hAnsi="Amiri"/>
          <w:color w:val="111111"/>
          <w:sz w:val="28"/>
          <w:szCs w:val="28"/>
          <w:rtl w:val="true"/>
          <w:lang w:bidi="ar-SA"/>
        </w:rPr>
        <w:t xml:space="preserve">» </w:t>
      </w:r>
      <w:r>
        <w:rPr>
          <w:rStyle w:val="FootnoteAnchor"/>
          <w:rtl w:val="true"/>
        </w:rPr>
        <w:footnoteReference w:id="172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رواية إسحاق بن جرير الصّحيحة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تجلس أيّام حيضها ثمَّ تغتسل لكلّ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صلاتين</w:t>
      </w:r>
      <w:r>
        <w:rPr>
          <w:rFonts w:eastAsia="Amiri" w:cs="Amiri" w:ascii="Amiri" w:hAnsi="Amiri"/>
          <w:color w:val="111111"/>
          <w:sz w:val="28"/>
          <w:szCs w:val="28"/>
          <w:rtl w:val="true"/>
          <w:lang w:bidi="ar-SA"/>
        </w:rPr>
        <w:t xml:space="preserve">] </w:t>
      </w:r>
      <w:r>
        <w:rPr>
          <w:rStyle w:val="FootnoteAnchor"/>
          <w:rtl w:val="true"/>
        </w:rPr>
        <w:footnoteReference w:id="1727"/>
      </w:r>
      <w:r>
        <w:rPr>
          <w:rStyle w:val="FootnoteAnchor"/>
          <w:rtl w:val="true"/>
        </w:rPr>
        <w:footnoteReference w:id="1728"/>
      </w:r>
      <w:r>
        <w:rPr>
          <w:rFonts w:ascii="Amiri" w:hAnsi="Amiri" w:eastAsia="Amiri" w:cs="Amiri"/>
          <w:color w:val="111111"/>
          <w:sz w:val="28"/>
          <w:sz w:val="28"/>
          <w:szCs w:val="28"/>
          <w:rtl w:val="true"/>
          <w:lang w:bidi="ar-SA"/>
        </w:rPr>
        <w:t xml:space="preserve">و يلوح من كلام </w:t>
      </w:r>
      <w:bookmarkStart w:id="964" w:name="pg12669_113113"/>
    </w:p>
    <w:p>
      <w:pPr>
        <w:pStyle w:val="BookText"/>
        <w:rPr/>
      </w:pPr>
      <w:bookmarkEnd w:id="964"/>
      <w:r>
        <w:rPr>
          <w:rFonts w:ascii="Amiri" w:hAnsi="Amiri" w:eastAsia="Amiri" w:cs="Amiri"/>
          <w:color w:val="111111"/>
          <w:sz w:val="28"/>
          <w:sz w:val="28"/>
          <w:szCs w:val="28"/>
          <w:rtl w:val="true"/>
          <w:lang w:bidi="ar-SA"/>
        </w:rPr>
        <w:t xml:space="preserve">الشّيخ في بعض كتبه </w:t>
      </w:r>
      <w:r>
        <w:rPr>
          <w:rStyle w:val="FootnoteAnchor"/>
          <w:rtl w:val="true"/>
        </w:rPr>
        <w:footnoteReference w:id="1729"/>
      </w:r>
      <w:r>
        <w:rPr>
          <w:rFonts w:ascii="Amiri" w:hAnsi="Amiri" w:eastAsia="Amiri" w:cs="Amiri"/>
          <w:color w:val="111111"/>
          <w:sz w:val="28"/>
          <w:sz w:val="28"/>
          <w:szCs w:val="28"/>
          <w:rtl w:val="true"/>
          <w:lang w:bidi="ar-SA"/>
        </w:rPr>
        <w:t>و السّيد المرتضى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الوجوب </w:t>
      </w:r>
      <w:r>
        <w:rPr>
          <w:rStyle w:val="FootnoteAnchor"/>
          <w:rtl w:val="true"/>
        </w:rPr>
        <w:footnoteReference w:id="173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965" w:name="__RefHeading___Toc795907_222507752"/>
      <w:bookmarkStart w:id="966" w:name="_Toc393"/>
      <w:bookmarkEnd w:id="965"/>
      <w:r>
        <w:rPr>
          <w:rtl w:val="true"/>
        </w:rPr>
        <w:t>الثّاني</w:t>
      </w:r>
      <w:r>
        <w:rPr>
          <w:rtl w:val="true"/>
        </w:rPr>
        <w:t>:</w:t>
      </w:r>
      <w:r>
        <w:rPr>
          <w:rtl w:val="true"/>
        </w:rPr>
        <w:t>لو استظهرت بيوم أو يومين و تجاوز الدّم العشرة،كان ما أتت به من</w:t>
      </w:r>
      <w:bookmarkEnd w:id="966"/>
    </w:p>
    <w:p>
      <w:pPr>
        <w:pStyle w:val="BookText"/>
        <w:rPr/>
      </w:pPr>
      <w:r>
        <w:rPr>
          <w:rFonts w:ascii="Amiri" w:hAnsi="Amiri" w:eastAsia="Amiri" w:cs="Amiri"/>
          <w:color w:val="111111"/>
          <w:sz w:val="28"/>
          <w:sz w:val="28"/>
          <w:szCs w:val="28"/>
          <w:rtl w:val="true"/>
          <w:lang w:bidi="ar-SA"/>
        </w:rPr>
        <w:t>الأغسال و الصّلوات فيما بعد الاستظهار مجزيا</w:t>
      </w:r>
    </w:p>
    <w:p>
      <w:pPr>
        <w:pStyle w:val="BookText"/>
        <w:rPr/>
      </w:pPr>
      <w:r>
        <w:rPr>
          <w:rFonts w:ascii="Amiri" w:hAnsi="Amiri" w:eastAsia="Amiri" w:cs="Amiri"/>
          <w:color w:val="111111"/>
          <w:sz w:val="28"/>
          <w:sz w:val="28"/>
          <w:szCs w:val="28"/>
          <w:rtl w:val="true"/>
          <w:lang w:bidi="ar-SA"/>
        </w:rPr>
        <w:t>،للعلم بأنّه دم فساد،أمّا لو انقطع على العشرة قضت الصّيام الماضي،للقطع بأنّه دم حيض،ثمَّ اغتسلت للانقطاع</w:t>
      </w:r>
      <w:r>
        <w:rPr>
          <w:rFonts w:eastAsia="Amiri" w:cs="Amiri" w:ascii="Amiri" w:hAnsi="Amiri"/>
          <w:color w:val="111111"/>
          <w:sz w:val="28"/>
          <w:szCs w:val="28"/>
          <w:rtl w:val="true"/>
          <w:lang w:bidi="ar-SA"/>
        </w:rPr>
        <w:t>.</w:t>
      </w:r>
    </w:p>
    <w:p>
      <w:pPr>
        <w:pStyle w:val="Heading6"/>
        <w:numPr>
          <w:ilvl w:val="5"/>
          <w:numId w:val="1"/>
        </w:numPr>
        <w:rPr/>
      </w:pPr>
      <w:bookmarkStart w:id="967" w:name="__RefHeading___Toc795909_222507752"/>
      <w:bookmarkStart w:id="968" w:name="_Toc394"/>
      <w:bookmarkEnd w:id="967"/>
      <w:r>
        <w:rPr>
          <w:rtl w:val="true"/>
        </w:rPr>
        <w:t>الثّالث</w:t>
      </w:r>
      <w:r>
        <w:rPr>
          <w:rtl w:val="true"/>
        </w:rPr>
        <w:t>:</w:t>
      </w:r>
      <w:r>
        <w:rPr>
          <w:rtl w:val="true"/>
        </w:rPr>
        <w:t>لو تجاوز مع الاستظهار هل يجب قضاء الصّلاة الّتي فاتت في وقت</w:t>
      </w:r>
      <w:bookmarkEnd w:id="968"/>
    </w:p>
    <w:p>
      <w:pPr>
        <w:pStyle w:val="BookText"/>
        <w:rPr/>
      </w:pPr>
      <w:r>
        <w:rPr>
          <w:rFonts w:ascii="IRNazanin" w:hAnsi="IRNazanin" w:eastAsia="IRNazanin"/>
          <w:color w:val="111111"/>
          <w:sz w:val="28"/>
          <w:sz w:val="28"/>
          <w:szCs w:val="28"/>
          <w:rtl w:val="true"/>
          <w:lang w:bidi="fa-IR"/>
        </w:rPr>
        <w:t>الاستظهار أم لا؟الوجه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القضاء</w:t>
      </w:r>
    </w:p>
    <w:p>
      <w:pPr>
        <w:pStyle w:val="BookText"/>
        <w:rPr/>
      </w:pPr>
      <w:r>
        <w:rPr>
          <w:rFonts w:ascii="Amiri" w:hAnsi="Amiri" w:eastAsia="Amiri" w:cs="Amiri"/>
          <w:color w:val="111111"/>
          <w:sz w:val="28"/>
          <w:sz w:val="28"/>
          <w:szCs w:val="28"/>
          <w:rtl w:val="true"/>
          <w:lang w:bidi="ar-SA"/>
        </w:rPr>
        <w:t>،لأنّا علمنا بعد ذلك فساد ما رأته في زمن الاستظهار،و الاستظهار إنّما أمر به لتجويز أن يكون حيضا،فمع العلم بعدمه كان الوجه القضاء</w:t>
      </w:r>
      <w:r>
        <w:rPr>
          <w:rFonts w:eastAsia="Amiri" w:cs="Amiri" w:ascii="Amiri" w:hAnsi="Amiri"/>
          <w:color w:val="111111"/>
          <w:sz w:val="28"/>
          <w:szCs w:val="28"/>
          <w:rtl w:val="true"/>
          <w:lang w:bidi="ar-SA"/>
        </w:rPr>
        <w:t>.</w:t>
      </w:r>
    </w:p>
    <w:p>
      <w:pPr>
        <w:pStyle w:val="Heading6"/>
        <w:numPr>
          <w:ilvl w:val="5"/>
          <w:numId w:val="1"/>
        </w:numPr>
        <w:rPr/>
      </w:pPr>
      <w:bookmarkStart w:id="969" w:name="__RefHeading___Toc795911_222507752"/>
      <w:bookmarkStart w:id="970" w:name="_Toc395"/>
      <w:bookmarkEnd w:id="969"/>
      <w:r>
        <w:rPr>
          <w:rtl w:val="true"/>
        </w:rPr>
        <w:t>الرّابع</w:t>
      </w:r>
      <w:r>
        <w:rPr>
          <w:rtl w:val="true"/>
        </w:rPr>
        <w:t>:</w:t>
      </w:r>
      <w:r>
        <w:rPr>
          <w:rtl w:val="true"/>
        </w:rPr>
        <w:t>قد ورد الاستظهار في الحديث الصّحيح بثلاثة أيّام</w:t>
      </w:r>
      <w:bookmarkEnd w:id="970"/>
    </w:p>
    <w:p>
      <w:pPr>
        <w:pStyle w:val="BookText"/>
        <w:rPr/>
      </w:pPr>
      <w:r>
        <w:rPr>
          <w:rFonts w:ascii="Amiri" w:hAnsi="Amiri" w:eastAsia="Amiri" w:cs="Amiri"/>
          <w:color w:val="111111"/>
          <w:sz w:val="28"/>
          <w:sz w:val="28"/>
          <w:szCs w:val="28"/>
          <w:rtl w:val="true"/>
          <w:lang w:bidi="ar-SA"/>
        </w:rPr>
        <w:t xml:space="preserve">،و قد بيّنّاه فيما مضى </w:t>
      </w:r>
      <w:r>
        <w:rPr>
          <w:rStyle w:val="FootnoteAnchor"/>
          <w:rtl w:val="true"/>
        </w:rPr>
        <w:footnoteReference w:id="1731"/>
      </w:r>
      <w:r>
        <w:rPr>
          <w:rFonts w:ascii="Amiri" w:hAnsi="Amiri" w:eastAsia="Amiri" w:cs="Amiri"/>
          <w:color w:val="111111"/>
          <w:sz w:val="28"/>
          <w:sz w:val="28"/>
          <w:szCs w:val="28"/>
          <w:rtl w:val="true"/>
          <w:lang w:bidi="ar-SA"/>
        </w:rPr>
        <w:t>،و ورد بيوم،أو يومين فهل المراد التّخيير؟الوجه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لا،لعدم جواز التّخيير في الواجب بل التّفصيل،اعتمادا على اجتهاد المرأة في قوّة المزاج و ضعفه الموجبين لزيادة الحيض و قلّته</w:t>
      </w:r>
      <w:r>
        <w:rPr>
          <w:rFonts w:eastAsia="Amiri" w:cs="Amiri" w:ascii="Amiri" w:hAnsi="Amiri"/>
          <w:color w:val="111111"/>
          <w:sz w:val="28"/>
          <w:szCs w:val="28"/>
          <w:rtl w:val="true"/>
          <w:lang w:bidi="ar-SA"/>
        </w:rPr>
        <w:t>.</w:t>
      </w:r>
    </w:p>
    <w:p>
      <w:pPr>
        <w:pStyle w:val="Heading6"/>
        <w:numPr>
          <w:ilvl w:val="5"/>
          <w:numId w:val="1"/>
        </w:numPr>
        <w:rPr/>
      </w:pPr>
      <w:bookmarkStart w:id="971" w:name="__RefHeading___Toc795913_222507752"/>
      <w:bookmarkStart w:id="972" w:name="_Toc396"/>
      <w:bookmarkEnd w:id="971"/>
      <w:r>
        <w:rPr>
          <w:rtl w:val="true"/>
        </w:rPr>
        <w:t>الخامس</w:t>
      </w:r>
      <w:r>
        <w:rPr>
          <w:rtl w:val="true"/>
        </w:rPr>
        <w:t>:</w:t>
      </w:r>
      <w:r>
        <w:rPr>
          <w:rtl w:val="true"/>
        </w:rPr>
        <w:t>لو انقطع لدون العشرة فلا استظهار حينئذ،</w:t>
      </w:r>
      <w:bookmarkEnd w:id="972"/>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 المقتضي للعمل بالعادة موجود و هو النّصّ </w:t>
      </w:r>
      <w:r>
        <w:rPr>
          <w:rStyle w:val="FootnoteAnchor"/>
          <w:rtl w:val="true"/>
        </w:rPr>
        <w:footnoteReference w:id="1732"/>
      </w:r>
      <w:r>
        <w:rPr>
          <w:rFonts w:ascii="Amiri" w:hAnsi="Amiri" w:eastAsia="Amiri" w:cs="Amiri"/>
          <w:color w:val="111111"/>
          <w:sz w:val="28"/>
          <w:sz w:val="28"/>
          <w:szCs w:val="28"/>
          <w:rtl w:val="true"/>
          <w:lang w:bidi="ar-SA"/>
        </w:rPr>
        <w:t xml:space="preserve">،و الموجب للاستظهار و هو سيلان الدّم مفقود،مع انّ الاحتياط يقتضي عدم الاستظهار،ثمَّ تستدخل قطنة فإن خرجت نقيّة فهي طاهرة و إلاّ صبرت حتّى تنقى يوم،أو يومين،أو ثلاثة أيّام على ما مرّ </w:t>
      </w:r>
      <w:r>
        <w:rPr>
          <w:rStyle w:val="FootnoteAnchor"/>
          <w:rtl w:val="true"/>
        </w:rPr>
        <w:footnoteReference w:id="1733"/>
      </w:r>
      <w:r>
        <w:rPr>
          <w:rFonts w:eastAsia="Times New Roman" w:cs="Times New Roman" w:ascii="Times New Roman" w:hAnsi="Times New Roman"/>
          <w:color w:val="111111"/>
          <w:sz w:val="28"/>
          <w:szCs w:val="28"/>
          <w:rtl w:val="true"/>
          <w:lang w:val="en-US" w:bidi="en-US"/>
        </w:rPr>
        <w:t xml:space="preserve">. </w:t>
      </w:r>
      <w:bookmarkStart w:id="973" w:name="pg12669_113114"/>
    </w:p>
    <w:p>
      <w:pPr>
        <w:pStyle w:val="Heading6"/>
        <w:numPr>
          <w:ilvl w:val="5"/>
          <w:numId w:val="1"/>
        </w:numPr>
        <w:rPr/>
      </w:pPr>
      <w:bookmarkStart w:id="974" w:name="__RefHeading___Toc795915_222507752"/>
      <w:bookmarkStart w:id="975" w:name="_Toc397"/>
      <w:bookmarkEnd w:id="973"/>
      <w:bookmarkEnd w:id="974"/>
      <w:r>
        <w:rPr>
          <w:rtl w:val="true"/>
        </w:rPr>
        <w:t>القسم الرّابع</w:t>
      </w:r>
      <w:r>
        <w:rPr>
          <w:rtl w:val="true"/>
        </w:rPr>
        <w:t>:</w:t>
      </w:r>
      <w:bookmarkEnd w:id="975"/>
    </w:p>
    <w:p>
      <w:pPr>
        <w:pStyle w:val="BookText"/>
        <w:rPr/>
      </w:pPr>
      <w:r>
        <w:rPr>
          <w:rFonts w:ascii="Amiri" w:hAnsi="Amiri" w:eastAsia="Amiri" w:cs="Amiri"/>
          <w:color w:val="111111"/>
          <w:sz w:val="28"/>
          <w:sz w:val="28"/>
          <w:szCs w:val="28"/>
          <w:rtl w:val="true"/>
          <w:lang w:bidi="ar-SA"/>
        </w:rPr>
        <w:t>الفاقدة للعادة ذات التّمييز كالمضطربة و المبتدئة و النّاسية</w:t>
      </w:r>
    </w:p>
    <w:p>
      <w:pPr>
        <w:pStyle w:val="BookText"/>
        <w:rPr/>
      </w:pPr>
      <w:r>
        <w:rPr>
          <w:rFonts w:ascii="Amiri" w:hAnsi="Amiri" w:eastAsia="Amiri" w:cs="Amiri"/>
          <w:color w:val="111111"/>
          <w:sz w:val="28"/>
          <w:sz w:val="28"/>
          <w:szCs w:val="28"/>
          <w:rtl w:val="true"/>
          <w:lang w:bidi="ar-SA"/>
        </w:rPr>
        <w:t xml:space="preserve">فإنّها ترجع إليه،و هو مذهب علمائنا،و به قال الشّافعيّ </w:t>
      </w:r>
      <w:r>
        <w:rPr>
          <w:rStyle w:val="FootnoteAnchor"/>
          <w:rtl w:val="true"/>
        </w:rPr>
        <w:footnoteReference w:id="1734"/>
      </w:r>
      <w:r>
        <w:rPr>
          <w:rFonts w:ascii="IRNazanin" w:hAnsi="IRNazanin" w:eastAsia="IRNazanin"/>
          <w:color w:val="111111"/>
          <w:sz w:val="28"/>
          <w:sz w:val="28"/>
          <w:szCs w:val="28"/>
          <w:rtl w:val="true"/>
          <w:lang w:bidi="fa-IR"/>
        </w:rPr>
        <w:t xml:space="preserve">،و أحمد </w:t>
      </w:r>
      <w:r>
        <w:rPr>
          <w:rStyle w:val="FootnoteAnchor"/>
          <w:rtl w:val="true"/>
        </w:rPr>
        <w:footnoteReference w:id="1735"/>
      </w:r>
      <w:r>
        <w:rPr>
          <w:rFonts w:ascii="Amiri" w:hAnsi="Amiri" w:eastAsia="Amiri" w:cs="Amiri"/>
          <w:color w:val="111111"/>
          <w:sz w:val="28"/>
          <w:sz w:val="28"/>
          <w:szCs w:val="28"/>
          <w:rtl w:val="true"/>
          <w:lang w:bidi="ar-SA"/>
        </w:rPr>
        <w:t xml:space="preserve">،و مالك </w:t>
      </w:r>
      <w:r>
        <w:rPr>
          <w:rStyle w:val="FootnoteAnchor"/>
          <w:rtl w:val="true"/>
        </w:rPr>
        <w:footnoteReference w:id="173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أبو حنيفة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اعتبار بالتّمييز </w:t>
      </w:r>
      <w:r>
        <w:rPr>
          <w:rStyle w:val="FootnoteAnchor"/>
          <w:rtl w:val="true"/>
        </w:rPr>
        <w:footnoteReference w:id="17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الجمهور،عن عائشة في حديث فاطمة بنت أبي حبيش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اللّه،إنّي أستحاض فلا أطهر؟فقال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أقبلت الحيضة فاتركي الصّلاة و إذا أدبرت فاغسلي </w:t>
      </w:r>
      <w:r>
        <w:rPr>
          <w:rStyle w:val="FootnoteAnchor"/>
          <w:rtl w:val="true"/>
        </w:rPr>
        <w:footnoteReference w:id="1738"/>
      </w:r>
      <w:r>
        <w:rPr>
          <w:rFonts w:ascii="Amiri" w:hAnsi="Amiri" w:eastAsia="Amiri" w:cs="Amiri"/>
          <w:color w:val="111111"/>
          <w:sz w:val="28"/>
          <w:sz w:val="28"/>
          <w:szCs w:val="28"/>
          <w:rtl w:val="true"/>
          <w:lang w:bidi="ar-SA"/>
        </w:rPr>
        <w:t>عنك الدّم و صلّي</w:t>
      </w:r>
      <w:r>
        <w:rPr>
          <w:rFonts w:eastAsia="Amiri" w:cs="Amiri" w:ascii="Amiri" w:hAnsi="Amiri"/>
          <w:color w:val="111111"/>
          <w:sz w:val="28"/>
          <w:szCs w:val="28"/>
          <w:rtl w:val="true"/>
          <w:lang w:bidi="ar-SA"/>
        </w:rPr>
        <w:t xml:space="preserve">) </w:t>
      </w:r>
      <w:r>
        <w:rPr>
          <w:rStyle w:val="FootnoteAnchor"/>
          <w:rtl w:val="true"/>
        </w:rPr>
        <w:footnoteReference w:id="173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ما رأت الدّم البحرانيّ فإنّها تدع الصّلاة </w:t>
      </w:r>
      <w:r>
        <w:rPr>
          <w:rStyle w:val="FootnoteAnchor"/>
          <w:rtl w:val="true"/>
        </w:rPr>
        <w:footnoteReference w:id="1740"/>
      </w:r>
      <w:r>
        <w:rPr>
          <w:rFonts w:eastAsia="Times New Roman" w:cs="Times New Roman" w:ascii="Times New Roman" w:hAnsi="Times New Roman"/>
          <w:color w:val="111111"/>
          <w:sz w:val="28"/>
          <w:szCs w:val="28"/>
          <w:rtl w:val="true"/>
          <w:lang w:val="en-US" w:bidi="en-US"/>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حديث آخر،عن فاطمة بنت أبي حبيش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كان دم الحيض فإنّه دم أسود يعرف فامسكي عن الصّلاة،و إذا كان الآخر فتوضّئي</w:t>
      </w:r>
      <w:r>
        <w:rPr>
          <w:rFonts w:eastAsia="Amiri" w:cs="Amiri" w:ascii="Amiri" w:hAnsi="Amiri"/>
          <w:color w:val="111111"/>
          <w:sz w:val="28"/>
          <w:szCs w:val="28"/>
          <w:rtl w:val="true"/>
          <w:lang w:bidi="ar-SA"/>
        </w:rPr>
        <w:t xml:space="preserve">) </w:t>
      </w:r>
      <w:r>
        <w:rPr>
          <w:rStyle w:val="FootnoteAnchor"/>
          <w:rtl w:val="true"/>
        </w:rPr>
        <w:footnoteReference w:id="174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من طريق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 في الحسن،عن حفص بن البختريّ،عن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كان للدّم حرارة و دفع و سواد فلتدع الصّلاة</w:t>
      </w:r>
      <w:r>
        <w:rPr>
          <w:rFonts w:eastAsia="Amiri" w:cs="Amiri" w:ascii="Amiri" w:hAnsi="Amiri"/>
          <w:color w:val="111111"/>
          <w:sz w:val="28"/>
          <w:szCs w:val="28"/>
          <w:rtl w:val="true"/>
          <w:lang w:bidi="ar-SA"/>
        </w:rPr>
        <w:t xml:space="preserve">» </w:t>
      </w:r>
      <w:r>
        <w:rPr>
          <w:rStyle w:val="FootnoteAnchor"/>
          <w:rtl w:val="true"/>
        </w:rPr>
        <w:footnoteReference w:id="17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الصّحيح،عن إسحاق بن جرير،عن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دم الحيض ليس فيه خفاء،هو دم حار تجد له حرقة و دم الاستحاضة دم فاسد بارد</w:t>
      </w:r>
      <w:r>
        <w:rPr>
          <w:rFonts w:eastAsia="Amiri" w:cs="Amiri" w:ascii="Amiri" w:hAnsi="Amiri"/>
          <w:color w:val="111111"/>
          <w:sz w:val="28"/>
          <w:szCs w:val="28"/>
          <w:rtl w:val="true"/>
          <w:lang w:bidi="ar-SA"/>
        </w:rPr>
        <w:t xml:space="preserve">» </w:t>
      </w:r>
      <w:r>
        <w:rPr>
          <w:rStyle w:val="FootnoteAnchor"/>
          <w:rtl w:val="true"/>
        </w:rPr>
        <w:footnoteReference w:id="17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رواه يونس،عن غير واحد،عن أبي عبد اللّه عليه السّلام في حديث فاطمة بنت أبي حبيش،قال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جهلت الأيّام و عددها فالنّظر حينئذ إلى إقبال الدّم و إدباره و تغيّر لونه،ثمَّ تدع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أبي عليه السّلام أفتى في مثل هذا و ذلك انّ امرأة من أهلنا استحاضت فسألت أبي عليه السّلام عن ذلك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رأيت البحرانيّ فدعي الصّلاة</w:t>
      </w:r>
      <w:r>
        <w:rPr>
          <w:rFonts w:eastAsia="Amiri" w:cs="Amiri" w:ascii="Amiri" w:hAnsi="Amiri"/>
          <w:color w:val="111111"/>
          <w:sz w:val="28"/>
          <w:szCs w:val="28"/>
          <w:rtl w:val="true"/>
          <w:lang w:bidi="ar-SA"/>
        </w:rPr>
        <w:t xml:space="preserve">» </w:t>
      </w:r>
      <w:r>
        <w:rPr>
          <w:rStyle w:val="FootnoteAnchor"/>
          <w:rtl w:val="true"/>
        </w:rPr>
        <w:footnoteReference w:id="1744"/>
      </w:r>
      <w:r>
        <w:rPr>
          <w:rFonts w:ascii="Amiri" w:hAnsi="Amiri" w:eastAsia="Amiri" w:cs="Amiri"/>
          <w:color w:val="111111"/>
          <w:sz w:val="28"/>
          <w:sz w:val="28"/>
          <w:szCs w:val="28"/>
          <w:rtl w:val="true"/>
          <w:lang w:bidi="ar-SA"/>
        </w:rPr>
        <w:t>و معنى البحرانيّ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الشّديد الحمرة و السّواد،يقال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بحرانيّ و باحريّ،و ليست الياء للنّسبة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كذا قاله ابن الأعرابيّ في نوادره </w:t>
      </w:r>
      <w:r>
        <w:rPr>
          <w:rStyle w:val="FootnoteAnchor"/>
          <w:rtl w:val="true"/>
        </w:rPr>
        <w:footnoteReference w:id="1745"/>
      </w:r>
      <w:r>
        <w:rPr>
          <w:rFonts w:eastAsia="Times New Roman" w:cs="Times New Roman" w:ascii="Times New Roman" w:hAnsi="Times New Roman"/>
          <w:color w:val="111111"/>
          <w:sz w:val="28"/>
          <w:szCs w:val="28"/>
          <w:rtl w:val="true"/>
          <w:lang w:val="en-US" w:bidi="en-US"/>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احتجّ أبو حنيفة </w:t>
      </w:r>
      <w:r>
        <w:rPr>
          <w:rStyle w:val="FootnoteAnchor"/>
          <w:rtl w:val="true"/>
        </w:rPr>
        <w:footnoteReference w:id="1746"/>
      </w:r>
      <w:r>
        <w:rPr>
          <w:rFonts w:ascii="Amiri" w:hAnsi="Amiri" w:eastAsia="Amiri" w:cs="Amiri"/>
          <w:color w:val="111111"/>
          <w:sz w:val="28"/>
          <w:sz w:val="28"/>
          <w:szCs w:val="28"/>
          <w:rtl w:val="true"/>
          <w:lang w:bidi="ar-SA"/>
        </w:rPr>
        <w:t>بأنّ النّبيّ صلّى اللّه عليه و آله قال للمرأة الّتي استفتت لها أمّ سلمة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لتنظر عدّة الأيّام و اللّيالي الّتي كانت تحيضهنّ قبل أن يصيبها الّذي أصابها، فلتترك الصّلاة قدر ذلك من الشّهر</w:t>
      </w:r>
      <w:r>
        <w:rPr>
          <w:rFonts w:eastAsia="Amiri" w:cs="Amiri" w:ascii="Amiri" w:hAnsi="Amiri"/>
          <w:color w:val="111111"/>
          <w:sz w:val="28"/>
          <w:szCs w:val="28"/>
          <w:rtl w:val="true"/>
          <w:lang w:bidi="ar-SA"/>
        </w:rPr>
        <w:t xml:space="preserve">) </w:t>
      </w:r>
      <w:r>
        <w:rPr>
          <w:rStyle w:val="FootnoteAnchor"/>
          <w:rtl w:val="true"/>
        </w:rPr>
        <w:footnoteReference w:id="1747"/>
      </w:r>
      <w:r>
        <w:rPr>
          <w:rFonts w:eastAsia="Times New Roman" w:cs="Times New Roman" w:ascii="Times New Roman" w:hAnsi="Times New Roman"/>
          <w:color w:val="111111"/>
          <w:sz w:val="28"/>
          <w:szCs w:val="28"/>
          <w:rtl w:val="true"/>
          <w:lang w:val="en-US" w:bidi="en-US"/>
        </w:rPr>
        <w:t xml:space="preserve">. </w:t>
      </w:r>
      <w:bookmarkStart w:id="976" w:name="pg12669_113116"/>
    </w:p>
    <w:p>
      <w:pPr>
        <w:pStyle w:val="BookText"/>
        <w:rPr/>
      </w:pPr>
      <w:bookmarkEnd w:id="976"/>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غير محلّ النّزاع،فإنّا نقول بموجبة،إذ ذات العادة ترجع إليها،و لا اعتبار بالتّمييز،أمّا الفاقدة لها فلا يدلّ الحديث عليها</w:t>
      </w:r>
      <w:r>
        <w:rPr>
          <w:rFonts w:eastAsia="Amiri" w:cs="Amiri" w:ascii="Amiri" w:hAnsi="Amiri"/>
          <w:color w:val="111111"/>
          <w:sz w:val="28"/>
          <w:szCs w:val="28"/>
          <w:rtl w:val="true"/>
          <w:lang w:bidi="ar-SA"/>
        </w:rPr>
        <w:t>.</w:t>
      </w:r>
    </w:p>
    <w:p>
      <w:pPr>
        <w:pStyle w:val="Heading6"/>
        <w:numPr>
          <w:ilvl w:val="5"/>
          <w:numId w:val="1"/>
        </w:numPr>
        <w:rPr/>
      </w:pPr>
      <w:bookmarkStart w:id="977" w:name="__RefHeading___Toc795917_222507752"/>
      <w:bookmarkStart w:id="978" w:name="_Toc398"/>
      <w:bookmarkEnd w:id="977"/>
      <w:r>
        <w:rPr>
          <w:rtl w:val="true"/>
        </w:rPr>
        <w:t>فروع</w:t>
      </w:r>
      <w:r>
        <w:rPr>
          <w:rtl w:val="true"/>
        </w:rPr>
        <w:t>:</w:t>
      </w:r>
      <w:bookmarkEnd w:id="978"/>
    </w:p>
    <w:p>
      <w:pPr>
        <w:pStyle w:val="Heading6"/>
        <w:numPr>
          <w:ilvl w:val="5"/>
          <w:numId w:val="1"/>
        </w:numPr>
        <w:rPr/>
      </w:pPr>
      <w:bookmarkStart w:id="979" w:name="__RefHeading___Toc795919_222507752"/>
      <w:bookmarkStart w:id="980" w:name="_Toc399"/>
      <w:bookmarkEnd w:id="979"/>
      <w:r>
        <w:rPr>
          <w:rtl w:val="true"/>
        </w:rPr>
        <w:t>الأوّل</w:t>
      </w:r>
      <w:r>
        <w:rPr>
          <w:rtl w:val="true"/>
        </w:rPr>
        <w:t>:</w:t>
      </w:r>
      <w:r>
        <w:rPr>
          <w:rtl w:val="true"/>
        </w:rPr>
        <w:t>يشترط في التّمييز أمور ثلاثة</w:t>
      </w:r>
      <w:r>
        <w:rPr>
          <w:rtl w:val="true"/>
        </w:rPr>
        <w:t>:</w:t>
      </w:r>
      <w:bookmarkEnd w:id="980"/>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اختلاف اللّونين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يكون ما هو بصفة دم الحيض يمكن أن يكون حيضا في العدّة بأن لا يتجاوز الأكثر و لا يقصر عن الأقلّ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يتجاوز المجموع العشرة،و من يشترط التّوالي يشترط توالي ثلاثة أيّام بصفة دم الحيض فما زاد</w:t>
      </w:r>
      <w:r>
        <w:rPr>
          <w:rFonts w:eastAsia="Amiri" w:cs="Amiri" w:ascii="Amiri" w:hAnsi="Amiri"/>
          <w:color w:val="111111"/>
          <w:sz w:val="28"/>
          <w:szCs w:val="28"/>
          <w:rtl w:val="true"/>
          <w:lang w:bidi="ar-SA"/>
        </w:rPr>
        <w:t>.</w:t>
      </w:r>
    </w:p>
    <w:p>
      <w:pPr>
        <w:pStyle w:val="Heading6"/>
        <w:numPr>
          <w:ilvl w:val="5"/>
          <w:numId w:val="1"/>
        </w:numPr>
        <w:rPr/>
      </w:pPr>
      <w:bookmarkStart w:id="981" w:name="__RefHeading___Toc795921_222507752"/>
      <w:bookmarkStart w:id="982" w:name="_Toc400"/>
      <w:bookmarkEnd w:id="981"/>
      <w:r>
        <w:rPr>
          <w:rtl w:val="true"/>
        </w:rPr>
        <w:t>الثّاني</w:t>
      </w:r>
      <w:r>
        <w:rPr>
          <w:rtl w:val="true"/>
        </w:rPr>
        <w:t>:</w:t>
      </w:r>
      <w:r>
        <w:rPr>
          <w:rtl w:val="true"/>
        </w:rPr>
        <w:t>لا يشترط في التّمييز التّكرار</w:t>
      </w:r>
      <w:r>
        <w:rPr>
          <w:rtl w:val="true"/>
        </w:rPr>
        <w:t>.</w:t>
      </w:r>
      <w:bookmarkEnd w:id="982"/>
    </w:p>
    <w:p>
      <w:pPr>
        <w:pStyle w:val="BookText"/>
        <w:rPr/>
      </w:pPr>
      <w:r>
        <w:rPr>
          <w:rFonts w:ascii="Amiri" w:hAnsi="Amiri" w:eastAsia="Amiri" w:cs="Amiri"/>
          <w:color w:val="111111"/>
          <w:sz w:val="28"/>
          <w:sz w:val="28"/>
          <w:szCs w:val="28"/>
          <w:rtl w:val="true"/>
          <w:lang w:bidi="ar-SA"/>
        </w:rPr>
        <w:t xml:space="preserve">و به قال الشّافعي </w:t>
      </w:r>
      <w:r>
        <w:rPr>
          <w:rStyle w:val="FootnoteAnchor"/>
          <w:rtl w:val="true"/>
        </w:rPr>
        <w:footnoteReference w:id="1748"/>
      </w:r>
      <w:r>
        <w:rPr>
          <w:rFonts w:ascii="IRNazanin" w:hAnsi="IRNazanin" w:eastAsia="IRNazanin"/>
          <w:color w:val="111111"/>
          <w:sz w:val="28"/>
          <w:sz w:val="28"/>
          <w:szCs w:val="28"/>
          <w:rtl w:val="true"/>
          <w:lang w:bidi="fa-IR"/>
        </w:rPr>
        <w:t xml:space="preserve">و أحمد </w:t>
      </w:r>
      <w:r>
        <w:rPr>
          <w:rStyle w:val="FootnoteAnchor"/>
          <w:rtl w:val="true"/>
        </w:rPr>
        <w:footnoteReference w:id="1749"/>
      </w:r>
      <w:r>
        <w:rPr>
          <w:rFonts w:ascii="Amiri" w:hAnsi="Amiri" w:eastAsia="Amiri" w:cs="Amiri"/>
          <w:color w:val="111111"/>
          <w:sz w:val="28"/>
          <w:sz w:val="28"/>
          <w:szCs w:val="28"/>
          <w:rtl w:val="true"/>
          <w:lang w:bidi="ar-SA"/>
        </w:rPr>
        <w:t xml:space="preserve">،و اشترط بعضهم التّكرار مرّتين،أو ثلاثا </w:t>
      </w:r>
      <w:r>
        <w:rPr>
          <w:rStyle w:val="FootnoteAnchor"/>
          <w:rtl w:val="true"/>
        </w:rPr>
        <w:footnoteReference w:id="1750"/>
      </w:r>
      <w:r>
        <w:rPr>
          <w:rFonts w:ascii="Amiri" w:hAnsi="Amiri" w:eastAsia="Amiri" w:cs="Amiri"/>
          <w:color w:val="111111"/>
          <w:sz w:val="28"/>
          <w:sz w:val="28"/>
          <w:szCs w:val="28"/>
          <w:rtl w:val="true"/>
          <w:lang w:bidi="ar-SA"/>
        </w:rPr>
        <w:t>على الخلاف في العادة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الجمهور في حديث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أقبلت الحيضة فاتركي الصّلاة</w:t>
      </w:r>
      <w:r>
        <w:rPr>
          <w:rFonts w:eastAsia="Amiri" w:cs="Amiri" w:ascii="Amiri" w:hAnsi="Amiri"/>
          <w:color w:val="111111"/>
          <w:sz w:val="28"/>
          <w:szCs w:val="28"/>
          <w:rtl w:val="true"/>
          <w:lang w:bidi="ar-SA"/>
        </w:rPr>
        <w:t xml:space="preserve">) </w:t>
      </w:r>
      <w:r>
        <w:rPr>
          <w:rStyle w:val="FootnoteAnchor"/>
          <w:rtl w:val="true"/>
        </w:rPr>
        <w:footnoteReference w:id="1751"/>
      </w:r>
      <w:r>
        <w:rPr>
          <w:rFonts w:ascii="Amiri" w:hAnsi="Amiri" w:eastAsia="Amiri" w:cs="Amiri"/>
          <w:color w:val="111111"/>
          <w:sz w:val="28"/>
          <w:sz w:val="28"/>
          <w:szCs w:val="28"/>
          <w:rtl w:val="true"/>
          <w:lang w:bidi="ar-SA"/>
        </w:rPr>
        <w:t>علّق التّرك على الإقبال من غير اعتبار أمر آخر،ثمَّ مدّه إلى حين إدباره</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طريق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حفص،و إسحاق،و يونس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تقدّم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لأنّه أمارة بمجرّده،فلم يفتقر إلى ضمّ غيره كالعادة،و لأنّ معنى التّمييز الفرق بين أحد الدّمين عن الآخر لونا،و يكفي فيه أوّل 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فعلى هذا،لو رأت في شهر ثلاثة أسود و في آخر أربعة و في آخر خمسة،فما هو بالصّفة حيض و الباقي طهر</w:t>
      </w:r>
      <w:r>
        <w:rPr>
          <w:rFonts w:eastAsia="Amiri" w:cs="Amiri" w:ascii="Amiri" w:hAnsi="Amiri"/>
          <w:color w:val="111111"/>
          <w:sz w:val="28"/>
          <w:szCs w:val="28"/>
          <w:rtl w:val="true"/>
          <w:lang w:bidi="ar-SA"/>
        </w:rPr>
        <w:t xml:space="preserve">. </w:t>
      </w:r>
      <w:bookmarkStart w:id="983" w:name="pg12669_113117"/>
    </w:p>
    <w:p>
      <w:pPr>
        <w:pStyle w:val="Heading6"/>
        <w:numPr>
          <w:ilvl w:val="5"/>
          <w:numId w:val="1"/>
        </w:numPr>
        <w:rPr/>
      </w:pPr>
      <w:bookmarkStart w:id="984" w:name="__RefHeading___Toc795923_222507752"/>
      <w:bookmarkStart w:id="985" w:name="_Toc401"/>
      <w:bookmarkEnd w:id="983"/>
      <w:bookmarkEnd w:id="984"/>
      <w:r>
        <w:rPr>
          <w:rtl w:val="true"/>
        </w:rPr>
        <w:t>الثّالث</w:t>
      </w:r>
      <w:r>
        <w:rPr>
          <w:rtl w:val="true"/>
        </w:rPr>
        <w:t>:</w:t>
      </w:r>
      <w:r>
        <w:rPr>
          <w:rtl w:val="true"/>
        </w:rPr>
        <w:t>لو رأت أسود بين أحمرين،فإن لم يتجاوز الأكثر فالجميع حيض</w:t>
      </w:r>
      <w:bookmarkEnd w:id="985"/>
    </w:p>
    <w:p>
      <w:pPr>
        <w:pStyle w:val="BookText"/>
        <w:rPr/>
      </w:pPr>
      <w:r>
        <w:rPr>
          <w:rFonts w:ascii="Amiri" w:hAnsi="Amiri" w:eastAsia="Amiri" w:cs="Amiri"/>
          <w:color w:val="111111"/>
          <w:sz w:val="28"/>
          <w:sz w:val="28"/>
          <w:szCs w:val="28"/>
          <w:rtl w:val="true"/>
          <w:lang w:bidi="ar-SA"/>
        </w:rPr>
        <w:t>،لأنّه دم يصلح أن يكون حيضا في وقته فكان حيضا،أمّا لو تجاوز،فإن كان الأسود صالحا للحيض بمفرده كان حيضا سواء كان وسطا أو طرفا،تقدّم أو تأخّر عملا بالتّمييز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رأت أحمر بين أسودين و وجدت شرائط التّمييز فيهما فإن تخلّل بينهما عشرة أيّام كانا حيضتين و إلاّ فالأوّل حيض و الباقي فساد،أمّا لو لم يتجاوز المجموع العشرة فالكلّ حيض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رأت يوما دما أسود،و ثانيا أحمر،و ثالثا أسود،و رابعا أحمر،و خامسا أسود و تجاوز،فعندنا لا حيض بالتّمييز،و عند القائلين </w:t>
      </w:r>
      <w:r>
        <w:rPr>
          <w:rStyle w:val="FootnoteAnchor"/>
          <w:rtl w:val="true"/>
        </w:rPr>
        <w:footnoteReference w:id="1752"/>
      </w:r>
      <w:r>
        <w:rPr>
          <w:rFonts w:ascii="Amiri" w:hAnsi="Amiri" w:eastAsia="Amiri" w:cs="Amiri"/>
          <w:color w:val="111111"/>
          <w:sz w:val="28"/>
          <w:sz w:val="28"/>
          <w:szCs w:val="28"/>
          <w:rtl w:val="true"/>
          <w:lang w:bidi="ar-SA"/>
        </w:rPr>
        <w:t>بالتّلفيق يمكن أن تكون المرأة حائضا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رأت أحمر و أصفر كان الأحمر حيضا،لأنّه أشبه بالحيض من الأصفر،أمّا لو رأت معه سوادا كان السّواد هو الحيض،لأنّ الأحمر معه طهر</w:t>
      </w:r>
      <w:r>
        <w:rPr>
          <w:rFonts w:eastAsia="Amiri" w:cs="Amiri" w:ascii="Amiri" w:hAnsi="Amiri"/>
          <w:color w:val="111111"/>
          <w:sz w:val="28"/>
          <w:szCs w:val="28"/>
          <w:rtl w:val="true"/>
          <w:lang w:bidi="ar-SA"/>
        </w:rPr>
        <w:t>.</w:t>
      </w:r>
    </w:p>
    <w:p>
      <w:pPr>
        <w:pStyle w:val="Heading6"/>
        <w:numPr>
          <w:ilvl w:val="5"/>
          <w:numId w:val="1"/>
        </w:numPr>
        <w:rPr/>
      </w:pPr>
      <w:bookmarkStart w:id="986" w:name="__RefHeading___Toc795925_222507752"/>
      <w:bookmarkStart w:id="987" w:name="_Toc402"/>
      <w:bookmarkEnd w:id="986"/>
      <w:r>
        <w:rPr>
          <w:rtl w:val="true"/>
        </w:rPr>
        <w:t>الرّابع</w:t>
      </w:r>
      <w:r>
        <w:rPr>
          <w:rtl w:val="true"/>
        </w:rPr>
        <w:t>:</w:t>
      </w:r>
      <w:r>
        <w:rPr>
          <w:rtl w:val="true"/>
        </w:rPr>
        <w:t>لو رأت ثلاثة صفراء تركت الصّوم و الصّلاة إلى العاشر</w:t>
      </w:r>
      <w:bookmarkEnd w:id="987"/>
    </w:p>
    <w:p>
      <w:pPr>
        <w:pStyle w:val="BookText"/>
        <w:rPr/>
      </w:pPr>
      <w:r>
        <w:rPr>
          <w:rFonts w:ascii="Amiri" w:hAnsi="Amiri" w:eastAsia="Amiri" w:cs="Amiri"/>
          <w:color w:val="111111"/>
          <w:sz w:val="28"/>
          <w:sz w:val="28"/>
          <w:szCs w:val="28"/>
          <w:rtl w:val="true"/>
          <w:lang w:bidi="ar-SA"/>
        </w:rPr>
        <w:t>،فإن رأت بعد ذلك أسود تركت الصّلاة أيضا إلى أن يمضي عشرة أسود،فإن انقطع كان حيضا و قضت ما تركته 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تجاوز لم يحصل التّمييز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يمكن أن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انّها تحتاط للعبادة بعد العشرة الاولى،و أمّا عدم التّمييز فصحيح</w:t>
      </w:r>
      <w:r>
        <w:rPr>
          <w:rFonts w:eastAsia="Amiri" w:cs="Amiri" w:ascii="Amiri" w:hAnsi="Amiri"/>
          <w:color w:val="111111"/>
          <w:sz w:val="28"/>
          <w:szCs w:val="28"/>
          <w:rtl w:val="true"/>
          <w:lang w:bidi="ar-SA"/>
        </w:rPr>
        <w:t>.</w:t>
      </w:r>
    </w:p>
    <w:p>
      <w:pPr>
        <w:pStyle w:val="Heading6"/>
        <w:numPr>
          <w:ilvl w:val="5"/>
          <w:numId w:val="1"/>
        </w:numPr>
        <w:rPr/>
      </w:pPr>
      <w:bookmarkStart w:id="988" w:name="__RefHeading___Toc795927_222507752"/>
      <w:bookmarkStart w:id="989" w:name="_Toc403"/>
      <w:bookmarkEnd w:id="988"/>
      <w:r>
        <w:rPr>
          <w:rtl w:val="true"/>
        </w:rPr>
        <w:t>الخامس</w:t>
      </w:r>
      <w:r>
        <w:rPr>
          <w:rtl w:val="true"/>
        </w:rPr>
        <w:t>:</w:t>
      </w:r>
      <w:r>
        <w:rPr>
          <w:rtl w:val="true"/>
        </w:rPr>
        <w:t>لو رأت ثلاثة أيّام أسود و ثلاثة أصفر،ثمَّ عشرة أسود،قال الشّيخ رحمه</w:t>
      </w:r>
      <w:bookmarkEnd w:id="989"/>
    </w:p>
    <w:p>
      <w:pPr>
        <w:pStyle w:val="BookText"/>
        <w:rPr/>
      </w:pP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تحيّضت بالعشرة الأخيرة</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قضت ما تركته في الثّلاثة الأولى فكانت السّتّة استحاضة </w:t>
      </w:r>
      <w:r>
        <w:rPr>
          <w:rStyle w:val="FootnoteAnchor"/>
          <w:rtl w:val="true"/>
        </w:rPr>
        <w:footnoteReference w:id="1753"/>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تمييز لهذه </w:t>
      </w:r>
      <w:r>
        <w:rPr>
          <w:rStyle w:val="FootnoteAnchor"/>
          <w:rtl w:val="true"/>
        </w:rPr>
        <w:footnoteReference w:id="1754"/>
      </w:r>
      <w:r>
        <w:rPr>
          <w:rFonts w:eastAsia="Times New Roman" w:cs="Times New Roman" w:ascii="Times New Roman" w:hAnsi="Times New Roman"/>
          <w:color w:val="111111"/>
          <w:sz w:val="28"/>
          <w:szCs w:val="28"/>
          <w:rtl w:val="true"/>
          <w:lang w:val="en-US" w:bidi="en-US"/>
        </w:rPr>
        <w:t xml:space="preserve">. </w:t>
      </w:r>
      <w:bookmarkStart w:id="990" w:name="pg12669_113118"/>
    </w:p>
    <w:p>
      <w:pPr>
        <w:pStyle w:val="Heading6"/>
        <w:numPr>
          <w:ilvl w:val="5"/>
          <w:numId w:val="1"/>
        </w:numPr>
        <w:rPr/>
      </w:pPr>
      <w:bookmarkStart w:id="991" w:name="__RefHeading___Toc795929_222507752"/>
      <w:bookmarkStart w:id="992" w:name="_Toc404"/>
      <w:bookmarkEnd w:id="990"/>
      <w:bookmarkEnd w:id="991"/>
      <w:r>
        <w:rPr>
          <w:rtl w:val="true"/>
        </w:rPr>
        <w:t>السّادس</w:t>
      </w:r>
      <w:r>
        <w:rPr>
          <w:rtl w:val="true"/>
        </w:rPr>
        <w:t>:</w:t>
      </w:r>
      <w:r>
        <w:rPr>
          <w:rtl w:val="true"/>
        </w:rPr>
        <w:t>لو رأت المبتدئة خمسة أيّام دم الاستحاضة،ثمَّ الأسود بقيّة الشّهر،</w:t>
      </w:r>
      <w:bookmarkEnd w:id="992"/>
    </w:p>
    <w:p>
      <w:pPr>
        <w:pStyle w:val="BookText"/>
        <w:rPr/>
      </w:pP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يحكم في أوّل يوم ترى ما هو بصفة الحيض إلى تمام العشرة بأنّه حيض،</w:t>
      </w:r>
    </w:p>
    <w:p>
      <w:pPr>
        <w:pStyle w:val="BookText"/>
        <w:rPr/>
      </w:pPr>
      <w:r>
        <w:rPr>
          <w:rFonts w:ascii="Amiri" w:hAnsi="Amiri" w:eastAsia="Amiri" w:cs="Amiri"/>
          <w:color w:val="111111"/>
          <w:sz w:val="28"/>
          <w:sz w:val="28"/>
          <w:szCs w:val="28"/>
          <w:rtl w:val="true"/>
          <w:lang w:bidi="ar-SA"/>
        </w:rPr>
        <w:t xml:space="preserve">و ما بعده استحاضة،فإن استمرّ على هيئته،جعلت بين الحيضة الأولى و الثّانية عشرة طهرا و ما بعد ذلك من الحيضة الثّانية،ثمَّ على هذا التّقدير </w:t>
      </w:r>
      <w:r>
        <w:rPr>
          <w:rStyle w:val="FootnoteAnchor"/>
          <w:rtl w:val="true"/>
        </w:rPr>
        <w:footnoteReference w:id="175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الأقرب عندي الرّجوع إلى الرّوايات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رأت ما هو بصفة الاستحاضة ثلاثة عشر يوما،ثمَّ رأت الأسود و استمرّ،كان ثلاثة أيّام من أوّل الدّم حيضا،و العشرة طهرا،و ما رأته بعد ذلك من الحيضة الثّانية </w:t>
      </w:r>
      <w:r>
        <w:rPr>
          <w:rStyle w:val="FootnoteAnchor"/>
          <w:rtl w:val="true"/>
        </w:rPr>
        <w:footnoteReference w:id="175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993" w:name="__RefHeading___Toc795931_222507752"/>
      <w:bookmarkStart w:id="994" w:name="_Toc405"/>
      <w:bookmarkEnd w:id="993"/>
      <w:r>
        <w:rPr>
          <w:rtl w:val="true"/>
        </w:rPr>
        <w:t>السّابع</w:t>
      </w:r>
      <w:r>
        <w:rPr>
          <w:rtl w:val="true"/>
        </w:rPr>
        <w:t>:</w:t>
      </w:r>
      <w:r>
        <w:rPr>
          <w:rtl w:val="true"/>
        </w:rPr>
        <w:t>لو رأت في أوّل الشّهر عشرة أيّام أسود،ثمَّ عشرة أحمر،ثمَّ عشرة أسود،</w:t>
      </w:r>
      <w:bookmarkEnd w:id="994"/>
    </w:p>
    <w:p>
      <w:pPr>
        <w:pStyle w:val="BookText"/>
        <w:rPr/>
      </w:pPr>
      <w:r>
        <w:rPr>
          <w:rFonts w:ascii="Amiri" w:hAnsi="Amiri" w:eastAsia="Amiri" w:cs="Amiri"/>
          <w:color w:val="111111"/>
          <w:sz w:val="28"/>
          <w:sz w:val="28"/>
          <w:szCs w:val="28"/>
          <w:rtl w:val="true"/>
          <w:lang w:bidi="ar-SA"/>
        </w:rPr>
        <w:t>كان ما هو بصفة دم الحيض حيضا</w:t>
      </w:r>
    </w:p>
    <w:p>
      <w:pPr>
        <w:pStyle w:val="BookText"/>
        <w:rPr/>
      </w:pPr>
      <w:r>
        <w:rPr>
          <w:rFonts w:ascii="Amiri" w:hAnsi="Amiri" w:eastAsia="Amiri" w:cs="Amiri"/>
          <w:color w:val="111111"/>
          <w:sz w:val="28"/>
          <w:sz w:val="28"/>
          <w:szCs w:val="28"/>
          <w:rtl w:val="true"/>
          <w:lang w:bidi="ar-SA"/>
        </w:rPr>
        <w:t>،إذ هو في وقته مع إمكانه،و قد حصل التّمييز، فكان حيضا</w:t>
      </w:r>
      <w:r>
        <w:rPr>
          <w:rFonts w:eastAsia="Amiri" w:cs="Amiri" w:ascii="Amiri" w:hAnsi="Amiri"/>
          <w:color w:val="111111"/>
          <w:sz w:val="28"/>
          <w:szCs w:val="28"/>
          <w:rtl w:val="true"/>
          <w:lang w:bidi="ar-SA"/>
        </w:rPr>
        <w:t>.</w:t>
      </w:r>
    </w:p>
    <w:p>
      <w:pPr>
        <w:pStyle w:val="Heading6"/>
        <w:numPr>
          <w:ilvl w:val="5"/>
          <w:numId w:val="1"/>
        </w:numPr>
        <w:rPr/>
      </w:pPr>
      <w:bookmarkStart w:id="995" w:name="__RefHeading___Toc795933_222507752"/>
      <w:bookmarkStart w:id="996" w:name="_Toc406"/>
      <w:bookmarkEnd w:id="995"/>
      <w:r>
        <w:rPr>
          <w:rtl w:val="true"/>
        </w:rPr>
        <w:t>الثّامن</w:t>
      </w:r>
      <w:r>
        <w:rPr>
          <w:rtl w:val="true"/>
        </w:rPr>
        <w:t>:</w:t>
      </w:r>
      <w:r>
        <w:rPr>
          <w:rtl w:val="true"/>
        </w:rPr>
        <w:t>لو رأت في شهر خمسة</w:t>
      </w:r>
      <w:bookmarkEnd w:id="996"/>
    </w:p>
    <w:p>
      <w:pPr>
        <w:pStyle w:val="BookText"/>
        <w:rPr/>
      </w:pPr>
      <w:r>
        <w:rPr>
          <w:rFonts w:ascii="Amiri" w:hAnsi="Amiri" w:eastAsia="Amiri" w:cs="Amiri"/>
          <w:color w:val="111111"/>
          <w:sz w:val="28"/>
          <w:sz w:val="28"/>
          <w:szCs w:val="28"/>
          <w:rtl w:val="true"/>
          <w:lang w:bidi="ar-SA"/>
        </w:rPr>
        <w:t>أسود،ثمَّ استمرّ أحمر،و في الثّاني كذلك،و في الثّالث كلّه أحمر،و في الرّابع كالأوّل،و في الخامس خمسة أحمر،ثمَّ صار أسود و اتّصل، فحيضها الأسود من الأوّل،و الثّاني،و الرّابع،أمّا الثّالث،و الخامس فلا تمييز لها فيهما،فإن اعتبرنا المرّتين في العادة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مذهبنا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عملت فيهما كما عملت في الأوّلين،و إن اعتبرنا الثّلاث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هو رأي بعض </w:t>
      </w:r>
      <w:r>
        <w:rPr>
          <w:rStyle w:val="FootnoteAnchor"/>
          <w:rtl w:val="true"/>
        </w:rPr>
        <w:footnoteReference w:id="1757"/>
      </w:r>
      <w:r>
        <w:rPr>
          <w:rFonts w:ascii="Amiri" w:hAnsi="Amiri" w:eastAsia="Amiri" w:cs="Amiri"/>
          <w:color w:val="111111"/>
          <w:sz w:val="28"/>
          <w:sz w:val="28"/>
          <w:szCs w:val="28"/>
          <w:rtl w:val="true"/>
          <w:lang w:bidi="ar-SA"/>
        </w:rPr>
        <w:t>الجمهور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فكذلك،لأنّها قد رأت ذلك في ثلاثة أشهر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تثبت لها عادة </w:t>
      </w:r>
      <w:r>
        <w:rPr>
          <w:rStyle w:val="FootnoteAnchor"/>
          <w:rtl w:val="true"/>
        </w:rPr>
        <w:footnoteReference w:id="175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بجيّد</w:t>
      </w:r>
      <w:r>
        <w:rPr>
          <w:rFonts w:eastAsia="Amiri" w:cs="Amiri" w:ascii="Amiri" w:hAnsi="Amiri"/>
          <w:color w:val="111111"/>
          <w:sz w:val="28"/>
          <w:szCs w:val="28"/>
          <w:rtl w:val="true"/>
          <w:lang w:bidi="ar-SA"/>
        </w:rPr>
        <w:t>.</w:t>
      </w:r>
    </w:p>
    <w:p>
      <w:pPr>
        <w:pStyle w:val="Heading6"/>
        <w:numPr>
          <w:ilvl w:val="5"/>
          <w:numId w:val="1"/>
        </w:numPr>
        <w:rPr/>
      </w:pPr>
      <w:bookmarkStart w:id="997" w:name="__RefHeading___Toc795935_222507752"/>
      <w:bookmarkStart w:id="998" w:name="_Toc407"/>
      <w:bookmarkEnd w:id="997"/>
      <w:r>
        <w:rPr>
          <w:rtl w:val="true"/>
        </w:rPr>
        <w:t>التّاسع</w:t>
      </w:r>
      <w:r>
        <w:rPr>
          <w:rtl w:val="true"/>
        </w:rPr>
        <w:t>:</w:t>
      </w:r>
      <w:r>
        <w:rPr>
          <w:rtl w:val="true"/>
        </w:rPr>
        <w:t>لو رأت ثلاثة أيّام،ثمَّ انقطع،ثمَّ رأت يوم العاشر أو قبله و انقطع،</w:t>
      </w:r>
      <w:bookmarkEnd w:id="998"/>
    </w:p>
    <w:p>
      <w:pPr>
        <w:pStyle w:val="BookText"/>
        <w:rPr/>
      </w:pPr>
      <w:r>
        <w:rPr>
          <w:rFonts w:ascii="Amiri" w:hAnsi="Amiri" w:eastAsia="Amiri" w:cs="Amiri"/>
          <w:color w:val="111111"/>
          <w:sz w:val="28"/>
          <w:sz w:val="28"/>
          <w:szCs w:val="28"/>
          <w:rtl w:val="true"/>
          <w:lang w:bidi="ar-SA"/>
        </w:rPr>
        <w:t>كان الدّمان و ما بينهما حيضا</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 رواه الشّيخ،عن محمّد بن مسلم،عن أبي عبد اللّه </w:t>
      </w:r>
      <w:bookmarkStart w:id="999" w:name="pg12669_113119"/>
    </w:p>
    <w:p>
      <w:pPr>
        <w:pStyle w:val="BookText"/>
        <w:rPr/>
      </w:pPr>
      <w:bookmarkEnd w:id="999"/>
      <w:r>
        <w:rPr>
          <w:rFonts w:ascii="Amiri" w:hAnsi="Amiri" w:eastAsia="Amiri" w:cs="Amiri"/>
          <w:color w:val="111111"/>
          <w:sz w:val="28"/>
          <w:sz w:val="28"/>
          <w:szCs w:val="28"/>
          <w:rtl w:val="true"/>
          <w:lang w:bidi="ar-SA"/>
        </w:rPr>
        <w:t>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أقلّ ما يكون الحيض ثلاثة أيّام،و إذا رأت الدّم قبل عشرة أيّام فهو من الحيضة الاولى،و إذا رأته بعد عشرة فهو من حيضة أخرى مستقبلة</w:t>
      </w:r>
      <w:r>
        <w:rPr>
          <w:rFonts w:eastAsia="Amiri" w:cs="Amiri" w:ascii="Amiri" w:hAnsi="Amiri"/>
          <w:color w:val="111111"/>
          <w:sz w:val="28"/>
          <w:szCs w:val="28"/>
          <w:rtl w:val="true"/>
          <w:lang w:bidi="ar-SA"/>
        </w:rPr>
        <w:t xml:space="preserve">» </w:t>
      </w:r>
      <w:r>
        <w:rPr>
          <w:rStyle w:val="FootnoteAnchor"/>
          <w:rtl w:val="true"/>
        </w:rPr>
        <w:footnoteReference w:id="1759"/>
      </w:r>
      <w:r>
        <w:rPr>
          <w:rFonts w:ascii="Amiri" w:hAnsi="Amiri" w:eastAsia="Amiri" w:cs="Amiri"/>
          <w:color w:val="111111"/>
          <w:sz w:val="28"/>
          <w:sz w:val="28"/>
          <w:szCs w:val="28"/>
          <w:rtl w:val="true"/>
          <w:lang w:bidi="ar-SA"/>
        </w:rPr>
        <w:t xml:space="preserve">و في طريقها ضعف،و رواه الشّيخ في الحسن،عن محمّد بن مسلم </w:t>
      </w:r>
      <w:r>
        <w:rPr>
          <w:rStyle w:val="FootnoteAnchor"/>
          <w:rtl w:val="true"/>
        </w:rPr>
        <w:footnoteReference w:id="1760"/>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كان من الحيضة الأولى كان الخالي من الدّم حيضا،لما رواه الشّيخ في الصّحيح،عن محمّد بن مسلم،عن أبي جعفر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يكون القرء في أقلّ من عشرة فما زاد</w:t>
      </w:r>
      <w:r>
        <w:rPr>
          <w:rFonts w:eastAsia="Amiri" w:cs="Amiri" w:ascii="Amiri" w:hAnsi="Amiri"/>
          <w:color w:val="111111"/>
          <w:sz w:val="28"/>
          <w:szCs w:val="28"/>
          <w:rtl w:val="true"/>
          <w:lang w:bidi="ar-SA"/>
        </w:rPr>
        <w:t xml:space="preserve">» </w:t>
      </w:r>
      <w:r>
        <w:rPr>
          <w:rStyle w:val="FootnoteAnchor"/>
          <w:rtl w:val="true"/>
        </w:rPr>
        <w:footnoteReference w:id="17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عن يونس،عن بعض رجاله،عن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أقلّ ما يكون الطّهر عشرة أيّام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حاضت المرأة خمسة أيّام،ثمَّ انقطع الدّم، اغتسلت و صلّت،فإن رأت بعد ذلك الدّم و لم يتمّ لها من يوم طهرت عشرة أيّام فذلك من الحيض،تدع الصّلاة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البحث لو تكرّر الانقطاع و لم يتجاوز العشرة،أمّا لو لم تر إلاّ بعد العاشر فهو استحاضة،إلاّ أن يكون ما بينهما عشرة أيّام،فيمكن أن يكون من الحيضة المستقبلة</w:t>
      </w:r>
      <w:r>
        <w:rPr>
          <w:rFonts w:eastAsia="Amiri" w:cs="Amiri" w:ascii="Amiri" w:hAnsi="Amiri"/>
          <w:color w:val="111111"/>
          <w:sz w:val="28"/>
          <w:szCs w:val="28"/>
          <w:rtl w:val="true"/>
          <w:lang w:bidi="ar-SA"/>
        </w:rPr>
        <w:t>.</w:t>
      </w:r>
    </w:p>
    <w:p>
      <w:pPr>
        <w:pStyle w:val="Heading6"/>
        <w:numPr>
          <w:ilvl w:val="5"/>
          <w:numId w:val="1"/>
        </w:numPr>
        <w:rPr/>
      </w:pPr>
      <w:bookmarkStart w:id="1000" w:name="__RefHeading___Toc795937_222507752"/>
      <w:bookmarkStart w:id="1001" w:name="_Toc408"/>
      <w:bookmarkEnd w:id="1000"/>
      <w:r>
        <w:rPr>
          <w:rtl w:val="true"/>
        </w:rPr>
        <w:t>العاشر</w:t>
      </w:r>
      <w:r>
        <w:rPr>
          <w:rtl w:val="true"/>
        </w:rPr>
        <w:t>:</w:t>
      </w:r>
      <w:r>
        <w:rPr>
          <w:rtl w:val="true"/>
        </w:rPr>
        <w:t>روى الشّيخ في الصّحيح،عن يونس بن يعقوب،</w:t>
      </w:r>
      <w:bookmarkEnd w:id="1001"/>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المرأة ترى الدّم ثلاثة أيّام أو أربعة؟قال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تدع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فإنّها ترى الطّهر ثلاثة أيّام أو أربعة أيّام؟قال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فإنّها ترى الدّم ثلاثة أيّام أو أربعة أيّام؟قال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تدع الصّلاة،تصنع ذلك ما بينهما و بين شهر،فإن انقطع عنها و إلاّ فهي بمنزلة المستحاضة</w:t>
      </w:r>
      <w:r>
        <w:rPr>
          <w:rFonts w:eastAsia="Amiri" w:cs="Amiri" w:ascii="Amiri" w:hAnsi="Amiri"/>
          <w:color w:val="111111"/>
          <w:sz w:val="28"/>
          <w:szCs w:val="28"/>
          <w:rtl w:val="true"/>
          <w:lang w:bidi="ar-SA"/>
        </w:rPr>
        <w:t xml:space="preserve">» </w:t>
      </w:r>
      <w:r>
        <w:rPr>
          <w:rStyle w:val="FootnoteAnchor"/>
          <w:rtl w:val="true"/>
        </w:rPr>
        <w:footnoteReference w:id="17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في الصّحيح،عن أبي بصير،قال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المرأة ترى الدّم خمسة أيّام و الطّهر خمسة أيّام و ترى الدّم أربعة أيّام و الطّهر ستّة أيّام؟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رأت الدّم لم تصلّ،و إن رأت الطّهر صلّت ما بينهما و بين ثلاثين يوما، فإذا تمّت ثلاثون يوما فرأت دما صبيبا اغتسلت و استثفرت و احتشت بالكرسف في وقت كلّ صلاة،فإذا رأت صفرة توضّأت</w:t>
      </w:r>
      <w:r>
        <w:rPr>
          <w:rFonts w:eastAsia="Amiri" w:cs="Amiri" w:ascii="Amiri" w:hAnsi="Amiri"/>
          <w:color w:val="111111"/>
          <w:sz w:val="28"/>
          <w:szCs w:val="28"/>
          <w:rtl w:val="true"/>
          <w:lang w:bidi="ar-SA"/>
        </w:rPr>
        <w:t xml:space="preserve">» </w:t>
      </w:r>
      <w:r>
        <w:rPr>
          <w:rStyle w:val="FootnoteAnchor"/>
          <w:rtl w:val="true"/>
        </w:rPr>
        <w:footnoteReference w:id="17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في الاستبصار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نحمل هاتين الرّوايتين على من اختلطت عادتها و أيّام أقرائها،أو مستحاضة استمرّ بها الدّم و اشتبهت عليها العادة،ثمَّ رأت ما يشبه دم الحيض ثلاثة أو أربعة،و ما يشبه دم الاستحاضة ثلاثة أو أربعة هكذا،ففرضها أن تجعل ما يشبه دم الحيض حيضا و الآخر طهرا،صفرة كان أو نقاء ليستبين حاله </w:t>
      </w:r>
      <w:r>
        <w:rPr>
          <w:rStyle w:val="FootnoteAnchor"/>
          <w:rtl w:val="true"/>
        </w:rPr>
        <w:footnoteReference w:id="1764"/>
      </w:r>
      <w:r>
        <w:rPr>
          <w:rFonts w:eastAsia="Times New Roman" w:cs="Times New Roman" w:ascii="Times New Roman" w:hAnsi="Times New Roman"/>
          <w:color w:val="111111"/>
          <w:sz w:val="28"/>
          <w:szCs w:val="28"/>
          <w:rtl w:val="true"/>
          <w:lang w:val="en-US" w:bidi="en-US"/>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عندي في ذلك توقّف</w:t>
      </w:r>
      <w:r>
        <w:rPr>
          <w:rFonts w:eastAsia="Amiri" w:cs="Amiri" w:ascii="Amiri" w:hAnsi="Amiri"/>
          <w:color w:val="111111"/>
          <w:sz w:val="28"/>
          <w:szCs w:val="28"/>
          <w:rtl w:val="true"/>
          <w:lang w:bidi="ar-SA"/>
        </w:rPr>
        <w:t xml:space="preserve">. </w:t>
      </w:r>
      <w:bookmarkStart w:id="1002" w:name="pg12669_113121"/>
    </w:p>
    <w:p>
      <w:pPr>
        <w:pStyle w:val="Heading5"/>
        <w:numPr>
          <w:ilvl w:val="4"/>
          <w:numId w:val="1"/>
        </w:numPr>
        <w:rPr/>
      </w:pPr>
      <w:bookmarkStart w:id="1003" w:name="__RefHeading___Toc795939_222507752"/>
      <w:bookmarkStart w:id="1004" w:name="_Toc409"/>
      <w:bookmarkEnd w:id="1002"/>
      <w:bookmarkEnd w:id="1003"/>
      <w:r>
        <w:rPr>
          <w:rtl w:val="true"/>
        </w:rPr>
        <w:t>البحث الثّالث</w:t>
      </w:r>
      <w:r>
        <w:rPr>
          <w:rtl w:val="true"/>
        </w:rPr>
        <w:t>:</w:t>
      </w:r>
      <w:r>
        <w:rPr>
          <w:rtl w:val="true"/>
        </w:rPr>
        <w:t>في بقيّة الكلام في ذات العادة المختلفة،و التّفريع عليه</w:t>
      </w:r>
      <w:bookmarkEnd w:id="1004"/>
    </w:p>
    <w:p>
      <w:pPr>
        <w:pStyle w:val="Heading6"/>
        <w:numPr>
          <w:ilvl w:val="5"/>
          <w:numId w:val="1"/>
        </w:numPr>
        <w:rPr/>
      </w:pPr>
      <w:bookmarkStart w:id="1005" w:name="__RefHeading___Toc795941_222507752"/>
      <w:bookmarkStart w:id="1006" w:name="_Toc410"/>
      <w:bookmarkEnd w:id="1005"/>
      <w:r>
        <w:rPr>
          <w:rtl w:val="true"/>
        </w:rPr>
        <w:t>مسألة</w:t>
      </w:r>
      <w:r>
        <w:rPr>
          <w:rtl w:val="true"/>
        </w:rPr>
        <w:t>:</w:t>
      </w:r>
      <w:r>
        <w:rPr>
          <w:rtl w:val="true"/>
        </w:rPr>
        <w:t>الانتقال،على ضربين</w:t>
      </w:r>
      <w:r>
        <w:rPr>
          <w:rtl w:val="true"/>
        </w:rPr>
        <w:t>:</w:t>
      </w:r>
      <w:r>
        <w:rPr>
          <w:rtl w:val="true"/>
        </w:rPr>
        <w:t>انتقال عدد،و انتقال مكان</w:t>
      </w:r>
      <w:r>
        <w:rPr>
          <w:rtl w:val="true"/>
        </w:rPr>
        <w:t>.</w:t>
      </w:r>
      <w:bookmarkEnd w:id="1006"/>
    </w:p>
    <w:p>
      <w:pPr>
        <w:pStyle w:val="BookText"/>
        <w:rPr/>
      </w:pPr>
      <w:r>
        <w:rPr>
          <w:rFonts w:ascii="IRNazanin" w:hAnsi="IRNazanin" w:eastAsia="IRNazanin"/>
          <w:color w:val="111111"/>
          <w:sz w:val="28"/>
          <w:sz w:val="28"/>
          <w:szCs w:val="28"/>
          <w:rtl w:val="true"/>
          <w:lang w:bidi="fa-IR"/>
        </w:rPr>
        <w:t>و انتقال العدد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ترى زيادة على أيّام عادتها المستقرّة،كما لو كانت عادتها ثلاثة أيّام في كلّ شهر، فرأت في شهر زائدا على ذلك،فإن لم يتجاوز فهو حيض بأجمعه،و إن تجاوز الأكثر تحيّضت بالعادة،و الحكمان ظاهران،فإذا لم يتجاوز،بأن رأته خمسة مثلا،هل انتقلت عادتها بذلك أم لا؟فالحقّ عندي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انّها لم تنتقل بذلك إلاّ مع التّكرار مرّة 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به قال أبو حنيفة </w:t>
      </w:r>
      <w:r>
        <w:rPr>
          <w:rStyle w:val="FootnoteAnchor"/>
          <w:rtl w:val="true"/>
        </w:rPr>
        <w:footnoteReference w:id="1765"/>
      </w:r>
      <w:r>
        <w:rPr>
          <w:rFonts w:ascii="Amiri" w:hAnsi="Amiri" w:eastAsia="Amiri" w:cs="Amiri"/>
          <w:color w:val="111111"/>
          <w:sz w:val="28"/>
          <w:sz w:val="28"/>
          <w:szCs w:val="28"/>
          <w:rtl w:val="true"/>
          <w:lang w:bidi="ar-SA"/>
        </w:rPr>
        <w:t xml:space="preserve">و محمّد </w:t>
      </w:r>
      <w:r>
        <w:rPr>
          <w:rStyle w:val="FootnoteAnchor"/>
          <w:rtl w:val="true"/>
        </w:rPr>
        <w:footnoteReference w:id="176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أبو يوسف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انّها تنتقل عن العادة بالمرّة الواحدة </w:t>
      </w:r>
      <w:r>
        <w:rPr>
          <w:rStyle w:val="FootnoteAnchor"/>
          <w:rtl w:val="true"/>
        </w:rPr>
        <w:footnoteReference w:id="17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العادة مشتقّة من العود،فما لم يعد لا يكون عادة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تحقيقه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العادة المتقدّمة دليل على أيّامها الّتي اعتادت،فلا يبطل حكم هذا الدّليل إلاّ بدليل مثله، و هي العادة بخلافه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احتجّ أبو يوسف بأنّ عادة الطّهر الأصليّ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المبتدئة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ينتقل برؤية الدّم ابتداء،فكذا غيرها </w:t>
      </w:r>
      <w:r>
        <w:rPr>
          <w:rStyle w:val="FootnoteAnchor"/>
          <w:rtl w:val="true"/>
        </w:rPr>
        <w:footnoteReference w:id="17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الجواب من وجهين</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المنع من ثبوت الحكم في الأصل،إذ هو بناء على الاكتفاء بمرّة واحدة في العادة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بيّنّا بطلانه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إنّما يلزم من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تكتفي بالمرّة،كأبي حنيفة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الشّافعيّ </w:t>
      </w:r>
      <w:r>
        <w:rPr>
          <w:rStyle w:val="FootnoteAnchor"/>
          <w:rtl w:val="true"/>
        </w:rPr>
        <w:footnoteReference w:id="1769"/>
      </w:r>
      <w:r>
        <w:rPr>
          <w:rFonts w:ascii="Amiri" w:hAnsi="Amiri" w:eastAsia="Amiri" w:cs="Amiri"/>
          <w:color w:val="111111"/>
          <w:sz w:val="28"/>
          <w:sz w:val="28"/>
          <w:szCs w:val="28"/>
          <w:rtl w:val="true"/>
          <w:lang w:bidi="ar-SA"/>
        </w:rPr>
        <w:t>،و محمّد</w:t>
      </w:r>
      <w:r>
        <w:rPr>
          <w:rFonts w:eastAsia="Amiri" w:cs="Amiri" w:ascii="Amiri" w:hAnsi="Amiri"/>
          <w:color w:val="111111"/>
          <w:sz w:val="28"/>
          <w:szCs w:val="28"/>
          <w:rtl w:val="true"/>
          <w:lang w:bidi="ar-SA"/>
        </w:rPr>
        <w:t xml:space="preserve">. </w:t>
      </w:r>
      <w:bookmarkStart w:id="1007" w:name="pg12669_113122"/>
    </w:p>
    <w:p>
      <w:pPr>
        <w:pStyle w:val="BookText"/>
        <w:rPr/>
      </w:pPr>
      <w:bookmarkEnd w:id="1007"/>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الفرق،فإنّه معارض في حقّ المبتدئة،فعلى هذا لو كانت عادتها ثلاثة، فرأت خمسة في شهر و انقطع فهو حيض إجماعا،فلو استمرّ في الرّابع جعلت عادتها الثّلاثة لا غير عندنا و عند أبي حنيفة و محمّد،و عند أبي يوسف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تتحيّض خمسة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لو رأته في الشّهر الرّابع خمسة كالثّالث و استمرّ في الخامس،كان حيضها خمسة لتحقّق العادة الثّانية،و هو اتّفاق</w:t>
      </w:r>
      <w:r>
        <w:rPr>
          <w:rFonts w:eastAsia="Amiri" w:cs="Amiri" w:ascii="Amiri" w:hAnsi="Amiri"/>
          <w:color w:val="111111"/>
          <w:sz w:val="28"/>
          <w:szCs w:val="28"/>
          <w:rtl w:val="true"/>
          <w:lang w:bidi="ar-SA"/>
        </w:rPr>
        <w:t>.</w:t>
      </w:r>
    </w:p>
    <w:p>
      <w:pPr>
        <w:pStyle w:val="Heading6"/>
        <w:numPr>
          <w:ilvl w:val="5"/>
          <w:numId w:val="1"/>
        </w:numPr>
        <w:rPr/>
      </w:pPr>
      <w:bookmarkStart w:id="1008" w:name="__RefHeading___Toc795943_222507752"/>
      <w:bookmarkStart w:id="1009" w:name="_Toc411"/>
      <w:bookmarkEnd w:id="1008"/>
      <w:r>
        <w:rPr>
          <w:rtl w:val="true"/>
        </w:rPr>
        <w:t>فرع</w:t>
      </w:r>
      <w:r>
        <w:rPr>
          <w:rtl w:val="true"/>
        </w:rPr>
        <w:t>:</w:t>
      </w:r>
      <w:r>
        <w:rPr>
          <w:rtl w:val="true"/>
        </w:rPr>
        <w:t>لو رأت قبل العادة و فيها أو بعدها فالجميع حيض</w:t>
      </w:r>
      <w:bookmarkEnd w:id="1009"/>
    </w:p>
    <w:p>
      <w:pPr>
        <w:pStyle w:val="BookText"/>
        <w:rPr/>
      </w:pPr>
      <w:r>
        <w:rPr>
          <w:rFonts w:ascii="Amiri" w:hAnsi="Amiri" w:eastAsia="Amiri" w:cs="Amiri"/>
          <w:color w:val="111111"/>
          <w:sz w:val="28"/>
          <w:sz w:val="28"/>
          <w:szCs w:val="28"/>
          <w:rtl w:val="true"/>
          <w:lang w:bidi="ar-SA"/>
        </w:rPr>
        <w:t>إن لم يتجاوز،و إلاّ فالعادة، و كذا لو رأته فيها و قبلها و بعدها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انتقال المكان،فتارة يكون بالتّقدّم و اخرى بالتّأخّر،فلو كانت عادتها خمسة في أوّل الشّهر فلم تر فيها و رأت في الخمسة الثّانية،تحيّضت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قول محمّد،و أبي يوسف،و إحدى الرّوايتين عن أبي حنيفة </w:t>
      </w:r>
      <w:r>
        <w:rPr>
          <w:rStyle w:val="FootnoteAnchor"/>
          <w:rtl w:val="true"/>
        </w:rPr>
        <w:footnoteReference w:id="177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دم حيض في وقت يمكن أن يكون حيضا،فكان حيضا،و لأنّا لو اعتبرنا التّكرار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قال أبو حنيفة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لأدّى إلى خلوّ جماعة من الحيض بالكلّيّة مع رؤية ما يصلح أن يكون حيضا في زمنه </w:t>
      </w:r>
      <w:r>
        <w:rPr>
          <w:rStyle w:val="FootnoteAnchor"/>
          <w:rtl w:val="true"/>
        </w:rPr>
        <w:footnoteReference w:id="1771"/>
      </w:r>
      <w:r>
        <w:rPr>
          <w:rFonts w:ascii="Amiri" w:hAnsi="Amiri" w:eastAsia="Amiri" w:cs="Amiri"/>
          <w:color w:val="111111"/>
          <w:sz w:val="28"/>
          <w:sz w:val="28"/>
          <w:szCs w:val="28"/>
          <w:rtl w:val="true"/>
          <w:lang w:bidi="ar-SA"/>
        </w:rPr>
        <w:t>،لأنّ المرأة إذا رأت في غير عادتها،و طهرت أيّام عادتها،لم تمسك عن الصّلاة شهرين،فإذا انتقلت في الثّالث إلى أيّام أخر لم نحيّضها أيضا شهرين،و هكذا</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بعض أزواج النّبيّ صلّى اللّه عليه و آله كانت معه في الخميلة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فجاءها الدّم فانسلّت من الخميلة فقال لها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لك، أ نفست؟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نعم،فأمرها أن تأتزر </w:t>
      </w:r>
      <w:r>
        <w:rPr>
          <w:rStyle w:val="FootnoteAnchor"/>
          <w:rtl w:val="true"/>
        </w:rPr>
        <w:footnoteReference w:id="177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لم يسألها هل وافق العادة أم جاء قبلها </w:t>
      </w:r>
    </w:p>
    <w:p>
      <w:pPr>
        <w:pStyle w:val="BookText"/>
        <w:rPr/>
      </w:pPr>
      <w:r>
        <w:rPr>
          <w:rFonts w:ascii="IRNazanin" w:hAnsi="IRNazanin" w:eastAsia="IRNazanin"/>
          <w:color w:val="111111"/>
          <w:sz w:val="28"/>
          <w:sz w:val="28"/>
          <w:szCs w:val="28"/>
          <w:rtl w:val="true"/>
          <w:lang w:bidi="fa-IR"/>
        </w:rPr>
        <w:t>أو بعدها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لأنّ عائشة حاضت في حجّة الوداع فعملت برؤية الدّم و لم تذكر عادة و لا ذكر لها النّبيّ صلّى اللّه عليه و آله </w:t>
      </w:r>
      <w:r>
        <w:rPr>
          <w:rStyle w:val="FootnoteAnchor"/>
          <w:rtl w:val="true"/>
        </w:rPr>
        <w:footnoteReference w:id="1773"/>
      </w:r>
      <w:r>
        <w:rPr>
          <w:rFonts w:ascii="Amiri" w:hAnsi="Amiri" w:eastAsia="Amiri" w:cs="Amiri"/>
          <w:color w:val="111111"/>
          <w:sz w:val="28"/>
          <w:sz w:val="28"/>
          <w:szCs w:val="28"/>
          <w:rtl w:val="true"/>
          <w:lang w:bidi="ar-SA"/>
        </w:rPr>
        <w:t>،و الظّاهر انّه لم يأت في العادة،لأنّها استنكرته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وددت أنّي لم أكن حججت،و بكت،و لو علمت انّ لها عادة تجيء فيها لما استنكرته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لو رأت آخر الخمسة يوما و يومين فيها فالجميع حيض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به قال أبو يوسف، و محمّد </w:t>
      </w:r>
      <w:r>
        <w:rPr>
          <w:rStyle w:val="FootnoteAnchor"/>
          <w:rtl w:val="true"/>
        </w:rPr>
        <w:footnoteReference w:id="1774"/>
      </w:r>
      <w:r>
        <w:rPr>
          <w:rFonts w:ascii="Amiri" w:hAnsi="Amiri" w:eastAsia="Amiri" w:cs="Amiri"/>
          <w:color w:val="111111"/>
          <w:sz w:val="28"/>
          <w:sz w:val="28"/>
          <w:szCs w:val="28"/>
          <w:rtl w:val="true"/>
          <w:lang w:bidi="ar-SA"/>
        </w:rPr>
        <w:t xml:space="preserve">،و في رواية عن أبي حنيفة </w:t>
      </w:r>
      <w:r>
        <w:rPr>
          <w:rStyle w:val="FootnoteAnchor"/>
          <w:rtl w:val="true"/>
        </w:rPr>
        <w:footnoteReference w:id="1775"/>
      </w:r>
      <w:r>
        <w:rPr>
          <w:rFonts w:ascii="Amiri" w:hAnsi="Amiri" w:eastAsia="Amiri" w:cs="Amiri"/>
          <w:color w:val="111111"/>
          <w:sz w:val="28"/>
          <w:sz w:val="28"/>
          <w:szCs w:val="28"/>
          <w:rtl w:val="true"/>
          <w:lang w:bidi="ar-SA"/>
        </w:rPr>
        <w:t xml:space="preserve">كما قلناه و كذا لو رأت في عادتها ما لا يمكن أن يكون حيضا،كيوم و أربعة بعدها،فالخمسة حيض و الخلاف كالخلاف،فعلى هذا لو انتقل المكان في شهر،ثمَّ استمرّ في الثّاني عملت على عادتها القديمة،خلافا لأبي يوسف </w:t>
      </w:r>
      <w:r>
        <w:rPr>
          <w:rStyle w:val="FootnoteAnchor"/>
          <w:rtl w:val="true"/>
        </w:rPr>
        <w:footnoteReference w:id="177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رأتها مرّتين،ثمَّ استمرّ في الثّالث ردّت إلى ما رأته مرّتين،عندنا،و عند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في صورة التّقديم،فإذا رأت قبل عادتها الخمسة يوما أو يومين و خمستها،أو رأت يوما،أو يومين قبل العادة و هو ثلاثة أيّام من خمستها،فالجميع حيض اتّفاقا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رأت عادتها متقدّمة،أو أربعة أيّام منها،أو ثلاثة،و لم تر في عادتها شيئا،كان ما رأته حيضا،لأنّه في زمان يمكن أن يكون حيضا بصفة الحيض،فكان حيضا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اختيار محمّد،و أبي يوسف </w:t>
      </w:r>
      <w:r>
        <w:rPr>
          <w:rStyle w:val="FootnoteAnchor"/>
          <w:rtl w:val="true"/>
        </w:rPr>
        <w:footnoteReference w:id="1777"/>
      </w:r>
      <w:r>
        <w:rPr>
          <w:rFonts w:ascii="Amiri" w:hAnsi="Amiri" w:eastAsia="Amiri" w:cs="Amiri"/>
          <w:color w:val="111111"/>
          <w:sz w:val="28"/>
          <w:sz w:val="28"/>
          <w:szCs w:val="28"/>
          <w:rtl w:val="true"/>
          <w:lang w:bidi="ar-SA"/>
        </w:rPr>
        <w:t xml:space="preserve">،خلافا لأبي حنيفة </w:t>
      </w:r>
      <w:r>
        <w:rPr>
          <w:rStyle w:val="FootnoteAnchor"/>
          <w:rtl w:val="true"/>
        </w:rPr>
        <w:footnoteReference w:id="1778"/>
      </w:r>
      <w:r>
        <w:rPr>
          <w:rFonts w:eastAsia="Times New Roman" w:cs="Times New Roman" w:ascii="Times New Roman" w:hAnsi="Times New Roman"/>
          <w:color w:val="111111"/>
          <w:sz w:val="28"/>
          <w:szCs w:val="28"/>
          <w:rtl w:val="true"/>
          <w:lang w:val="en-US" w:bidi="en-US"/>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كذا الخلاف لو رأت قبل العادة ثلاثة،و يوما في العادة،أو يومين،أو رأت قبل العادة يوما،أو يومين و في العادة يوما،أو يومين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لو رأت قبل العادة ما يمكن أن </w:t>
      </w:r>
      <w:bookmarkStart w:id="1010" w:name="pg12669_113124"/>
    </w:p>
    <w:p>
      <w:pPr>
        <w:pStyle w:val="BookText"/>
        <w:rPr/>
      </w:pPr>
      <w:bookmarkEnd w:id="1010"/>
      <w:r>
        <w:rPr>
          <w:rFonts w:ascii="Amiri" w:hAnsi="Amiri" w:eastAsia="Amiri" w:cs="Amiri"/>
          <w:color w:val="111111"/>
          <w:sz w:val="28"/>
          <w:sz w:val="28"/>
          <w:szCs w:val="28"/>
          <w:rtl w:val="true"/>
          <w:lang w:bidi="ar-SA"/>
        </w:rPr>
        <w:t>يكون حيضا،و فيها ما يمكن أن يكون حيضا و لم يتجاوز الأكثر،فعندنا انّه حيض بأسره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اختيار الشّافعيّ </w:t>
      </w:r>
      <w:r>
        <w:rPr>
          <w:rStyle w:val="FootnoteAnchor"/>
          <w:rtl w:val="true"/>
        </w:rPr>
        <w:footnoteReference w:id="1779"/>
      </w:r>
      <w:r>
        <w:rPr>
          <w:rFonts w:ascii="IRNazanin" w:hAnsi="IRNazanin" w:eastAsia="IRNazanin"/>
          <w:color w:val="111111"/>
          <w:sz w:val="28"/>
          <w:sz w:val="28"/>
          <w:szCs w:val="28"/>
          <w:rtl w:val="true"/>
          <w:lang w:bidi="fa-IR"/>
        </w:rPr>
        <w:t xml:space="preserve">،و أحمد </w:t>
      </w:r>
      <w:r>
        <w:rPr>
          <w:rStyle w:val="FootnoteAnchor"/>
          <w:rtl w:val="true"/>
        </w:rPr>
        <w:footnoteReference w:id="1780"/>
      </w:r>
      <w:r>
        <w:rPr>
          <w:rFonts w:ascii="Amiri" w:hAnsi="Amiri" w:eastAsia="Amiri" w:cs="Amiri"/>
          <w:color w:val="111111"/>
          <w:sz w:val="28"/>
          <w:sz w:val="28"/>
          <w:szCs w:val="28"/>
          <w:rtl w:val="true"/>
          <w:lang w:bidi="ar-SA"/>
        </w:rPr>
        <w:t>،و رواية أبي يوسف عن أبي حنيفة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رواية محمّد عنه انّه يكون الحيض ما رأته في العادة </w:t>
      </w:r>
      <w:r>
        <w:rPr>
          <w:rStyle w:val="FootnoteAnchor"/>
          <w:rtl w:val="true"/>
        </w:rPr>
        <w:footnoteReference w:id="1781"/>
      </w:r>
      <w:r>
        <w:rPr>
          <w:rFonts w:ascii="Amiri" w:hAnsi="Amiri" w:eastAsia="Amiri" w:cs="Amiri"/>
          <w:color w:val="111111"/>
          <w:sz w:val="28"/>
          <w:sz w:val="28"/>
          <w:szCs w:val="28"/>
          <w:rtl w:val="true"/>
          <w:lang w:bidi="ar-SA"/>
        </w:rPr>
        <w:t>،و ما قبله موقوف حتّى ترى في الشّهر الثّاني مثله</w:t>
      </w:r>
      <w:r>
        <w:rPr>
          <w:rFonts w:eastAsia="Amiri" w:cs="Amiri" w:ascii="Amiri" w:hAnsi="Amiri"/>
          <w:color w:val="111111"/>
          <w:sz w:val="28"/>
          <w:szCs w:val="28"/>
          <w:rtl w:val="true"/>
          <w:lang w:bidi="ar-SA"/>
        </w:rPr>
        <w:t>.</w:t>
      </w:r>
    </w:p>
    <w:p>
      <w:pPr>
        <w:pStyle w:val="Heading6"/>
        <w:numPr>
          <w:ilvl w:val="5"/>
          <w:numId w:val="1"/>
        </w:numPr>
        <w:rPr/>
      </w:pPr>
      <w:bookmarkStart w:id="1011" w:name="__RefHeading___Toc795945_222507752"/>
      <w:bookmarkStart w:id="1012" w:name="_Toc412"/>
      <w:bookmarkEnd w:id="1011"/>
      <w:r>
        <w:rPr>
          <w:rtl w:val="true"/>
        </w:rPr>
        <w:t>مسألة</w:t>
      </w:r>
      <w:r>
        <w:rPr>
          <w:rtl w:val="true"/>
        </w:rPr>
        <w:t>:</w:t>
      </w:r>
      <w:r>
        <w:rPr>
          <w:rtl w:val="true"/>
        </w:rPr>
        <w:t>ذات العادة إذا نسيتها لم تخل من ثلاثة أقسام</w:t>
      </w:r>
      <w:r>
        <w:rPr>
          <w:rtl w:val="true"/>
        </w:rPr>
        <w:t>:</w:t>
      </w:r>
      <w:bookmarkEnd w:id="1012"/>
    </w:p>
    <w:p>
      <w:pPr>
        <w:pStyle w:val="BookText"/>
        <w:rPr/>
      </w:pPr>
      <w:r>
        <w:rPr>
          <w:rFonts w:ascii="Amiri" w:hAnsi="Amiri" w:eastAsia="Amiri" w:cs="Amiri"/>
          <w:color w:val="111111"/>
          <w:sz w:val="28"/>
          <w:sz w:val="28"/>
          <w:szCs w:val="28"/>
          <w:rtl w:val="true"/>
          <w:lang w:bidi="ar-SA"/>
        </w:rPr>
        <w:t>إمّا أن تذكر العدد و تنسى الوقت،أو بالعكس،أو تنساهما معا و هي المتحيّرة،و قد مضى حكمها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حكم النّاسية للعدد خاصّة،كمن تعلم انّها تحيض في أوّل الوقت و لا تعلم عدده،فإن ذكرت أوّل الوقت،أكملته ثلاثة،لأنّه المتيقّن،و الزّائد مشكوك،و إن ذكرت آخره،جعلته نهاية الثّلاثة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انّها تتحيّض كالمتحيّرة كان وجها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لو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أعلم أني أحيض في العشر الأوّل،و لا أعلم الوقت و لا العدد،تحيّضت في أوّل العشر بالثّلاثة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تجتهد في تعيين الثّلاثة من العشرة </w:t>
      </w:r>
      <w:r>
        <w:rPr>
          <w:rStyle w:val="FootnoteAnchor"/>
          <w:rtl w:val="true"/>
        </w:rPr>
        <w:footnoteReference w:id="17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النّاسية للوقت دون العدد،فإمّا أن لا تعلم وقتا أصلا،و إمّا أن تعلم، فالأوّل مثل أن تعلم حيضها خمسة أيّام من الشّهر،قال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تعمل ما تعمله المستحاضة خمسة أيّام،ثمَّ تغتسل للانقطاع عند كلّ صلاة إلى آخر الدّم،إلاّ أن تعرف وقتا لانقطاعه،فتغتسل عند تجدّده دائما </w:t>
      </w:r>
      <w:r>
        <w:rPr>
          <w:rStyle w:val="FootnoteAnchor"/>
          <w:rtl w:val="true"/>
        </w:rPr>
        <w:footnoteReference w:id="17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لو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أحيض في الشّهر عشرة أيّام و لا أعلم موضعها،فعلت في العشر الأوّل ما تفعله المستحاضة،ثمَّ اغتسلت عند وقت كلّ صلاة للانقطاع إلى آخر الشّهر</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تعلم انّ لها وقتا،مثل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تعلم انّها كانت تحيض أيّاما معلومة من </w:t>
      </w:r>
    </w:p>
    <w:p>
      <w:pPr>
        <w:pStyle w:val="BookText"/>
        <w:rPr/>
      </w:pPr>
      <w:r>
        <w:rPr>
          <w:rFonts w:ascii="Amiri" w:hAnsi="Amiri" w:eastAsia="Amiri" w:cs="Amiri"/>
          <w:color w:val="111111"/>
          <w:sz w:val="28"/>
          <w:sz w:val="28"/>
          <w:szCs w:val="28"/>
          <w:rtl w:val="true"/>
          <w:lang w:bidi="ar-SA"/>
        </w:rPr>
        <w:t>العشر الأوّل،و هي على قسمين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 أن يتجاوز عدد أيّامها نصف وقتها المعلوم،أو لا يتجاوز بل يقصر،أو يساوي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تجعل الزّائد و ضعفه حيضا بيقين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حيضي ستّة أيّام في العشر الأوّل،كان لها يومان حيضا بيقين،هما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 و السّادس،و تغتسل في آخر العاشر للانقطاع،و عملت في الأربعة الاولى و الأخيرة ما تعمله المستحاضة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سبعة دخل الرّابع و السّابع في الحيض بيقين، و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في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حكمها حكم غير العالم فيما وقع فيه الشّكّ،مثاله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حيضي خمسة في العشرة الاولى و لا أعلم موضعها،فإنّها تعمل في العشرة ما تعمله المستحاضة،و تغتسل بعد الخمسة عند كلّ صلاة،لاحتمال الانقطاع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لو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حيضي أربعة فيها،فإنّها تفعل ما تفعله المستحاضة في العشرة، ثمَّ تغتسل بعد الأربعة عند كلّ 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حيضي إحدى العشرات و لا أعلم بعينها،عملت في العشرة الأولى ما تعمله المستحاضة،ثمَّ اغتسلت عند انتهائها للانقطاع،و كذا تغتسل في آخر العشرة الثّانية و آخر الثّالثة،و بينها و بين المسألة الثّانية من قسم غير العالمة بالوقت فرق فيما زاد على العشرة الأولى،فإنّ تلك تغتسل بعد العشرة الأولى عند كلّ صلاة لاحتمال الانقطاع،لاحتمال أن يكون أوّل حيضها اليوم الثّاني أو الثّالث،و هكذا إلى الحادي و العشرين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هذه فإنّ أوّل حيضها إمّا اليوم الأوّل،أو الحادي عشر،أو الحادي و العشرين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العشر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فإنّهما تتساويان فيه فتعملان عمل المستحاضة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حيضي عشرة و أعلم الطّهر في العشر الثّالث،عملت ما تعمله المستحاضة في العشرين الأوّلين،ثمَّ تغتسل بعد مضيّ الأوّل عند كلّ صلاة للانقطاع، أمّا لو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 العشرين،اغتسلت غسلين،و بمثله لو تيّقنت الطّهر في العشر الأول</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تيقّنت ذات الخمسة من العشر الأول طهر أوّل يوم،حصل لها تيقّن حيض السّادس،و حاصله الرّجوع إلى تجاوز النّصف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لو تيقّنت طهر الخامس،فالحيض الخمسة الثّانية بيقين،و الأولى لو تيقّنت طهر السّادس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تيقّنت طهر الثّاني و حيض الخامس،فالأوّلان و العاشر طهر قطعا، و الخامس،و السّادس،و السّابع حيض قطعا،فتعمل ما تعمله المستحاضة إلاّ في هذه، ثمَّ تغتسل في آخر السّابع عند كلّ صلاة إلى آخر التّاسع للانقطاع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تيقّنت ذات العشرة طهر السّادس،تضاف إليه في تيقّن الطّهر الخمسة الاولى،ثمَّ فعلت في اليوم السّابع إلى آخر الشّهر ما تعمله المستحاضة،ثمَّ اغتسلت آخر السّادس عشر للانقطاع عند كلّ صلاة إلى آخر الشّهر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تيقّنت طهر العاشر فمن أوّل الشّهر إليه طهر متيقّن،ثمَّ تعمل في الباقي ما تعمله المستحاضة إلى انقضاء العدد،ثمَّ تغتسل عند كلّ صلاة إلى آخر الشّهر للانقطاع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تيقّنت طهر الحادي عشر اختصّ به،و وقع الشّك في العشرة الاولى و ما بعده، فتغتسل في آخر العشرة الأولى للانقطاع،و في آخر الحادي و العشرين إلى آخر الشّهر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تيقّنت ذات الخمسة طهر الخمسة الأخيرة اختصّ التّيقّن بها،و عملت في الخمسة الأولى ما تعمله المستحاضة،ثمَّ تغتسل عند كلّ صلاة إلى آخر الخامس و العشرين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تيقّنت ذات العشرة حيض العاشر اختصّ به،لاحتمال أن يكون ابتداء و انتهاء،و اغتسلت في آخره للانقطاع،و في آخر التّاسع عشر،و حصل لها تيقّن طهر أحد عشر آخر الشّهر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تيقّنت ذات الخمسة حيض الثّاني عشر فمن أوّل الشّهر إلى آخر السّابع طهر متيقّن،و من أوّل السّابع عشر إلى آخر الشّهر كذلك،فتغتسل في آخر الثّاني عشر للانقطاع عند كلّ صلاة إلى آخر السّادس عشر،و تعمل ما تعمله المستحاضة في هذه الأيّام إلاّ الثّاني عشر</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لو تيقّنت ذات العشرة حيض الثّاني عشر،فاليومان الأوّلان و التّسعة الأخيرة </w:t>
      </w:r>
    </w:p>
    <w:p>
      <w:pPr>
        <w:pStyle w:val="BookText"/>
        <w:rPr/>
      </w:pPr>
      <w:r>
        <w:rPr>
          <w:rFonts w:ascii="Amiri" w:hAnsi="Amiri" w:eastAsia="Amiri" w:cs="Amiri"/>
          <w:color w:val="111111"/>
          <w:sz w:val="28"/>
          <w:sz w:val="28"/>
          <w:szCs w:val="28"/>
          <w:rtl w:val="true"/>
          <w:lang w:bidi="ar-SA"/>
        </w:rPr>
        <w:t>طهر بيقين،فتعمل ما تعمله المستحاضة فيما بينهما إلاّ الثّاني عشر،ثمَّ تغتسل في آخره مستمرّا عند كلّ صلاة إلى آخر الحادي و العشرين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تيقّنت ذات الخمسة تعاقب الطّهر و الحيض في يومي السّادس و السّادس و العشرين،و جهلت تعيين أحد اليومين لإحدى الصّفتين،فاليوم الأوّل من أوّل العشر الثّاني إلى آخر الحادي و العشرين طهر قطعا،ثمَّ تغتسل في آخر السّادس إلى آخر العاشر،و من آخر السّادس و العشرين إلى آخر الشّهر عند كلّ صلاة للانقطاع،إلاّ أن تعلم انّ الانقطاع في وقت صلاة معيّنة،فتغتسل عندها دائما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توطأ هذه المرأة في كلّ،و لا تطلّق فيما يقع الشّكّ فيه،و تقضي صوم العدّة الّتي تعلمها بعد الزّمان الّذي تفرض عادتها في جملته </w:t>
      </w:r>
      <w:r>
        <w:rPr>
          <w:rStyle w:val="FootnoteAnchor"/>
          <w:rtl w:val="true"/>
        </w:rPr>
        <w:footnoteReference w:id="17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هذه المواضع تعيّن ما تجعله حيضا ممّا وقع الشّكّ فيه اختيارا أو اجتهادا على ما سلف من القولين أمكن،فعلى هذا القول،لو ذكرت عادتها بعد جلوسها في غيره رجعت،لأنّ ترك العادة حصل لعارض و هو النّسيان،و مع الذّكر زال العارض فترجع إلى الأصل،فلو ظهر لها انّها تركت الصّلاة في غير عادتها،فالوجه قضاؤها و قضاء ما صامته من الفرض في عادتها</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 في كلّ شهر حيضتان،كلّ واحدة ثمانية،فمن الأوّل إلى آخر الرّابع طهر مشكوك فيه،و كذا من التّاسع إلى آخر الثّاني عشر،و من التّاسع عشر إلى آخر الثّاني و العشرين،و من السّابع و العشرين إلى آخر الشّهر،و لها حيضتان بيقين من أوّل الخامس إلى آخر الثّامن،و من الثّالث و العشرين إلى آخر السّادس و العشرين،و لها طهر بيقين من أوّل الثّالث عشر إلى آخر الثّامن عشر</w:t>
      </w:r>
      <w:r>
        <w:rPr>
          <w:rFonts w:eastAsia="Amiri" w:cs="Amiri" w:ascii="Amiri" w:hAnsi="Amiri"/>
          <w:color w:val="111111"/>
          <w:sz w:val="28"/>
          <w:szCs w:val="28"/>
          <w:rtl w:val="true"/>
          <w:lang w:bidi="ar-SA"/>
        </w:rPr>
        <w:t xml:space="preserve">. </w:t>
      </w:r>
      <w:bookmarkStart w:id="1013" w:name="pg12669_113128"/>
    </w:p>
    <w:p>
      <w:pPr>
        <w:pStyle w:val="Heading6"/>
        <w:numPr>
          <w:ilvl w:val="5"/>
          <w:numId w:val="1"/>
        </w:numPr>
        <w:rPr/>
      </w:pPr>
      <w:bookmarkStart w:id="1014" w:name="__RefHeading___Toc795947_222507752"/>
      <w:bookmarkStart w:id="1015" w:name="_Toc413"/>
      <w:bookmarkEnd w:id="1013"/>
      <w:bookmarkEnd w:id="1014"/>
      <w:r>
        <w:rPr>
          <w:rtl w:val="true"/>
        </w:rPr>
        <w:t>فروع</w:t>
      </w:r>
      <w:r>
        <w:rPr>
          <w:rtl w:val="true"/>
        </w:rPr>
        <w:t>:</w:t>
      </w:r>
      <w:r>
        <w:rPr>
          <w:rtl w:val="true"/>
        </w:rPr>
        <w:t>في الامتزاج</w:t>
      </w:r>
      <w:r>
        <w:rPr>
          <w:rtl w:val="true"/>
        </w:rPr>
        <w:t>.</w:t>
      </w:r>
      <w:bookmarkEnd w:id="1015"/>
    </w:p>
    <w:p>
      <w:pPr>
        <w:pStyle w:val="BookText"/>
        <w:rPr/>
      </w:pPr>
      <w:r>
        <w:rPr>
          <w:rFonts w:ascii="Amiri" w:hAnsi="Amiri" w:eastAsia="Amiri" w:cs="Amiri"/>
          <w:color w:val="111111"/>
          <w:sz w:val="28"/>
          <w:sz w:val="28"/>
          <w:szCs w:val="28"/>
          <w:rtl w:val="true"/>
          <w:lang w:bidi="ar-SA"/>
        </w:rPr>
        <w:t xml:space="preserve">إذا تيقّنت ذات العشرة مزج إحدى العشرات بالأخرى بيوم،فاليوم الأوّل و الآخر طهر قطعا،فتعمل في الباقي ما تعمله المستحاضة،ثمَّ تغتسل في آخر الحادي عشر،و التّاسع عشر،و الحادي و العشرين،و التّاسع و العشرين للانقطاع،لتيقّن عدد أيّامها و هي العشرة غير نصف الزّمان،و هو ما بين الأوّل و الآخر،و يجب عليها قضاء صوم عشرة أيّام خاصّة،خلافا للشّافعيّ </w:t>
      </w:r>
      <w:r>
        <w:rPr>
          <w:rStyle w:val="FootnoteAnchor"/>
          <w:rtl w:val="true"/>
        </w:rPr>
        <w:footnoteReference w:id="17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لو مزجت بيومين فاليومان الأوّلان و الأخيران طهر قطعا،و تعمل في الباقي ما تعمله المستحاضة،ثمَّ تغتسل آخر الثّاني عشر،و الثّامن عشر،و الثّاني و العشرين، و الثّامن و العشرين للانقطاع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مزجت ذات الخمسة إحدى العشرات بالأخرى بيوم،فالستّة الأولى طهر قطعا و كذا الأواخر،و الخامس عشر،و السّادس عشر طهر قطعا،و تعمل فيما عداها كالمستحاضة،و تغتسل آخر الحادي عشر،و الرّابع عشر،و الحادي و العشرين،و الرّابع و العشرين للانقطاع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مزجت بيومين فالثّمانية الاولى و الأواخر طهر قطعا،و الرّابع عشر،و الخامس عشر،و السّادس عشر،و السّابع عشر كذلك،ثمَّ تفعل في الباقي ما تعمله المستحاضة، و تغتسل في آخر الثّاني عشر،و الثّالث عشر،و الثّاني و العشرين،و الثّالث و العشرين للانقطاع</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لو تيقّنت ذات العشرة مزج أحد النّصفين بصاحبه بيوم،فالسّتّة الاولى من الشّهر،و الأخرى طهر قطعا،و الخامس عشر،و السّادس عشر حيض قطعا،لزيادة عدد أيّامها و هي عشرة على نصف الزّمان المشكوك فيه،و هو ما بين السّادس،و الخامس، </w:t>
      </w:r>
    </w:p>
    <w:p>
      <w:pPr>
        <w:pStyle w:val="BookText"/>
        <w:rPr/>
      </w:pPr>
      <w:r>
        <w:rPr>
          <w:rFonts w:ascii="Amiri" w:hAnsi="Amiri" w:eastAsia="Amiri" w:cs="Amiri"/>
          <w:color w:val="111111"/>
          <w:sz w:val="28"/>
          <w:sz w:val="28"/>
          <w:szCs w:val="28"/>
          <w:rtl w:val="true"/>
          <w:lang w:bidi="ar-SA"/>
        </w:rPr>
        <w:t>و العشرين بيوم،تعمل ما تعمله المستحاضة فيما عدا اليومين،ثمَّ تغتسل آخر السّادس عشر،و الرّابع و العشرين للانقطاع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تعمل ما تعمله المستحاضة من يوم الخامس عشر إلى آخر الرّابع و العشرين </w:t>
      </w:r>
      <w:r>
        <w:rPr>
          <w:rStyle w:val="FootnoteAnchor"/>
          <w:rtl w:val="true"/>
        </w:rPr>
        <w:footnoteReference w:id="178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بجيّد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مزجت إحداهما بالآخر بيومين،فالثّمانية الاولى و الأواخر طهر قطعا،و الرّابع عشر،و الخامس عشر،و السّادس عشر،و السّابع عشر حيض قطعا،و الباقي مشكوك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مزجت ذات تسعة أيّام و نصف إحدى العشرات بالأخرى بيوم و الكسر في الأوّل،فالتّسعة الأخيرة من الشّهر طهر قطعا،و كذا اليوم الأوّل و نصف الثّاني و نصف الثّاني عشر،و تعمل في الباقي ما تعمله المستحاضة،ثمَّ تغتسل آخر الحادي عشر،و آخر الحادي و العشرين للانقطاع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الكسر في العشر الثّاني،فالتّسعة الأولى </w:t>
      </w:r>
      <w:r>
        <w:rPr>
          <w:rStyle w:val="FootnoteAnchor"/>
          <w:rtl w:val="true"/>
        </w:rPr>
        <w:footnoteReference w:id="1787"/>
      </w:r>
      <w:r>
        <w:rPr>
          <w:rFonts w:ascii="Amiri" w:hAnsi="Amiri" w:eastAsia="Amiri" w:cs="Amiri"/>
          <w:color w:val="111111"/>
          <w:sz w:val="28"/>
          <w:sz w:val="28"/>
          <w:szCs w:val="28"/>
          <w:rtl w:val="true"/>
          <w:lang w:bidi="ar-SA"/>
        </w:rPr>
        <w:t>طهر قطعا،و كذا النّصف الأخير من التّاسع و العشرين،و اليوم الآخر و الباقي مشكوك فيه،تعمل ما تعمله المستحاضة و تغتسل آخر النّصف الأوّل من التّاسع عشر و آخر النّصف الأوّل من التّاسع و العشرين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مزجت هذه أحد النّصفين بالآخر و الكسر في الأوّل،فستّة أيّام و نصف من أوّل الشّهر طهر بيقين،و من النّصف الثّاني من السّابع إلى آخر السّادس عشر حيض قطعا،و الباقي طهر قطعا،و ينعكس </w:t>
      </w:r>
      <w:r>
        <w:rPr>
          <w:rStyle w:val="FootnoteAnchor"/>
          <w:rtl w:val="true"/>
        </w:rPr>
        <w:footnoteReference w:id="1788"/>
      </w:r>
      <w:r>
        <w:rPr>
          <w:rFonts w:ascii="Amiri" w:hAnsi="Amiri" w:eastAsia="Amiri" w:cs="Amiri"/>
          <w:color w:val="111111"/>
          <w:sz w:val="28"/>
          <w:sz w:val="28"/>
          <w:szCs w:val="28"/>
          <w:rtl w:val="true"/>
          <w:lang w:bidi="ar-SA"/>
        </w:rPr>
        <w:t>لو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الكسر في آخره</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قالت ذات تسعة و نصف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المزج بيوم كامل و الكسر من العشرين معا،فهو خطأ،لأنّه إذا كان الكسر في العشرين لا يختلط بيوم كامل</w:t>
      </w:r>
      <w:r>
        <w:rPr>
          <w:rFonts w:eastAsia="Amiri" w:cs="Amiri" w:ascii="Amiri" w:hAnsi="Amiri"/>
          <w:color w:val="111111"/>
          <w:sz w:val="28"/>
          <w:szCs w:val="28"/>
          <w:rtl w:val="true"/>
          <w:lang w:bidi="ar-SA"/>
        </w:rPr>
        <w:t xml:space="preserve">. </w:t>
      </w:r>
      <w:bookmarkStart w:id="1016" w:name="pg12669_113130"/>
    </w:p>
    <w:p>
      <w:pPr>
        <w:pStyle w:val="Heading6"/>
        <w:numPr>
          <w:ilvl w:val="5"/>
          <w:numId w:val="1"/>
        </w:numPr>
        <w:rPr/>
      </w:pPr>
      <w:bookmarkStart w:id="1017" w:name="__RefHeading___Toc795949_222507752"/>
      <w:bookmarkStart w:id="1018" w:name="_Toc414"/>
      <w:bookmarkEnd w:id="1016"/>
      <w:bookmarkEnd w:id="1017"/>
      <w:r>
        <w:rPr>
          <w:rtl w:val="true"/>
        </w:rPr>
        <w:t>فروع</w:t>
      </w:r>
      <w:r>
        <w:rPr>
          <w:rtl w:val="true"/>
        </w:rPr>
        <w:t>:</w:t>
      </w:r>
      <w:r>
        <w:rPr>
          <w:rtl w:val="true"/>
        </w:rPr>
        <w:t>في التّلفيق</w:t>
      </w:r>
      <w:r>
        <w:rPr>
          <w:rtl w:val="true"/>
        </w:rPr>
        <w:t>.</w:t>
      </w:r>
      <w:bookmarkEnd w:id="1018"/>
    </w:p>
    <w:p>
      <w:pPr>
        <w:pStyle w:val="BookText"/>
        <w:rPr/>
      </w:pPr>
      <w:r>
        <w:rPr>
          <w:rFonts w:ascii="Amiri" w:hAnsi="Amiri" w:eastAsia="Amiri" w:cs="Amiri"/>
          <w:color w:val="111111"/>
          <w:sz w:val="28"/>
          <w:sz w:val="28"/>
          <w:szCs w:val="28"/>
          <w:rtl w:val="true"/>
          <w:lang w:bidi="ar-SA"/>
        </w:rPr>
        <w:t>و هو ضمّ الدّم إلى الدّم الّذي يتخلّل بينهما نقاء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اعلم انّ الأصل عندنا،انّ الطّهر لا يكون أقلّ من عشرة،فعلى هذا لو رأت بين ثلاثة أيّام الحيض و العاشر نقاء،ثمَّ رأت العاشر دما،كان الكلّ حيضا،و قد تقدّم الدّليل على ذلك </w:t>
      </w:r>
      <w:r>
        <w:rPr>
          <w:rStyle w:val="FootnoteAnchor"/>
          <w:rtl w:val="true"/>
        </w:rPr>
        <w:footnoteReference w:id="178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انقطع الدّم بعد الثّلاثة و أدخلت القطنة و خرجت نقيّة، صلّت و صامت إجماعا،لرواية عائشة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تعجلن حتّى ترين القصّة البيضاء </w:t>
      </w:r>
      <w:r>
        <w:rPr>
          <w:rStyle w:val="FootnoteAnchor"/>
          <w:rtl w:val="true"/>
        </w:rPr>
        <w:footnoteReference w:id="1790"/>
      </w:r>
      <w:r>
        <w:rPr>
          <w:rFonts w:eastAsia="Times New Roman" w:cs="Times New Roman" w:ascii="Times New Roman" w:hAnsi="Times New Roman"/>
          <w:color w:val="111111"/>
          <w:sz w:val="28"/>
          <w:szCs w:val="28"/>
          <w:rtl w:val="true"/>
          <w:lang w:val="en-US" w:bidi="en-US"/>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بضمّ القاف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المراد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القطنة الّتي تحشى في القبل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شيء يتبع الحيض أبيض </w:t>
      </w:r>
      <w:r>
        <w:rPr>
          <w:rStyle w:val="FootnoteAnchor"/>
          <w:rtl w:val="true"/>
        </w:rPr>
        <w:footnoteReference w:id="179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عاودها الدّم في العشرة و انقطع،قضت ما فعلته من الصّيام،للعلم بوقوعه حال الحيض،فإنّ النّقاء المتخلّل ليس له حكم الطّهر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به قال أبو حنيفة </w:t>
      </w:r>
      <w:r>
        <w:rPr>
          <w:rStyle w:val="FootnoteAnchor"/>
          <w:rtl w:val="true"/>
        </w:rPr>
        <w:footnoteReference w:id="1792"/>
      </w:r>
      <w:r>
        <w:rPr>
          <w:rFonts w:ascii="Amiri" w:hAnsi="Amiri" w:eastAsia="Amiri" w:cs="Amiri"/>
          <w:color w:val="111111"/>
          <w:sz w:val="28"/>
          <w:sz w:val="28"/>
          <w:szCs w:val="28"/>
          <w:rtl w:val="true"/>
          <w:lang w:bidi="ar-SA"/>
        </w:rPr>
        <w:t xml:space="preserve">، و هو أحد قولي الشّافعيّ </w:t>
      </w:r>
      <w:r>
        <w:rPr>
          <w:rStyle w:val="FootnoteAnchor"/>
          <w:rtl w:val="true"/>
        </w:rPr>
        <w:footnoteReference w:id="179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الدّم من شأنه أن ينقطع تارة و يسيل اخرى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القول الآخر للشّافعيّ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النّقاء طهر كما انّ الدّم حيض </w:t>
      </w:r>
      <w:r>
        <w:rPr>
          <w:rStyle w:val="FootnoteAnchor"/>
          <w:rtl w:val="true"/>
        </w:rPr>
        <w:footnoteReference w:id="179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سواء عبر العادة أو لم يعبر إذا لم يتجاوز العشرة،فإنّه متى تجاوز العشرة كان استحاضة إجماعا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إنّما الخلاف في أمرين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أحدهما إذا عاد في العادة فمذهبنا ما قلناه،و به قال الثّوري،و أصحاب الرّأي </w:t>
      </w:r>
      <w:r>
        <w:rPr>
          <w:rStyle w:val="FootnoteAnchor"/>
          <w:rtl w:val="true"/>
        </w:rPr>
        <w:footnoteReference w:id="1795"/>
      </w:r>
      <w:r>
        <w:rPr>
          <w:rFonts w:ascii="Amiri" w:hAnsi="Amiri" w:eastAsia="Amiri" w:cs="Amiri"/>
          <w:color w:val="111111"/>
          <w:sz w:val="28"/>
          <w:sz w:val="28"/>
          <w:szCs w:val="28"/>
          <w:rtl w:val="true"/>
          <w:lang w:bidi="ar-SA"/>
        </w:rPr>
        <w:t xml:space="preserve">،و الشّافعيّ </w:t>
      </w:r>
      <w:r>
        <w:rPr>
          <w:rStyle w:val="FootnoteAnchor"/>
          <w:rtl w:val="true"/>
        </w:rPr>
        <w:footnoteReference w:id="1796"/>
      </w:r>
      <w:r>
        <w:rPr>
          <w:rFonts w:ascii="Amiri" w:hAnsi="Amiri" w:eastAsia="Amiri" w:cs="Amiri"/>
          <w:color w:val="111111"/>
          <w:sz w:val="28"/>
          <w:sz w:val="28"/>
          <w:szCs w:val="28"/>
          <w:rtl w:val="true"/>
          <w:lang w:bidi="ar-SA"/>
        </w:rPr>
        <w:t>،لأنّه صادف زمن العادة فأشبه ما لو لم ينقطع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عطاء،و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بحيض،لأنّه عاد بعد طهر صحيح </w:t>
      </w:r>
      <w:r>
        <w:rPr>
          <w:rStyle w:val="FootnoteAnchor"/>
          <w:rtl w:val="true"/>
        </w:rPr>
        <w:footnoteReference w:id="1797"/>
      </w:r>
      <w:r>
        <w:rPr>
          <w:rStyle w:val="FootnoteAnchor"/>
          <w:rtl w:val="true"/>
        </w:rPr>
        <w:footnoteReference w:id="179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نحن لمّا كان الأصل عندنا انّ الطّهر عشرة أيّام سقط هذا الكلام،فلو جاوز أكثر الحيض بعد المعاودة فعندنا تتحيّض بالعادة،خلافا لبعض الجمهور </w:t>
      </w:r>
      <w:r>
        <w:rPr>
          <w:rStyle w:val="FootnoteAnchor"/>
          <w:rtl w:val="true"/>
        </w:rPr>
        <w:footnoteReference w:id="17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المقتضي للرّدّ إلى العادة موجود،و هو سيلان الدّم،و المعارض و هو تخلّل النّقاء لا يصلح للمانعيّة،لما بيّنّا </w:t>
      </w:r>
      <w:r>
        <w:rPr>
          <w:rStyle w:val="FootnoteAnchor"/>
          <w:rtl w:val="true"/>
        </w:rPr>
        <w:footnoteReference w:id="1800"/>
      </w:r>
      <w:r>
        <w:rPr>
          <w:rFonts w:ascii="Amiri" w:hAnsi="Amiri" w:eastAsia="Amiri" w:cs="Amiri"/>
          <w:color w:val="111111"/>
          <w:sz w:val="28"/>
          <w:sz w:val="28"/>
          <w:szCs w:val="28"/>
          <w:rtl w:val="true"/>
          <w:lang w:bidi="ar-SA"/>
        </w:rPr>
        <w:t>انّ أقلّ الطّهر عشرة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انقطع لأكثره فما دون بعد أن تجاوز العادة،فمن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المعاود في العادة ليس بحيض،فهذا أولى عنده أن لا يكون حيضا،و من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يكون حيضا،ففيه على قوله ثلاثة أوجه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الجميع حيض بناء على انّ الزّائد على العادة حيض ما لم يتجاوز الأكثر،و هو مذهبنا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ما وافق العادة حيض،و ما زاد عليها فليس بحيض،لخروجه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الجميع ليس بحيض،لاختلاطه بما ليس بحيض </w:t>
      </w:r>
      <w:r>
        <w:rPr>
          <w:rStyle w:val="FootnoteAnchor"/>
          <w:rtl w:val="true"/>
        </w:rPr>
        <w:footnoteReference w:id="1801"/>
      </w:r>
      <w:r>
        <w:rPr>
          <w:rFonts w:eastAsia="Times New Roman" w:cs="Times New Roman" w:ascii="Times New Roman" w:hAnsi="Times New Roman"/>
          <w:color w:val="111111"/>
          <w:sz w:val="28"/>
          <w:szCs w:val="28"/>
          <w:rtl w:val="true"/>
          <w:lang w:val="en-US" w:bidi="en-US"/>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لو رأت أقلّ من ثلاثة أيّام ثمَّ رأت النّقاء كذلك ثمَّ الدّم و انقطع لما دون </w:t>
      </w:r>
    </w:p>
    <w:p>
      <w:pPr>
        <w:pStyle w:val="BookText"/>
        <w:rPr/>
      </w:pPr>
      <w:r>
        <w:rPr>
          <w:rFonts w:ascii="Amiri" w:hAnsi="Amiri" w:eastAsia="Amiri" w:cs="Amiri"/>
          <w:color w:val="111111"/>
          <w:sz w:val="28"/>
          <w:sz w:val="28"/>
          <w:szCs w:val="28"/>
          <w:rtl w:val="true"/>
          <w:lang w:bidi="ar-SA"/>
        </w:rPr>
        <w:t xml:space="preserve">العشرة كان طهرا عند أكثر الأصحاب </w:t>
      </w:r>
      <w:r>
        <w:rPr>
          <w:rStyle w:val="FootnoteAnchor"/>
          <w:rtl w:val="true"/>
        </w:rPr>
        <w:footnoteReference w:id="1802"/>
      </w:r>
      <w:r>
        <w:rPr>
          <w:rFonts w:ascii="Amiri" w:hAnsi="Amiri" w:eastAsia="Amiri" w:cs="Amiri"/>
          <w:color w:val="111111"/>
          <w:sz w:val="28"/>
          <w:sz w:val="28"/>
          <w:szCs w:val="28"/>
          <w:rtl w:val="true"/>
          <w:lang w:bidi="ar-SA"/>
        </w:rPr>
        <w:t xml:space="preserve">،و عند بعضهم يضمّ الثّاني إلى الأوّل،فإن بلغ ثلاثة فالجميع حيض </w:t>
      </w:r>
      <w:r>
        <w:rPr>
          <w:rStyle w:val="FootnoteAnchor"/>
          <w:rtl w:val="true"/>
        </w:rPr>
        <w:footnoteReference w:id="180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لو تناوب الدّم و النّقاء في السّاعات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كانت عادتها عشرة فرأتها متفرّقة و تجاوز،تحيّضت بعادتها و احتسب النّقاء من الحيض عند القائلين بالتّلفيق مطلقا </w:t>
      </w:r>
      <w:r>
        <w:rPr>
          <w:rStyle w:val="FootnoteAnchor"/>
          <w:rtl w:val="true"/>
        </w:rPr>
        <w:footnoteReference w:id="1804"/>
      </w:r>
      <w:r>
        <w:rPr>
          <w:rFonts w:ascii="Amiri" w:hAnsi="Amiri" w:eastAsia="Amiri" w:cs="Amiri"/>
          <w:color w:val="111111"/>
          <w:sz w:val="28"/>
          <w:sz w:val="28"/>
          <w:szCs w:val="28"/>
          <w:rtl w:val="true"/>
          <w:lang w:bidi="ar-SA"/>
        </w:rPr>
        <w:t>،و عندنا يشترط أن يتقدّمه حيض صحيح</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لو رأت يوما دما و ثمانية طهرا،و رأت يوم العاشر دما،لم يكن حيضا عند علمائنا أجمع،إذ أقلّ الحيض ثلاثة أيّام،و هو قول كلّ من اشترط هذا العدد في القلّة </w:t>
      </w:r>
      <w:r>
        <w:rPr>
          <w:rStyle w:val="FootnoteAnchor"/>
          <w:rtl w:val="true"/>
        </w:rPr>
        <w:footnoteReference w:id="1805"/>
      </w:r>
      <w:r>
        <w:rPr>
          <w:rFonts w:ascii="Amiri" w:hAnsi="Amiri" w:eastAsia="Amiri" w:cs="Amiri"/>
          <w:color w:val="111111"/>
          <w:sz w:val="28"/>
          <w:sz w:val="28"/>
          <w:szCs w:val="28"/>
          <w:rtl w:val="true"/>
          <w:lang w:bidi="ar-SA"/>
        </w:rPr>
        <w:t xml:space="preserve">إلاّ أبا يوسف،فإنّه بناه على أصل له هو انّ الطّهر المتخلّل بين الدّمين إذا انتقص عن أقلّه لم يفصل بينهما،و كانا كالدّم المتّصل،ثمَّ ينظر إن كان ذلك كلّه لا يزيد على العشرة،فذلك حيض كلّه ما رأت فيه الدّم و ما لم تر،سواء كانت مبتدئة أو ذات عادة،و إن زاد،فالعشرة حيض إن كانت مبتدئة ما رأت فيه الدّم و ما لم تر،و ما عداه طهر أو دم استحاضة </w:t>
      </w:r>
      <w:r>
        <w:rPr>
          <w:rStyle w:val="FootnoteAnchor"/>
          <w:rtl w:val="true"/>
        </w:rPr>
        <w:footnoteReference w:id="180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كذا عنده لو رأت ساعة دما،ثمَّ عشرة أيّام إلاّ ساعتين طهرا،ثمَّ ساعة دما فالعشرة حيض </w:t>
      </w:r>
      <w:r>
        <w:rPr>
          <w:rStyle w:val="FootnoteAnchor"/>
          <w:rtl w:val="true"/>
        </w:rPr>
        <w:footnoteReference w:id="180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لو رأت ثلاثة أيّام دما و ستّة طهرا،ثمَّ يوما دما،فالجميع عندنا حيض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قول أبي يوسف،و زفر </w:t>
      </w:r>
      <w:r>
        <w:rPr>
          <w:rStyle w:val="FootnoteAnchor"/>
          <w:rtl w:val="true"/>
        </w:rPr>
        <w:footnoteReference w:id="180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الثّلاثة الأولى حيض و الأخرى استحاضة، و بناه على أصل له،و هو انّ الطّهر إذا تخلّل بين الدّمين إن كان الطّهر أقلّ من ثلاثة أيّام لم يفصل بحال،و إن كان ثلاثة أيّام فإن كان أقلّ من الدّمين معا لم يفصل،لأنّه صار مغلوبا،و كذا إن ساواهما،تغليبا للمحرّم على المبيح،و إن زاد عليهما فصل،ثمَّ يجعل الممكن من الدّمين حيضا،فإن أمكنا فأسبقهما هو الحيض </w:t>
      </w:r>
      <w:r>
        <w:rPr>
          <w:rStyle w:val="FootnoteAnchor"/>
          <w:rtl w:val="true"/>
        </w:rPr>
        <w:footnoteReference w:id="180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فعلى أصله لو رأت يومين دما و سبعة طهرا و يوما دما،فلا حيض لها،لأنّ الطّهر أكثر من ثلاثة و هو أكثر من الدّمين،ففصل،و ليس في أحد الطّرفين ما يمكن جعله حيضا،فكانا استحاضة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رأت أربعة دما و خمسة طهرا،ثمَّ يوما دما فالعشرة حيض،لأنّ الطّهر ساوى الدّمين، فلم يفصل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رأت يوما دما و يومين طهرا و يوما دما،فالأربعة حيض عنده </w:t>
      </w:r>
      <w:r>
        <w:rPr>
          <w:rStyle w:val="FootnoteAnchor"/>
          <w:rtl w:val="true"/>
        </w:rPr>
        <w:footnoteReference w:id="1810"/>
      </w:r>
      <w:r>
        <w:rPr>
          <w:rFonts w:ascii="Amiri" w:hAnsi="Amiri" w:eastAsia="Amiri" w:cs="Amiri"/>
          <w:color w:val="111111"/>
          <w:sz w:val="28"/>
          <w:sz w:val="28"/>
          <w:szCs w:val="28"/>
          <w:rtl w:val="true"/>
          <w:lang w:bidi="ar-SA"/>
        </w:rPr>
        <w:t>،لأنّ الطّهر أقلّ من ثلاثة أيّام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رأت ثلاثة دما و ستّة طهرا و ثلاثة دما،فعندنا ترجع إلى العادة،و إن كانت مبتدئة تحيّضت بالرّوايات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عند أبي يوسف،و أبي حنيفة،و زفر تجلس عشرة </w:t>
      </w:r>
      <w:r>
        <w:rPr>
          <w:rStyle w:val="FootnoteAnchor"/>
          <w:rtl w:val="true"/>
        </w:rPr>
        <w:footnoteReference w:id="181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الطّهر يوجب الفصل </w:t>
      </w:r>
      <w:r>
        <w:rPr>
          <w:rStyle w:val="FootnoteAnchor"/>
          <w:rtl w:val="true"/>
        </w:rPr>
        <w:footnoteReference w:id="1812"/>
      </w:r>
      <w:r>
        <w:rPr>
          <w:rFonts w:ascii="Amiri" w:hAnsi="Amiri" w:eastAsia="Amiri" w:cs="Amiri"/>
          <w:color w:val="111111"/>
          <w:sz w:val="28"/>
          <w:sz w:val="28"/>
          <w:szCs w:val="28"/>
          <w:rtl w:val="true"/>
          <w:lang w:bidi="ar-SA"/>
        </w:rPr>
        <w:t>،فالثّلاثة الأولى حيض و الباقي استحاضة،لأنّ الطّهر أكثر من الدّمين الّذين رأتهما في العشرة،لأنّ مجموعهما أربعة أيّام و الطّهر ستّة،فأوجب الفصل</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كانت عادتها عشرة في أوّل الشّهر فرأت قبل عادتها يوما دما و طهرت عادتها أجمع،ثمَّ رأت بعدها يوما دما و انقطع،فلا حيض لها عندنا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قول محمّد </w:t>
      </w:r>
      <w:r>
        <w:rPr>
          <w:rStyle w:val="FootnoteAnchor"/>
          <w:rtl w:val="true"/>
        </w:rPr>
        <w:footnoteReference w:id="1813"/>
      </w:r>
      <w:r>
        <w:rPr>
          <w:rFonts w:ascii="IRNazanin" w:hAnsi="IRNazanin" w:eastAsia="IRNazanin"/>
          <w:color w:val="111111"/>
          <w:sz w:val="28"/>
          <w:sz w:val="28"/>
          <w:szCs w:val="28"/>
          <w:rtl w:val="true"/>
          <w:lang w:bidi="fa-IR"/>
        </w:rPr>
        <w:t xml:space="preserve">،خلافا </w:t>
      </w:r>
    </w:p>
    <w:p>
      <w:pPr>
        <w:pStyle w:val="BookText"/>
        <w:rPr/>
      </w:pPr>
      <w:r>
        <w:rPr>
          <w:rFonts w:ascii="Amiri" w:hAnsi="Amiri" w:eastAsia="Amiri" w:cs="Amiri"/>
          <w:color w:val="111111"/>
          <w:sz w:val="28"/>
          <w:sz w:val="28"/>
          <w:szCs w:val="28"/>
          <w:rtl w:val="true"/>
          <w:lang w:bidi="ar-SA"/>
        </w:rPr>
        <w:t xml:space="preserve">لأبي يوسف فإنّه جعل العشرة حيضا </w:t>
      </w:r>
      <w:r>
        <w:rPr>
          <w:rStyle w:val="FootnoteAnchor"/>
          <w:rtl w:val="true"/>
        </w:rPr>
        <w:footnoteReference w:id="18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هذين الدّمين ليسا بحيض،فلا يجوز جعل الطّهر بما ليس بحيض حيضا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يوسف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هذا طهر فاسد،فكان دما حكما،كالدّم الفاسد طهر حكما </w:t>
      </w:r>
      <w:r>
        <w:rPr>
          <w:rStyle w:val="FootnoteAnchor"/>
          <w:rtl w:val="true"/>
        </w:rPr>
        <w:footnoteReference w:id="1815"/>
      </w:r>
      <w:r>
        <w:rPr>
          <w:rFonts w:ascii="Amiri" w:hAnsi="Amiri" w:eastAsia="Amiri" w:cs="Amiri"/>
          <w:color w:val="111111"/>
          <w:sz w:val="28"/>
          <w:sz w:val="28"/>
          <w:szCs w:val="28"/>
          <w:rtl w:val="true"/>
          <w:lang w:bidi="ar-SA"/>
        </w:rPr>
        <w:t>، و بناه على أصل له،هو أن يبتدئ الحيض بالطّهر و يختم به،بشرط أن يكون قبل ابتدائه و بعد انتهائه دم و لو ساعة،و يجعل الطّهر حيضا بإحاطة الدّمين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رأت قبل عشرتها يوما و رأت يوما طهرا في أوّل عشرتها،ثمَّ رأت ثمانية أيّام دما من عشرتها و رأت العاشر طهرا،ثمَّ الحادي عشر دما،فعشرتها حيض في قول أبي يوسف،و إن حصل ختمها و ابتداؤها بالطّهر،لأنّ قبلها و بعدها 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عند محمّد يكون حيضها ثمانية أيّام </w:t>
      </w:r>
      <w:r>
        <w:rPr>
          <w:rStyle w:val="FootnoteAnchor"/>
          <w:rtl w:val="true"/>
        </w:rPr>
        <w:footnoteReference w:id="1816"/>
      </w:r>
      <w:r>
        <w:rPr>
          <w:rFonts w:ascii="Amiri" w:hAnsi="Amiri" w:eastAsia="Amiri" w:cs="Amiri"/>
          <w:color w:val="111111"/>
          <w:sz w:val="28"/>
          <w:sz w:val="28"/>
          <w:szCs w:val="28"/>
          <w:rtl w:val="true"/>
          <w:lang w:bidi="ar-SA"/>
        </w:rPr>
        <w:t>،و هو الوجه عندي</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لو لم تر الدّم في اليوم الّذي قبل عشرتها،فعند أبي يوسف حيضها تسعة أيّام </w:t>
      </w:r>
      <w:r>
        <w:rPr>
          <w:rStyle w:val="FootnoteAnchor"/>
          <w:rtl w:val="true"/>
        </w:rPr>
        <w:footnoteReference w:id="1817"/>
      </w:r>
      <w:r>
        <w:rPr>
          <w:rFonts w:ascii="Amiri" w:hAnsi="Amiri" w:eastAsia="Amiri" w:cs="Amiri"/>
          <w:color w:val="111111"/>
          <w:sz w:val="28"/>
          <w:sz w:val="28"/>
          <w:szCs w:val="28"/>
          <w:rtl w:val="true"/>
          <w:lang w:bidi="ar-SA"/>
        </w:rPr>
        <w:t>،لأنّه لا يبتدئ الحيض بالطّهر،لأنّه ليس قبله دم و يختم به لوجود الدّم بعدها، و كذا لو لم تر الدّم المتأخّر و رأت المتقدّم،كان حيضها تسعة أيّام الّتي رأت في عادتها، و اليوم الّذي رأت قبل أيّامها حيض تبعا لأيّامها،فكان المجموع عشرة،و اليوم العاشر الّذي رأت فيه الطّهر ليس بحيض،لأنّه لا يختم الحيض بالطّهر إذا لم يكن بعده دم، و عند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الحيض ثمانية أيّام </w:t>
      </w:r>
      <w:r>
        <w:rPr>
          <w:rStyle w:val="FootnoteAnchor"/>
          <w:rtl w:val="true"/>
        </w:rPr>
        <w:footnoteReference w:id="1818"/>
      </w:r>
      <w:r>
        <w:rPr>
          <w:rFonts w:ascii="Amiri" w:hAnsi="Amiri" w:eastAsia="Amiri" w:cs="Amiri"/>
          <w:color w:val="111111"/>
          <w:sz w:val="28"/>
          <w:sz w:val="28"/>
          <w:szCs w:val="28"/>
          <w:rtl w:val="true"/>
          <w:lang w:bidi="ar-SA"/>
        </w:rPr>
        <w:t>،و لو لم تر قبلها و لا بعدها فالحيض ثمانية عندهما معا</w:t>
      </w:r>
      <w:r>
        <w:rPr>
          <w:rFonts w:eastAsia="Amiri" w:cs="Amiri" w:ascii="Amiri" w:hAnsi="Amiri"/>
          <w:color w:val="111111"/>
          <w:sz w:val="28"/>
          <w:szCs w:val="28"/>
          <w:rtl w:val="true"/>
          <w:lang w:bidi="ar-SA"/>
        </w:rPr>
        <w:t xml:space="preserve">. </w:t>
      </w:r>
      <w:bookmarkStart w:id="1019" w:name="pg12669_113135"/>
    </w:p>
    <w:p>
      <w:pPr>
        <w:pStyle w:val="Heading6"/>
        <w:numPr>
          <w:ilvl w:val="5"/>
          <w:numId w:val="1"/>
        </w:numPr>
        <w:rPr/>
      </w:pPr>
      <w:bookmarkStart w:id="1020" w:name="__RefHeading___Toc795951_222507752"/>
      <w:bookmarkStart w:id="1021" w:name="_Toc415"/>
      <w:bookmarkEnd w:id="1019"/>
      <w:bookmarkEnd w:id="1020"/>
      <w:r>
        <w:rPr>
          <w:rtl w:val="true"/>
        </w:rPr>
        <w:t>فروع</w:t>
      </w:r>
      <w:r>
        <w:rPr>
          <w:rtl w:val="true"/>
        </w:rPr>
        <w:t>:</w:t>
      </w:r>
      <w:bookmarkEnd w:id="1021"/>
    </w:p>
    <w:p>
      <w:pPr>
        <w:pStyle w:val="Heading6"/>
        <w:numPr>
          <w:ilvl w:val="5"/>
          <w:numId w:val="1"/>
        </w:numPr>
        <w:rPr/>
      </w:pPr>
      <w:bookmarkStart w:id="1022" w:name="__RefHeading___Toc795953_222507752"/>
      <w:bookmarkStart w:id="1023" w:name="_Toc416"/>
      <w:bookmarkEnd w:id="1022"/>
      <w:r>
        <w:rPr>
          <w:rtl w:val="true"/>
        </w:rPr>
        <w:t>الأوّل</w:t>
      </w:r>
      <w:r>
        <w:rPr>
          <w:rtl w:val="true"/>
        </w:rPr>
        <w:t>:</w:t>
      </w:r>
      <w:r>
        <w:rPr>
          <w:rtl w:val="true"/>
        </w:rPr>
        <w:t>إذا قلنا بالتّلفيق فكلّ قدر من الدّم لا يجعل حيضا تامّا</w:t>
      </w:r>
      <w:bookmarkEnd w:id="1023"/>
    </w:p>
    <w:p>
      <w:pPr>
        <w:pStyle w:val="BookText"/>
        <w:rPr/>
      </w:pPr>
      <w:r>
        <w:rPr>
          <w:rFonts w:ascii="Amiri" w:hAnsi="Amiri" w:eastAsia="Amiri" w:cs="Amiri"/>
          <w:color w:val="111111"/>
          <w:sz w:val="28"/>
          <w:sz w:val="28"/>
          <w:szCs w:val="28"/>
          <w:rtl w:val="true"/>
          <w:lang w:bidi="ar-SA"/>
        </w:rPr>
        <w:t>،و كذا كلّ قدر من الطّهر،لكنّ جميع الدّماء حيض واحد يفرّق،و جميع النّقاء طهر كامل واحد حتّى انّ العدّة لا تنقضي بعود الدّم ثلاث مرّات،و لو كان كلّ قدر من النّقاء طهرا كاملا خرجت العدّة بعد ثلاثة</w:t>
      </w:r>
      <w:r>
        <w:rPr>
          <w:rFonts w:eastAsia="Amiri" w:cs="Amiri" w:ascii="Amiri" w:hAnsi="Amiri"/>
          <w:color w:val="111111"/>
          <w:sz w:val="28"/>
          <w:szCs w:val="28"/>
          <w:rtl w:val="true"/>
          <w:lang w:bidi="ar-SA"/>
        </w:rPr>
        <w:t>.</w:t>
      </w:r>
    </w:p>
    <w:p>
      <w:pPr>
        <w:pStyle w:val="Heading6"/>
        <w:numPr>
          <w:ilvl w:val="5"/>
          <w:numId w:val="1"/>
        </w:numPr>
        <w:rPr/>
      </w:pPr>
      <w:bookmarkStart w:id="1024" w:name="__RefHeading___Toc795955_222507752"/>
      <w:bookmarkStart w:id="1025" w:name="_Toc417"/>
      <w:bookmarkEnd w:id="1024"/>
      <w:r>
        <w:rPr>
          <w:rtl w:val="true"/>
        </w:rPr>
        <w:t>الثّاني</w:t>
      </w:r>
      <w:r>
        <w:rPr>
          <w:rtl w:val="true"/>
        </w:rPr>
        <w:t>:</w:t>
      </w:r>
      <w:r>
        <w:rPr>
          <w:rtl w:val="true"/>
        </w:rPr>
        <w:t>إذا رأت الدّم يوما و انقطع لم يجب الغسل إلاّ إذا غمس القطنة</w:t>
      </w:r>
      <w:bookmarkEnd w:id="1025"/>
    </w:p>
    <w:p>
      <w:pPr>
        <w:pStyle w:val="BookText"/>
        <w:rPr/>
      </w:pPr>
      <w:r>
        <w:rPr>
          <w:rFonts w:ascii="Amiri" w:hAnsi="Amiri" w:eastAsia="Amiri" w:cs="Amiri"/>
          <w:color w:val="111111"/>
          <w:sz w:val="28"/>
          <w:sz w:val="28"/>
          <w:szCs w:val="28"/>
          <w:rtl w:val="true"/>
          <w:lang w:bidi="ar-SA"/>
        </w:rPr>
        <w:t xml:space="preserve">،لأنّه إن لم يعد لم يكن له حكم الحيض،و إن عاد تبيّن انّ الزّمان زمان الحيض،و ليس للغسل في وقت </w:t>
      </w:r>
      <w:r>
        <w:rPr>
          <w:rStyle w:val="FootnoteAnchor"/>
          <w:rtl w:val="true"/>
        </w:rPr>
        <w:footnoteReference w:id="1819"/>
      </w:r>
      <w:r>
        <w:rPr>
          <w:rFonts w:ascii="Amiri" w:hAnsi="Amiri" w:eastAsia="Amiri" w:cs="Amiri"/>
          <w:color w:val="111111"/>
          <w:sz w:val="28"/>
          <w:sz w:val="28"/>
          <w:szCs w:val="28"/>
          <w:rtl w:val="true"/>
          <w:lang w:bidi="ar-SA"/>
        </w:rPr>
        <w:t>الحيض حكم إن قلنا انّ أيّام النّقاء حيض،بل نأمرها بالوضوء و الصّلاة</w:t>
      </w:r>
      <w:r>
        <w:rPr>
          <w:rFonts w:eastAsia="Amiri" w:cs="Amiri" w:ascii="Amiri" w:hAnsi="Amiri"/>
          <w:color w:val="111111"/>
          <w:sz w:val="28"/>
          <w:szCs w:val="28"/>
          <w:rtl w:val="true"/>
          <w:lang w:bidi="ar-SA"/>
        </w:rPr>
        <w:t>.</w:t>
      </w:r>
    </w:p>
    <w:p>
      <w:pPr>
        <w:pStyle w:val="Heading6"/>
        <w:numPr>
          <w:ilvl w:val="5"/>
          <w:numId w:val="1"/>
        </w:numPr>
        <w:rPr/>
      </w:pPr>
      <w:bookmarkStart w:id="1026" w:name="__RefHeading___Toc795957_222507752"/>
      <w:bookmarkStart w:id="1027" w:name="_Toc418"/>
      <w:bookmarkEnd w:id="1026"/>
      <w:r>
        <w:rPr>
          <w:rtl w:val="true"/>
        </w:rPr>
        <w:t>الثّالث</w:t>
      </w:r>
      <w:r>
        <w:rPr>
          <w:rtl w:val="true"/>
        </w:rPr>
        <w:t>:</w:t>
      </w:r>
      <w:r>
        <w:rPr>
          <w:rtl w:val="true"/>
        </w:rPr>
        <w:t>لو رأت يوما دما أسود و يوما أصفر و هكذا،فعندنا تتحيّض على</w:t>
      </w:r>
      <w:bookmarkEnd w:id="1027"/>
    </w:p>
    <w:p>
      <w:pPr>
        <w:pStyle w:val="BookText"/>
        <w:rPr/>
      </w:pPr>
      <w:r>
        <w:rPr>
          <w:rFonts w:ascii="Amiri" w:hAnsi="Amiri" w:eastAsia="Amiri" w:cs="Amiri"/>
          <w:color w:val="111111"/>
          <w:sz w:val="28"/>
          <w:sz w:val="28"/>
          <w:szCs w:val="28"/>
          <w:rtl w:val="true"/>
          <w:lang w:bidi="ar-SA"/>
        </w:rPr>
        <w:t>التّوالي،</w:t>
      </w:r>
    </w:p>
    <w:p>
      <w:pPr>
        <w:pStyle w:val="BookText"/>
        <w:rPr/>
      </w:pPr>
      <w:r>
        <w:rPr>
          <w:rFonts w:ascii="Amiri" w:hAnsi="Amiri" w:eastAsia="Amiri" w:cs="Amiri"/>
          <w:color w:val="111111"/>
          <w:sz w:val="28"/>
          <w:sz w:val="28"/>
          <w:szCs w:val="28"/>
          <w:rtl w:val="true"/>
          <w:lang w:bidi="ar-SA"/>
        </w:rPr>
        <w:t>و من يعتبر التّمييز يلفّق أيّام الدّماء السّود</w:t>
      </w:r>
      <w:r>
        <w:rPr>
          <w:rFonts w:eastAsia="Amiri" w:cs="Amiri" w:ascii="Amiri" w:hAnsi="Amiri"/>
          <w:color w:val="111111"/>
          <w:sz w:val="28"/>
          <w:szCs w:val="28"/>
          <w:rtl w:val="true"/>
          <w:lang w:bidi="ar-SA"/>
        </w:rPr>
        <w:t>.</w:t>
      </w:r>
    </w:p>
    <w:p>
      <w:pPr>
        <w:pStyle w:val="Heading5"/>
        <w:numPr>
          <w:ilvl w:val="4"/>
          <w:numId w:val="1"/>
        </w:numPr>
        <w:rPr/>
      </w:pPr>
      <w:bookmarkStart w:id="1028" w:name="__RefHeading___Toc795959_222507752"/>
      <w:bookmarkStart w:id="1029" w:name="_Toc419"/>
      <w:bookmarkEnd w:id="1028"/>
      <w:r>
        <w:rPr>
          <w:rtl w:val="true"/>
        </w:rPr>
        <w:t>البحث الرّابع</w:t>
      </w:r>
      <w:r>
        <w:rPr>
          <w:rtl w:val="true"/>
        </w:rPr>
        <w:t>:</w:t>
      </w:r>
      <w:r>
        <w:rPr>
          <w:rtl w:val="true"/>
        </w:rPr>
        <w:t>في الأحكام</w:t>
      </w:r>
      <w:bookmarkEnd w:id="1029"/>
    </w:p>
    <w:p>
      <w:pPr>
        <w:pStyle w:val="Heading6"/>
        <w:numPr>
          <w:ilvl w:val="5"/>
          <w:numId w:val="1"/>
        </w:numPr>
        <w:rPr/>
      </w:pPr>
      <w:bookmarkStart w:id="1030" w:name="__RefHeading___Toc795961_222507752"/>
      <w:bookmarkStart w:id="1031" w:name="_Toc420"/>
      <w:bookmarkEnd w:id="1030"/>
      <w:r>
        <w:rPr>
          <w:rtl w:val="true"/>
        </w:rPr>
        <w:t>مسألة</w:t>
      </w:r>
      <w:r>
        <w:rPr>
          <w:rtl w:val="true"/>
        </w:rPr>
        <w:t>:</w:t>
      </w:r>
      <w:r>
        <w:rPr>
          <w:rtl w:val="true"/>
        </w:rPr>
        <w:t>يحرم على الحائض الصّلاة و الصّوم</w:t>
      </w:r>
      <w:r>
        <w:rPr>
          <w:rtl w:val="true"/>
        </w:rPr>
        <w:t>.</w:t>
      </w:r>
      <w:bookmarkEnd w:id="1031"/>
    </w:p>
    <w:p>
      <w:pPr>
        <w:pStyle w:val="BookText"/>
        <w:rPr/>
      </w:pPr>
      <w:r>
        <w:rPr>
          <w:rFonts w:ascii="Amiri" w:hAnsi="Amiri" w:eastAsia="Amiri" w:cs="Amiri"/>
          <w:color w:val="111111"/>
          <w:sz w:val="28"/>
          <w:sz w:val="28"/>
          <w:szCs w:val="28"/>
          <w:rtl w:val="true"/>
          <w:lang w:bidi="ar-SA"/>
        </w:rPr>
        <w:t>و هو مذهب عامّة أهل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البخاري بإسناده قول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ليست أحدا كنّ إذا حاضت لا تصوم و لا تصلّي</w:t>
      </w:r>
      <w:r>
        <w:rPr>
          <w:rFonts w:eastAsia="Amiri" w:cs="Amiri" w:ascii="Amiri" w:hAnsi="Amiri"/>
          <w:color w:val="111111"/>
          <w:sz w:val="28"/>
          <w:szCs w:val="28"/>
          <w:rtl w:val="true"/>
          <w:lang w:bidi="ar-SA"/>
        </w:rPr>
        <w:t xml:space="preserve">) </w:t>
      </w:r>
      <w:r>
        <w:rPr>
          <w:rStyle w:val="FootnoteAnchor"/>
          <w:rtl w:val="true"/>
        </w:rPr>
        <w:footnoteReference w:id="1820"/>
      </w:r>
      <w:r>
        <w:rPr>
          <w:rFonts w:eastAsia="Times New Roman" w:cs="Times New Roman" w:ascii="Times New Roman" w:hAnsi="Times New Roman"/>
          <w:color w:val="111111"/>
          <w:sz w:val="28"/>
          <w:szCs w:val="28"/>
          <w:rtl w:val="true"/>
          <w:lang w:val="en-US" w:bidi="en-US"/>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قالت حمنة للنّبيّ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أستحاض حيضة شديدة منكرة قد </w:t>
      </w:r>
    </w:p>
    <w:p>
      <w:pPr>
        <w:pStyle w:val="BookText"/>
        <w:rPr/>
      </w:pPr>
      <w:r>
        <w:rPr>
          <w:rFonts w:ascii="Amiri" w:hAnsi="Amiri" w:eastAsia="Amiri" w:cs="Amiri"/>
          <w:color w:val="111111"/>
          <w:sz w:val="28"/>
          <w:sz w:val="28"/>
          <w:szCs w:val="28"/>
          <w:rtl w:val="true"/>
          <w:lang w:bidi="ar-SA"/>
        </w:rPr>
        <w:t xml:space="preserve">منعتني الصّلاة و الصّوم </w:t>
      </w:r>
      <w:r>
        <w:rPr>
          <w:rStyle w:val="FootnoteAnchor"/>
          <w:rtl w:val="true"/>
        </w:rPr>
        <w:footnoteReference w:id="18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النّبيّ صلّى اللّه عليه و آله،لفاطمة بنت أبي حبيش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أقبلت الحيضة فاتركي الصّلاة</w:t>
      </w:r>
      <w:r>
        <w:rPr>
          <w:rFonts w:eastAsia="Amiri" w:cs="Amiri" w:ascii="Amiri" w:hAnsi="Amiri"/>
          <w:color w:val="111111"/>
          <w:sz w:val="28"/>
          <w:szCs w:val="28"/>
          <w:rtl w:val="true"/>
          <w:lang w:bidi="ar-SA"/>
        </w:rPr>
        <w:t xml:space="preserve">) </w:t>
      </w:r>
      <w:r>
        <w:rPr>
          <w:rStyle w:val="FootnoteAnchor"/>
          <w:rtl w:val="true"/>
        </w:rPr>
        <w:footnoteReference w:id="18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طريق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 في الحسن،عن حفص بن البختريّ،عن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للدّم حرارة و دفع و سواد،فلتدع الصّلاة</w:t>
      </w:r>
      <w:r>
        <w:rPr>
          <w:rFonts w:eastAsia="Amiri" w:cs="Amiri" w:ascii="Amiri" w:hAnsi="Amiri"/>
          <w:color w:val="111111"/>
          <w:sz w:val="28"/>
          <w:szCs w:val="28"/>
          <w:rtl w:val="true"/>
          <w:lang w:bidi="ar-SA"/>
        </w:rPr>
        <w:t xml:space="preserve">» </w:t>
      </w:r>
      <w:r>
        <w:rPr>
          <w:rStyle w:val="FootnoteAnchor"/>
          <w:rtl w:val="true"/>
        </w:rPr>
        <w:footnoteReference w:id="18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روى،عن زياد بن سوقة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أبي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تقعد عن الصّلاة أيّام الحيضة</w:t>
      </w:r>
      <w:r>
        <w:rPr>
          <w:rFonts w:eastAsia="Amiri" w:cs="Amiri" w:ascii="Amiri" w:hAnsi="Amiri"/>
          <w:color w:val="111111"/>
          <w:sz w:val="28"/>
          <w:szCs w:val="28"/>
          <w:rtl w:val="true"/>
          <w:lang w:bidi="ar-SA"/>
        </w:rPr>
        <w:t xml:space="preserve">» </w:t>
      </w:r>
      <w:r>
        <w:rPr>
          <w:rStyle w:val="FootnoteAnchor"/>
          <w:rtl w:val="true"/>
        </w:rPr>
        <w:footnoteReference w:id="18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عيص بن القاسم البجليّ،عن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امرأة طمثت في رمضان قبل أن تغيب الشّمس؟قال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تفطر</w:t>
      </w:r>
      <w:r>
        <w:rPr>
          <w:rFonts w:eastAsia="Amiri" w:cs="Amiri" w:ascii="Amiri" w:hAnsi="Amiri"/>
          <w:color w:val="111111"/>
          <w:sz w:val="28"/>
          <w:szCs w:val="28"/>
          <w:rtl w:val="true"/>
          <w:lang w:bidi="ar-SA"/>
        </w:rPr>
        <w:t xml:space="preserve">» </w:t>
      </w:r>
      <w:r>
        <w:rPr>
          <w:rStyle w:val="FootnoteAnchor"/>
          <w:rtl w:val="true"/>
        </w:rPr>
        <w:footnoteReference w:id="1825"/>
      </w:r>
      <w:r>
        <w:rPr>
          <w:rFonts w:eastAsia="Times New Roman" w:cs="Times New Roman" w:ascii="Times New Roman" w:hAnsi="Times New Roman"/>
          <w:color w:val="111111"/>
          <w:sz w:val="28"/>
          <w:szCs w:val="28"/>
          <w:rtl w:val="true"/>
          <w:lang w:val="en-US" w:bidi="en-US"/>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عليّ بن عقبة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أبيه،عن أبي عبد اللّه عليه السّلام في امرأة حاضت في </w:t>
      </w:r>
    </w:p>
    <w:p>
      <w:pPr>
        <w:pStyle w:val="BookText"/>
        <w:rPr/>
      </w:pPr>
      <w:r>
        <w:rPr>
          <w:rFonts w:ascii="Amiri" w:hAnsi="Amiri" w:eastAsia="Amiri" w:cs="Amiri"/>
          <w:color w:val="111111"/>
          <w:sz w:val="28"/>
          <w:sz w:val="28"/>
          <w:szCs w:val="28"/>
          <w:rtl w:val="true"/>
          <w:lang w:bidi="ar-SA"/>
        </w:rPr>
        <w:t>رمضان حتّى إذا ارتفع النّهار بان الطّهر؟قال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تفطر ذلك اليوم كلّه،تأكل و تشرب، ثمَّ تقضيه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امرأة أصبحت في رمضان طاهرا حتّى إذا ارتفع النّهار رأت الدّم؟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تفطر ذلك اليوم كلّه</w:t>
      </w:r>
      <w:r>
        <w:rPr>
          <w:rFonts w:eastAsia="Amiri" w:cs="Amiri" w:ascii="Amiri" w:hAnsi="Amiri"/>
          <w:color w:val="111111"/>
          <w:sz w:val="28"/>
          <w:szCs w:val="28"/>
          <w:rtl w:val="true"/>
          <w:lang w:bidi="ar-SA"/>
        </w:rPr>
        <w:t xml:space="preserve">» </w:t>
      </w:r>
      <w:r>
        <w:rPr>
          <w:rStyle w:val="FootnoteAnchor"/>
          <w:rtl w:val="true"/>
        </w:rPr>
        <w:footnoteReference w:id="18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محمّد بن مسلم،عن أبي جعفر عليه السّلام في المرأة تطهر في أوّل النّهار في رمضان،أ تفطر أو تصوم؟قال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تفطر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المرأة ترى الدّم في أوّل النّهار في شهر رمضان،أ تفطر أو تصوم؟قال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تفطر،إنّما فطرها من الدّم</w:t>
      </w:r>
      <w:r>
        <w:rPr>
          <w:rFonts w:eastAsia="Amiri" w:cs="Amiri" w:ascii="Amiri" w:hAnsi="Amiri"/>
          <w:color w:val="111111"/>
          <w:sz w:val="28"/>
          <w:szCs w:val="28"/>
          <w:rtl w:val="true"/>
          <w:lang w:bidi="ar-SA"/>
        </w:rPr>
        <w:t xml:space="preserve">» </w:t>
      </w:r>
      <w:r>
        <w:rPr>
          <w:rStyle w:val="FootnoteAnchor"/>
          <w:rtl w:val="true"/>
        </w:rPr>
        <w:footnoteReference w:id="182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فطرها من الدّم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،قاض بالإفطار حالة الأكل و الشّرب و عدمهما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يونس،عن بعض رجاله،عن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رأت بعد ذلك الدّم و لم يتمّ لها من يوم طهرت عشرة أيّام فذلك من الحيض تدع الصّلاة</w:t>
      </w:r>
      <w:r>
        <w:rPr>
          <w:rFonts w:eastAsia="Amiri" w:cs="Amiri" w:ascii="Amiri" w:hAnsi="Amiri"/>
          <w:color w:val="111111"/>
          <w:sz w:val="28"/>
          <w:szCs w:val="28"/>
          <w:rtl w:val="true"/>
          <w:lang w:bidi="ar-SA"/>
        </w:rPr>
        <w:t xml:space="preserve">» </w:t>
      </w:r>
      <w:r>
        <w:rPr>
          <w:rStyle w:val="FootnoteAnchor"/>
          <w:rtl w:val="true"/>
        </w:rPr>
        <w:footnoteReference w:id="18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في الصّحيح،عن زرارة،عن أبي جعفر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كانت المرأة طامثا،فلا تحلّ لها الصّلاة</w:t>
      </w:r>
      <w:r>
        <w:rPr>
          <w:rFonts w:eastAsia="Amiri" w:cs="Amiri" w:ascii="Amiri" w:hAnsi="Amiri"/>
          <w:color w:val="111111"/>
          <w:sz w:val="28"/>
          <w:szCs w:val="28"/>
          <w:rtl w:val="true"/>
          <w:lang w:bidi="ar-SA"/>
        </w:rPr>
        <w:t xml:space="preserve">» </w:t>
      </w:r>
      <w:r>
        <w:rPr>
          <w:rStyle w:val="FootnoteAnchor"/>
          <w:rtl w:val="true"/>
        </w:rPr>
        <w:footnoteReference w:id="1829"/>
      </w:r>
      <w:r>
        <w:rPr>
          <w:rFonts w:eastAsia="Times New Roman" w:cs="Times New Roman" w:ascii="Times New Roman" w:hAnsi="Times New Roman"/>
          <w:color w:val="111111"/>
          <w:sz w:val="28"/>
          <w:szCs w:val="28"/>
          <w:rtl w:val="true"/>
          <w:lang w:val="en-US" w:bidi="en-US"/>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رواية سماعة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تدع الصّلاة ما دامت ترى الدّم ما لم يجز العشرة</w:t>
      </w:r>
      <w:r>
        <w:rPr>
          <w:rFonts w:eastAsia="Amiri" w:cs="Amiri" w:ascii="Amiri" w:hAnsi="Amiri"/>
          <w:color w:val="111111"/>
          <w:sz w:val="28"/>
          <w:szCs w:val="28"/>
          <w:rtl w:val="true"/>
          <w:lang w:bidi="ar-SA"/>
        </w:rPr>
        <w:t xml:space="preserve">» </w:t>
      </w:r>
      <w:r>
        <w:rPr>
          <w:rStyle w:val="FootnoteAnchor"/>
          <w:rtl w:val="true"/>
        </w:rPr>
        <w:footnoteReference w:id="1830"/>
      </w:r>
      <w:r>
        <w:rPr>
          <w:rFonts w:eastAsia="Times New Roman" w:cs="Times New Roman" w:ascii="Times New Roman" w:hAnsi="Times New Roman"/>
          <w:color w:val="111111"/>
          <w:sz w:val="28"/>
          <w:szCs w:val="28"/>
          <w:rtl w:val="true"/>
          <w:lang w:val="en-US" w:bidi="en-US"/>
        </w:rPr>
        <w:t xml:space="preserve">. </w:t>
      </w:r>
      <w:bookmarkStart w:id="1032" w:name="pg12669_113138"/>
    </w:p>
    <w:p>
      <w:pPr>
        <w:pStyle w:val="Heading6"/>
        <w:numPr>
          <w:ilvl w:val="5"/>
          <w:numId w:val="1"/>
        </w:numPr>
        <w:rPr/>
      </w:pPr>
      <w:bookmarkStart w:id="1033" w:name="__RefHeading___Toc795963_222507752"/>
      <w:bookmarkStart w:id="1034" w:name="_Toc421"/>
      <w:bookmarkEnd w:id="1032"/>
      <w:bookmarkEnd w:id="1033"/>
      <w:r>
        <w:rPr>
          <w:rtl w:val="true"/>
        </w:rPr>
        <w:t>فروع</w:t>
      </w:r>
      <w:r>
        <w:rPr>
          <w:rtl w:val="true"/>
        </w:rPr>
        <w:t>:</w:t>
      </w:r>
      <w:bookmarkEnd w:id="1034"/>
    </w:p>
    <w:p>
      <w:pPr>
        <w:pStyle w:val="Heading6"/>
        <w:numPr>
          <w:ilvl w:val="5"/>
          <w:numId w:val="1"/>
        </w:numPr>
        <w:rPr/>
      </w:pPr>
      <w:bookmarkStart w:id="1035" w:name="__RefHeading___Toc795965_222507752"/>
      <w:bookmarkStart w:id="1036" w:name="_Toc422"/>
      <w:bookmarkEnd w:id="1035"/>
      <w:r>
        <w:rPr>
          <w:rtl w:val="true"/>
        </w:rPr>
        <w:t>الأوّل</w:t>
      </w:r>
      <w:r>
        <w:rPr>
          <w:rtl w:val="true"/>
        </w:rPr>
        <w:t>:</w:t>
      </w:r>
      <w:r>
        <w:rPr>
          <w:rtl w:val="true"/>
        </w:rPr>
        <w:t>لا يحرم عليها سجود الشّكر و لا سجود التّلاوة،</w:t>
      </w:r>
      <w:bookmarkEnd w:id="1036"/>
    </w:p>
    <w:p>
      <w:pPr>
        <w:pStyle w:val="BookText"/>
        <w:rPr/>
      </w:pPr>
      <w:r>
        <w:rPr>
          <w:rFonts w:ascii="Amiri" w:hAnsi="Amiri" w:eastAsia="Amiri" w:cs="Amiri"/>
          <w:color w:val="111111"/>
          <w:sz w:val="28"/>
          <w:sz w:val="28"/>
          <w:szCs w:val="28"/>
          <w:rtl w:val="true"/>
          <w:lang w:bidi="ar-SA"/>
        </w:rPr>
        <w:t>لعدم اشتراط الطّهارة لا فيهما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عند الشّافعيّ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الطّهارة شرط،فلهذا حكم بتحريمهما </w:t>
      </w:r>
      <w:r>
        <w:rPr>
          <w:rStyle w:val="FootnoteAnchor"/>
          <w:rtl w:val="true"/>
        </w:rPr>
        <w:footnoteReference w:id="183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037" w:name="__RefHeading___Toc795967_222507752"/>
      <w:bookmarkStart w:id="1038" w:name="_Toc423"/>
      <w:bookmarkEnd w:id="1037"/>
      <w:r>
        <w:rPr>
          <w:rtl w:val="true"/>
        </w:rPr>
        <w:t>الثّاني</w:t>
      </w:r>
      <w:r>
        <w:rPr>
          <w:rtl w:val="true"/>
        </w:rPr>
        <w:t>:</w:t>
      </w:r>
      <w:r>
        <w:rPr>
          <w:rtl w:val="true"/>
        </w:rPr>
        <w:t>لا فرق بين صلاة الفريضة و النّافلة في التّحريم</w:t>
      </w:r>
      <w:bookmarkEnd w:id="1038"/>
    </w:p>
    <w:p>
      <w:pPr>
        <w:pStyle w:val="BookText"/>
        <w:rPr/>
      </w:pPr>
      <w:r>
        <w:rPr>
          <w:rFonts w:ascii="Amiri" w:hAnsi="Amiri" w:eastAsia="Amiri" w:cs="Amiri"/>
          <w:color w:val="111111"/>
          <w:sz w:val="28"/>
          <w:sz w:val="28"/>
          <w:szCs w:val="28"/>
          <w:rtl w:val="true"/>
          <w:lang w:bidi="ar-SA"/>
        </w:rPr>
        <w:t>،لاشتراطهما بالطّهارة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الصّوم الواجب و النّدب</w:t>
      </w:r>
      <w:r>
        <w:rPr>
          <w:rFonts w:eastAsia="Amiri" w:cs="Amiri" w:ascii="Amiri" w:hAnsi="Amiri"/>
          <w:color w:val="111111"/>
          <w:sz w:val="28"/>
          <w:szCs w:val="28"/>
          <w:rtl w:val="true"/>
          <w:lang w:bidi="ar-SA"/>
        </w:rPr>
        <w:t>.</w:t>
      </w:r>
    </w:p>
    <w:p>
      <w:pPr>
        <w:pStyle w:val="Heading6"/>
        <w:numPr>
          <w:ilvl w:val="5"/>
          <w:numId w:val="1"/>
        </w:numPr>
        <w:rPr/>
      </w:pPr>
      <w:bookmarkStart w:id="1039" w:name="__RefHeading___Toc795969_222507752"/>
      <w:bookmarkStart w:id="1040" w:name="_Toc424"/>
      <w:bookmarkEnd w:id="1039"/>
      <w:r>
        <w:rPr>
          <w:rtl w:val="true"/>
        </w:rPr>
        <w:t>الثالث</w:t>
      </w:r>
      <w:r>
        <w:rPr>
          <w:rtl w:val="true"/>
        </w:rPr>
        <w:t>:</w:t>
      </w:r>
      <w:r>
        <w:rPr>
          <w:rtl w:val="true"/>
        </w:rPr>
        <w:t>الحائض غير مخاطبة بالصّوم</w:t>
      </w:r>
      <w:r>
        <w:rPr>
          <w:rtl w:val="true"/>
        </w:rPr>
        <w:t>.</w:t>
      </w:r>
      <w:bookmarkEnd w:id="1040"/>
    </w:p>
    <w:p>
      <w:pPr>
        <w:pStyle w:val="BookText"/>
        <w:rPr/>
      </w:pPr>
      <w:r>
        <w:rPr>
          <w:rFonts w:ascii="Amiri" w:hAnsi="Amiri" w:eastAsia="Amiri" w:cs="Amiri"/>
          <w:color w:val="111111"/>
          <w:sz w:val="28"/>
          <w:sz w:val="28"/>
          <w:szCs w:val="28"/>
          <w:rtl w:val="true"/>
          <w:lang w:bidi="ar-SA"/>
        </w:rPr>
        <w:t xml:space="preserve">و هو قول بعض الشّافعيّة </w:t>
      </w:r>
      <w:r>
        <w:rPr>
          <w:rStyle w:val="FootnoteAnchor"/>
          <w:rtl w:val="true"/>
        </w:rPr>
        <w:footnoteReference w:id="183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بعضهم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انّها مخاطبة به </w:t>
      </w:r>
      <w:r>
        <w:rPr>
          <w:rStyle w:val="FootnoteAnchor"/>
          <w:rtl w:val="true"/>
        </w:rPr>
        <w:footnoteReference w:id="18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أنّها ممنوعة من الصّوم،فلا يصحّ أمرها به،و إلاّ لزم التّكليف بالنّقيضين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احتجّوا بأنّ وجوب القضاء يستلزم وجوب الأداء </w:t>
      </w:r>
      <w:r>
        <w:rPr>
          <w:rStyle w:val="FootnoteAnchor"/>
          <w:rtl w:val="true"/>
        </w:rPr>
        <w:footnoteReference w:id="18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المنع من الاستلزام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نعم،يستلزم قيام سبب الوجوب،أمّا نفس الوجوب فلا،أو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القضاء بأمر متجدّد </w:t>
      </w:r>
      <w:r>
        <w:rPr>
          <w:rStyle w:val="FootnoteAnchor"/>
          <w:rtl w:val="true"/>
        </w:rPr>
        <w:footnoteReference w:id="183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041" w:name="__RefHeading___Toc795971_222507752"/>
      <w:bookmarkStart w:id="1042" w:name="_Toc425"/>
      <w:bookmarkEnd w:id="1041"/>
      <w:r>
        <w:rPr>
          <w:rtl w:val="true"/>
        </w:rPr>
        <w:t>مسألة</w:t>
      </w:r>
      <w:r>
        <w:rPr>
          <w:rtl w:val="true"/>
        </w:rPr>
        <w:t>:</w:t>
      </w:r>
      <w:r>
        <w:rPr>
          <w:rtl w:val="true"/>
        </w:rPr>
        <w:t>و تترك ذات العادة الصّلاة و الصّوم برؤية الدّم في وقت عادتها</w:t>
      </w:r>
      <w:r>
        <w:rPr>
          <w:rtl w:val="true"/>
        </w:rPr>
        <w:t>.</w:t>
      </w:r>
      <w:bookmarkEnd w:id="1042"/>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قول كلّ من يحفظ عنه العلم،لأنّ العادة كالمتيقّن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الجمهور،عن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دعي الصّلاة أيّام أقرائك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لا يتحقق إلاّ بالتّرك في أوّل الأيّام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من طريق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رواية زياد بن سوقة،عن الباقر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تقعد عن الصّلاة أيّام الحيضة</w:t>
      </w:r>
      <w:r>
        <w:rPr>
          <w:rFonts w:eastAsia="Amiri" w:cs="Amiri" w:ascii="Amiri" w:hAnsi="Amiri"/>
          <w:color w:val="111111"/>
          <w:sz w:val="28"/>
          <w:szCs w:val="28"/>
          <w:rtl w:val="true"/>
          <w:lang w:bidi="ar-SA"/>
        </w:rPr>
        <w:t xml:space="preserve">» </w:t>
      </w:r>
      <w:r>
        <w:rPr>
          <w:rStyle w:val="FootnoteAnchor"/>
          <w:rtl w:val="true"/>
        </w:rPr>
        <w:footnoteReference w:id="18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رواية محمّد بن مسلم الحسنة،عن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المرأة ترى الصّفرة في أيّامها؟فقال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تصلّي حتّى تنقضي أيّامها</w:t>
      </w:r>
      <w:r>
        <w:rPr>
          <w:rFonts w:eastAsia="Amiri" w:cs="Amiri" w:ascii="Amiri" w:hAnsi="Amiri"/>
          <w:color w:val="111111"/>
          <w:sz w:val="28"/>
          <w:szCs w:val="28"/>
          <w:rtl w:val="true"/>
          <w:lang w:bidi="ar-SA"/>
        </w:rPr>
        <w:t xml:space="preserve">» </w:t>
      </w:r>
      <w:r>
        <w:rPr>
          <w:rStyle w:val="FootnoteAnchor"/>
          <w:rtl w:val="true"/>
        </w:rPr>
        <w:footnoteReference w:id="18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 يونس،عن رجاله،عن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رسول اللّه صلّى اللّه عليه و آله أمر فاطمة بنت أبي حبيش أن تدع الصّلاة قدر أقرائها و قدر حيضها</w:t>
      </w:r>
      <w:r>
        <w:rPr>
          <w:rFonts w:eastAsia="Amiri" w:cs="Amiri" w:ascii="Amiri" w:hAnsi="Amiri"/>
          <w:color w:val="111111"/>
          <w:sz w:val="28"/>
          <w:szCs w:val="28"/>
          <w:rtl w:val="true"/>
          <w:lang w:bidi="ar-SA"/>
        </w:rPr>
        <w:t xml:space="preserve">» </w:t>
      </w:r>
      <w:r>
        <w:rPr>
          <w:rStyle w:val="FootnoteAnchor"/>
          <w:rtl w:val="true"/>
        </w:rPr>
        <w:footnoteReference w:id="18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المبتدئة و المضطربة فقد اختلف الأصحاب في ابتداء وقت التّرك لهما،فقال الشّيخ بتركهما بمجرّد الرّؤية،فإن استمرّ ثلاثة فهو حيض قطعا،و إن انقطع عرفت انّه دم فساد،و قضت ما تركته من الصّلاة و الصّيام </w:t>
      </w:r>
      <w:r>
        <w:rPr>
          <w:rStyle w:val="FootnoteAnchor"/>
          <w:rtl w:val="true"/>
        </w:rPr>
        <w:footnoteReference w:id="183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السّيّد المرتضى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تترك الصّلاة حتّى تمضي ثلاثة أيّام </w:t>
      </w:r>
      <w:r>
        <w:rPr>
          <w:rStyle w:val="FootnoteAnchor"/>
          <w:rtl w:val="true"/>
        </w:rPr>
        <w:footnoteReference w:id="184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اختاره ابن إدريس </w:t>
      </w:r>
      <w:r>
        <w:rPr>
          <w:rStyle w:val="FootnoteAnchor"/>
          <w:rtl w:val="true"/>
        </w:rPr>
        <w:footnoteReference w:id="1841"/>
      </w:r>
      <w:r>
        <w:rPr>
          <w:rFonts w:ascii="Amiri" w:hAnsi="Amiri" w:eastAsia="Amiri" w:cs="Amiri"/>
          <w:color w:val="111111"/>
          <w:sz w:val="28"/>
          <w:sz w:val="28"/>
          <w:szCs w:val="28"/>
          <w:rtl w:val="true"/>
          <w:lang w:bidi="ar-SA"/>
        </w:rPr>
        <w:t>،و الأقرب عندي الأوّل</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 في الحسن،عن حفص بن البختريّ،عن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كان للدّم حرارة و دفع و سواد فلتدع الصّلاة</w:t>
      </w:r>
      <w:r>
        <w:rPr>
          <w:rFonts w:eastAsia="Amiri" w:cs="Amiri" w:ascii="Amiri" w:hAnsi="Amiri"/>
          <w:color w:val="111111"/>
          <w:sz w:val="28"/>
          <w:szCs w:val="28"/>
          <w:rtl w:val="true"/>
          <w:lang w:bidi="ar-SA"/>
        </w:rPr>
        <w:t xml:space="preserve">» </w:t>
      </w:r>
      <w:r>
        <w:rPr>
          <w:rStyle w:val="FootnoteAnchor"/>
          <w:rtl w:val="true"/>
        </w:rPr>
        <w:footnoteReference w:id="1842"/>
      </w:r>
      <w:r>
        <w:rPr>
          <w:rFonts w:ascii="Amiri" w:hAnsi="Amiri" w:eastAsia="Amiri" w:cs="Amiri"/>
          <w:color w:val="111111"/>
          <w:sz w:val="28"/>
          <w:sz w:val="28"/>
          <w:szCs w:val="28"/>
          <w:rtl w:val="true"/>
          <w:lang w:bidi="ar-SA"/>
        </w:rPr>
        <w:t xml:space="preserve">و هذا لا يصحّ أن يكون المرجع إلى ذات العادة،لأنّا قد بيّنّا </w:t>
      </w:r>
      <w:r>
        <w:rPr>
          <w:rStyle w:val="FootnoteAnchor"/>
          <w:rtl w:val="true"/>
        </w:rPr>
        <w:footnoteReference w:id="1843"/>
      </w:r>
      <w:r>
        <w:rPr>
          <w:rFonts w:ascii="Amiri" w:hAnsi="Amiri" w:eastAsia="Amiri" w:cs="Amiri"/>
          <w:color w:val="111111"/>
          <w:sz w:val="28"/>
          <w:sz w:val="28"/>
          <w:szCs w:val="28"/>
          <w:rtl w:val="true"/>
          <w:lang w:bidi="ar-SA"/>
        </w:rPr>
        <w:t xml:space="preserve">انّ الاعتبار في ذات العادة إنّما هو </w:t>
      </w:r>
    </w:p>
    <w:p>
      <w:pPr>
        <w:pStyle w:val="BookText"/>
        <w:rPr/>
      </w:pPr>
      <w:r>
        <w:rPr>
          <w:rFonts w:ascii="Amiri" w:hAnsi="Amiri" w:eastAsia="Amiri" w:cs="Amiri"/>
          <w:color w:val="111111"/>
          <w:sz w:val="28"/>
          <w:sz w:val="28"/>
          <w:szCs w:val="28"/>
          <w:rtl w:val="true"/>
          <w:lang w:bidi="ar-SA"/>
        </w:rPr>
        <w:t>بعادتها لا بالتّمييز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الشّيخ في الصّحيح،عن إسحاق بن عمّار،عن أبي عبد اللّه عليه السّلام عن المرأة الحبلى ترى الدّم اليوم و اليومين؟قال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دما عبيطا فلا تصلّي ذلك اليومين،و إن كان صفرة فلتغتسل عند كلّ صلاتين</w:t>
      </w:r>
      <w:r>
        <w:rPr>
          <w:rFonts w:eastAsia="Amiri" w:cs="Amiri" w:ascii="Amiri" w:hAnsi="Amiri"/>
          <w:color w:val="111111"/>
          <w:sz w:val="28"/>
          <w:szCs w:val="28"/>
          <w:rtl w:val="true"/>
          <w:lang w:bidi="ar-SA"/>
        </w:rPr>
        <w:t xml:space="preserve">» </w:t>
      </w:r>
      <w:r>
        <w:rPr>
          <w:rStyle w:val="FootnoteAnchor"/>
          <w:rtl w:val="true"/>
        </w:rPr>
        <w:footnoteReference w:id="1844"/>
      </w:r>
      <w:r>
        <w:rPr>
          <w:rFonts w:ascii="Amiri" w:hAnsi="Amiri" w:eastAsia="Amiri" w:cs="Amiri"/>
          <w:color w:val="111111"/>
          <w:sz w:val="28"/>
          <w:sz w:val="28"/>
          <w:szCs w:val="28"/>
          <w:rtl w:val="true"/>
          <w:lang w:bidi="ar-SA"/>
        </w:rPr>
        <w:t>و ذلك مطلق،فالتّقييد بذات العادة غير مدلول من اللّفظ،فلا يصار إليه إلاّ لدليل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انّ الحكم معلّق على الصّفة، و ذلك لا يعتبر في ذات العادة،و قد سلف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لأنّها رأت دما يمكن أن يكون حيضا في وقت يمكن للحيض،فكان حيضا كذات العادة،و المستمرّ بها الدّم 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لأنّ الاحتياط للصّلاة في حقّ الحائض غير معتبر شرعا،فإنّ ذات العادة إذا استمرّ بها الدّم بعد عادتها تستظهر بيوم أو يومين في ترك العبادة لما بيّنّا </w:t>
      </w:r>
      <w:r>
        <w:rPr>
          <w:rStyle w:val="FootnoteAnchor"/>
          <w:rtl w:val="true"/>
        </w:rPr>
        <w:footnoteReference w:id="1845"/>
      </w:r>
      <w:r>
        <w:rPr>
          <w:rFonts w:ascii="Amiri" w:hAnsi="Amiri" w:eastAsia="Amiri" w:cs="Amiri"/>
          <w:color w:val="111111"/>
          <w:sz w:val="28"/>
          <w:sz w:val="28"/>
          <w:szCs w:val="28"/>
          <w:rtl w:val="true"/>
          <w:lang w:bidi="ar-SA"/>
        </w:rPr>
        <w:t>،و ذلك ينافي الاحتياط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لأنّ الاحتياط لو اعتبر في المبتدئة كان الموجب له إنّما هو ثبوت الصّلاة في الذّمة مع عدم العلم بالمزيل،و هذا المعنى يتحقّق في ذات العادة،فإنّها ربّما تتغيّر عادتها و ينقطع الدّم لدون الأقلّ،فكان ينبغي الاحتياط لشغل الذمّة المتيقّن مع عدم العلم بالمزيل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هو الأصل،إلاّ أنّ الظّنّ حاصل هاهنا بأنّه حيض بخلاف صورة النّزاع،فإنّ الظّنّ بكون الدّم المرئيّ في العادة حيضا ليس كالظّنّ بكون المرئيّ في الابتداء حيضا</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اعتبرت مطلق الظّن فهو موجود ها هنا،فإنّ العادة قاضية بأنّ المرأة في سنّ البلوغ ترى الحيض،فإذا رأت في وقته ما هو بصفته،غلب على ظنّها انّه حيض، و إن اعتبرت ظنّا غالبا،فلا بدّ من الإشارة إلى تلك المرتبة من الظّنّ،ثمَّ من الدّلالة على انّ تلك المرتبة موجبة للحكم دون الأقل منها،و هما ممتنعان،ثمَّ كيف اعتبر السّيّد </w:t>
      </w:r>
      <w:bookmarkStart w:id="1043" w:name="pg12669_113141"/>
    </w:p>
    <w:p>
      <w:pPr>
        <w:pStyle w:val="BookText"/>
        <w:rPr/>
      </w:pPr>
      <w:bookmarkEnd w:id="1043"/>
      <w:r>
        <w:rPr>
          <w:rFonts w:ascii="Amiri" w:hAnsi="Amiri" w:eastAsia="Amiri" w:cs="Amiri"/>
          <w:color w:val="111111"/>
          <w:sz w:val="28"/>
          <w:sz w:val="28"/>
          <w:szCs w:val="28"/>
          <w:rtl w:val="true"/>
          <w:lang w:bidi="ar-SA"/>
        </w:rPr>
        <w:t>الاحتياط ها هنا،و لم يلتفت إليه في المستمرّ دمها إذا كانت مبتدئة؟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قال 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تتحيّض من ثلاثة إلى عشرة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لأنّه لو لم يحكم عليها بالحيض في الثّلاثة إلاّ بعد انقضائها،لما دام الحكم عليها به فيها،و التّالي باطل اتّفاقا،فالمقدّم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الملازمة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انّها بعد مضيّ الثّلاثة ربّما رأت دما أسود و يتجاوز،فيكون هو الحيض لا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الفرق بأنّ اليوم و اليومين ليس حيضا حتّى تستكمل ثلاثة،و الأصل عدم التتمّة حتّى يتحقّق،أمّا إذا استمرّ ثلاثا فقد كمل ما يصلح أن يكون حيضا،و لا يبطل هذا إلاّ مع التّجاوز،و الأصل عدمه حتّى يتحقّق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 أنّ يعتبر في صيرورة الدّم حيضا صلاحيّته له،أو وجود ما يعلم معه انّه حيض،و الثّاني يلزم منه أن لا يحكم بالحيض إلاّ بعد الانقطاع على العشرة، فإنّه بدونه لا يقطع على انّ ما رأته حيض،لجواز أن يكون الحيض ما يتلوه،و إن اعتبرت الصّلاحية فهي موجودة في البابين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احتجّ بأنّ الأصل لزوم العبادة حتّى يتيقّن المسقط،و لا يقين قبل الاستمرار ثلاثة </w:t>
      </w:r>
      <w:r>
        <w:rPr>
          <w:rStyle w:val="FootnoteAnchor"/>
          <w:rtl w:val="true"/>
        </w:rPr>
        <w:footnoteReference w:id="18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نسلّم انّ الأصل لزوم العبادة بل الأصل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انّها صارت أصلا بعد ثبوت الأوامر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تلك الأوامر متوجّهة ها هنا؟سلّمنا،لكن لا نسلّم انّه لا يسقط إلاّ مع تيقّن المسقط،بل قد يسقط مع ظنّه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سلّمنا،لكنّ اليقين هاهنا حاصل،فإنّا نقطع بأنّ الشّرع أسقط عن المرأة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غلبة ظنّها بأنّ الدّم حيض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شغل ذمّتها عليها</w:t>
      </w:r>
      <w:r>
        <w:rPr>
          <w:rFonts w:eastAsia="Amiri" w:cs="Amiri" w:ascii="Amiri" w:hAnsi="Amiri"/>
          <w:color w:val="111111"/>
          <w:sz w:val="28"/>
          <w:szCs w:val="28"/>
          <w:rtl w:val="true"/>
          <w:lang w:bidi="ar-SA"/>
        </w:rPr>
        <w:t>.</w:t>
      </w:r>
    </w:p>
    <w:p>
      <w:pPr>
        <w:pStyle w:val="Heading6"/>
        <w:numPr>
          <w:ilvl w:val="5"/>
          <w:numId w:val="1"/>
        </w:numPr>
        <w:rPr/>
      </w:pPr>
      <w:bookmarkStart w:id="1044" w:name="__RefHeading___Toc795973_222507752"/>
      <w:bookmarkStart w:id="1045" w:name="_Toc426"/>
      <w:bookmarkEnd w:id="1044"/>
      <w:r>
        <w:rPr>
          <w:rtl w:val="true"/>
        </w:rPr>
        <w:t>مسألة</w:t>
      </w:r>
      <w:r>
        <w:rPr>
          <w:rtl w:val="true"/>
        </w:rPr>
        <w:t>:</w:t>
      </w:r>
      <w:r>
        <w:rPr>
          <w:rtl w:val="true"/>
        </w:rPr>
        <w:t>و يحرم عليها اللّبث في المساجد</w:t>
      </w:r>
      <w:r>
        <w:rPr>
          <w:rtl w:val="true"/>
        </w:rPr>
        <w:t>.</w:t>
      </w:r>
      <w:bookmarkEnd w:id="1045"/>
    </w:p>
    <w:p>
      <w:pPr>
        <w:pStyle w:val="BookText"/>
        <w:rPr/>
      </w:pPr>
      <w:r>
        <w:rPr>
          <w:rFonts w:ascii="Amiri" w:hAnsi="Amiri" w:eastAsia="Amiri" w:cs="Amiri"/>
          <w:color w:val="111111"/>
          <w:sz w:val="28"/>
          <w:sz w:val="28"/>
          <w:szCs w:val="28"/>
          <w:rtl w:val="true"/>
          <w:lang w:bidi="ar-SA"/>
        </w:rPr>
        <w:t>و هو مذهب عامّة أهل العلم</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الجمهور،عن النّبيّ صلّى اللّه عليه و آله انّه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أحلّ المسجد لحائض </w:t>
      </w:r>
      <w:bookmarkStart w:id="1046" w:name="pg12669_113142"/>
    </w:p>
    <w:p>
      <w:pPr>
        <w:pStyle w:val="BookText"/>
        <w:rPr/>
      </w:pPr>
      <w:bookmarkEnd w:id="1046"/>
      <w:r>
        <w:rPr>
          <w:rFonts w:ascii="IRNazanin" w:hAnsi="IRNazanin" w:eastAsia="IRNazanin"/>
          <w:color w:val="111111"/>
          <w:sz w:val="28"/>
          <w:sz w:val="28"/>
          <w:szCs w:val="28"/>
          <w:rtl w:val="true"/>
          <w:lang w:bidi="fa-IR"/>
        </w:rPr>
        <w:t>و لا جنب</w:t>
      </w:r>
      <w:r>
        <w:rPr>
          <w:rFonts w:eastAsia="IRNazanin" w:cs="IRNazanin"/>
          <w:color w:val="111111"/>
          <w:sz w:val="28"/>
          <w:szCs w:val="28"/>
          <w:rtl w:val="true"/>
          <w:lang w:bidi="fa-IR"/>
        </w:rPr>
        <w:t xml:space="preserve">) </w:t>
      </w:r>
      <w:r>
        <w:rPr>
          <w:rStyle w:val="FootnoteAnchor"/>
          <w:rtl w:val="true"/>
        </w:rPr>
        <w:footnoteReference w:id="18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طريق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 في الصّحيح،عن محمّد بن مسلم،عن أبي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يدخلان المسجد مجتازين و لا يقعدان فيه</w:t>
      </w:r>
      <w:r>
        <w:rPr>
          <w:rFonts w:eastAsia="Amiri" w:cs="Amiri" w:ascii="Amiri" w:hAnsi="Amiri"/>
          <w:color w:val="111111"/>
          <w:sz w:val="28"/>
          <w:szCs w:val="28"/>
          <w:rtl w:val="true"/>
          <w:lang w:bidi="ar-SA"/>
        </w:rPr>
        <w:t xml:space="preserve">» </w:t>
      </w:r>
      <w:r>
        <w:rPr>
          <w:rStyle w:val="FootnoteAnchor"/>
          <w:rtl w:val="true"/>
        </w:rPr>
        <w:footnoteReference w:id="1848"/>
      </w:r>
      <w:r>
        <w:rPr>
          <w:rFonts w:ascii="Amiri" w:hAnsi="Amiri" w:eastAsia="Amiri" w:cs="Amiri"/>
          <w:color w:val="111111"/>
          <w:sz w:val="28"/>
          <w:sz w:val="28"/>
          <w:szCs w:val="28"/>
          <w:rtl w:val="true"/>
          <w:lang w:bidi="ar-SA"/>
        </w:rPr>
        <w:t>و لأنّ الحائض مشاركة للجنب في الحدث و ممتازة عنه بزيادة حمل النّجاسة،فحكم حدثها أغلظ،فالمنع من الاستيطان في المسجد في حقّها أقرب</w:t>
      </w:r>
      <w:r>
        <w:rPr>
          <w:rFonts w:eastAsia="Amiri" w:cs="Amiri" w:ascii="Amiri" w:hAnsi="Amiri"/>
          <w:color w:val="111111"/>
          <w:sz w:val="28"/>
          <w:szCs w:val="28"/>
          <w:rtl w:val="true"/>
          <w:lang w:bidi="ar-SA"/>
        </w:rPr>
        <w:t>.</w:t>
      </w:r>
    </w:p>
    <w:p>
      <w:pPr>
        <w:pStyle w:val="Heading6"/>
        <w:numPr>
          <w:ilvl w:val="5"/>
          <w:numId w:val="1"/>
        </w:numPr>
        <w:rPr/>
      </w:pPr>
      <w:bookmarkStart w:id="1047" w:name="__RefHeading___Toc795975_222507752"/>
      <w:bookmarkStart w:id="1048" w:name="_Toc427"/>
      <w:bookmarkEnd w:id="1047"/>
      <w:r>
        <w:rPr>
          <w:rtl w:val="true"/>
        </w:rPr>
        <w:t>فروع</w:t>
      </w:r>
      <w:r>
        <w:rPr>
          <w:rtl w:val="true"/>
        </w:rPr>
        <w:t>:</w:t>
      </w:r>
      <w:bookmarkEnd w:id="1048"/>
    </w:p>
    <w:p>
      <w:pPr>
        <w:pStyle w:val="Heading6"/>
        <w:numPr>
          <w:ilvl w:val="5"/>
          <w:numId w:val="1"/>
        </w:numPr>
        <w:rPr/>
      </w:pPr>
      <w:bookmarkStart w:id="1049" w:name="__RefHeading___Toc795977_222507752"/>
      <w:bookmarkStart w:id="1050" w:name="_Toc428"/>
      <w:bookmarkEnd w:id="1049"/>
      <w:r>
        <w:rPr>
          <w:rtl w:val="true"/>
        </w:rPr>
        <w:t>الأوّل</w:t>
      </w:r>
      <w:r>
        <w:rPr>
          <w:rtl w:val="true"/>
        </w:rPr>
        <w:t>:</w:t>
      </w:r>
      <w:r>
        <w:rPr>
          <w:rtl w:val="true"/>
        </w:rPr>
        <w:t>يجوز لها الاجتياز في المساجد،إلاّ المسجدين،</w:t>
      </w:r>
      <w:bookmarkEnd w:id="1050"/>
    </w:p>
    <w:p>
      <w:pPr>
        <w:pStyle w:val="BookText"/>
        <w:rPr/>
      </w:pPr>
      <w:r>
        <w:rPr>
          <w:rFonts w:ascii="IRNazanin" w:hAnsi="IRNazanin" w:eastAsia="IRNazanin"/>
          <w:color w:val="111111"/>
          <w:sz w:val="28"/>
          <w:sz w:val="28"/>
          <w:szCs w:val="28"/>
          <w:rtl w:val="true"/>
          <w:lang w:bidi="fa-IR"/>
        </w:rPr>
        <w:t>و الاستثناء مختصّ بهما</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جواز الاجتياز،فقد ذهب إليه علماؤنا أجمع،و هو قول ابن مسعود،و ابن عبّاس </w:t>
      </w:r>
      <w:r>
        <w:rPr>
          <w:rStyle w:val="FootnoteAnchor"/>
          <w:rtl w:val="true"/>
        </w:rPr>
        <w:footnoteReference w:id="1849"/>
      </w:r>
      <w:r>
        <w:rPr>
          <w:rFonts w:ascii="Amiri" w:hAnsi="Amiri" w:eastAsia="Amiri" w:cs="Amiri"/>
          <w:color w:val="111111"/>
          <w:sz w:val="28"/>
          <w:sz w:val="28"/>
          <w:szCs w:val="28"/>
          <w:rtl w:val="true"/>
          <w:lang w:bidi="ar-SA"/>
        </w:rPr>
        <w:t xml:space="preserve">، و ابن المسيّب </w:t>
      </w:r>
      <w:r>
        <w:rPr>
          <w:rStyle w:val="FootnoteAnchor"/>
          <w:rtl w:val="true"/>
        </w:rPr>
        <w:footnoteReference w:id="1850"/>
      </w:r>
      <w:r>
        <w:rPr>
          <w:rFonts w:ascii="Amiri" w:hAnsi="Amiri" w:eastAsia="Amiri" w:cs="Amiri"/>
          <w:color w:val="111111"/>
          <w:sz w:val="28"/>
          <w:sz w:val="28"/>
          <w:szCs w:val="28"/>
          <w:rtl w:val="true"/>
          <w:lang w:bidi="ar-SA"/>
        </w:rPr>
        <w:t xml:space="preserve">،و ابن جبير،و الحسن </w:t>
      </w:r>
      <w:r>
        <w:rPr>
          <w:rStyle w:val="FootnoteAnchor"/>
          <w:rtl w:val="true"/>
        </w:rPr>
        <w:footnoteReference w:id="1851"/>
      </w:r>
      <w:r>
        <w:rPr>
          <w:rFonts w:ascii="Amiri" w:hAnsi="Amiri" w:eastAsia="Amiri" w:cs="Amiri"/>
          <w:color w:val="111111"/>
          <w:sz w:val="28"/>
          <w:sz w:val="28"/>
          <w:szCs w:val="28"/>
          <w:rtl w:val="true"/>
          <w:lang w:bidi="ar-SA"/>
        </w:rPr>
        <w:t xml:space="preserve">،و مالك </w:t>
      </w:r>
      <w:r>
        <w:rPr>
          <w:rStyle w:val="FootnoteAnchor"/>
          <w:rtl w:val="true"/>
        </w:rPr>
        <w:footnoteReference w:id="1852"/>
      </w:r>
      <w:r>
        <w:rPr>
          <w:rFonts w:ascii="Amiri" w:hAnsi="Amiri" w:eastAsia="Amiri" w:cs="Amiri"/>
          <w:color w:val="111111"/>
          <w:sz w:val="28"/>
          <w:sz w:val="28"/>
          <w:szCs w:val="28"/>
          <w:rtl w:val="true"/>
          <w:lang w:bidi="ar-SA"/>
        </w:rPr>
        <w:t xml:space="preserve">،و الشّافعيّ </w:t>
      </w:r>
      <w:r>
        <w:rPr>
          <w:rStyle w:val="FootnoteAnchor"/>
          <w:rtl w:val="true"/>
        </w:rPr>
        <w:footnoteReference w:id="185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أبو حنيفة </w:t>
      </w:r>
      <w:r>
        <w:rPr>
          <w:rStyle w:val="FootnoteAnchor"/>
          <w:rtl w:val="true"/>
        </w:rPr>
        <w:footnoteReference w:id="1854"/>
      </w:r>
      <w:r>
        <w:rPr>
          <w:rFonts w:ascii="Amiri" w:hAnsi="Amiri" w:eastAsia="Amiri" w:cs="Amiri"/>
          <w:color w:val="111111"/>
          <w:sz w:val="28"/>
          <w:sz w:val="28"/>
          <w:szCs w:val="28"/>
          <w:rtl w:val="true"/>
          <w:lang w:bidi="ar-SA"/>
        </w:rPr>
        <w:t>،و الثّوريّ،و إسحاق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تدخل المسجد،فإن اضطرّت تيمّمت </w:t>
      </w:r>
      <w:r>
        <w:rPr>
          <w:rStyle w:val="FootnoteAnchor"/>
          <w:rtl w:val="true"/>
        </w:rPr>
        <w:footnoteReference w:id="185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الجمهور،عن النّبيّ صلّى اللّه عليه و آله انّه قال لعائشة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ناوليني الخمرة من المسجد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حائض؟قال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حيضتك ليست في يدك</w:t>
      </w:r>
      <w:r>
        <w:rPr>
          <w:rFonts w:eastAsia="Amiri" w:cs="Amiri" w:ascii="Amiri" w:hAnsi="Amiri"/>
          <w:color w:val="111111"/>
          <w:sz w:val="28"/>
          <w:szCs w:val="28"/>
          <w:rtl w:val="true"/>
          <w:lang w:bidi="ar-SA"/>
        </w:rPr>
        <w:t xml:space="preserve">) </w:t>
      </w:r>
      <w:r>
        <w:rPr>
          <w:rStyle w:val="FootnoteAnchor"/>
          <w:rtl w:val="true"/>
        </w:rPr>
        <w:footnoteReference w:id="18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طريق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 في الحسن،عن محمّد بن مسلم،عن أبي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يدخلان المسجد مجتازين و لا يقعدان فيه</w:t>
      </w:r>
      <w:r>
        <w:rPr>
          <w:rFonts w:eastAsia="Amiri" w:cs="Amiri" w:ascii="Amiri" w:hAnsi="Amiri"/>
          <w:color w:val="111111"/>
          <w:sz w:val="28"/>
          <w:szCs w:val="28"/>
          <w:rtl w:val="true"/>
          <w:lang w:bidi="ar-SA"/>
        </w:rPr>
        <w:t xml:space="preserve">» </w:t>
      </w:r>
      <w:r>
        <w:rPr>
          <w:rStyle w:val="FootnoteAnchor"/>
          <w:rtl w:val="true"/>
        </w:rPr>
        <w:footnoteReference w:id="1857"/>
      </w:r>
      <w:r>
        <w:rPr>
          <w:rFonts w:ascii="Amiri" w:hAnsi="Amiri" w:eastAsia="Amiri" w:cs="Amiri"/>
          <w:color w:val="111111"/>
          <w:sz w:val="28"/>
          <w:sz w:val="28"/>
          <w:szCs w:val="28"/>
          <w:rtl w:val="true"/>
          <w:lang w:bidi="ar-SA"/>
        </w:rPr>
        <w:t>إشارة إلى الجنب و الحائض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رواه محمّد بن يعقوب في كتابه،عن محمّد بن يحيى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رفعه،عن أبي حمزة عن الباقر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بأس أن يمرّا في المساجد و لا يجلسان فيها</w:t>
      </w:r>
      <w:r>
        <w:rPr>
          <w:rFonts w:eastAsia="Amiri" w:cs="Amiri" w:ascii="Amiri" w:hAnsi="Amiri"/>
          <w:color w:val="111111"/>
          <w:sz w:val="28"/>
          <w:szCs w:val="28"/>
          <w:rtl w:val="true"/>
          <w:lang w:bidi="ar-SA"/>
        </w:rPr>
        <w:t xml:space="preserve">» </w:t>
      </w:r>
      <w:r>
        <w:rPr>
          <w:rStyle w:val="FootnoteAnchor"/>
          <w:rtl w:val="true"/>
        </w:rPr>
        <w:footnoteReference w:id="18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احتجّ أبو حنيفة </w:t>
      </w:r>
      <w:r>
        <w:rPr>
          <w:rStyle w:val="FootnoteAnchor"/>
          <w:rtl w:val="true"/>
        </w:rPr>
        <w:footnoteReference w:id="1859"/>
      </w:r>
      <w:r>
        <w:rPr>
          <w:rFonts w:ascii="Amiri" w:hAnsi="Amiri" w:eastAsia="Amiri" w:cs="Amiri"/>
          <w:color w:val="111111"/>
          <w:sz w:val="28"/>
          <w:sz w:val="28"/>
          <w:szCs w:val="28"/>
          <w:rtl w:val="true"/>
          <w:lang w:bidi="ar-SA"/>
        </w:rPr>
        <w:t>بقوله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أحلّ المسجد لحائض و لا جنب</w:t>
      </w:r>
      <w:r>
        <w:rPr>
          <w:rFonts w:eastAsia="Amiri" w:cs="Amiri" w:ascii="Amiri" w:hAnsi="Amiri"/>
          <w:color w:val="111111"/>
          <w:sz w:val="28"/>
          <w:szCs w:val="28"/>
          <w:rtl w:val="true"/>
          <w:lang w:bidi="ar-SA"/>
        </w:rPr>
        <w:t xml:space="preserve">» </w:t>
      </w:r>
      <w:r>
        <w:rPr>
          <w:rStyle w:val="FootnoteAnchor"/>
          <w:rtl w:val="true"/>
        </w:rPr>
        <w:footnoteReference w:id="18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مخصوص بمسجده عليه السّلام،و هو دليل لنا على الاستثناء المذكور</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تحريم الاجتياز في المسجدين فرواية الجمهور تدلّ عليه،و من طريق الخاصّة</w:t>
      </w:r>
      <w:r>
        <w:rPr>
          <w:rFonts w:eastAsia="Amiri" w:cs="Amiri" w:ascii="Amiri" w:hAnsi="Amiri"/>
          <w:color w:val="111111"/>
          <w:sz w:val="28"/>
          <w:szCs w:val="28"/>
          <w:rtl w:val="true"/>
          <w:lang w:bidi="ar-SA"/>
        </w:rPr>
        <w:t xml:space="preserve">: </w:t>
      </w:r>
      <w:bookmarkStart w:id="1051" w:name="pg12669_113144"/>
    </w:p>
    <w:p>
      <w:pPr>
        <w:pStyle w:val="BookText"/>
        <w:rPr/>
      </w:pPr>
      <w:bookmarkEnd w:id="1051"/>
      <w:r>
        <w:rPr>
          <w:rFonts w:ascii="Amiri" w:hAnsi="Amiri" w:eastAsia="Amiri" w:cs="Amiri"/>
          <w:color w:val="111111"/>
          <w:sz w:val="28"/>
          <w:sz w:val="28"/>
          <w:szCs w:val="28"/>
          <w:rtl w:val="true"/>
          <w:lang w:bidi="ar-SA"/>
        </w:rPr>
        <w:t>ما رواه الشّيخ في الحسن،عن محمّد بن مسلم،عن الباقر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يقربان المسجدين الحرمين</w:t>
      </w:r>
      <w:r>
        <w:rPr>
          <w:rFonts w:eastAsia="Amiri" w:cs="Amiri" w:ascii="Amiri" w:hAnsi="Amiri"/>
          <w:color w:val="111111"/>
          <w:sz w:val="28"/>
          <w:szCs w:val="28"/>
          <w:rtl w:val="true"/>
          <w:lang w:bidi="ar-SA"/>
        </w:rPr>
        <w:t xml:space="preserve">» </w:t>
      </w:r>
      <w:r>
        <w:rPr>
          <w:rStyle w:val="FootnoteAnchor"/>
          <w:rtl w:val="true"/>
        </w:rPr>
        <w:footnoteReference w:id="18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رواه ابن يعقوب،عن محمّد بن يحيى رفعه،عن أبي حمزة عن الباقر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الرّجل نائما في المسجد الحرام أو مسجد الرّسول صلّى اللّه عليه و آله فأصابته جنابة فليتيمّم،و لا يمرّ في المسجد إلاّ متيمّما حتّى يخرج منه و يغتسل،و كذلك الحائض إذا أصابها الحيض تفعل كذلك،و لا بأس أن يمرّا في سائر المساجد و لا يجلسان فيها</w:t>
      </w:r>
      <w:r>
        <w:rPr>
          <w:rFonts w:eastAsia="Amiri" w:cs="Amiri" w:ascii="Amiri" w:hAnsi="Amiri"/>
          <w:color w:val="111111"/>
          <w:sz w:val="28"/>
          <w:szCs w:val="28"/>
          <w:rtl w:val="true"/>
          <w:lang w:bidi="ar-SA"/>
        </w:rPr>
        <w:t xml:space="preserve">» </w:t>
      </w:r>
      <w:r>
        <w:rPr>
          <w:rStyle w:val="FootnoteAnchor"/>
          <w:rtl w:val="true"/>
        </w:rPr>
        <w:footnoteReference w:id="186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052" w:name="__RefHeading___Toc795979_222507752"/>
      <w:bookmarkStart w:id="1053" w:name="_Toc429"/>
      <w:bookmarkEnd w:id="1052"/>
      <w:r>
        <w:rPr>
          <w:rtl w:val="true"/>
        </w:rPr>
        <w:t>الثّاني</w:t>
      </w:r>
      <w:r>
        <w:rPr>
          <w:rtl w:val="true"/>
        </w:rPr>
        <w:t>:</w:t>
      </w:r>
      <w:r>
        <w:rPr>
          <w:rtl w:val="true"/>
        </w:rPr>
        <w:t>إذا اتّفق لها الحيض في أحد المسجدين لم تقطعه خارجة إلاّ بالتّيمّم،</w:t>
      </w:r>
      <w:bookmarkEnd w:id="1053"/>
    </w:p>
    <w:p>
      <w:pPr>
        <w:pStyle w:val="BookText"/>
        <w:rPr/>
      </w:pPr>
      <w:r>
        <w:rPr>
          <w:rFonts w:ascii="Amiri" w:hAnsi="Amiri" w:eastAsia="Amiri" w:cs="Amiri"/>
          <w:color w:val="111111"/>
          <w:sz w:val="28"/>
          <w:sz w:val="28"/>
          <w:szCs w:val="28"/>
          <w:rtl w:val="true"/>
          <w:lang w:bidi="ar-SA"/>
        </w:rPr>
        <w:t>لرواية أبي حمزة المذكورة و هي و إن كانت مقطوعة السّند إلاّ انّها مناسبة للمذهب، و لأنّ الاجتياز فيهما حرام عليها إلاّ مع الطّهارة،و هي متعذّرة،و التّيمّم يقوم مقامها في جواز الصّلاة،فكان قائما مقامها في قطع المسجد و إن لم يكن التّيمّم هاهنا طهارة</w:t>
      </w:r>
      <w:r>
        <w:rPr>
          <w:rFonts w:eastAsia="Amiri" w:cs="Amiri" w:ascii="Amiri" w:hAnsi="Amiri"/>
          <w:color w:val="111111"/>
          <w:sz w:val="28"/>
          <w:szCs w:val="28"/>
          <w:rtl w:val="true"/>
          <w:lang w:bidi="ar-SA"/>
        </w:rPr>
        <w:t>.</w:t>
      </w:r>
    </w:p>
    <w:p>
      <w:pPr>
        <w:pStyle w:val="Heading6"/>
        <w:numPr>
          <w:ilvl w:val="5"/>
          <w:numId w:val="1"/>
        </w:numPr>
        <w:rPr/>
      </w:pPr>
      <w:bookmarkStart w:id="1054" w:name="__RefHeading___Toc795981_222507752"/>
      <w:bookmarkStart w:id="1055" w:name="_Toc430"/>
      <w:bookmarkEnd w:id="1054"/>
      <w:r>
        <w:rPr>
          <w:rtl w:val="true"/>
        </w:rPr>
        <w:t>الثّالث</w:t>
      </w:r>
      <w:r>
        <w:rPr>
          <w:rtl w:val="true"/>
        </w:rPr>
        <w:t>:</w:t>
      </w:r>
      <w:r>
        <w:rPr>
          <w:rtl w:val="true"/>
        </w:rPr>
        <w:t>قال الشّيخ في الخلاف</w:t>
      </w:r>
      <w:r>
        <w:rPr>
          <w:rtl w:val="true"/>
        </w:rPr>
        <w:t>:</w:t>
      </w:r>
      <w:r>
        <w:rPr>
          <w:rtl w:val="true"/>
        </w:rPr>
        <w:t xml:space="preserve">يكره لها الاجتياز في غير المسجدين </w:t>
      </w:r>
      <w:r>
        <w:rPr>
          <w:rtl w:val="true"/>
        </w:rPr>
        <w:t>.</w:t>
      </w:r>
      <w:bookmarkEnd w:id="1055"/>
    </w:p>
    <w:p>
      <w:pPr>
        <w:pStyle w:val="BookText"/>
        <w:rPr/>
      </w:pPr>
      <w:r>
        <w:rPr>
          <w:rStyle w:val="FootnoteAnchor"/>
          <w:rtl w:val="true"/>
        </w:rPr>
        <w:footnoteReference w:id="18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نقف فيه على حجّة،و أباحه في غيره </w:t>
      </w:r>
      <w:r>
        <w:rPr>
          <w:rStyle w:val="FootnoteAnchor"/>
          <w:rtl w:val="true"/>
        </w:rPr>
        <w:footnoteReference w:id="1864"/>
      </w:r>
      <w:r>
        <w:rPr>
          <w:rFonts w:ascii="Amiri" w:hAnsi="Amiri" w:eastAsia="Amiri" w:cs="Amiri"/>
          <w:color w:val="111111"/>
          <w:sz w:val="28"/>
          <w:sz w:val="28"/>
          <w:szCs w:val="28"/>
          <w:rtl w:val="true"/>
          <w:lang w:bidi="ar-SA"/>
        </w:rPr>
        <w:t xml:space="preserve">،و هو اختيار المفيد </w:t>
      </w:r>
      <w:r>
        <w:rPr>
          <w:rStyle w:val="FootnoteAnchor"/>
          <w:rtl w:val="true"/>
        </w:rPr>
        <w:footnoteReference w:id="1865"/>
      </w:r>
      <w:r>
        <w:rPr>
          <w:rFonts w:ascii="Amiri" w:hAnsi="Amiri" w:eastAsia="Amiri" w:cs="Amiri"/>
          <w:color w:val="111111"/>
          <w:sz w:val="28"/>
          <w:sz w:val="28"/>
          <w:szCs w:val="28"/>
          <w:rtl w:val="true"/>
          <w:lang w:bidi="ar-SA"/>
        </w:rPr>
        <w:t xml:space="preserve">،و السّيّد المرتضى </w:t>
      </w:r>
      <w:r>
        <w:rPr>
          <w:rStyle w:val="FootnoteAnchor"/>
          <w:rtl w:val="true"/>
        </w:rPr>
        <w:footnoteReference w:id="1866"/>
      </w:r>
      <w:r>
        <w:rPr>
          <w:rFonts w:eastAsia="Times New Roman" w:cs="Times New Roman" w:ascii="Times New Roman" w:hAnsi="Times New Roman"/>
          <w:color w:val="111111"/>
          <w:sz w:val="28"/>
          <w:szCs w:val="28"/>
          <w:rtl w:val="true"/>
          <w:lang w:val="en-US" w:bidi="en-US"/>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الكراهة حكم شرعيّ،فيقف عليه،و يمكن أن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السّبب في الكراهة إمّا جعل المسجد طريقا،و إمّا الدّخول بالنّجاسة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الشّافعيّ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لم تعصّب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bookmarkStart w:id="1056" w:name="pg12669_113145"/>
    </w:p>
    <w:p>
      <w:pPr>
        <w:pStyle w:val="BookText"/>
        <w:rPr/>
      </w:pPr>
      <w:bookmarkEnd w:id="1056"/>
      <w:r>
        <w:rPr>
          <w:rFonts w:ascii="Amiri" w:hAnsi="Amiri" w:eastAsia="Amiri" w:cs="Amiri"/>
          <w:color w:val="111111"/>
          <w:sz w:val="28"/>
          <w:sz w:val="28"/>
          <w:szCs w:val="28"/>
          <w:rtl w:val="true"/>
          <w:lang w:bidi="ar-SA"/>
        </w:rPr>
        <w:t xml:space="preserve">فرجها لم يبح بها،لأنّه لا نؤمن أن تلوّث المسجد،و إن عصّبت فرجها فوجهان </w:t>
      </w:r>
      <w:r>
        <w:rPr>
          <w:rStyle w:val="FootnoteAnchor"/>
          <w:rtl w:val="true"/>
        </w:rPr>
        <w:footnoteReference w:id="186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057" w:name="__RefHeading___Toc795983_222507752"/>
      <w:bookmarkStart w:id="1058" w:name="_Toc431"/>
      <w:bookmarkEnd w:id="1057"/>
      <w:r>
        <w:rPr>
          <w:rtl w:val="true"/>
        </w:rPr>
        <w:t>الرّابع</w:t>
      </w:r>
      <w:r>
        <w:rPr>
          <w:rtl w:val="true"/>
        </w:rPr>
        <w:t>:</w:t>
      </w:r>
      <w:r>
        <w:rPr>
          <w:rtl w:val="true"/>
        </w:rPr>
        <w:t>قال أصحابنا</w:t>
      </w:r>
      <w:r>
        <w:rPr>
          <w:rtl w:val="true"/>
        </w:rPr>
        <w:t>:</w:t>
      </w:r>
      <w:r>
        <w:rPr>
          <w:rtl w:val="true"/>
        </w:rPr>
        <w:t>يحرم على الحائض أن تضع شيئا في المسجد و يجوز لها أن</w:t>
      </w:r>
      <w:bookmarkEnd w:id="1058"/>
    </w:p>
    <w:p>
      <w:pPr>
        <w:pStyle w:val="BookText"/>
        <w:rPr/>
      </w:pPr>
      <w:r>
        <w:rPr>
          <w:rFonts w:ascii="IRNazanin" w:hAnsi="IRNazanin" w:eastAsia="IRNazanin"/>
          <w:color w:val="111111"/>
          <w:sz w:val="28"/>
          <w:sz w:val="28"/>
          <w:szCs w:val="28"/>
          <w:rtl w:val="true"/>
          <w:lang w:bidi="fa-IR"/>
        </w:rPr>
        <w:t>تأخذ منه</w:t>
      </w:r>
    </w:p>
    <w:p>
      <w:pPr>
        <w:pStyle w:val="BookText"/>
        <w:rPr/>
      </w:pPr>
      <w:r>
        <w:rPr>
          <w:rFonts w:ascii="Amiri" w:hAnsi="Amiri" w:eastAsia="Amiri" w:cs="Amiri"/>
          <w:color w:val="111111"/>
          <w:sz w:val="28"/>
          <w:sz w:val="28"/>
          <w:szCs w:val="28"/>
          <w:rtl w:val="true"/>
          <w:lang w:bidi="ar-SA"/>
        </w:rPr>
        <w:t>،لما رواه الشّيخ في الصّحيح،عن عبد اللّه بن سنان،قال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الجنب و الحائض يتناولان من المسجد المتاع يكون فيه؟قال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و لكن لا يضعان في المسجد شيئا</w:t>
      </w:r>
      <w:r>
        <w:rPr>
          <w:rFonts w:eastAsia="Amiri" w:cs="Amiri" w:ascii="Amiri" w:hAnsi="Amiri"/>
          <w:color w:val="111111"/>
          <w:sz w:val="28"/>
          <w:szCs w:val="28"/>
          <w:rtl w:val="true"/>
          <w:lang w:bidi="ar-SA"/>
        </w:rPr>
        <w:t xml:space="preserve">» </w:t>
      </w:r>
      <w:r>
        <w:rPr>
          <w:rStyle w:val="FootnoteAnchor"/>
          <w:rtl w:val="true"/>
        </w:rPr>
        <w:footnoteReference w:id="18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رواه الشّيخ في الصّحيح،عن زرارة،عن أبي جعفر عليه السّلام،قال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سألته كيف صارت الحائض تأخذ ما في المسجد و لا تضع فيه؟فقال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الحائض تستطيع أن تضع ما في يدها في غيره و لا تستطيع أن تأخذ ما فيه إلاّ منه</w:t>
      </w:r>
      <w:r>
        <w:rPr>
          <w:rFonts w:eastAsia="Amiri" w:cs="Amiri" w:ascii="Amiri" w:hAnsi="Amiri"/>
          <w:color w:val="111111"/>
          <w:sz w:val="28"/>
          <w:szCs w:val="28"/>
          <w:rtl w:val="true"/>
          <w:lang w:bidi="ar-SA"/>
        </w:rPr>
        <w:t xml:space="preserve">» </w:t>
      </w:r>
      <w:r>
        <w:rPr>
          <w:rStyle w:val="FootnoteAnchor"/>
          <w:rtl w:val="true"/>
        </w:rPr>
        <w:footnoteReference w:id="186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059" w:name="__RefHeading___Toc795985_222507752"/>
      <w:bookmarkStart w:id="1060" w:name="_Toc432"/>
      <w:bookmarkEnd w:id="1059"/>
      <w:r>
        <w:rPr>
          <w:rtl w:val="true"/>
        </w:rPr>
        <w:t>مسألة</w:t>
      </w:r>
      <w:r>
        <w:rPr>
          <w:rtl w:val="true"/>
        </w:rPr>
        <w:t>:</w:t>
      </w:r>
      <w:r>
        <w:rPr>
          <w:rtl w:val="true"/>
        </w:rPr>
        <w:t>و يحرم عليها الطّواف،</w:t>
      </w:r>
      <w:bookmarkEnd w:id="1060"/>
    </w:p>
    <w:p>
      <w:pPr>
        <w:pStyle w:val="BookText"/>
        <w:rPr/>
      </w:pPr>
      <w:r>
        <w:rPr>
          <w:rFonts w:ascii="Amiri" w:hAnsi="Amiri" w:eastAsia="Amiri" w:cs="Amiri"/>
          <w:color w:val="111111"/>
          <w:sz w:val="28"/>
          <w:sz w:val="28"/>
          <w:szCs w:val="28"/>
          <w:rtl w:val="true"/>
          <w:lang w:bidi="ar-SA"/>
        </w:rPr>
        <w:t>و هو إجماع،لأنّه يفتقر إلى الدّخول إلى المسجد الحرام و هو حرام،و إلى الطّهارة و لا يصحّ منها فعلها،لوجود الحدث الملازم الضّد،و لأنّ النّبيّ صلّى اللّه عليه و آله قال لعائشة و قد حاضت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افعلي ما يفعله الحاج غير أن لا تطوفي بالبيت</w:t>
      </w:r>
      <w:r>
        <w:rPr>
          <w:rFonts w:eastAsia="Amiri" w:cs="Amiri" w:ascii="Amiri" w:hAnsi="Amiri"/>
          <w:color w:val="111111"/>
          <w:sz w:val="28"/>
          <w:szCs w:val="28"/>
          <w:rtl w:val="true"/>
          <w:lang w:bidi="ar-SA"/>
        </w:rPr>
        <w:t xml:space="preserve">) </w:t>
      </w:r>
      <w:r>
        <w:rPr>
          <w:rStyle w:val="FootnoteAnchor"/>
          <w:rtl w:val="true"/>
        </w:rPr>
        <w:footnoteReference w:id="1870"/>
      </w:r>
      <w:r>
        <w:rPr>
          <w:rFonts w:ascii="IRNazanin" w:hAnsi="IRNazanin" w:eastAsia="IRNazanin"/>
          <w:color w:val="111111"/>
          <w:sz w:val="28"/>
          <w:sz w:val="28"/>
          <w:szCs w:val="28"/>
          <w:rtl w:val="true"/>
          <w:lang w:bidi="fa-IR"/>
        </w:rPr>
        <w:t>فإن طافت لم تعتدّ به بلا خلاف</w:t>
      </w:r>
      <w:r>
        <w:rPr>
          <w:rFonts w:eastAsia="IRNazanin" w:cs="IRNazanin"/>
          <w:color w:val="111111"/>
          <w:sz w:val="28"/>
          <w:szCs w:val="28"/>
          <w:rtl w:val="true"/>
          <w:lang w:bidi="fa-IR"/>
        </w:rPr>
        <w:t>.</w:t>
      </w:r>
    </w:p>
    <w:p>
      <w:pPr>
        <w:pStyle w:val="Heading6"/>
        <w:numPr>
          <w:ilvl w:val="5"/>
          <w:numId w:val="1"/>
        </w:numPr>
        <w:rPr/>
      </w:pPr>
      <w:bookmarkStart w:id="1061" w:name="__RefHeading___Toc795987_222507752"/>
      <w:bookmarkStart w:id="1062" w:name="_Toc433"/>
      <w:bookmarkEnd w:id="1061"/>
      <w:r>
        <w:rPr>
          <w:rtl w:val="true"/>
        </w:rPr>
        <w:t>مسألة</w:t>
      </w:r>
      <w:r>
        <w:rPr>
          <w:rtl w:val="true"/>
        </w:rPr>
        <w:t>:</w:t>
      </w:r>
      <w:r>
        <w:rPr>
          <w:rtl w:val="true"/>
        </w:rPr>
        <w:t>و يحرم عليها قراءة العزائم</w:t>
      </w:r>
      <w:r>
        <w:rPr>
          <w:rtl w:val="true"/>
        </w:rPr>
        <w:t>.</w:t>
      </w:r>
      <w:bookmarkEnd w:id="1062"/>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مذهب علمائنا أجمع،و نقله الجمهور،عن عليّ عليه السّلام،و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به قال الحسن،و النّخعيّ،و الزّهريّ،و قتادة،و الشّافعيّ، و أصحاب الرّأي،و الأوزاعيّ </w:t>
      </w:r>
      <w:r>
        <w:rPr>
          <w:rStyle w:val="FootnoteAnchor"/>
          <w:rtl w:val="true"/>
        </w:rPr>
        <w:footnoteReference w:id="1871"/>
      </w:r>
      <w:r>
        <w:rPr>
          <w:rFonts w:ascii="Amiri" w:hAnsi="Amiri" w:eastAsia="Amiri" w:cs="Amiri"/>
          <w:color w:val="111111"/>
          <w:sz w:val="28"/>
          <w:sz w:val="28"/>
          <w:szCs w:val="28"/>
          <w:rtl w:val="true"/>
          <w:lang w:bidi="ar-SA"/>
        </w:rPr>
        <w:t>،و زادوا تحريم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مالك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يجوز للحائض أن تقرأ القرآن مطلقا و لم يخصّص،و لا يجوز للجنب </w:t>
      </w:r>
      <w:r>
        <w:rPr>
          <w:rStyle w:val="FootnoteAnchor"/>
          <w:rtl w:val="true"/>
        </w:rPr>
        <w:footnoteReference w:id="1872"/>
      </w:r>
      <w:r>
        <w:rPr>
          <w:rFonts w:eastAsia="Times New Roman" w:cs="Times New Roman" w:ascii="Times New Roman" w:hAnsi="Times New Roman"/>
          <w:color w:val="111111"/>
          <w:sz w:val="28"/>
          <w:szCs w:val="28"/>
          <w:rtl w:val="true"/>
          <w:lang w:val="en-US" w:bidi="en-US"/>
        </w:rPr>
        <w:t xml:space="preserve">. </w:t>
      </w:r>
      <w:bookmarkStart w:id="1063" w:name="pg12669_113146"/>
    </w:p>
    <w:p>
      <w:pPr>
        <w:pStyle w:val="BookText"/>
        <w:rPr/>
      </w:pPr>
      <w:bookmarkEnd w:id="1063"/>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تحريم العزائم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قدّمناه في باب الجنب </w:t>
      </w:r>
      <w:r>
        <w:rPr>
          <w:rStyle w:val="FootnoteAnchor"/>
          <w:rtl w:val="true"/>
        </w:rPr>
        <w:footnoteReference w:id="1873"/>
      </w:r>
      <w:r>
        <w:rPr>
          <w:rFonts w:ascii="Amiri" w:hAnsi="Amiri" w:eastAsia="Amiri" w:cs="Amiri"/>
          <w:color w:val="111111"/>
          <w:sz w:val="28"/>
          <w:sz w:val="28"/>
          <w:szCs w:val="28"/>
          <w:rtl w:val="true"/>
          <w:lang w:bidi="ar-SA"/>
        </w:rPr>
        <w:t>،و لأنّ الحائض آكد في الحدث من الجنب</w:t>
      </w:r>
      <w:r>
        <w:rPr>
          <w:rFonts w:eastAsia="Amiri" w:cs="Amiri" w:ascii="Amiri" w:hAnsi="Amiri"/>
          <w:color w:val="111111"/>
          <w:sz w:val="28"/>
          <w:szCs w:val="28"/>
          <w:rtl w:val="true"/>
          <w:lang w:bidi="ar-SA"/>
        </w:rPr>
        <w:t>.</w:t>
      </w:r>
    </w:p>
    <w:p>
      <w:pPr>
        <w:pStyle w:val="Heading6"/>
        <w:numPr>
          <w:ilvl w:val="5"/>
          <w:numId w:val="1"/>
        </w:numPr>
        <w:rPr/>
      </w:pPr>
      <w:bookmarkStart w:id="1064" w:name="__RefHeading___Toc795989_222507752"/>
      <w:bookmarkStart w:id="1065" w:name="_Toc434"/>
      <w:bookmarkEnd w:id="1064"/>
      <w:r>
        <w:rPr>
          <w:rtl w:val="true"/>
        </w:rPr>
        <w:t>فروع</w:t>
      </w:r>
      <w:r>
        <w:rPr>
          <w:rtl w:val="true"/>
        </w:rPr>
        <w:t>:</w:t>
      </w:r>
      <w:bookmarkEnd w:id="1065"/>
    </w:p>
    <w:p>
      <w:pPr>
        <w:pStyle w:val="Heading6"/>
        <w:numPr>
          <w:ilvl w:val="5"/>
          <w:numId w:val="1"/>
        </w:numPr>
        <w:rPr/>
      </w:pPr>
      <w:bookmarkStart w:id="1066" w:name="__RefHeading___Toc795991_222507752"/>
      <w:bookmarkStart w:id="1067" w:name="_Toc435"/>
      <w:bookmarkEnd w:id="1066"/>
      <w:r>
        <w:rPr>
          <w:rtl w:val="true"/>
        </w:rPr>
        <w:t>الأوّل</w:t>
      </w:r>
      <w:r>
        <w:rPr>
          <w:rtl w:val="true"/>
        </w:rPr>
        <w:t>:</w:t>
      </w:r>
      <w:r>
        <w:rPr>
          <w:rtl w:val="true"/>
        </w:rPr>
        <w:t>لا يحرم عليها قراءة غير العزائم</w:t>
      </w:r>
      <w:bookmarkEnd w:id="1067"/>
    </w:p>
    <w:p>
      <w:pPr>
        <w:pStyle w:val="BookText"/>
        <w:rPr/>
      </w:pPr>
      <w:r>
        <w:rPr>
          <w:rFonts w:ascii="Amiri" w:hAnsi="Amiri" w:eastAsia="Amiri" w:cs="Amiri"/>
          <w:color w:val="111111"/>
          <w:sz w:val="28"/>
          <w:sz w:val="28"/>
          <w:szCs w:val="28"/>
          <w:rtl w:val="true"/>
          <w:lang w:bidi="ar-SA"/>
        </w:rPr>
        <w:t xml:space="preserve">عملا بالأصل،و بما تقدّم من الرّوايات في باب الجنب </w:t>
      </w:r>
      <w:r>
        <w:rPr>
          <w:rStyle w:val="FootnoteAnchor"/>
          <w:rtl w:val="true"/>
        </w:rPr>
        <w:footnoteReference w:id="1874"/>
      </w:r>
      <w:r>
        <w:rPr>
          <w:rFonts w:ascii="Amiri" w:hAnsi="Amiri" w:eastAsia="Amiri" w:cs="Amiri"/>
          <w:color w:val="111111"/>
          <w:sz w:val="28"/>
          <w:sz w:val="28"/>
          <w:szCs w:val="28"/>
          <w:rtl w:val="true"/>
          <w:lang w:bidi="ar-SA"/>
        </w:rPr>
        <w:t xml:space="preserve">،و هو أحد قولي الشّافعيّ </w:t>
      </w:r>
      <w:r>
        <w:rPr>
          <w:rStyle w:val="FootnoteAnchor"/>
          <w:rtl w:val="true"/>
        </w:rPr>
        <w:footnoteReference w:id="1875"/>
      </w:r>
      <w:r>
        <w:rPr>
          <w:rFonts w:ascii="Amiri" w:hAnsi="Amiri" w:eastAsia="Amiri" w:cs="Amiri"/>
          <w:color w:val="111111"/>
          <w:sz w:val="28"/>
          <w:sz w:val="28"/>
          <w:szCs w:val="28"/>
          <w:rtl w:val="true"/>
          <w:lang w:bidi="ar-SA"/>
        </w:rPr>
        <w:t>،و في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يحرم </w:t>
      </w:r>
      <w:r>
        <w:rPr>
          <w:rStyle w:val="FootnoteAnchor"/>
          <w:rtl w:val="true"/>
        </w:rPr>
        <w:footnoteReference w:id="18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يحرم عليها قراءة بعض السّورة حتّى البسملة إذا نوت أنّها من العزائم، لأنّها جزء منها</w:t>
      </w:r>
      <w:r>
        <w:rPr>
          <w:rFonts w:eastAsia="Amiri" w:cs="Amiri" w:ascii="Amiri" w:hAnsi="Amiri"/>
          <w:color w:val="111111"/>
          <w:sz w:val="28"/>
          <w:szCs w:val="28"/>
          <w:rtl w:val="true"/>
          <w:lang w:bidi="ar-SA"/>
        </w:rPr>
        <w:t>.</w:t>
      </w:r>
    </w:p>
    <w:p>
      <w:pPr>
        <w:pStyle w:val="Heading6"/>
        <w:numPr>
          <w:ilvl w:val="5"/>
          <w:numId w:val="1"/>
        </w:numPr>
        <w:rPr/>
      </w:pPr>
      <w:bookmarkStart w:id="1068" w:name="__RefHeading___Toc795993_222507752"/>
      <w:bookmarkStart w:id="1069" w:name="_Toc436"/>
      <w:bookmarkEnd w:id="1068"/>
      <w:r>
        <w:rPr>
          <w:rtl w:val="true"/>
        </w:rPr>
        <w:t>الثّالث</w:t>
      </w:r>
      <w:r>
        <w:rPr>
          <w:rtl w:val="true"/>
        </w:rPr>
        <w:t>:</w:t>
      </w:r>
      <w:r>
        <w:rPr>
          <w:rtl w:val="true"/>
        </w:rPr>
        <w:t>يكره لها قراءة ما زاد على سبع آيات</w:t>
      </w:r>
      <w:bookmarkEnd w:id="1069"/>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سبعين </w:t>
      </w:r>
      <w:r>
        <w:rPr>
          <w:rStyle w:val="FootnoteAnchor"/>
          <w:rtl w:val="true"/>
        </w:rPr>
        <w:footnoteReference w:id="187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تقدّم الكلام في ذلك كلّه </w:t>
      </w:r>
      <w:r>
        <w:rPr>
          <w:rStyle w:val="FootnoteAnchor"/>
          <w:rtl w:val="true"/>
        </w:rPr>
        <w:footnoteReference w:id="187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070" w:name="__RefHeading___Toc795995_222507752"/>
      <w:bookmarkStart w:id="1071" w:name="_Toc437"/>
      <w:bookmarkEnd w:id="1070"/>
      <w:r>
        <w:rPr>
          <w:rtl w:val="true"/>
        </w:rPr>
        <w:t>مسألة</w:t>
      </w:r>
      <w:r>
        <w:rPr>
          <w:rtl w:val="true"/>
        </w:rPr>
        <w:t>:</w:t>
      </w:r>
      <w:r>
        <w:rPr>
          <w:rtl w:val="true"/>
        </w:rPr>
        <w:t>و يحرم عليها مسّ كتابة القرآن</w:t>
      </w:r>
      <w:r>
        <w:rPr>
          <w:rtl w:val="true"/>
        </w:rPr>
        <w:t>.</w:t>
      </w:r>
      <w:bookmarkEnd w:id="1071"/>
    </w:p>
    <w:p>
      <w:pPr>
        <w:pStyle w:val="BookText"/>
        <w:rPr/>
      </w:pPr>
      <w:r>
        <w:rPr>
          <w:rFonts w:ascii="Amiri" w:hAnsi="Amiri" w:eastAsia="Amiri" w:cs="Amiri"/>
          <w:color w:val="111111"/>
          <w:sz w:val="28"/>
          <w:sz w:val="28"/>
          <w:szCs w:val="28"/>
          <w:rtl w:val="true"/>
          <w:lang w:bidi="ar-SA"/>
        </w:rPr>
        <w:t xml:space="preserve">و هو إجماع،و لقوله تعالى لا يَمَسُّهُ إِلاَّ الْمُطَهَّرُونَ </w:t>
      </w:r>
      <w:r>
        <w:rPr>
          <w:rStyle w:val="FootnoteAnchor"/>
          <w:rtl w:val="true"/>
        </w:rPr>
        <w:footnoteReference w:id="18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لما رواه الشّيخ،عن حريز،عمّن أخبره،عن أبي عبد اللّه عليه السّلام،قال</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 اقرأ المصحف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لست على وضوء؟فقال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تمسّ الكتاب و مسّ </w:t>
      </w:r>
      <w:bookmarkStart w:id="1072" w:name="pg12669_113147"/>
    </w:p>
    <w:p>
      <w:pPr>
        <w:pStyle w:val="BookText"/>
        <w:rPr/>
      </w:pPr>
      <w:bookmarkEnd w:id="1072"/>
      <w:r>
        <w:rPr>
          <w:rFonts w:ascii="IRNazanin" w:hAnsi="IRNazanin" w:eastAsia="IRNazanin"/>
          <w:color w:val="111111"/>
          <w:sz w:val="28"/>
          <w:sz w:val="28"/>
          <w:szCs w:val="28"/>
          <w:rtl w:val="true"/>
          <w:lang w:bidi="fa-IR"/>
        </w:rPr>
        <w:t>الورق و اقرأه</w:t>
      </w:r>
      <w:r>
        <w:rPr>
          <w:rFonts w:eastAsia="IRNazanin" w:cs="IRNazanin"/>
          <w:color w:val="111111"/>
          <w:sz w:val="28"/>
          <w:szCs w:val="28"/>
          <w:rtl w:val="true"/>
          <w:lang w:bidi="fa-IR"/>
        </w:rPr>
        <w:t xml:space="preserve">» </w:t>
      </w:r>
      <w:r>
        <w:rPr>
          <w:rStyle w:val="FootnoteAnchor"/>
          <w:rtl w:val="true"/>
        </w:rPr>
        <w:footnoteReference w:id="1880"/>
      </w:r>
      <w:r>
        <w:rPr>
          <w:rFonts w:ascii="Amiri" w:hAnsi="Amiri" w:eastAsia="Amiri" w:cs="Amiri"/>
          <w:color w:val="111111"/>
          <w:sz w:val="28"/>
          <w:sz w:val="28"/>
          <w:szCs w:val="28"/>
          <w:rtl w:val="true"/>
          <w:lang w:bidi="ar-SA"/>
        </w:rPr>
        <w:t>و الحائض ليست على وضوء فكانت داخله تحت هذا المنع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عن أبي بصير،عن أبي عبد اللّه عليه السّلام،عمّن قرأ في المصحف و هو على غير وضوء،قال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و لا يمسّ الكتاب</w:t>
      </w:r>
      <w:r>
        <w:rPr>
          <w:rFonts w:eastAsia="Amiri" w:cs="Amiri" w:ascii="Amiri" w:hAnsi="Amiri"/>
          <w:color w:val="111111"/>
          <w:sz w:val="28"/>
          <w:szCs w:val="28"/>
          <w:rtl w:val="true"/>
          <w:lang w:bidi="ar-SA"/>
        </w:rPr>
        <w:t xml:space="preserve">» </w:t>
      </w:r>
      <w:r>
        <w:rPr>
          <w:rStyle w:val="FootnoteAnchor"/>
          <w:rtl w:val="true"/>
        </w:rPr>
        <w:footnoteReference w:id="1881"/>
      </w:r>
      <w:r>
        <w:rPr>
          <w:rFonts w:ascii="Amiri" w:hAnsi="Amiri" w:eastAsia="Amiri" w:cs="Amiri"/>
          <w:color w:val="111111"/>
          <w:sz w:val="28"/>
          <w:sz w:val="28"/>
          <w:szCs w:val="28"/>
          <w:rtl w:val="true"/>
          <w:lang w:bidi="ar-SA"/>
        </w:rPr>
        <w:t>و الحائض داخلة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في الحسن،عن محمّد بن مسلم،عن الباقر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الجنب و الحائض يفتحان المصحف من وراء الثّوب و يقرءان من القرآن ما شاءا إلاّ السّجدة</w:t>
      </w:r>
      <w:r>
        <w:rPr>
          <w:rFonts w:eastAsia="Amiri" w:cs="Amiri" w:ascii="Amiri" w:hAnsi="Amiri"/>
          <w:color w:val="111111"/>
          <w:sz w:val="28"/>
          <w:szCs w:val="28"/>
          <w:rtl w:val="true"/>
          <w:lang w:bidi="ar-SA"/>
        </w:rPr>
        <w:t xml:space="preserve">» </w:t>
      </w:r>
      <w:r>
        <w:rPr>
          <w:rStyle w:val="FootnoteAnchor"/>
          <w:rtl w:val="true"/>
        </w:rPr>
        <w:footnoteReference w:id="18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حكم الحائض في الفروع الّتي ذكرناها في باب الجنب في هذه المسألة </w:t>
      </w:r>
      <w:r>
        <w:rPr>
          <w:rStyle w:val="FootnoteAnchor"/>
          <w:rtl w:val="true"/>
        </w:rPr>
        <w:footnoteReference w:id="1883"/>
      </w:r>
      <w:r>
        <w:rPr>
          <w:rFonts w:ascii="Amiri" w:hAnsi="Amiri" w:eastAsia="Amiri" w:cs="Amiri"/>
          <w:color w:val="111111"/>
          <w:sz w:val="28"/>
          <w:sz w:val="28"/>
          <w:szCs w:val="28"/>
          <w:rtl w:val="true"/>
          <w:lang w:bidi="ar-SA"/>
        </w:rPr>
        <w:t>حكم الجنب</w:t>
      </w:r>
      <w:r>
        <w:rPr>
          <w:rFonts w:eastAsia="Amiri" w:cs="Amiri" w:ascii="Amiri" w:hAnsi="Amiri"/>
          <w:color w:val="111111"/>
          <w:sz w:val="28"/>
          <w:szCs w:val="28"/>
          <w:rtl w:val="true"/>
          <w:lang w:bidi="ar-SA"/>
        </w:rPr>
        <w:t>.</w:t>
      </w:r>
    </w:p>
    <w:p>
      <w:pPr>
        <w:pStyle w:val="Heading6"/>
        <w:numPr>
          <w:ilvl w:val="5"/>
          <w:numId w:val="1"/>
        </w:numPr>
        <w:rPr/>
      </w:pPr>
      <w:bookmarkStart w:id="1073" w:name="__RefHeading___Toc795997_222507752"/>
      <w:bookmarkStart w:id="1074" w:name="_Toc438"/>
      <w:bookmarkEnd w:id="1073"/>
      <w:r>
        <w:rPr>
          <w:rtl w:val="true"/>
        </w:rPr>
        <w:t>أصل</w:t>
      </w:r>
      <w:r>
        <w:rPr>
          <w:rtl w:val="true"/>
        </w:rPr>
        <w:t>:</w:t>
      </w:r>
      <w:r>
        <w:rPr>
          <w:rtl w:val="true"/>
        </w:rPr>
        <w:t>صيغة</w:t>
      </w:r>
      <w:r>
        <w:rPr>
          <w:rtl w:val="true"/>
        </w:rPr>
        <w:t>«</w:t>
      </w:r>
      <w:r>
        <w:rPr>
          <w:rtl w:val="true"/>
        </w:rPr>
        <w:t>افعل</w:t>
      </w:r>
      <w:r>
        <w:rPr>
          <w:rtl w:val="true"/>
        </w:rPr>
        <w:t>»</w:t>
      </w:r>
      <w:r>
        <w:rPr>
          <w:rtl w:val="true"/>
        </w:rPr>
        <w:t>حقيقة في الوجوب</w:t>
      </w:r>
      <w:bookmarkEnd w:id="1074"/>
    </w:p>
    <w:p>
      <w:pPr>
        <w:pStyle w:val="BookText"/>
        <w:rPr/>
      </w:pPr>
      <w:r>
        <w:rPr>
          <w:rFonts w:ascii="Amiri" w:hAnsi="Amiri" w:eastAsia="Amiri" w:cs="Amiri"/>
          <w:color w:val="111111"/>
          <w:sz w:val="28"/>
          <w:sz w:val="28"/>
          <w:szCs w:val="28"/>
          <w:rtl w:val="true"/>
          <w:lang w:bidi="ar-SA"/>
        </w:rPr>
        <w:t xml:space="preserve">،لقوله تعالى ما مَنَعَكَ أَلاّ تَسْجُدَ إِذْ أَمَرْتُكَ </w:t>
      </w:r>
      <w:r>
        <w:rPr>
          <w:rStyle w:val="FootnoteAnchor"/>
          <w:rtl w:val="true"/>
        </w:rPr>
        <w:footnoteReference w:id="1884"/>
      </w:r>
      <w:r>
        <w:rPr>
          <w:rFonts w:ascii="Amiri" w:hAnsi="Amiri" w:eastAsia="Amiri" w:cs="Amiri"/>
          <w:color w:val="111111"/>
          <w:sz w:val="28"/>
          <w:sz w:val="28"/>
          <w:szCs w:val="28"/>
          <w:rtl w:val="true"/>
          <w:lang w:bidi="ar-SA"/>
        </w:rPr>
        <w:t>ذمّه على التّرك عقيب الأمر،إذ ليس المقصود منه الاستفهام،و لا يتحقّق إلاّ مع القول بأنّه للوجوب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في قوله تعالى وَ إِذا قِيلَ لَهُمُ ارْكَعُوا لا يَرْكَعُونَ</w:t>
      </w:r>
      <w:r>
        <w:rPr>
          <w:rFonts w:eastAsia="Amiri" w:cs="Amiri" w:ascii="Amiri" w:hAnsi="Amiri"/>
          <w:color w:val="111111"/>
          <w:sz w:val="28"/>
          <w:szCs w:val="28"/>
          <w:rtl w:val="true"/>
          <w:lang w:bidi="ar-SA"/>
        </w:rPr>
        <w:t xml:space="preserve">» </w:t>
      </w:r>
      <w:r>
        <w:rPr>
          <w:rStyle w:val="FootnoteAnchor"/>
          <w:rtl w:val="true"/>
        </w:rPr>
        <w:footnoteReference w:id="1885"/>
      </w:r>
      <w:r>
        <w:rPr>
          <w:rFonts w:eastAsia="Times New Roman" w:cs="Times New Roman" w:ascii="Times New Roman" w:hAnsi="Times New Roman"/>
          <w:color w:val="111111"/>
          <w:sz w:val="28"/>
          <w:szCs w:val="28"/>
          <w:rtl w:val="true"/>
          <w:lang w:val="en-US" w:bidi="en-US"/>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أيضا قال تعالى فَلْيَحْذَرِ الَّذِينَ يُخالِفُونَ عَنْ أَمْرِهِ </w:t>
      </w:r>
      <w:r>
        <w:rPr>
          <w:rStyle w:val="FootnoteAnchor"/>
          <w:rtl w:val="true"/>
        </w:rPr>
        <w:footnoteReference w:id="1886"/>
      </w:r>
      <w:r>
        <w:rPr>
          <w:rFonts w:ascii="Amiri" w:hAnsi="Amiri" w:eastAsia="Amiri" w:cs="Amiri"/>
          <w:color w:val="111111"/>
          <w:sz w:val="28"/>
          <w:sz w:val="28"/>
          <w:szCs w:val="28"/>
          <w:rtl w:val="true"/>
          <w:lang w:bidi="ar-SA"/>
        </w:rPr>
        <w:t xml:space="preserve">أمر المخالف للأمر بالحذر،فلا بدّ من السّبب الموجب للحذر،و لا سبب إلاّ وصف المخالفة،فيكون علّة، </w:t>
      </w:r>
    </w:p>
    <w:p>
      <w:pPr>
        <w:pStyle w:val="BookText"/>
        <w:rPr/>
      </w:pPr>
      <w:r>
        <w:rPr>
          <w:rFonts w:ascii="Amiri" w:hAnsi="Amiri" w:eastAsia="Amiri" w:cs="Amiri"/>
          <w:color w:val="111111"/>
          <w:sz w:val="28"/>
          <w:sz w:val="28"/>
          <w:szCs w:val="28"/>
          <w:rtl w:val="true"/>
          <w:lang w:bidi="ar-SA"/>
        </w:rPr>
        <w:t>للمناسبة و الاقتران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أيضا تارك المأمور عاص،لقوله تعالى لا أَعْصِي لَكَ أَمْراً </w:t>
      </w:r>
      <w:r>
        <w:rPr>
          <w:rStyle w:val="FootnoteAnchor"/>
          <w:rtl w:val="true"/>
        </w:rPr>
        <w:footnoteReference w:id="1887"/>
      </w:r>
      <w:r>
        <w:rPr>
          <w:rFonts w:ascii="Amiri" w:hAnsi="Amiri" w:eastAsia="Amiri" w:cs="Amiri"/>
          <w:color w:val="111111"/>
          <w:sz w:val="28"/>
          <w:sz w:val="28"/>
          <w:szCs w:val="28"/>
          <w:rtl w:val="true"/>
          <w:lang w:bidi="ar-SA"/>
        </w:rPr>
        <w:t xml:space="preserve">لا يَعْصُونَ اللّهَ ما أَمَرَهُمْ </w:t>
      </w:r>
      <w:r>
        <w:rPr>
          <w:rStyle w:val="FootnoteAnchor"/>
          <w:rtl w:val="true"/>
        </w:rPr>
        <w:footnoteReference w:id="1888"/>
      </w:r>
      <w:r>
        <w:rPr>
          <w:rFonts w:ascii="Amiri" w:hAnsi="Amiri" w:eastAsia="Amiri" w:cs="Amiri"/>
          <w:color w:val="111111"/>
          <w:sz w:val="28"/>
          <w:sz w:val="28"/>
          <w:szCs w:val="28"/>
          <w:rtl w:val="true"/>
          <w:lang w:bidi="ar-SA"/>
        </w:rPr>
        <w:t xml:space="preserve">أَ فَعَصَيْتَ أَمْرِي </w:t>
      </w:r>
      <w:r>
        <w:rPr>
          <w:rStyle w:val="FootnoteAnchor"/>
          <w:rtl w:val="true"/>
        </w:rPr>
        <w:footnoteReference w:id="1889"/>
      </w:r>
      <w:r>
        <w:rPr>
          <w:rFonts w:ascii="Amiri" w:hAnsi="Amiri" w:eastAsia="Amiri" w:cs="Amiri"/>
          <w:color w:val="111111"/>
          <w:sz w:val="28"/>
          <w:sz w:val="28"/>
          <w:szCs w:val="28"/>
          <w:rtl w:val="true"/>
          <w:lang w:bidi="ar-SA"/>
        </w:rPr>
        <w:t>و العاصي يستحقّ العقاب،لقوله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يَعْصِ اللّهَ وَ رَسُولَهُ فَإِنَّ لَهُ نارَ جَهَنَّمَ خالِدِينَ فِيها </w:t>
      </w:r>
      <w:r>
        <w:rPr>
          <w:rStyle w:val="FootnoteAnchor"/>
          <w:rtl w:val="true"/>
        </w:rPr>
        <w:footnoteReference w:id="18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لأنّه عليه السّلام ذمّ أبا سعيد الخدريّ حيث لم يجبه </w:t>
      </w:r>
      <w:r>
        <w:rPr>
          <w:rStyle w:val="FootnoteAnchor"/>
          <w:rtl w:val="true"/>
        </w:rPr>
        <w:footnoteReference w:id="1891"/>
      </w:r>
      <w:r>
        <w:rPr>
          <w:rFonts w:ascii="Amiri" w:hAnsi="Amiri" w:eastAsia="Amiri" w:cs="Amiri"/>
          <w:color w:val="111111"/>
          <w:sz w:val="28"/>
          <w:sz w:val="28"/>
          <w:szCs w:val="28"/>
          <w:rtl w:val="true"/>
          <w:lang w:bidi="ar-SA"/>
        </w:rPr>
        <w:t xml:space="preserve">،و تمسّك بقوله يا أَيُّهَا الَّذِينَ آمَنُوا اسْتَجِيبُوا لِلّهِ وَ لِلرَّسُولِ إِذا دَعاكُمْ </w:t>
      </w:r>
      <w:r>
        <w:rPr>
          <w:rStyle w:val="FootnoteAnchor"/>
          <w:rtl w:val="true"/>
        </w:rPr>
        <w:footnoteReference w:id="18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لأنّه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لا أن أشقّ على أمّتي لأمرتهم بالسّواك عند كلّ صلاة</w:t>
      </w:r>
      <w:r>
        <w:rPr>
          <w:rFonts w:eastAsia="Amiri" w:cs="Amiri" w:ascii="Amiri" w:hAnsi="Amiri"/>
          <w:color w:val="111111"/>
          <w:sz w:val="28"/>
          <w:szCs w:val="28"/>
          <w:rtl w:val="true"/>
          <w:lang w:bidi="ar-SA"/>
        </w:rPr>
        <w:t xml:space="preserve">) </w:t>
      </w:r>
      <w:r>
        <w:rPr>
          <w:rStyle w:val="FootnoteAnchor"/>
          <w:rtl w:val="true"/>
        </w:rPr>
        <w:footnoteReference w:id="1893"/>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موضوعة للانتفاء عند الوجود،و لا شكّ في تحقّق النّدبيّة، فيكون غير مأمور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لأنّ الصّحابة تمسّكوا بالأمر على الوجوب و لم يظهر إنكار،فكان إجماعا،و ذلك كما في 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سنّوا بهم سنّة أهل الكتاب</w:t>
      </w:r>
      <w:r>
        <w:rPr>
          <w:rFonts w:eastAsia="Amiri" w:cs="Amiri" w:ascii="Amiri" w:hAnsi="Amiri"/>
          <w:color w:val="111111"/>
          <w:sz w:val="28"/>
          <w:szCs w:val="28"/>
          <w:rtl w:val="true"/>
          <w:lang w:bidi="ar-SA"/>
        </w:rPr>
        <w:t xml:space="preserve">) </w:t>
      </w:r>
      <w:r>
        <w:rPr>
          <w:rStyle w:val="FootnoteAnchor"/>
          <w:rtl w:val="true"/>
        </w:rPr>
        <w:footnoteReference w:id="1894"/>
      </w:r>
      <w:r>
        <w:rPr>
          <w:rFonts w:ascii="Amiri" w:hAnsi="Amiri" w:eastAsia="Amiri" w:cs="Amiri"/>
          <w:color w:val="111111"/>
          <w:sz w:val="28"/>
          <w:sz w:val="28"/>
          <w:szCs w:val="28"/>
          <w:rtl w:val="true"/>
          <w:lang w:bidi="ar-SA"/>
        </w:rPr>
        <w:t>و قوله عليه السّلام</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فليغسله سبعا</w:t>
      </w:r>
      <w:r>
        <w:rPr>
          <w:rFonts w:eastAsia="Amiri" w:cs="Amiri" w:ascii="Amiri" w:hAnsi="Amiri"/>
          <w:color w:val="111111"/>
          <w:sz w:val="28"/>
          <w:szCs w:val="28"/>
          <w:rtl w:val="true"/>
          <w:lang w:bidi="ar-SA"/>
        </w:rPr>
        <w:t xml:space="preserve">) </w:t>
      </w:r>
      <w:r>
        <w:rPr>
          <w:rStyle w:val="FootnoteAnchor"/>
          <w:rtl w:val="true"/>
        </w:rPr>
        <w:footnoteReference w:id="1895"/>
      </w:r>
      <w:r>
        <w:rPr>
          <w:rFonts w:ascii="Amiri" w:hAnsi="Amiri" w:eastAsia="Amiri" w:cs="Amiri"/>
          <w:color w:val="111111"/>
          <w:sz w:val="28"/>
          <w:sz w:val="28"/>
          <w:szCs w:val="28"/>
          <w:rtl w:val="true"/>
          <w:lang w:bidi="ar-SA"/>
        </w:rPr>
        <w:t>و 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فليقضها إذا ذكرها</w:t>
      </w:r>
      <w:r>
        <w:rPr>
          <w:rFonts w:eastAsia="Amiri" w:cs="Amiri" w:ascii="Amiri" w:hAnsi="Amiri"/>
          <w:color w:val="111111"/>
          <w:sz w:val="28"/>
          <w:szCs w:val="28"/>
          <w:rtl w:val="true"/>
          <w:lang w:bidi="ar-SA"/>
        </w:rPr>
        <w:t xml:space="preserve">) </w:t>
      </w:r>
      <w:r>
        <w:rPr>
          <w:rStyle w:val="FootnoteAnchor"/>
          <w:rtl w:val="true"/>
        </w:rPr>
        <w:footnoteReference w:id="189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لأنّ العقلاء يذمّون العبد إذا لم يفعل ما أمره السّيّد،و يعللون حسن الذّمّ بالتّرك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لأنّ الأمر دالّ على اقتضاء الفعل و وجوده،فكان مانعا من النّقيض كالخبر، بجامع انّ اللّفظ وضع لإفادة معنى،فلا بدّ و أن يكون مانعا من نقيضه تكميلا للمقصود، و تقوية لحصوله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لأنّ المطلوب لا بدّ و أن يكون قد اشتمل على مصلحة و يكون خاليا عن المفسدة عند المعتزلة،و راجحا في المصلحة عند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كلا التّقديرين فالأصل عدم الإذن في تفويت المصلحة الخالصة،أو الرّاجحة،لاستلزامه الإذن في تفويت الخالصة،و هو قبيح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لأنّ شرعيّة المنع من التّرك أرجح في الظّنّ من شرعيّة الإذن فيه،لأنّه أكثر إفضاء إلى وجود الرّاجح الّذي هو المطلوب في </w:t>
      </w:r>
      <w:r>
        <w:rPr>
          <w:rStyle w:val="FootnoteAnchor"/>
          <w:rtl w:val="true"/>
        </w:rPr>
        <w:footnoteReference w:id="1897"/>
      </w:r>
      <w:r>
        <w:rPr>
          <w:rFonts w:ascii="Amiri" w:hAnsi="Amiri" w:eastAsia="Amiri" w:cs="Amiri"/>
          <w:color w:val="111111"/>
          <w:sz w:val="28"/>
          <w:sz w:val="28"/>
          <w:szCs w:val="28"/>
          <w:rtl w:val="true"/>
          <w:lang w:bidi="ar-SA"/>
        </w:rPr>
        <w:t>الأوّل،و لا شكّ انّ الّذي يكون أكثر إفضاء إلى الشّيء الرّاجح،راجح في الظّنّ على ما يكون أكثر إفضاء إلى المرجوح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لأنّ الوجوب معنى تشتدّ الحاجة إليه،فوجب أن يوضع له لفظ يدلّ عليه كسائر المعاني،لاستلزام القدرة و الدّاعي الفعل،و لا لفظ إلاّ صيغة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لأنّ الحمل على الوجوب يقتضي القطع بعدم الإقدام على المخالفة،و مع النّدب يحصل الشّكّ،فالأوّل أولى</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 بإفادته للوجوب ليس بعقليّ قطعا و لا نقليّ،لفقدان التّواتر و عدم إفادة الآحاد،و انّ أهل اللّغة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فرق بين الأمر و السّؤال إلاّ الرّتبة،فلو كان للوجوب لم يكن الحصر صادقا،و لأنّه قد ورد للنّدب فلا يمكن جعله حقيقة فيهما،و إلاّ لزم الاشتراك،و لا في أحدهما،و إلاّ لزم المجاز،فكان للقدر المشترك،ليس بشيء</w:t>
      </w:r>
      <w:r>
        <w:rPr>
          <w:rFonts w:eastAsia="Amiri" w:cs="Amiri" w:ascii="Amiri" w:hAnsi="Amiri"/>
          <w:color w:val="111111"/>
          <w:sz w:val="28"/>
          <w:szCs w:val="28"/>
          <w:rtl w:val="true"/>
          <w:lang w:bidi="ar-SA"/>
        </w:rPr>
        <w:t xml:space="preserve">. </w:t>
      </w:r>
      <w:bookmarkStart w:id="1075" w:name="pg12669_113150"/>
    </w:p>
    <w:p>
      <w:pPr>
        <w:pStyle w:val="BookText"/>
        <w:rPr/>
      </w:pPr>
      <w:bookmarkEnd w:id="1075"/>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فيجوز ان يحصل من المركّب،كما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تارك المأمور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Style w:val="FootnoteAnchor"/>
          <w:rtl w:val="true"/>
        </w:rPr>
        <w:footnoteReference w:id="1898"/>
      </w:r>
      <w:r>
        <w:rPr>
          <w:rFonts w:ascii="Amiri" w:hAnsi="Amiri" w:eastAsia="Amiri" w:cs="Amiri"/>
          <w:color w:val="111111"/>
          <w:sz w:val="28"/>
          <w:sz w:val="28"/>
          <w:szCs w:val="28"/>
          <w:rtl w:val="true"/>
          <w:lang w:bidi="ar-SA"/>
        </w:rPr>
        <w:t>عاص بالنّقل،و العاصي يستحق العقاب به،فيحصل القطع بالعقل بأنّه للوجوب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لأنّه يجوز أن يثبت بالآحاد فإنّها ليست مسألة علميّة بل لغويّة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 فإنّ السّؤال يدلّ على الإيجاب،إذ السّائل إنّما يطلب طلبا لا يسوغ فيه العمل بالنّقيض،أقصى ما في الباب انّه لا يلزم من إيجابه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المجاز يصار إليه،لما ذكرنا من الأدلّة</w:t>
      </w:r>
      <w:r>
        <w:rPr>
          <w:rFonts w:eastAsia="Amiri" w:cs="Amiri" w:ascii="Amiri" w:hAnsi="Amiri"/>
          <w:color w:val="111111"/>
          <w:sz w:val="28"/>
          <w:szCs w:val="28"/>
          <w:rtl w:val="true"/>
          <w:lang w:bidi="ar-SA"/>
        </w:rPr>
        <w:t>.</w:t>
      </w:r>
    </w:p>
    <w:p>
      <w:pPr>
        <w:pStyle w:val="Heading6"/>
        <w:numPr>
          <w:ilvl w:val="5"/>
          <w:numId w:val="1"/>
        </w:numPr>
        <w:rPr/>
      </w:pPr>
      <w:bookmarkStart w:id="1076" w:name="__RefHeading___Toc795999_222507752"/>
      <w:bookmarkStart w:id="1077" w:name="_Toc439"/>
      <w:bookmarkEnd w:id="1076"/>
      <w:r>
        <w:rPr>
          <w:rtl w:val="true"/>
        </w:rPr>
        <w:t>مسألة</w:t>
      </w:r>
      <w:r>
        <w:rPr>
          <w:rtl w:val="true"/>
        </w:rPr>
        <w:t>:</w:t>
      </w:r>
      <w:r>
        <w:rPr>
          <w:rtl w:val="true"/>
        </w:rPr>
        <w:t>يحرم على الرّجل وطء الحائض قبلا</w:t>
      </w:r>
      <w:r>
        <w:rPr>
          <w:rtl w:val="true"/>
        </w:rPr>
        <w:t>.</w:t>
      </w:r>
      <w:bookmarkEnd w:id="1077"/>
    </w:p>
    <w:p>
      <w:pPr>
        <w:pStyle w:val="BookText"/>
        <w:rPr/>
      </w:pPr>
      <w:r>
        <w:rPr>
          <w:rFonts w:ascii="Amiri" w:hAnsi="Amiri" w:eastAsia="Amiri" w:cs="Amiri"/>
          <w:color w:val="111111"/>
          <w:sz w:val="28"/>
          <w:sz w:val="28"/>
          <w:szCs w:val="28"/>
          <w:rtl w:val="true"/>
          <w:lang w:bidi="ar-SA"/>
        </w:rPr>
        <w:t xml:space="preserve">و هو مذهب عامّة علماء الإسلام، قال اللّه تعالى فَاعْتَزِلُوا النِّساءَ فِي الْمَحِيضِ </w:t>
      </w:r>
      <w:r>
        <w:rPr>
          <w:rStyle w:val="FootnoteAnchor"/>
          <w:rtl w:val="true"/>
        </w:rPr>
        <w:footnoteReference w:id="1899"/>
      </w:r>
      <w:r>
        <w:rPr>
          <w:rFonts w:ascii="Amiri" w:hAnsi="Amiri" w:eastAsia="Amiri" w:cs="Amiri"/>
          <w:color w:val="111111"/>
          <w:sz w:val="28"/>
          <w:sz w:val="28"/>
          <w:szCs w:val="28"/>
          <w:rtl w:val="true"/>
          <w:lang w:bidi="ar-SA"/>
        </w:rPr>
        <w:t xml:space="preserve">و هذا أمر يدلّ على الوجوب،ثمَّ قال وَ لا تَقْرَبُوهُنَّ حَتّى يَطْهُرْنَ </w:t>
      </w:r>
      <w:r>
        <w:rPr>
          <w:rStyle w:val="FootnoteAnchor"/>
          <w:rtl w:val="true"/>
        </w:rPr>
        <w:footnoteReference w:id="1900"/>
      </w:r>
      <w:r>
        <w:rPr>
          <w:rFonts w:ascii="Amiri" w:hAnsi="Amiri" w:eastAsia="Amiri" w:cs="Amiri"/>
          <w:color w:val="111111"/>
          <w:sz w:val="28"/>
          <w:sz w:val="28"/>
          <w:szCs w:val="28"/>
          <w:rtl w:val="true"/>
          <w:lang w:bidi="ar-SA"/>
        </w:rPr>
        <w:t>و هذا نهي،و هو يدلّ على التّحريم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غير القبل فما فوق السّرّة و دون الرّكبة يجوز الاستمتاع به بالنّصّ </w:t>
      </w:r>
      <w:r>
        <w:rPr>
          <w:rStyle w:val="FootnoteAnchor"/>
          <w:rtl w:val="true"/>
        </w:rPr>
        <w:footnoteReference w:id="1901"/>
      </w:r>
      <w:r>
        <w:rPr>
          <w:rFonts w:ascii="IRNazanin" w:hAnsi="IRNazanin" w:eastAsia="IRNazanin"/>
          <w:color w:val="111111"/>
          <w:sz w:val="28"/>
          <w:sz w:val="28"/>
          <w:szCs w:val="28"/>
          <w:rtl w:val="true"/>
          <w:lang w:bidi="fa-IR"/>
        </w:rPr>
        <w:t>و الإجماع</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اختلف في الاستمتاع بينهما،فقال أكثر علمائنا بالكراهيّة دون التّحريم </w:t>
      </w:r>
      <w:r>
        <w:rPr>
          <w:rStyle w:val="FootnoteAnchor"/>
          <w:rtl w:val="true"/>
        </w:rPr>
        <w:footnoteReference w:id="190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أحمد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مباح </w:t>
      </w:r>
      <w:r>
        <w:rPr>
          <w:rStyle w:val="FootnoteAnchor"/>
          <w:rtl w:val="true"/>
        </w:rPr>
        <w:footnoteReference w:id="1903"/>
      </w:r>
      <w:r>
        <w:rPr>
          <w:rFonts w:ascii="Amiri" w:hAnsi="Amiri" w:eastAsia="Amiri" w:cs="Amiri"/>
          <w:color w:val="111111"/>
          <w:sz w:val="28"/>
          <w:sz w:val="28"/>
          <w:szCs w:val="28"/>
          <w:rtl w:val="true"/>
          <w:lang w:bidi="ar-SA"/>
        </w:rPr>
        <w:t xml:space="preserve">،و هو قول عكرمة،و عطاء،و الشعبيّ،و الثّوريّ،و إسحاق، و الأوزاعيّ،و أبو ثور،و داود،و محمّد بن الحسن،و النّخعيّ،و أبو إسحاق المروزيّ، و ابن المنذر </w:t>
      </w:r>
      <w:r>
        <w:rPr>
          <w:rStyle w:val="FootnoteAnchor"/>
          <w:rtl w:val="true"/>
        </w:rPr>
        <w:footnoteReference w:id="190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السّيّد المرتضى بالتّحريم </w:t>
      </w:r>
      <w:r>
        <w:rPr>
          <w:rStyle w:val="FootnoteAnchor"/>
          <w:rtl w:val="true"/>
        </w:rPr>
        <w:footnoteReference w:id="1905"/>
      </w:r>
      <w:r>
        <w:rPr>
          <w:rFonts w:ascii="Amiri" w:hAnsi="Amiri" w:eastAsia="Amiri" w:cs="Amiri"/>
          <w:color w:val="111111"/>
          <w:sz w:val="28"/>
          <w:sz w:val="28"/>
          <w:szCs w:val="28"/>
          <w:rtl w:val="true"/>
          <w:lang w:bidi="ar-SA"/>
        </w:rPr>
        <w:t xml:space="preserve">،و هو اختيار أبي حنيفة </w:t>
      </w:r>
      <w:r>
        <w:rPr>
          <w:rStyle w:val="FootnoteAnchor"/>
          <w:rtl w:val="true"/>
        </w:rPr>
        <w:footnoteReference w:id="1906"/>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مالك </w:t>
      </w:r>
      <w:r>
        <w:rPr>
          <w:rStyle w:val="FootnoteAnchor"/>
          <w:rtl w:val="true"/>
        </w:rPr>
        <w:footnoteReference w:id="1907"/>
      </w:r>
      <w:r>
        <w:rPr>
          <w:rFonts w:ascii="Amiri" w:hAnsi="Amiri" w:eastAsia="Amiri" w:cs="Amiri"/>
          <w:color w:val="111111"/>
          <w:sz w:val="28"/>
          <w:sz w:val="28"/>
          <w:szCs w:val="28"/>
          <w:rtl w:val="true"/>
          <w:lang w:bidi="ar-SA"/>
        </w:rPr>
        <w:t xml:space="preserve">،و الشّافعيّ </w:t>
      </w:r>
      <w:r>
        <w:rPr>
          <w:rStyle w:val="FootnoteAnchor"/>
          <w:rtl w:val="true"/>
        </w:rPr>
        <w:footnoteReference w:id="1908"/>
      </w:r>
      <w:r>
        <w:rPr>
          <w:rFonts w:ascii="Amiri" w:hAnsi="Amiri" w:eastAsia="Amiri" w:cs="Amiri"/>
          <w:color w:val="111111"/>
          <w:sz w:val="28"/>
          <w:sz w:val="28"/>
          <w:szCs w:val="28"/>
          <w:rtl w:val="true"/>
          <w:lang w:bidi="ar-SA"/>
        </w:rPr>
        <w:t xml:space="preserve">،و أبي يوسف </w:t>
      </w:r>
      <w:r>
        <w:rPr>
          <w:rStyle w:val="FootnoteAnchor"/>
          <w:rtl w:val="true"/>
        </w:rPr>
        <w:footnoteReference w:id="19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تعالى فَاعْتَزِلُوا النِّساءَ فِي الْمَحِيضِ </w:t>
      </w:r>
      <w:r>
        <w:rPr>
          <w:rStyle w:val="FootnoteAnchor"/>
          <w:rtl w:val="true"/>
        </w:rPr>
        <w:footnoteReference w:id="1910"/>
      </w:r>
      <w:r>
        <w:rPr>
          <w:rFonts w:ascii="Amiri" w:hAnsi="Amiri" w:eastAsia="Amiri" w:cs="Amiri"/>
          <w:color w:val="111111"/>
          <w:sz w:val="28"/>
          <w:sz w:val="28"/>
          <w:szCs w:val="28"/>
          <w:rtl w:val="true"/>
          <w:lang w:bidi="ar-SA"/>
        </w:rPr>
        <w:t>و هو اسم لمكان الحيض كالمقيل و المبيت،فالتّخصيص بالموضع المعيّن يدلّ على إباحة ما سواه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الأصل الإباحة،و التّحريم إنّما يتناول القبل فيبقى الباقي على الأصل</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المحيض هو الحيض،يقال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حاضت المرأة حيضا و محيضا،و يدلّ عليه أوّل الآية و هو قوله وَ يَسْئَلُونَكَ عَنِ الْمَحِيضِ قُلْ هُوَ أَذىً </w:t>
      </w:r>
      <w:r>
        <w:rPr>
          <w:rStyle w:val="FootnoteAnchor"/>
          <w:rtl w:val="true"/>
        </w:rPr>
        <w:footnoteReference w:id="1911"/>
      </w:r>
      <w:r>
        <w:rPr>
          <w:rFonts w:ascii="Amiri" w:hAnsi="Amiri" w:eastAsia="Amiri" w:cs="Amiri"/>
          <w:color w:val="111111"/>
          <w:sz w:val="28"/>
          <w:sz w:val="28"/>
          <w:szCs w:val="28"/>
          <w:rtl w:val="true"/>
          <w:lang w:bidi="ar-SA"/>
        </w:rPr>
        <w:t xml:space="preserve">و الأذى هو الحيض، </w:t>
      </w:r>
    </w:p>
    <w:p>
      <w:pPr>
        <w:pStyle w:val="BookText"/>
        <w:rPr/>
      </w:pPr>
      <w:r>
        <w:rPr>
          <w:rFonts w:ascii="Amiri" w:hAnsi="Amiri" w:eastAsia="Amiri" w:cs="Amiri"/>
          <w:color w:val="111111"/>
          <w:sz w:val="28"/>
          <w:sz w:val="28"/>
          <w:szCs w:val="28"/>
          <w:rtl w:val="true"/>
          <w:lang w:bidi="ar-SA"/>
        </w:rPr>
        <w:t xml:space="preserve">لا موضعه،و قال اللّه تعالى وَ اللاّئِي يَئِسْنَ مِنَ الْمَحِيضِ </w:t>
      </w:r>
      <w:r>
        <w:rPr>
          <w:rStyle w:val="FootnoteAnchor"/>
          <w:rtl w:val="true"/>
        </w:rPr>
        <w:footnoteReference w:id="1912"/>
      </w:r>
      <w:r>
        <w:rPr>
          <w:rFonts w:ascii="Amiri" w:hAnsi="Amiri" w:eastAsia="Amiri" w:cs="Amiri"/>
          <w:color w:val="111111"/>
          <w:sz w:val="28"/>
          <w:sz w:val="28"/>
          <w:szCs w:val="28"/>
          <w:rtl w:val="true"/>
          <w:lang w:bidi="ar-SA"/>
        </w:rPr>
        <w:t>و إنّما يريد به الدّم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استعمال المحيض في الحيض لا ينافي مطلوبنا،إذا الحيض هاهنا غير مراد لوجوه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ما ذكرناه قياس اللّفظ،فيحمل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نزل على الحيض لوجب الإضمار،إذ يستحيل حمل اللّفظ على حقيقته، سلّمنا،لكن إضمار الموضع أولى من إضمار الزّمن،لأنّه يلزم من الثّاني الأمر باعتزال النّساء في مدّة الحيض بالكلّيّة،و قد انعقد الإجماع على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ما ذكرناه أولى،لأنّ سبب نزول هذه الآية انّ اللّه تعالى قصد مخالفة اليهود حيث كانوا يعتزلون النّساء،فلا يؤاكلوهنّ،و لا يشاربوهنّ مدّة الحيض،و لا يجامعوهنّ في البيت،فسأل أصحاب النّبيّ صلّى اللّه عليه و آله عن ذلك فنزلت هذه الآية،فقال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اصنعوا كلّ شيء غير النّكاح</w:t>
      </w:r>
      <w:r>
        <w:rPr>
          <w:rFonts w:eastAsia="Amiri" w:cs="Amiri" w:ascii="Amiri" w:hAnsi="Amiri"/>
          <w:color w:val="111111"/>
          <w:sz w:val="28"/>
          <w:szCs w:val="28"/>
          <w:rtl w:val="true"/>
          <w:lang w:bidi="ar-SA"/>
        </w:rPr>
        <w:t xml:space="preserve">) </w:t>
      </w:r>
      <w:r>
        <w:rPr>
          <w:rStyle w:val="FootnoteAnchor"/>
          <w:rtl w:val="true"/>
        </w:rPr>
        <w:footnoteReference w:id="19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رواه الجمهور،عن النّبيّ صلّى اللّه عليه و آله،انّه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اجتنب منها شعار الدّم</w:t>
      </w:r>
      <w:r>
        <w:rPr>
          <w:rFonts w:eastAsia="Amiri" w:cs="Amiri" w:ascii="Amiri" w:hAnsi="Amiri"/>
          <w:color w:val="111111"/>
          <w:sz w:val="28"/>
          <w:szCs w:val="28"/>
          <w:rtl w:val="true"/>
          <w:lang w:bidi="ar-SA"/>
        </w:rPr>
        <w:t xml:space="preserve">) </w:t>
      </w:r>
      <w:r>
        <w:rPr>
          <w:rStyle w:val="FootnoteAnchor"/>
          <w:rtl w:val="true"/>
        </w:rPr>
        <w:footnoteReference w:id="1914"/>
      </w:r>
      <w:r>
        <w:rPr>
          <w:rFonts w:eastAsia="Times New Roman" w:cs="Times New Roman" w:ascii="Times New Roman" w:hAnsi="Times New Roman"/>
          <w:color w:val="111111"/>
          <w:sz w:val="28"/>
          <w:szCs w:val="28"/>
          <w:rtl w:val="true"/>
          <w:lang w:val="en-US" w:bidi="en-US"/>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مسلم،عنه صلّى اللّه عليه و آله انّه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اصنعوا كلّ شيء غير النّكاح</w:t>
      </w:r>
      <w:r>
        <w:rPr>
          <w:rFonts w:eastAsia="Amiri" w:cs="Amiri" w:ascii="Amiri" w:hAnsi="Amiri"/>
          <w:color w:val="111111"/>
          <w:sz w:val="28"/>
          <w:szCs w:val="28"/>
          <w:rtl w:val="true"/>
          <w:lang w:bidi="ar-SA"/>
        </w:rPr>
        <w:t xml:space="preserve">) </w:t>
      </w:r>
      <w:r>
        <w:rPr>
          <w:rStyle w:val="FootnoteAnchor"/>
          <w:rtl w:val="true"/>
        </w:rPr>
        <w:footnoteReference w:id="191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من طريق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الشّيخ،عن عبد اللّه بن بكير،عن بعض أصحابنا، 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حاضت المرأة فليأتها زوجها حيث شاء ما اتّقى موضع الدّم</w:t>
      </w:r>
      <w:r>
        <w:rPr>
          <w:rFonts w:eastAsia="Amiri" w:cs="Amiri" w:ascii="Amiri" w:hAnsi="Amiri"/>
          <w:color w:val="111111"/>
          <w:sz w:val="28"/>
          <w:szCs w:val="28"/>
          <w:rtl w:val="true"/>
          <w:lang w:bidi="ar-SA"/>
        </w:rPr>
        <w:t xml:space="preserve">» </w:t>
      </w:r>
      <w:r>
        <w:rPr>
          <w:rStyle w:val="FootnoteAnchor"/>
          <w:rtl w:val="true"/>
        </w:rPr>
        <w:footnoteReference w:id="19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رواه،عن عبد الملك بن عمرو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عمّا لصاحب المرأة الحائض منها؟قال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شيء ما عدا القبل بعينه</w:t>
      </w:r>
      <w:r>
        <w:rPr>
          <w:rFonts w:eastAsia="Amiri" w:cs="Amiri" w:ascii="Amiri" w:hAnsi="Amiri"/>
          <w:color w:val="111111"/>
          <w:sz w:val="28"/>
          <w:szCs w:val="28"/>
          <w:rtl w:val="true"/>
          <w:lang w:bidi="ar-SA"/>
        </w:rPr>
        <w:t xml:space="preserve">» </w:t>
      </w:r>
      <w:r>
        <w:rPr>
          <w:rStyle w:val="FootnoteAnchor"/>
          <w:rtl w:val="true"/>
        </w:rPr>
        <w:footnoteReference w:id="19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رواه،عن هشام بن سالم،عن أبي عبد اللّه عليه السّلام،في الرّجل يأتي المرأة فيما دون الفرج و هي حائض؟قال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إذا اجتنب ذلك الموضع</w:t>
      </w:r>
      <w:r>
        <w:rPr>
          <w:rFonts w:eastAsia="Amiri" w:cs="Amiri" w:ascii="Amiri" w:hAnsi="Amiri"/>
          <w:color w:val="111111"/>
          <w:sz w:val="28"/>
          <w:szCs w:val="28"/>
          <w:rtl w:val="true"/>
          <w:lang w:bidi="ar-SA"/>
        </w:rPr>
        <w:t xml:space="preserve">» </w:t>
      </w:r>
      <w:r>
        <w:rPr>
          <w:rStyle w:val="FootnoteAnchor"/>
          <w:rtl w:val="true"/>
        </w:rPr>
        <w:footnoteReference w:id="1918"/>
      </w:r>
      <w:r>
        <w:rPr>
          <w:rFonts w:ascii="Amiri" w:hAnsi="Amiri" w:eastAsia="Amiri" w:cs="Amiri"/>
          <w:color w:val="111111"/>
          <w:sz w:val="28"/>
          <w:sz w:val="28"/>
          <w:szCs w:val="28"/>
          <w:rtl w:val="true"/>
          <w:lang w:bidi="ar-SA"/>
        </w:rPr>
        <w:t>و لأنّ المنع من الوطء لأجل الأذى،فاختصّ بمحلّه كالدّبر عندهم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احتجّ السّيّد المرتضى </w:t>
      </w:r>
      <w:r>
        <w:rPr>
          <w:rStyle w:val="FootnoteAnchor"/>
          <w:rtl w:val="true"/>
        </w:rPr>
        <w:footnoteReference w:id="1919"/>
      </w:r>
      <w:r>
        <w:rPr>
          <w:rFonts w:ascii="Amiri" w:hAnsi="Amiri" w:eastAsia="Amiri" w:cs="Amiri"/>
          <w:color w:val="111111"/>
          <w:sz w:val="28"/>
          <w:sz w:val="28"/>
          <w:szCs w:val="28"/>
          <w:rtl w:val="true"/>
          <w:lang w:bidi="ar-SA"/>
        </w:rPr>
        <w:t>بما رواه الشّيخ،عن عبيد اللّه الحلبيّ،عن أبي عبد اللّه عليه السّلام،في الحائض ما يحلّ لزوجها منها؟قال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تتّزر بإزار إلى الرّكبتين و تخرج سرّتها،ثمَّ له ما فوق الإزار</w:t>
      </w:r>
      <w:r>
        <w:rPr>
          <w:rFonts w:eastAsia="Amiri" w:cs="Amiri" w:ascii="Amiri" w:hAnsi="Amiri"/>
          <w:color w:val="111111"/>
          <w:sz w:val="28"/>
          <w:szCs w:val="28"/>
          <w:rtl w:val="true"/>
          <w:lang w:bidi="ar-SA"/>
        </w:rPr>
        <w:t xml:space="preserve">» </w:t>
      </w:r>
      <w:r>
        <w:rPr>
          <w:rStyle w:val="FootnoteAnchor"/>
          <w:rtl w:val="true"/>
        </w:rPr>
        <w:footnoteReference w:id="1920"/>
      </w:r>
      <w:r>
        <w:rPr>
          <w:rFonts w:eastAsia="Times New Roman" w:cs="Times New Roman" w:ascii="Times New Roman" w:hAnsi="Times New Roman"/>
          <w:color w:val="111111"/>
          <w:sz w:val="28"/>
          <w:szCs w:val="28"/>
          <w:rtl w:val="true"/>
          <w:lang w:val="en-US" w:bidi="en-US"/>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أبي بصير،عن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سئل عن الحائض ما يحلّ </w:t>
      </w:r>
    </w:p>
    <w:p>
      <w:pPr>
        <w:pStyle w:val="BookText"/>
        <w:rPr/>
      </w:pPr>
      <w:r>
        <w:rPr>
          <w:rFonts w:ascii="Amiri" w:hAnsi="Amiri" w:eastAsia="Amiri" w:cs="Amiri"/>
          <w:color w:val="111111"/>
          <w:sz w:val="28"/>
          <w:sz w:val="28"/>
          <w:szCs w:val="28"/>
          <w:rtl w:val="true"/>
          <w:lang w:bidi="ar-SA"/>
        </w:rPr>
        <w:t>لزوجها منها؟قال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تتّزر بإزار إلى الرّكبتين و تخرج ساقها و له ما فوق الإزار</w:t>
      </w:r>
      <w:r>
        <w:rPr>
          <w:rFonts w:eastAsia="Amiri" w:cs="Amiri" w:ascii="Amiri" w:hAnsi="Amiri"/>
          <w:color w:val="111111"/>
          <w:sz w:val="28"/>
          <w:szCs w:val="28"/>
          <w:rtl w:val="true"/>
          <w:lang w:bidi="ar-SA"/>
        </w:rPr>
        <w:t xml:space="preserve">» </w:t>
      </w:r>
      <w:r>
        <w:rPr>
          <w:rStyle w:val="FootnoteAnchor"/>
          <w:rtl w:val="true"/>
        </w:rPr>
        <w:footnoteReference w:id="19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حجّاج الخشّاب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الحائض و النّفساء ما يحلّ لزوجها منها؟قال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تلبس درعا،ثمَّ تضطجع معه</w:t>
      </w:r>
      <w:r>
        <w:rPr>
          <w:rFonts w:eastAsia="Amiri" w:cs="Amiri" w:ascii="Amiri" w:hAnsi="Amiri"/>
          <w:color w:val="111111"/>
          <w:sz w:val="28"/>
          <w:szCs w:val="28"/>
          <w:rtl w:val="true"/>
          <w:lang w:bidi="ar-SA"/>
        </w:rPr>
        <w:t xml:space="preserve">» </w:t>
      </w:r>
      <w:r>
        <w:rPr>
          <w:rStyle w:val="FootnoteAnchor"/>
          <w:rtl w:val="true"/>
        </w:rPr>
        <w:footnoteReference w:id="19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عبد الرّحمن بن أبي عبد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الرّجل ما يحلّ له من الطّامث؟قال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شيء حتّى تطهر</w:t>
      </w:r>
      <w:r>
        <w:rPr>
          <w:rFonts w:eastAsia="Amiri" w:cs="Amiri" w:ascii="Amiri" w:hAnsi="Amiri"/>
          <w:color w:val="111111"/>
          <w:sz w:val="28"/>
          <w:szCs w:val="28"/>
          <w:rtl w:val="true"/>
          <w:lang w:bidi="ar-SA"/>
        </w:rPr>
        <w:t xml:space="preserve">» </w:t>
      </w:r>
      <w:r>
        <w:rPr>
          <w:rStyle w:val="FootnoteAnchor"/>
          <w:rtl w:val="true"/>
        </w:rPr>
        <w:footnoteReference w:id="1923"/>
      </w:r>
      <w:r>
        <w:rPr>
          <w:rFonts w:ascii="Amiri" w:hAnsi="Amiri" w:eastAsia="Amiri" w:cs="Amiri"/>
          <w:color w:val="111111"/>
          <w:sz w:val="28"/>
          <w:sz w:val="28"/>
          <w:szCs w:val="28"/>
          <w:rtl w:val="true"/>
          <w:lang w:bidi="ar-SA"/>
        </w:rPr>
        <w:t xml:space="preserve">و هذا عام،إذ هو نكرة في معرض المنع </w:t>
      </w:r>
      <w:r>
        <w:rPr>
          <w:rStyle w:val="FootnoteAnchor"/>
          <w:rtl w:val="true"/>
        </w:rPr>
        <w:footnoteReference w:id="1924"/>
      </w:r>
      <w:r>
        <w:rPr>
          <w:rFonts w:ascii="Amiri" w:hAnsi="Amiri" w:eastAsia="Amiri" w:cs="Amiri"/>
          <w:color w:val="111111"/>
          <w:sz w:val="28"/>
          <w:sz w:val="28"/>
          <w:szCs w:val="28"/>
          <w:rtl w:val="true"/>
          <w:lang w:bidi="ar-SA"/>
        </w:rPr>
        <w:t>،خرج ما فوق السّرة و تحت الرّكبة بالإجماع،فيبقى النّهي متناولا للباقي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احتجّ أبو حنيفة و من وافقه </w:t>
      </w:r>
      <w:r>
        <w:rPr>
          <w:rStyle w:val="FootnoteAnchor"/>
          <w:rtl w:val="true"/>
        </w:rPr>
        <w:footnoteReference w:id="1925"/>
      </w:r>
      <w:r>
        <w:rPr>
          <w:rFonts w:ascii="Amiri" w:hAnsi="Amiri" w:eastAsia="Amiri" w:cs="Amiri"/>
          <w:color w:val="111111"/>
          <w:sz w:val="28"/>
          <w:sz w:val="28"/>
          <w:szCs w:val="28"/>
          <w:rtl w:val="true"/>
          <w:lang w:bidi="ar-SA"/>
        </w:rPr>
        <w:t>بما رواه البخاريّ،عن عائشة،قالت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رسول اللّه صلّى اللّه عليه و آله يأمرني فأتّزر فيباشرني و أنا حائض </w:t>
      </w:r>
      <w:r>
        <w:rPr>
          <w:rStyle w:val="FootnoteAnchor"/>
          <w:rtl w:val="true"/>
        </w:rPr>
        <w:footnoteReference w:id="1926"/>
      </w:r>
      <w:r>
        <w:rPr>
          <w:rFonts w:eastAsia="Times New Roman" w:cs="Times New Roman" w:ascii="Times New Roman" w:hAnsi="Times New Roman"/>
          <w:color w:val="111111"/>
          <w:sz w:val="28"/>
          <w:szCs w:val="28"/>
          <w:rtl w:val="true"/>
          <w:lang w:val="en-US" w:bidi="en-US"/>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عمر،قال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رسول اللّه صلّى اللّه عليه و آله عمّا يحلّ للرّجل من امرأته و هي حائض؟فقال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فوق الإزار</w:t>
      </w:r>
      <w:r>
        <w:rPr>
          <w:rFonts w:eastAsia="Amiri" w:cs="Amiri" w:ascii="Amiri" w:hAnsi="Amiri"/>
          <w:color w:val="111111"/>
          <w:sz w:val="28"/>
          <w:szCs w:val="28"/>
          <w:rtl w:val="true"/>
          <w:lang w:bidi="ar-SA"/>
        </w:rPr>
        <w:t xml:space="preserve">» </w:t>
      </w:r>
      <w:r>
        <w:rPr>
          <w:rStyle w:val="FootnoteAnchor"/>
          <w:rtl w:val="true"/>
        </w:rPr>
        <w:footnoteReference w:id="192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الجواب عن الرّواية 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انّها دالّة على تحليل ما فوق الإزار لا على تحريم ما عداه إلاّ من حيث المفهوم بدليل الخطاب،و ليس حجّة خصوصا مع معارضة المنطوق له،و كذا رواية أبي بصير،و رواية حجّاج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انّ 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تلبس درعا ثمَّ تضطجع معه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دالاّ على الوجوب بل على الاستحباب،ثمَّ انّ هذه الرّوايات لا تخلو من ضعف في سندها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فهي معارضة بما رواه الشّيخ،عن عمر بن حنظلة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للرّجل من الحائض؟قال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بين الفخذين</w:t>
      </w:r>
      <w:r>
        <w:rPr>
          <w:rFonts w:eastAsia="Amiri" w:cs="Amiri" w:ascii="Amiri" w:hAnsi="Amiri"/>
          <w:color w:val="111111"/>
          <w:sz w:val="28"/>
          <w:szCs w:val="28"/>
          <w:rtl w:val="true"/>
          <w:lang w:bidi="ar-SA"/>
        </w:rPr>
        <w:t xml:space="preserve">» </w:t>
      </w:r>
      <w:r>
        <w:rPr>
          <w:rStyle w:val="FootnoteAnchor"/>
          <w:rtl w:val="true"/>
        </w:rPr>
        <w:footnoteReference w:id="19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رواه في الصّحيح،عن عمر بن يزيد،قال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للرّجل من الحائض؟قال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بين إليتيها،و لا يوقب</w:t>
      </w:r>
      <w:r>
        <w:rPr>
          <w:rFonts w:eastAsia="Amiri" w:cs="Amiri" w:ascii="Amiri" w:hAnsi="Amiri"/>
          <w:color w:val="111111"/>
          <w:sz w:val="28"/>
          <w:szCs w:val="28"/>
          <w:rtl w:val="true"/>
          <w:lang w:bidi="ar-SA"/>
        </w:rPr>
        <w:t xml:space="preserve">» </w:t>
      </w:r>
      <w:r>
        <w:rPr>
          <w:rStyle w:val="FootnoteAnchor"/>
          <w:rtl w:val="true"/>
        </w:rPr>
        <w:footnoteReference w:id="19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أمّا رواية عبد الرّحمن فإنّهما متروكة بالإجماع،فإن خصّصتموها بما تحت السرّة و فوق الرّكبة خرج اللّفظ عن حقيقته،فكان </w:t>
      </w:r>
      <w:r>
        <w:rPr>
          <w:rStyle w:val="FootnoteAnchor"/>
          <w:rtl w:val="true"/>
        </w:rPr>
        <w:footnoteReference w:id="1930"/>
      </w:r>
      <w:r>
        <w:rPr>
          <w:rFonts w:ascii="Amiri" w:hAnsi="Amiri" w:eastAsia="Amiri" w:cs="Amiri"/>
          <w:color w:val="111111"/>
          <w:sz w:val="28"/>
          <w:sz w:val="28"/>
          <w:szCs w:val="28"/>
          <w:rtl w:val="true"/>
          <w:lang w:bidi="ar-SA"/>
        </w:rPr>
        <w:t>مجازا،فنقول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لا تحمل نفي الحلّ على الكراهية مجازا؟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سلّمنا،لكنّا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ثبت التّخصيص فيما ذكرتم،فكذا في صورة النّزاع بالقياس،و الجامع ما اشتركا فيه من المصلحة الناشئة من دفع الضّرر الحاصل بوجوب الاحتراز مع خلوص الدّاعي</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الجواب عن احتجاج الشّافعيّ </w:t>
      </w:r>
      <w:r>
        <w:rPr>
          <w:rStyle w:val="FootnoteAnchor"/>
          <w:rtl w:val="true"/>
        </w:rPr>
        <w:footnoteReference w:id="193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دالّ على حلّ ما فوق الإزار لا على تحريم غيره،و النّبيّ صلّى اللّه عليه و آله قد يترك بعض المباح تحرّزا،ثمَّ هو معارض بما رواه عكرمة،عن النّبيّ صلّى اللّه عليه و آله انّه كان إذا أراد من الحائض شيئا ألقى على </w:t>
      </w:r>
      <w:bookmarkStart w:id="1078" w:name="pg12669_113156"/>
    </w:p>
    <w:p>
      <w:pPr>
        <w:pStyle w:val="BookText"/>
        <w:rPr/>
      </w:pPr>
      <w:bookmarkEnd w:id="1078"/>
      <w:r>
        <w:rPr>
          <w:rFonts w:ascii="IRNazanin" w:hAnsi="IRNazanin" w:eastAsia="IRNazanin"/>
          <w:color w:val="111111"/>
          <w:sz w:val="28"/>
          <w:sz w:val="28"/>
          <w:szCs w:val="28"/>
          <w:rtl w:val="true"/>
          <w:lang w:bidi="fa-IR"/>
        </w:rPr>
        <w:t xml:space="preserve">فرجها ثوبا </w:t>
      </w:r>
      <w:r>
        <w:rPr>
          <w:rStyle w:val="FootnoteAnchor"/>
          <w:rtl w:val="true"/>
        </w:rPr>
        <w:footnoteReference w:id="193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ذكرناه </w:t>
      </w:r>
      <w:r>
        <w:rPr>
          <w:rStyle w:val="FootnoteAnchor"/>
          <w:rtl w:val="true"/>
        </w:rPr>
        <w:footnoteReference w:id="1933"/>
      </w:r>
      <w:r>
        <w:rPr>
          <w:rFonts w:ascii="Amiri" w:hAnsi="Amiri" w:eastAsia="Amiri" w:cs="Amiri"/>
          <w:color w:val="111111"/>
          <w:sz w:val="28"/>
          <w:sz w:val="28"/>
          <w:szCs w:val="28"/>
          <w:rtl w:val="true"/>
          <w:lang w:bidi="ar-SA"/>
        </w:rPr>
        <w:t>منطوق،و هذا دليل خطاب فلا يعارضه</w:t>
      </w:r>
      <w:r>
        <w:rPr>
          <w:rFonts w:eastAsia="Amiri" w:cs="Amiri" w:ascii="Amiri" w:hAnsi="Amiri"/>
          <w:color w:val="111111"/>
          <w:sz w:val="28"/>
          <w:szCs w:val="28"/>
          <w:rtl w:val="true"/>
          <w:lang w:bidi="ar-SA"/>
        </w:rPr>
        <w:t>.</w:t>
      </w:r>
    </w:p>
    <w:p>
      <w:pPr>
        <w:pStyle w:val="Heading6"/>
        <w:numPr>
          <w:ilvl w:val="5"/>
          <w:numId w:val="1"/>
        </w:numPr>
        <w:rPr/>
      </w:pPr>
      <w:bookmarkStart w:id="1079" w:name="__RefHeading___Toc796001_222507752"/>
      <w:bookmarkStart w:id="1080" w:name="_Toc440"/>
      <w:bookmarkEnd w:id="1079"/>
      <w:r>
        <w:rPr>
          <w:rtl w:val="true"/>
        </w:rPr>
        <w:t>مسألة</w:t>
      </w:r>
      <w:r>
        <w:rPr>
          <w:rtl w:val="true"/>
        </w:rPr>
        <w:t>:</w:t>
      </w:r>
      <w:r>
        <w:rPr>
          <w:rtl w:val="true"/>
        </w:rPr>
        <w:t>و يحرم طلاقها</w:t>
      </w:r>
      <w:r>
        <w:rPr>
          <w:rtl w:val="true"/>
        </w:rPr>
        <w:t>.</w:t>
      </w:r>
      <w:bookmarkEnd w:id="1080"/>
    </w:p>
    <w:p>
      <w:pPr>
        <w:pStyle w:val="BookText"/>
        <w:rPr/>
      </w:pPr>
      <w:r>
        <w:rPr>
          <w:rFonts w:ascii="Amiri" w:hAnsi="Amiri" w:eastAsia="Amiri" w:cs="Amiri"/>
          <w:color w:val="111111"/>
          <w:sz w:val="28"/>
          <w:sz w:val="28"/>
          <w:szCs w:val="28"/>
          <w:rtl w:val="true"/>
          <w:lang w:bidi="ar-SA"/>
        </w:rPr>
        <w:t xml:space="preserve">و هو مذهب علماء الإسلام،و يدلّ عليه قوله تعالى إِذا طَلَّقْتُمُ النِّساءَ فَطَلِّقُوهُنَّ لِعِدَّتِهِنَّ </w:t>
      </w:r>
      <w:r>
        <w:rPr>
          <w:rStyle w:val="FootnoteAnchor"/>
          <w:rtl w:val="true"/>
        </w:rPr>
        <w:footnoteReference w:id="1934"/>
      </w: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أن يطلّقها طاهرا من غير جماع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به قال مجاهد،و الحسن،و ابن سيرين،و قتادة،و الضّحّاك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عامّة المفسّرين </w:t>
      </w:r>
      <w:r>
        <w:rPr>
          <w:rStyle w:val="FootnoteAnchor"/>
          <w:rtl w:val="true"/>
        </w:rPr>
        <w:footnoteReference w:id="193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لمّا طلّق ابن عمر امرأته و هي حائض،أمره النّبيّ صلّى اللّه عليه و آله برجعتها و إمساكها حتّى تطهر </w:t>
      </w:r>
      <w:r>
        <w:rPr>
          <w:rStyle w:val="FootnoteAnchor"/>
          <w:rtl w:val="true"/>
        </w:rPr>
        <w:footnoteReference w:id="193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طلّق لم يقع عندنا خاصّة،و خالف باقي الفقهاء فيه </w:t>
      </w:r>
      <w:r>
        <w:rPr>
          <w:rStyle w:val="FootnoteAnchor"/>
          <w:rtl w:val="true"/>
        </w:rPr>
        <w:footnoteReference w:id="1937"/>
      </w:r>
      <w:r>
        <w:rPr>
          <w:rFonts w:ascii="Amiri" w:hAnsi="Amiri" w:eastAsia="Amiri" w:cs="Amiri"/>
          <w:color w:val="111111"/>
          <w:sz w:val="28"/>
          <w:sz w:val="28"/>
          <w:szCs w:val="28"/>
          <w:rtl w:val="true"/>
          <w:lang w:bidi="ar-SA"/>
        </w:rPr>
        <w:t>،و سيأتي البحث في باب الطّلاق إن شاء اللّه تعالى</w:t>
      </w:r>
      <w:r>
        <w:rPr>
          <w:rFonts w:eastAsia="Amiri" w:cs="Amiri" w:ascii="Amiri" w:hAnsi="Amiri"/>
          <w:color w:val="111111"/>
          <w:sz w:val="28"/>
          <w:szCs w:val="28"/>
          <w:rtl w:val="true"/>
          <w:lang w:bidi="ar-SA"/>
        </w:rPr>
        <w:t>.</w:t>
      </w:r>
    </w:p>
    <w:p>
      <w:pPr>
        <w:pStyle w:val="Heading6"/>
        <w:numPr>
          <w:ilvl w:val="5"/>
          <w:numId w:val="1"/>
        </w:numPr>
        <w:rPr/>
      </w:pPr>
      <w:bookmarkStart w:id="1081" w:name="__RefHeading___Toc796003_222507752"/>
      <w:bookmarkStart w:id="1082" w:name="_Toc441"/>
      <w:bookmarkEnd w:id="1081"/>
      <w:r>
        <w:rPr>
          <w:rtl w:val="true"/>
        </w:rPr>
        <w:t>مسألة</w:t>
      </w:r>
      <w:r>
        <w:rPr>
          <w:rtl w:val="true"/>
        </w:rPr>
        <w:t>:</w:t>
      </w:r>
      <w:r>
        <w:rPr>
          <w:rtl w:val="true"/>
        </w:rPr>
        <w:t>و يحرم عليها الاعتكاف،</w:t>
      </w:r>
      <w:bookmarkEnd w:id="1082"/>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هو ظاهر،لأنّه عبارة عن اللّبث في المسجد، و قد بيّنّا تحريم </w:t>
      </w:r>
      <w:r>
        <w:rPr>
          <w:rStyle w:val="FootnoteAnchor"/>
          <w:rtl w:val="true"/>
        </w:rPr>
        <w:footnoteReference w:id="1938"/>
      </w:r>
      <w:r>
        <w:rPr>
          <w:rFonts w:ascii="Amiri" w:hAnsi="Amiri" w:eastAsia="Amiri" w:cs="Amiri"/>
          <w:color w:val="111111"/>
          <w:sz w:val="28"/>
          <w:sz w:val="28"/>
          <w:szCs w:val="28"/>
          <w:rtl w:val="true"/>
          <w:lang w:bidi="ar-SA"/>
        </w:rPr>
        <w:t xml:space="preserve">اللّبث عليها </w:t>
      </w:r>
      <w:r>
        <w:rPr>
          <w:rStyle w:val="FootnoteAnchor"/>
          <w:rtl w:val="true"/>
        </w:rPr>
        <w:footnoteReference w:id="1939"/>
      </w:r>
      <w:r>
        <w:rPr>
          <w:rFonts w:eastAsia="Times New Roman" w:cs="Times New Roman" w:ascii="Times New Roman" w:hAnsi="Times New Roman"/>
          <w:color w:val="111111"/>
          <w:sz w:val="28"/>
          <w:szCs w:val="28"/>
          <w:rtl w:val="true"/>
          <w:lang w:val="en-US" w:bidi="en-US"/>
        </w:rPr>
        <w:t xml:space="preserve">. </w:t>
      </w:r>
      <w:bookmarkStart w:id="1083" w:name="pg12669_113157"/>
    </w:p>
    <w:p>
      <w:pPr>
        <w:pStyle w:val="BookText"/>
        <w:rPr/>
      </w:pPr>
      <w:bookmarkEnd w:id="1083"/>
      <w:r>
        <w:rPr>
          <w:rFonts w:ascii="Amiri" w:hAnsi="Amiri" w:eastAsia="Amiri" w:cs="Amiri"/>
          <w:color w:val="111111"/>
          <w:sz w:val="28"/>
          <w:sz w:val="28"/>
          <w:szCs w:val="28"/>
          <w:rtl w:val="true"/>
          <w:lang w:bidi="ar-SA"/>
        </w:rPr>
        <w:t>و روى الشّيخ،عن عليّ بن عقبة،عن أبيه،عن أبي عبد اللّه عليه السّلام في امرأة اعتكفت،ثمَّ انّها طمثت،قال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ترجع،ليس لها اعتكاف</w:t>
      </w:r>
      <w:r>
        <w:rPr>
          <w:rFonts w:eastAsia="Amiri" w:cs="Amiri" w:ascii="Amiri" w:hAnsi="Amiri"/>
          <w:color w:val="111111"/>
          <w:sz w:val="28"/>
          <w:szCs w:val="28"/>
          <w:rtl w:val="true"/>
          <w:lang w:bidi="ar-SA"/>
        </w:rPr>
        <w:t xml:space="preserve">» </w:t>
      </w:r>
      <w:r>
        <w:rPr>
          <w:rStyle w:val="FootnoteAnchor"/>
          <w:rtl w:val="true"/>
        </w:rPr>
        <w:footnoteReference w:id="194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084" w:name="__RefHeading___Toc796005_222507752"/>
      <w:bookmarkStart w:id="1085" w:name="_Toc442"/>
      <w:bookmarkEnd w:id="1084"/>
      <w:r>
        <w:rPr>
          <w:rtl w:val="true"/>
        </w:rPr>
        <w:t>مسألة</w:t>
      </w:r>
      <w:r>
        <w:rPr>
          <w:rtl w:val="true"/>
        </w:rPr>
        <w:t>:</w:t>
      </w:r>
      <w:r>
        <w:rPr>
          <w:rtl w:val="true"/>
        </w:rPr>
        <w:t>و يجب عليها الغسل عند انقطاع الدّم،</w:t>
      </w:r>
      <w:bookmarkEnd w:id="1085"/>
    </w:p>
    <w:p>
      <w:pPr>
        <w:pStyle w:val="BookText"/>
        <w:rPr/>
      </w:pPr>
      <w:r>
        <w:rPr>
          <w:rFonts w:ascii="Amiri" w:hAnsi="Amiri" w:eastAsia="Amiri" w:cs="Amiri"/>
          <w:color w:val="111111"/>
          <w:sz w:val="28"/>
          <w:sz w:val="28"/>
          <w:szCs w:val="28"/>
          <w:rtl w:val="true"/>
          <w:lang w:bidi="ar-SA"/>
        </w:rPr>
        <w:t>و هو مذهب علماء الأمّة كافّة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يدلّ عليه النّصّ و الإجماع،قال اللّه تعالى وَ لا تَقْرَبُوهُنَّ حَتّى يَطْهُرْنَ </w:t>
      </w:r>
      <w:r>
        <w:rPr>
          <w:rStyle w:val="FootnoteAnchor"/>
          <w:rtl w:val="true"/>
        </w:rPr>
        <w:footnoteReference w:id="1941"/>
      </w:r>
      <w:r>
        <w:rPr>
          <w:rFonts w:ascii="Amiri" w:hAnsi="Amiri" w:eastAsia="Amiri" w:cs="Amiri"/>
          <w:color w:val="111111"/>
          <w:sz w:val="28"/>
          <w:sz w:val="28"/>
          <w:szCs w:val="28"/>
          <w:rtl w:val="true"/>
          <w:lang w:bidi="ar-SA"/>
        </w:rPr>
        <w:t>بالتّشديد،أي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يغتسلن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رواه الجمهور،عن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امكثي قدر ما كانت تحبسك حيضتك،ثمَّ اغتسلي و صلي</w:t>
      </w:r>
      <w:r>
        <w:rPr>
          <w:rFonts w:eastAsia="Amiri" w:cs="Amiri" w:ascii="Amiri" w:hAnsi="Amiri"/>
          <w:color w:val="111111"/>
          <w:sz w:val="28"/>
          <w:szCs w:val="28"/>
          <w:rtl w:val="true"/>
          <w:lang w:bidi="ar-SA"/>
        </w:rPr>
        <w:t xml:space="preserve">) </w:t>
      </w:r>
      <w:r>
        <w:rPr>
          <w:rStyle w:val="FootnoteAnchor"/>
          <w:rtl w:val="true"/>
        </w:rPr>
        <w:footnoteReference w:id="1942"/>
      </w:r>
      <w:r>
        <w:rPr>
          <w:rFonts w:eastAsia="Times New Roman" w:cs="Times New Roman" w:ascii="Times New Roman" w:hAnsi="Times New Roman"/>
          <w:color w:val="111111"/>
          <w:sz w:val="28"/>
          <w:szCs w:val="28"/>
          <w:rtl w:val="true"/>
          <w:lang w:val="en-US" w:bidi="en-US"/>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حمنة بنت جحش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أستحاض حيضة كثيرة شديدة، فجئت إلى النّبيّ صلّى اللّه عليه و آله أستفتيه فوجدته في بيت أختي زينب،فقلت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رسول اللّه انّ لي إليك حاجة،و انّه لحدث </w:t>
      </w:r>
      <w:r>
        <w:rPr>
          <w:rStyle w:val="FootnoteAnchor"/>
          <w:rtl w:val="true"/>
        </w:rPr>
        <w:footnoteReference w:id="1943"/>
      </w:r>
      <w:r>
        <w:rPr>
          <w:rFonts w:ascii="Amiri" w:hAnsi="Amiri" w:eastAsia="Amiri" w:cs="Amiri"/>
          <w:color w:val="111111"/>
          <w:sz w:val="28"/>
          <w:sz w:val="28"/>
          <w:szCs w:val="28"/>
          <w:rtl w:val="true"/>
          <w:lang w:bidi="ar-SA"/>
        </w:rPr>
        <w:t>ما منه بدّ،و انّي لأستحي منه،فقال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هي يا هنتاه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انّي امرأة أستحاض حيضة كثيرة شديدة فما ترى فيها؟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أنعت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 الكرسف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أشدّ من ذلك،فقال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تلجّمي،فقلت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هو أشدّ من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فذكرت الخبر 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انّها ركضة من ركضات الشّيطان تحيّضي في علم اللّه ستّا أو سبعا،ثمَّ اغتسلي حتّى إذا رأيت انّك قد طهرت و استنقأت فصلّي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أربعا</w:t>
      </w:r>
      <w:r>
        <w:rPr>
          <w:rFonts w:eastAsia="Amiri" w:cs="Amiri" w:ascii="Amiri" w:hAnsi="Amiri"/>
          <w:color w:val="111111"/>
          <w:sz w:val="28"/>
          <w:szCs w:val="28"/>
          <w:rtl w:val="true"/>
          <w:lang w:bidi="ar-SA"/>
        </w:rPr>
        <w:t xml:space="preserve">] </w:t>
      </w:r>
      <w:r>
        <w:rPr>
          <w:rStyle w:val="FootnoteAnchor"/>
          <w:rtl w:val="true"/>
        </w:rPr>
        <w:footnoteReference w:id="1944"/>
      </w:r>
      <w:r>
        <w:rPr>
          <w:rFonts w:ascii="Amiri" w:hAnsi="Amiri" w:eastAsia="Amiri" w:cs="Amiri"/>
          <w:color w:val="111111"/>
          <w:sz w:val="28"/>
          <w:sz w:val="28"/>
          <w:szCs w:val="28"/>
          <w:rtl w:val="true"/>
          <w:lang w:bidi="ar-SA"/>
        </w:rPr>
        <w:t>و عشرين ليلة و أيّامها أو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ثلاثا</w:t>
      </w:r>
      <w:r>
        <w:rPr>
          <w:rFonts w:eastAsia="Amiri" w:cs="Amiri" w:ascii="Amiri" w:hAnsi="Amiri"/>
          <w:color w:val="111111"/>
          <w:sz w:val="28"/>
          <w:szCs w:val="28"/>
          <w:rtl w:val="true"/>
          <w:lang w:bidi="ar-SA"/>
        </w:rPr>
        <w:t xml:space="preserve">] </w:t>
      </w:r>
      <w:r>
        <w:rPr>
          <w:rStyle w:val="FootnoteAnchor"/>
          <w:rtl w:val="true"/>
        </w:rPr>
        <w:footnoteReference w:id="1945"/>
      </w:r>
      <w:r>
        <w:rPr>
          <w:rFonts w:ascii="Amiri" w:hAnsi="Amiri" w:eastAsia="Amiri" w:cs="Amiri"/>
          <w:color w:val="111111"/>
          <w:sz w:val="28"/>
          <w:sz w:val="28"/>
          <w:szCs w:val="28"/>
          <w:rtl w:val="true"/>
          <w:lang w:bidi="ar-SA"/>
        </w:rPr>
        <w:t>و عشرين و أيّامها،و صومي فإنّه يجزيك</w:t>
      </w:r>
      <w:r>
        <w:rPr>
          <w:rFonts w:eastAsia="Amiri" w:cs="Amiri" w:ascii="Amiri" w:hAnsi="Amiri"/>
          <w:color w:val="111111"/>
          <w:sz w:val="28"/>
          <w:szCs w:val="28"/>
          <w:rtl w:val="true"/>
          <w:lang w:bidi="ar-SA"/>
        </w:rPr>
        <w:t xml:space="preserve">) </w:t>
      </w:r>
      <w:r>
        <w:rPr>
          <w:rStyle w:val="FootnoteAnchor"/>
          <w:rtl w:val="true"/>
        </w:rPr>
        <w:footnoteReference w:id="19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طريق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الشّيخ،عن يونس،عن بعض رجاله،عن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حاضت المرأة و كان حيضها خمسة أيّام،ثمَّ انقطع الدّم، اغتسلت و صلّت</w:t>
      </w:r>
      <w:r>
        <w:rPr>
          <w:rFonts w:eastAsia="Amiri" w:cs="Amiri" w:ascii="Amiri" w:hAnsi="Amiri"/>
          <w:color w:val="111111"/>
          <w:sz w:val="28"/>
          <w:szCs w:val="28"/>
          <w:rtl w:val="true"/>
          <w:lang w:bidi="ar-SA"/>
        </w:rPr>
        <w:t xml:space="preserve">» </w:t>
      </w:r>
      <w:r>
        <w:rPr>
          <w:rStyle w:val="FootnoteAnchor"/>
          <w:rtl w:val="true"/>
        </w:rPr>
        <w:footnoteReference w:id="19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رواه،عن سماعة،عن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غسل الحائض إذا طهرت واجب</w:t>
      </w:r>
      <w:r>
        <w:rPr>
          <w:rFonts w:eastAsia="Amiri" w:cs="Amiri" w:ascii="Amiri" w:hAnsi="Amiri"/>
          <w:color w:val="111111"/>
          <w:sz w:val="28"/>
          <w:szCs w:val="28"/>
          <w:rtl w:val="true"/>
          <w:lang w:bidi="ar-SA"/>
        </w:rPr>
        <w:t xml:space="preserve">» </w:t>
      </w:r>
      <w:r>
        <w:rPr>
          <w:rStyle w:val="FootnoteAnchor"/>
          <w:rtl w:val="true"/>
        </w:rPr>
        <w:footnoteReference w:id="19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رواه،عن أبي بصير،عن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عن الحائض أ عليها غسل مثل غسل الجنب؟قال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Style w:val="FootnoteAnchor"/>
          <w:rtl w:val="true"/>
        </w:rPr>
        <w:footnoteReference w:id="1949"/>
      </w:r>
      <w:r>
        <w:rPr>
          <w:rFonts w:eastAsia="Times New Roman" w:cs="Times New Roman" w:ascii="Times New Roman" w:hAnsi="Times New Roman"/>
          <w:color w:val="111111"/>
          <w:sz w:val="28"/>
          <w:szCs w:val="28"/>
          <w:rtl w:val="true"/>
          <w:lang w:val="en-US" w:bidi="en-US"/>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رواه،عن الحسن الصّيقل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السّلام،قال</w:t>
      </w:r>
      <w:r>
        <w:rPr>
          <w:rFonts w:eastAsia="Amiri" w:cs="Amiri" w:ascii="Amiri" w:hAnsi="Amiri"/>
          <w:color w:val="111111"/>
          <w:sz w:val="28"/>
          <w:szCs w:val="28"/>
          <w:rtl w:val="true"/>
          <w:lang w:bidi="ar-SA"/>
        </w:rPr>
        <w:t xml:space="preserve">: </w:t>
      </w:r>
      <w:bookmarkStart w:id="1086" w:name="pg12669_113159"/>
    </w:p>
    <w:p>
      <w:pPr>
        <w:pStyle w:val="BookText"/>
        <w:rPr/>
      </w:pPr>
      <w:bookmarkEnd w:id="108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الطّامث تغتسل بتسعة أرطال من ماء</w:t>
      </w:r>
      <w:r>
        <w:rPr>
          <w:rFonts w:eastAsia="Amiri" w:cs="Amiri" w:ascii="Amiri" w:hAnsi="Amiri"/>
          <w:color w:val="111111"/>
          <w:sz w:val="28"/>
          <w:szCs w:val="28"/>
          <w:rtl w:val="true"/>
          <w:lang w:bidi="ar-SA"/>
        </w:rPr>
        <w:t xml:space="preserve">» </w:t>
      </w:r>
      <w:r>
        <w:rPr>
          <w:rStyle w:val="FootnoteAnchor"/>
          <w:rtl w:val="true"/>
        </w:rPr>
        <w:footnoteReference w:id="19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رواه،عن يونس،عن رجاله،عن أبي عبد اللّه عليه السّلام،عن أبيه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رأيت الدّم البحرانيّ فدعي الصّلاة،و إذا رأيت الطّهر و لو ساعة من نهار فاغتسلي و صلّي</w:t>
      </w:r>
      <w:r>
        <w:rPr>
          <w:rFonts w:eastAsia="Amiri" w:cs="Amiri" w:ascii="Amiri" w:hAnsi="Amiri"/>
          <w:color w:val="111111"/>
          <w:sz w:val="28"/>
          <w:szCs w:val="28"/>
          <w:rtl w:val="true"/>
          <w:lang w:bidi="ar-SA"/>
        </w:rPr>
        <w:t xml:space="preserve">» </w:t>
      </w:r>
      <w:r>
        <w:rPr>
          <w:rStyle w:val="FootnoteAnchor"/>
          <w:rtl w:val="true"/>
        </w:rPr>
        <w:footnoteReference w:id="19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بهذا الإسناد عنه عليه السّلام،عن النّبيّ صلّى اللّه عليه و آله انّه قال لحمنة بنت جحش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تحيّضي في كلّ شهر في علم اللّه ستّة أيّام أو سبعة أيّام،ثمَّ اغتسلي غسلا و صومي ثلاثة و عشرين أو أربعة و عشرين يوما</w:t>
      </w:r>
      <w:r>
        <w:rPr>
          <w:rFonts w:eastAsia="Amiri" w:cs="Amiri" w:ascii="Amiri" w:hAnsi="Amiri"/>
          <w:color w:val="111111"/>
          <w:sz w:val="28"/>
          <w:szCs w:val="28"/>
          <w:rtl w:val="true"/>
          <w:lang w:bidi="ar-SA"/>
        </w:rPr>
        <w:t xml:space="preserve">» </w:t>
      </w:r>
      <w:r>
        <w:rPr>
          <w:rStyle w:val="FootnoteAnchor"/>
          <w:rtl w:val="true"/>
        </w:rPr>
        <w:footnoteReference w:id="195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أمر فاطمة بنت أبي حبيش أن تدع الصّلاة أيّام أقرائها،ثمَّ تغتسل و تتوضّأ لكلّ صلاة </w:t>
      </w:r>
      <w:r>
        <w:rPr>
          <w:rStyle w:val="FootnoteAnchor"/>
          <w:rtl w:val="true"/>
        </w:rPr>
        <w:footnoteReference w:id="195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087" w:name="__RefHeading___Toc796007_222507752"/>
      <w:bookmarkStart w:id="1088" w:name="_Toc443"/>
      <w:bookmarkEnd w:id="1087"/>
      <w:r>
        <w:rPr>
          <w:rtl w:val="true"/>
        </w:rPr>
        <w:t>فروع</w:t>
      </w:r>
      <w:r>
        <w:rPr>
          <w:rtl w:val="true"/>
        </w:rPr>
        <w:t>:</w:t>
      </w:r>
      <w:bookmarkEnd w:id="1088"/>
    </w:p>
    <w:p>
      <w:pPr>
        <w:pStyle w:val="Heading6"/>
        <w:numPr>
          <w:ilvl w:val="5"/>
          <w:numId w:val="1"/>
        </w:numPr>
        <w:rPr/>
      </w:pPr>
      <w:bookmarkStart w:id="1089" w:name="__RefHeading___Toc796009_222507752"/>
      <w:bookmarkStart w:id="1090" w:name="_Toc444"/>
      <w:bookmarkEnd w:id="1089"/>
      <w:r>
        <w:rPr>
          <w:rtl w:val="true"/>
        </w:rPr>
        <w:t>الأوّل</w:t>
      </w:r>
      <w:r>
        <w:rPr>
          <w:rtl w:val="true"/>
        </w:rPr>
        <w:t>:</w:t>
      </w:r>
      <w:r>
        <w:rPr>
          <w:rtl w:val="true"/>
        </w:rPr>
        <w:t>المراد بوجوب الغسل هاهنا وجوبه</w:t>
      </w:r>
      <w:bookmarkEnd w:id="1090"/>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لأجل الصّلاة،و الطّواف الواجبين، أو غيرهما من الأفعال الواجبة المشروطة بالطّهارة،لا انّه مستقرّ في ذمّتها،و إن كان للنّظر فيه مجال،إذ الأمر ورد مطلقا بالوجوب</w:t>
      </w:r>
      <w:r>
        <w:rPr>
          <w:rFonts w:eastAsia="Amiri" w:cs="Amiri" w:ascii="Amiri" w:hAnsi="Amiri"/>
          <w:color w:val="111111"/>
          <w:sz w:val="28"/>
          <w:szCs w:val="28"/>
          <w:rtl w:val="true"/>
          <w:lang w:bidi="ar-SA"/>
        </w:rPr>
        <w:t xml:space="preserve">. </w:t>
      </w:r>
      <w:bookmarkStart w:id="1091" w:name="pg12669_113160"/>
    </w:p>
    <w:p>
      <w:pPr>
        <w:pStyle w:val="Heading6"/>
        <w:numPr>
          <w:ilvl w:val="5"/>
          <w:numId w:val="1"/>
        </w:numPr>
        <w:rPr/>
      </w:pPr>
      <w:bookmarkStart w:id="1092" w:name="__RefHeading___Toc796011_222507752"/>
      <w:bookmarkStart w:id="1093" w:name="_Toc445"/>
      <w:bookmarkEnd w:id="1091"/>
      <w:bookmarkEnd w:id="1092"/>
      <w:r>
        <w:rPr>
          <w:rtl w:val="true"/>
        </w:rPr>
        <w:t>الثّاني</w:t>
      </w:r>
      <w:r>
        <w:rPr>
          <w:rtl w:val="true"/>
        </w:rPr>
        <w:t>:</w:t>
      </w:r>
      <w:r>
        <w:rPr>
          <w:rtl w:val="true"/>
        </w:rPr>
        <w:t>الغسل شرط في الصّلاة</w:t>
      </w:r>
      <w:r>
        <w:rPr>
          <w:rtl w:val="true"/>
        </w:rPr>
        <w:t>.</w:t>
      </w:r>
      <w:bookmarkEnd w:id="1093"/>
    </w:p>
    <w:p>
      <w:pPr>
        <w:pStyle w:val="BookText"/>
        <w:rPr/>
      </w:pPr>
      <w:r>
        <w:rPr>
          <w:rFonts w:ascii="Amiri" w:hAnsi="Amiri" w:eastAsia="Amiri" w:cs="Amiri"/>
          <w:color w:val="111111"/>
          <w:sz w:val="28"/>
          <w:sz w:val="28"/>
          <w:szCs w:val="28"/>
          <w:rtl w:val="true"/>
          <w:lang w:bidi="ar-SA"/>
        </w:rPr>
        <w:t xml:space="preserve">و عليه علماء الإسلام،و هل هو شرط في الطّواف؟اتّفق علماؤنا عليه،خلافا لأبي حنيفة </w:t>
      </w:r>
      <w:r>
        <w:rPr>
          <w:rStyle w:val="FootnoteAnchor"/>
          <w:rtl w:val="true"/>
        </w:rPr>
        <w:footnoteReference w:id="19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الطّواف منهيّ عنه لأجل الدّخول في المسجد المحرّم على الحائض،فكان فاسدا،و هل هو شرط في صحّة الصّوم بحيث لو أخلّت به ليلا حتّى أصبحت بطل صومها؟فيه نظر</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يدل على الاشتراط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الشّيخ،عن أبي بصير،عن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طهرت بليل من حيضتها،ثمَّ توانت أن تغتسل في رمضان حتّى أصبحت كان عليها قضاء ذلك اليوم</w:t>
      </w:r>
      <w:r>
        <w:rPr>
          <w:rFonts w:eastAsia="Amiri" w:cs="Amiri" w:ascii="Amiri" w:hAnsi="Amiri"/>
          <w:color w:val="111111"/>
          <w:sz w:val="28"/>
          <w:szCs w:val="28"/>
          <w:rtl w:val="true"/>
          <w:lang w:bidi="ar-SA"/>
        </w:rPr>
        <w:t xml:space="preserve">» </w:t>
      </w:r>
      <w:r>
        <w:rPr>
          <w:rStyle w:val="FootnoteAnchor"/>
          <w:rtl w:val="true"/>
        </w:rPr>
        <w:footnoteReference w:id="1955"/>
      </w:r>
      <w:r>
        <w:rPr>
          <w:rFonts w:ascii="Amiri" w:hAnsi="Amiri" w:eastAsia="Amiri" w:cs="Amiri"/>
          <w:color w:val="111111"/>
          <w:sz w:val="28"/>
          <w:sz w:val="28"/>
          <w:szCs w:val="28"/>
          <w:rtl w:val="true"/>
          <w:lang w:bidi="ar-SA"/>
        </w:rPr>
        <w:t>و في طريقها عليّ بن فضّال،و هو فطحيّ، و عليّ بن أسباط و إن كان فطحيّا إلاّ انّ الأصحاب شهدوا لهما بالثّقة و الصّدق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النّجاشيّ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الحسن بن فضّال،فقيه أصحابنا بالكوفة،و وجههم،و ثقتهم، و عارفهم بالحديث و المسموع قوله فيه،سمع منه شيئا كثيرا فلم يعثر له على زلّة فيه،و قلّ ما روى عن ضعيف،و كان فطحيّا </w:t>
      </w:r>
      <w:r>
        <w:rPr>
          <w:rStyle w:val="FootnoteAnchor"/>
          <w:rtl w:val="true"/>
        </w:rPr>
        <w:footnoteReference w:id="195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أسباط ثقة و كان فطحيّا جرى بينه و بين عليّ بن مهزيار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رسائل في ذلك رجعوا فيها إلى أبي جعفر الثّاني عليه السّلام،فرجع عليّ بن أسباط عن ذلك القول و تركه </w:t>
      </w:r>
      <w:r>
        <w:rPr>
          <w:rStyle w:val="FootnoteAnchor"/>
          <w:rtl w:val="true"/>
        </w:rPr>
        <w:footnoteReference w:id="1957"/>
      </w:r>
      <w:r>
        <w:rPr>
          <w:rFonts w:eastAsia="Times New Roman" w:cs="Times New Roman" w:ascii="Times New Roman" w:hAnsi="Times New Roman"/>
          <w:color w:val="111111"/>
          <w:sz w:val="28"/>
          <w:szCs w:val="28"/>
          <w:rtl w:val="true"/>
          <w:lang w:val="en-US" w:bidi="en-US"/>
        </w:rPr>
        <w:t xml:space="preserve">. </w:t>
      </w:r>
      <w:bookmarkStart w:id="1094" w:name="pg12669_113161"/>
    </w:p>
    <w:p>
      <w:pPr>
        <w:pStyle w:val="Heading6"/>
        <w:numPr>
          <w:ilvl w:val="5"/>
          <w:numId w:val="1"/>
        </w:numPr>
        <w:rPr/>
      </w:pPr>
      <w:bookmarkStart w:id="1095" w:name="__RefHeading___Toc796013_222507752"/>
      <w:bookmarkStart w:id="1096" w:name="_Toc446"/>
      <w:bookmarkEnd w:id="1094"/>
      <w:bookmarkEnd w:id="1095"/>
      <w:r>
        <w:rPr>
          <w:rtl w:val="true"/>
        </w:rPr>
        <w:t>الثّالث</w:t>
      </w:r>
      <w:r>
        <w:rPr>
          <w:rtl w:val="true"/>
        </w:rPr>
        <w:t>:</w:t>
      </w:r>
      <w:r>
        <w:rPr>
          <w:rtl w:val="true"/>
        </w:rPr>
        <w:t>يجب في الغسل الترتيب</w:t>
      </w:r>
      <w:r>
        <w:rPr>
          <w:rtl w:val="true"/>
        </w:rPr>
        <w:t>.</w:t>
      </w:r>
      <w:bookmarkEnd w:id="1096"/>
    </w:p>
    <w:p>
      <w:pPr>
        <w:pStyle w:val="BookText"/>
        <w:rPr/>
      </w:pPr>
      <w:r>
        <w:rPr>
          <w:rFonts w:ascii="Amiri" w:hAnsi="Amiri" w:eastAsia="Amiri" w:cs="Amiri"/>
          <w:color w:val="111111"/>
          <w:sz w:val="28"/>
          <w:sz w:val="28"/>
          <w:szCs w:val="28"/>
          <w:rtl w:val="true"/>
          <w:lang w:bidi="ar-SA"/>
        </w:rPr>
        <w:t>و هو مذهب علمائنا أجمع،و يدلّ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الشّيخ،عن عبيد اللّه بن عليّ الحلبي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غسل الجنابة و الحيض واحد</w:t>
      </w:r>
      <w:r>
        <w:rPr>
          <w:rFonts w:eastAsia="Amiri" w:cs="Amiri" w:ascii="Amiri" w:hAnsi="Amiri"/>
          <w:color w:val="111111"/>
          <w:sz w:val="28"/>
          <w:szCs w:val="28"/>
          <w:rtl w:val="true"/>
          <w:lang w:bidi="ar-SA"/>
        </w:rPr>
        <w:t xml:space="preserve">» </w:t>
      </w:r>
      <w:r>
        <w:rPr>
          <w:rStyle w:val="FootnoteAnchor"/>
          <w:rtl w:val="true"/>
        </w:rPr>
        <w:footnoteReference w:id="19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روى،عن أبي بصير،عن أبي عبد اللّه عليه السّلام مثله </w:t>
      </w:r>
      <w:r>
        <w:rPr>
          <w:rStyle w:val="FootnoteAnchor"/>
          <w:rtl w:val="true"/>
        </w:rPr>
        <w:footnoteReference w:id="195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بمثله روى في الصّحيح،عن عبد اللّه بن سنان،عن أبي عبد اللّه عليه السّلام </w:t>
      </w:r>
      <w:r>
        <w:rPr>
          <w:rStyle w:val="FootnoteAnchor"/>
          <w:rtl w:val="true"/>
        </w:rPr>
        <w:footnoteReference w:id="196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يتحقّق الوحدة إلاّ مع اعتبار الشّرائط الموجودة 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صدق بعض غسل الحيض يجب فيه التّرتيب المخصوص به،صدق كلّ غسل حيض فيه التّرتيب المذكور،و التّالي كالمقدّم 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 الملازمة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القائل بالفصل،و بيان صدق المقدّم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لو لم يصدق الحكم الجزئيّ صدق نقيضه، و ينعكس،لا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يجب فيه التّرتيب المخصوص بغسل الحيض بغسل حيض، و ذلك باطل قطعا</w:t>
      </w:r>
      <w:r>
        <w:rPr>
          <w:rFonts w:eastAsia="Amiri" w:cs="Amiri" w:ascii="Amiri" w:hAnsi="Amiri"/>
          <w:color w:val="111111"/>
          <w:sz w:val="28"/>
          <w:szCs w:val="28"/>
          <w:rtl w:val="true"/>
          <w:lang w:bidi="ar-SA"/>
        </w:rPr>
        <w:t>.</w:t>
      </w:r>
    </w:p>
    <w:p>
      <w:pPr>
        <w:pStyle w:val="Heading6"/>
        <w:numPr>
          <w:ilvl w:val="5"/>
          <w:numId w:val="1"/>
        </w:numPr>
        <w:rPr/>
      </w:pPr>
      <w:bookmarkStart w:id="1097" w:name="__RefHeading___Toc796015_222507752"/>
      <w:bookmarkStart w:id="1098" w:name="_Toc447"/>
      <w:bookmarkEnd w:id="1097"/>
      <w:r>
        <w:rPr>
          <w:rtl w:val="true"/>
        </w:rPr>
        <w:t>الرّابع</w:t>
      </w:r>
      <w:r>
        <w:rPr>
          <w:rtl w:val="true"/>
        </w:rPr>
        <w:t>:</w:t>
      </w:r>
      <w:r>
        <w:rPr>
          <w:rtl w:val="true"/>
        </w:rPr>
        <w:t>يجب فيه النّيّة،</w:t>
      </w:r>
      <w:bookmarkEnd w:id="1098"/>
    </w:p>
    <w:p>
      <w:pPr>
        <w:pStyle w:val="BookText"/>
        <w:rPr/>
      </w:pPr>
      <w:r>
        <w:rPr>
          <w:rFonts w:ascii="Amiri" w:hAnsi="Amiri" w:eastAsia="Amiri" w:cs="Amiri"/>
          <w:color w:val="111111"/>
          <w:sz w:val="28"/>
          <w:sz w:val="28"/>
          <w:szCs w:val="28"/>
          <w:rtl w:val="true"/>
          <w:lang w:bidi="ar-SA"/>
        </w:rPr>
        <w:t xml:space="preserve">لما ذكرناه في التّرتيب،و للأدلّة العامّة المذكورة في الجنابة </w:t>
      </w:r>
      <w:r>
        <w:rPr>
          <w:rStyle w:val="FootnoteAnchor"/>
          <w:rtl w:val="true"/>
        </w:rPr>
        <w:footnoteReference w:id="1961"/>
      </w:r>
      <w:r>
        <w:rPr>
          <w:rFonts w:eastAsia="Times New Roman" w:cs="Times New Roman" w:ascii="Times New Roman" w:hAnsi="Times New Roman"/>
          <w:color w:val="111111"/>
          <w:sz w:val="28"/>
          <w:szCs w:val="28"/>
          <w:rtl w:val="true"/>
          <w:lang w:val="en-US" w:bidi="en-US"/>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اعلم انّ جميع الأحكام المذكورة في غسل الجنابة آتية ها هنا،لتحقّق الوحدة إلاّ </w:t>
      </w:r>
      <w:bookmarkStart w:id="1099" w:name="pg12669_113162"/>
    </w:p>
    <w:p>
      <w:pPr>
        <w:pStyle w:val="BookText"/>
        <w:rPr/>
      </w:pPr>
      <w:bookmarkEnd w:id="1099"/>
      <w:r>
        <w:rPr>
          <w:rFonts w:ascii="Amiri" w:hAnsi="Amiri" w:eastAsia="Amiri" w:cs="Amiri"/>
          <w:color w:val="111111"/>
          <w:sz w:val="28"/>
          <w:sz w:val="28"/>
          <w:szCs w:val="28"/>
          <w:rtl w:val="true"/>
          <w:lang w:bidi="ar-SA"/>
        </w:rPr>
        <w:t xml:space="preserve">شيئا واحدا،و هو الاكتفاء به عن الوضوء،فإنّ فيه خلافا ذكرناه فيما سلف </w:t>
      </w:r>
      <w:r>
        <w:rPr>
          <w:rStyle w:val="FootnoteAnchor"/>
          <w:rtl w:val="true"/>
        </w:rPr>
        <w:footnoteReference w:id="196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100" w:name="__RefHeading___Toc796017_222507752"/>
      <w:bookmarkStart w:id="1101" w:name="_Toc448"/>
      <w:bookmarkEnd w:id="1100"/>
      <w:r>
        <w:rPr>
          <w:rtl w:val="true"/>
        </w:rPr>
        <w:t>مسألة</w:t>
      </w:r>
      <w:r>
        <w:rPr>
          <w:rtl w:val="true"/>
        </w:rPr>
        <w:t>:</w:t>
      </w:r>
      <w:r>
        <w:rPr>
          <w:rtl w:val="true"/>
        </w:rPr>
        <w:t>و يجب عليها الاستبراء عند الانقطاع إن انقطع لدون عشرة،</w:t>
      </w:r>
      <w:bookmarkEnd w:id="1101"/>
    </w:p>
    <w:p>
      <w:pPr>
        <w:pStyle w:val="BookText"/>
        <w:rPr/>
      </w:pPr>
      <w:r>
        <w:rPr>
          <w:rFonts w:ascii="Amiri" w:hAnsi="Amiri" w:eastAsia="Amiri" w:cs="Amiri"/>
          <w:color w:val="111111"/>
          <w:sz w:val="28"/>
          <w:sz w:val="28"/>
          <w:szCs w:val="28"/>
          <w:rtl w:val="true"/>
          <w:lang w:bidi="ar-SA"/>
        </w:rPr>
        <w:t>و كيفيّته أن تدخل قطنة،فإن خرجت ملوّثة صبرت حتّى تنقى أو تبلغ العشرة،و إن خرجت نقيّة اغتسلت،لما رواه الشّيخ في الصّحيح،عن محمّد بن مسلم،عن أبي جعفر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أرادت الحائض أن تغتسل فلتدخل قطنة،فإن خرج فيها شيء من الدّم فلا تغتسل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لم تر شيئا فلتغتسل</w:t>
      </w:r>
      <w:r>
        <w:rPr>
          <w:rFonts w:eastAsia="Amiri" w:cs="Amiri" w:ascii="Amiri" w:hAnsi="Amiri"/>
          <w:color w:val="111111"/>
          <w:sz w:val="28"/>
          <w:szCs w:val="28"/>
          <w:rtl w:val="true"/>
          <w:lang w:bidi="ar-SA"/>
        </w:rPr>
        <w:t xml:space="preserve">] </w:t>
      </w:r>
      <w:r>
        <w:rPr>
          <w:rStyle w:val="FootnoteAnchor"/>
          <w:rtl w:val="true"/>
        </w:rPr>
        <w:footnoteReference w:id="1963"/>
      </w:r>
      <w:r>
        <w:rPr>
          <w:rFonts w:ascii="Amiri" w:hAnsi="Amiri" w:eastAsia="Amiri" w:cs="Amiri"/>
          <w:color w:val="111111"/>
          <w:sz w:val="28"/>
          <w:sz w:val="28"/>
          <w:szCs w:val="28"/>
          <w:rtl w:val="true"/>
          <w:lang w:bidi="ar-SA"/>
        </w:rPr>
        <w:t>و إن رأت بعد ذلك صفرة فلتتوضأ و لتصلّ</w:t>
      </w:r>
      <w:r>
        <w:rPr>
          <w:rFonts w:eastAsia="Amiri" w:cs="Amiri" w:ascii="Amiri" w:hAnsi="Amiri"/>
          <w:color w:val="111111"/>
          <w:sz w:val="28"/>
          <w:szCs w:val="28"/>
          <w:rtl w:val="true"/>
          <w:lang w:bidi="ar-SA"/>
        </w:rPr>
        <w:t xml:space="preserve">» </w:t>
      </w:r>
      <w:r>
        <w:rPr>
          <w:rStyle w:val="FootnoteAnchor"/>
          <w:rtl w:val="true"/>
        </w:rPr>
        <w:footnoteReference w:id="19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مثله روى،عن سماعة،عن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خرج دم فلم تطهر،و إن لم يخرج فقد طهرت</w:t>
      </w:r>
      <w:r>
        <w:rPr>
          <w:rFonts w:eastAsia="Amiri" w:cs="Amiri" w:ascii="Amiri" w:hAnsi="Amiri"/>
          <w:color w:val="111111"/>
          <w:sz w:val="28"/>
          <w:szCs w:val="28"/>
          <w:rtl w:val="true"/>
          <w:lang w:bidi="ar-SA"/>
        </w:rPr>
        <w:t xml:space="preserve">» </w:t>
      </w:r>
      <w:r>
        <w:rPr>
          <w:rStyle w:val="FootnoteAnchor"/>
          <w:rtl w:val="true"/>
        </w:rPr>
        <w:footnoteReference w:id="19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إذا كان الانقطاع لعشرة فلا استبراء،لأنّه إنّما يراد به معرفة وجود دم الحيض من عدمه،و ذلك لا يتمّ مع التّجاوز للعشرة</w:t>
      </w:r>
      <w:r>
        <w:rPr>
          <w:rFonts w:eastAsia="Amiri" w:cs="Amiri" w:ascii="Amiri" w:hAnsi="Amiri"/>
          <w:color w:val="111111"/>
          <w:sz w:val="28"/>
          <w:szCs w:val="28"/>
          <w:rtl w:val="true"/>
          <w:lang w:bidi="ar-SA"/>
        </w:rPr>
        <w:t>.</w:t>
      </w:r>
    </w:p>
    <w:p>
      <w:pPr>
        <w:pStyle w:val="Heading6"/>
        <w:numPr>
          <w:ilvl w:val="5"/>
          <w:numId w:val="1"/>
        </w:numPr>
        <w:rPr/>
      </w:pPr>
      <w:bookmarkStart w:id="1102" w:name="__RefHeading___Toc796019_222507752"/>
      <w:bookmarkStart w:id="1103" w:name="_Toc449"/>
      <w:bookmarkEnd w:id="1102"/>
      <w:r>
        <w:rPr>
          <w:rtl w:val="true"/>
        </w:rPr>
        <w:t>مسألة</w:t>
      </w:r>
      <w:r>
        <w:rPr>
          <w:rtl w:val="true"/>
        </w:rPr>
        <w:t>:</w:t>
      </w:r>
      <w:r>
        <w:rPr>
          <w:rtl w:val="true"/>
        </w:rPr>
        <w:t>و يجب عليها قضاء الصّوم دون الصّلاة</w:t>
      </w:r>
      <w:bookmarkEnd w:id="1103"/>
    </w:p>
    <w:p>
      <w:pPr>
        <w:pStyle w:val="BookText"/>
        <w:rPr/>
      </w:pPr>
      <w:r>
        <w:rPr>
          <w:rFonts w:ascii="IRNazanin" w:hAnsi="IRNazanin" w:eastAsia="IRNazanin"/>
          <w:color w:val="111111"/>
          <w:sz w:val="28"/>
          <w:sz w:val="28"/>
          <w:szCs w:val="28"/>
          <w:rtl w:val="true"/>
          <w:lang w:bidi="fa-IR"/>
        </w:rPr>
        <w:t>،و هو مذهب علماء الإسلام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قالت الخوارج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يجب عليها قضاء الصّلاة </w:t>
      </w:r>
      <w:r>
        <w:rPr>
          <w:rStyle w:val="FootnoteAnchor"/>
          <w:rtl w:val="true"/>
        </w:rPr>
        <w:footnoteReference w:id="1966"/>
      </w:r>
      <w:r>
        <w:rPr>
          <w:rFonts w:eastAsia="Times New Roman" w:cs="Times New Roman" w:ascii="Times New Roman" w:hAnsi="Times New Roman"/>
          <w:color w:val="111111"/>
          <w:sz w:val="28"/>
          <w:szCs w:val="28"/>
          <w:rtl w:val="true"/>
          <w:lang w:val="en-US" w:bidi="en-US"/>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الجمهور،عن عائشة انّها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كنّا نحيض على عهد رسول اللّه صلّى اللّه عليه و آله فنؤمر بقضاء الصّوم و لا نؤمر بقضاء الصّلاة </w:t>
      </w:r>
      <w:r>
        <w:rPr>
          <w:rStyle w:val="FootnoteAnchor"/>
          <w:rtl w:val="true"/>
        </w:rPr>
        <w:footnoteReference w:id="1967"/>
      </w:r>
      <w:r>
        <w:rPr>
          <w:rFonts w:eastAsia="Times New Roman" w:cs="Times New Roman" w:ascii="Times New Roman" w:hAnsi="Times New Roman"/>
          <w:color w:val="111111"/>
          <w:sz w:val="28"/>
          <w:szCs w:val="28"/>
          <w:rtl w:val="true"/>
          <w:lang w:val="en-US" w:bidi="en-US"/>
        </w:rPr>
        <w:t xml:space="preserve">. </w:t>
      </w:r>
      <w:bookmarkStart w:id="1104" w:name="pg12669_113163"/>
    </w:p>
    <w:p>
      <w:pPr>
        <w:pStyle w:val="BookText"/>
        <w:rPr/>
      </w:pPr>
      <w:bookmarkEnd w:id="1104"/>
      <w:r>
        <w:rPr>
          <w:rFonts w:ascii="Amiri" w:hAnsi="Amiri" w:eastAsia="Amiri" w:cs="Amiri"/>
          <w:color w:val="111111"/>
          <w:sz w:val="28"/>
          <w:sz w:val="28"/>
          <w:szCs w:val="28"/>
          <w:rtl w:val="true"/>
          <w:lang w:bidi="ar-SA"/>
        </w:rPr>
        <w:t>و من طريق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الشّيخ،عن عليّ بن عقبة،عن أبيه،عن أبي عبد اللّه عليه السّلام في الحائض في رمضان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تأكل و تشرب،ثمَّ تقضيه</w:t>
      </w:r>
      <w:r>
        <w:rPr>
          <w:rFonts w:eastAsia="Amiri" w:cs="Amiri" w:ascii="Amiri" w:hAnsi="Amiri"/>
          <w:color w:val="111111"/>
          <w:sz w:val="28"/>
          <w:szCs w:val="28"/>
          <w:rtl w:val="true"/>
          <w:lang w:bidi="ar-SA"/>
        </w:rPr>
        <w:t xml:space="preserve">» </w:t>
      </w:r>
      <w:r>
        <w:rPr>
          <w:rStyle w:val="FootnoteAnchor"/>
          <w:rtl w:val="true"/>
        </w:rPr>
        <w:footnoteReference w:id="19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رواه،عن يونس،عن بعض رجاله،عن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رأت الدّم ثلاثة أيّام فهو من الحيض و لم يجب عليها قضاء الصّلاة</w:t>
      </w:r>
      <w:r>
        <w:rPr>
          <w:rFonts w:eastAsia="Amiri" w:cs="Amiri" w:ascii="Amiri" w:hAnsi="Amiri"/>
          <w:color w:val="111111"/>
          <w:sz w:val="28"/>
          <w:szCs w:val="28"/>
          <w:rtl w:val="true"/>
          <w:lang w:bidi="ar-SA"/>
        </w:rPr>
        <w:t xml:space="preserve">» </w:t>
      </w:r>
      <w:r>
        <w:rPr>
          <w:rStyle w:val="FootnoteAnchor"/>
          <w:rtl w:val="true"/>
        </w:rPr>
        <w:footnoteReference w:id="19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ما رواه،عن أبان،عمّن أخبره،عن أبي جعفر و ابي عبد اللّه عليهما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Style w:val="FootnoteAnchor"/>
          <w:rtl w:val="true"/>
        </w:rPr>
        <w:footnoteReference w:id="197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الحائض تقضي الصّيام و لا تقضي الصّلاة</w:t>
      </w:r>
      <w:r>
        <w:rPr>
          <w:rFonts w:eastAsia="Amiri" w:cs="Amiri" w:ascii="Amiri" w:hAnsi="Amiri"/>
          <w:color w:val="111111"/>
          <w:sz w:val="28"/>
          <w:szCs w:val="28"/>
          <w:rtl w:val="true"/>
          <w:lang w:bidi="ar-SA"/>
        </w:rPr>
        <w:t xml:space="preserve">» </w:t>
      </w:r>
      <w:r>
        <w:rPr>
          <w:rStyle w:val="FootnoteAnchor"/>
          <w:rtl w:val="true"/>
        </w:rPr>
        <w:footnoteReference w:id="19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رواه،عن الحسن بن راشد،قال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الحائض تقضي الصلاة؟قال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تقضي الصّوم؟قال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أين جاء هذا؟قال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أوّل من قاس إبليس</w:t>
      </w:r>
      <w:r>
        <w:rPr>
          <w:rFonts w:eastAsia="Amiri" w:cs="Amiri" w:ascii="Amiri" w:hAnsi="Amiri"/>
          <w:color w:val="111111"/>
          <w:sz w:val="28"/>
          <w:szCs w:val="28"/>
          <w:rtl w:val="true"/>
          <w:lang w:bidi="ar-SA"/>
        </w:rPr>
        <w:t xml:space="preserve">» </w:t>
      </w:r>
      <w:r>
        <w:rPr>
          <w:rStyle w:val="FootnoteAnchor"/>
          <w:rtl w:val="true"/>
        </w:rPr>
        <w:footnoteReference w:id="19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رواه في الحسن،عن زرارة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جعفر عليه السّلام عن قضاء الحائض الصّلاة،ثمَّ تقضي الصّيام؟فقال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عليها أن تقضي الصّلاة،و عليها أن تقضي صوم شهر رمضان ثمَّ أقبل عليّ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رسول اللّه صلّى اللّه عليه و آله كان يأمر بذلك فاطمة عليها السّلام،و كان يأمر بذلك المؤمنات</w:t>
      </w:r>
      <w:r>
        <w:rPr>
          <w:rFonts w:eastAsia="Amiri" w:cs="Amiri" w:ascii="Amiri" w:hAnsi="Amiri"/>
          <w:color w:val="111111"/>
          <w:sz w:val="28"/>
          <w:szCs w:val="28"/>
          <w:rtl w:val="true"/>
          <w:lang w:bidi="ar-SA"/>
        </w:rPr>
        <w:t xml:space="preserve">» </w:t>
      </w:r>
      <w:r>
        <w:rPr>
          <w:rStyle w:val="FootnoteAnchor"/>
          <w:rtl w:val="true"/>
        </w:rPr>
        <w:footnoteReference w:id="197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105" w:name="__RefHeading___Toc796021_222507752"/>
      <w:bookmarkStart w:id="1106" w:name="_Toc450"/>
      <w:bookmarkEnd w:id="1105"/>
      <w:r>
        <w:rPr>
          <w:rtl w:val="true"/>
        </w:rPr>
        <w:t>أصل</w:t>
      </w:r>
      <w:r>
        <w:rPr>
          <w:rtl w:val="true"/>
        </w:rPr>
        <w:t>:</w:t>
      </w:r>
      <w:r>
        <w:rPr>
          <w:rtl w:val="true"/>
        </w:rPr>
        <w:t>ما يجوز تركه لا يكون فعله واجبا،</w:t>
      </w:r>
      <w:bookmarkEnd w:id="1106"/>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لأنّ حدّ الواجب هو الّذي يذمّ تاركه، و الجائز هو الّذي لا ضرر في تركه،و بينهما منافاة</w:t>
      </w:r>
      <w:r>
        <w:rPr>
          <w:rFonts w:eastAsia="Amiri" w:cs="Amiri" w:ascii="Amiri" w:hAnsi="Amiri"/>
          <w:color w:val="111111"/>
          <w:sz w:val="28"/>
          <w:szCs w:val="28"/>
          <w:rtl w:val="true"/>
          <w:lang w:bidi="ar-SA"/>
        </w:rPr>
        <w:t xml:space="preserve">. </w:t>
      </w:r>
      <w:bookmarkStart w:id="1107" w:name="pg12669_113164"/>
    </w:p>
    <w:p>
      <w:pPr>
        <w:pStyle w:val="Heading6"/>
        <w:numPr>
          <w:ilvl w:val="5"/>
          <w:numId w:val="1"/>
        </w:numPr>
        <w:rPr/>
      </w:pPr>
      <w:bookmarkStart w:id="1108" w:name="__RefHeading___Toc796023_222507752"/>
      <w:bookmarkStart w:id="1109" w:name="_Toc451"/>
      <w:bookmarkEnd w:id="1107"/>
      <w:bookmarkEnd w:id="1108"/>
      <w:r>
        <w:rPr>
          <w:rtl w:val="true"/>
        </w:rPr>
        <w:t>فروع</w:t>
      </w:r>
      <w:r>
        <w:rPr>
          <w:rtl w:val="true"/>
        </w:rPr>
        <w:t>:</w:t>
      </w:r>
      <w:bookmarkEnd w:id="1109"/>
    </w:p>
    <w:p>
      <w:pPr>
        <w:pStyle w:val="Heading6"/>
        <w:numPr>
          <w:ilvl w:val="5"/>
          <w:numId w:val="1"/>
        </w:numPr>
        <w:rPr/>
      </w:pPr>
      <w:bookmarkStart w:id="1110" w:name="__RefHeading___Toc796025_222507752"/>
      <w:bookmarkStart w:id="1111" w:name="_Toc452"/>
      <w:bookmarkEnd w:id="1110"/>
      <w:r>
        <w:rPr>
          <w:rtl w:val="true"/>
        </w:rPr>
        <w:t>الأوّل</w:t>
      </w:r>
      <w:r>
        <w:rPr>
          <w:rtl w:val="true"/>
        </w:rPr>
        <w:t>:</w:t>
      </w:r>
      <w:r>
        <w:rPr>
          <w:rtl w:val="true"/>
        </w:rPr>
        <w:t>صوم الحائض ليس بواجب،</w:t>
      </w:r>
      <w:bookmarkEnd w:id="1111"/>
    </w:p>
    <w:p>
      <w:pPr>
        <w:pStyle w:val="BookText"/>
        <w:rPr/>
      </w:pPr>
      <w:r>
        <w:rPr>
          <w:rFonts w:ascii="Amiri" w:hAnsi="Amiri" w:eastAsia="Amiri" w:cs="Amiri"/>
          <w:color w:val="111111"/>
          <w:sz w:val="28"/>
          <w:sz w:val="28"/>
          <w:szCs w:val="28"/>
          <w:rtl w:val="true"/>
          <w:lang w:bidi="ar-SA"/>
        </w:rPr>
        <w:t>لأنّه يجوز تركه فلا يكون واجبا،و وجوب القضاء لا يستلزم وجوب الأداء،لأنّه بأمر متجدّد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نعم،لا بدّ و أن يكون سبب الوجوب ثابتا</w:t>
      </w:r>
      <w:r>
        <w:rPr>
          <w:rFonts w:eastAsia="Amiri" w:cs="Amiri" w:ascii="Amiri" w:hAnsi="Amiri"/>
          <w:color w:val="111111"/>
          <w:sz w:val="28"/>
          <w:szCs w:val="28"/>
          <w:rtl w:val="true"/>
          <w:lang w:bidi="ar-SA"/>
        </w:rPr>
        <w:t>.</w:t>
      </w:r>
    </w:p>
    <w:p>
      <w:pPr>
        <w:pStyle w:val="Heading6"/>
        <w:numPr>
          <w:ilvl w:val="5"/>
          <w:numId w:val="1"/>
        </w:numPr>
        <w:rPr/>
      </w:pPr>
      <w:bookmarkStart w:id="1112" w:name="__RefHeading___Toc796027_222507752"/>
      <w:bookmarkStart w:id="1113" w:name="_Toc453"/>
      <w:bookmarkEnd w:id="1112"/>
      <w:r>
        <w:rPr>
          <w:rtl w:val="true"/>
        </w:rPr>
        <w:t>الثّاني</w:t>
      </w:r>
      <w:r>
        <w:rPr>
          <w:rtl w:val="true"/>
        </w:rPr>
        <w:t>:</w:t>
      </w:r>
      <w:r>
        <w:rPr>
          <w:rtl w:val="true"/>
        </w:rPr>
        <w:t>لو دخل الوقت و هي طاهر و لم تصلّ مع الإمكان فحاضت،قضت</w:t>
      </w:r>
      <w:r>
        <w:rPr>
          <w:rtl w:val="true"/>
        </w:rPr>
        <w:t>.</w:t>
      </w:r>
      <w:bookmarkEnd w:id="1113"/>
    </w:p>
    <w:p>
      <w:pPr>
        <w:pStyle w:val="BookText"/>
        <w:rPr/>
      </w:pPr>
      <w:r>
        <w:rPr>
          <w:rFonts w:ascii="Amiri" w:hAnsi="Amiri" w:eastAsia="Amiri" w:cs="Amiri"/>
          <w:color w:val="111111"/>
          <w:sz w:val="28"/>
          <w:sz w:val="28"/>
          <w:szCs w:val="28"/>
          <w:rtl w:val="true"/>
          <w:lang w:bidi="ar-SA"/>
        </w:rPr>
        <w:t xml:space="preserve">و هو اختيار الشّافعيّ </w:t>
      </w:r>
      <w:r>
        <w:rPr>
          <w:rStyle w:val="FootnoteAnchor"/>
          <w:rtl w:val="true"/>
        </w:rPr>
        <w:footnoteReference w:id="1974"/>
      </w:r>
      <w:r>
        <w:rPr>
          <w:rFonts w:ascii="Amiri" w:hAnsi="Amiri" w:eastAsia="Amiri" w:cs="Amiri"/>
          <w:color w:val="111111"/>
          <w:sz w:val="28"/>
          <w:sz w:val="28"/>
          <w:szCs w:val="28"/>
          <w:rtl w:val="true"/>
          <w:lang w:bidi="ar-SA"/>
        </w:rPr>
        <w:t>،خلافا لأبي حنيفة،فإنّه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حاضت و قد بقي من الوقت شيء قليل لم تقض </w:t>
      </w:r>
      <w:r>
        <w:rPr>
          <w:rStyle w:val="FootnoteAnchor"/>
          <w:rtl w:val="true"/>
        </w:rPr>
        <w:footnoteReference w:id="1975"/>
      </w:r>
      <w:r>
        <w:rPr>
          <w:rFonts w:ascii="Amiri" w:hAnsi="Amiri" w:eastAsia="Amiri" w:cs="Amiri"/>
          <w:color w:val="111111"/>
          <w:sz w:val="28"/>
          <w:sz w:val="28"/>
          <w:szCs w:val="28"/>
          <w:rtl w:val="true"/>
          <w:lang w:bidi="ar-SA"/>
        </w:rPr>
        <w:t>،بناء على انّ الوجوب يتعلّق بالآخر</w:t>
      </w:r>
      <w:r>
        <w:rPr>
          <w:rFonts w:eastAsia="Amiri" w:cs="Amiri" w:ascii="Amiri" w:hAnsi="Amiri"/>
          <w:color w:val="111111"/>
          <w:sz w:val="28"/>
          <w:szCs w:val="28"/>
          <w:rtl w:val="true"/>
          <w:lang w:bidi="ar-SA"/>
        </w:rPr>
        <w:t>.</w:t>
      </w:r>
    </w:p>
    <w:p>
      <w:pPr>
        <w:pStyle w:val="Heading6"/>
        <w:numPr>
          <w:ilvl w:val="5"/>
          <w:numId w:val="1"/>
        </w:numPr>
        <w:rPr/>
      </w:pPr>
      <w:bookmarkStart w:id="1114" w:name="__RefHeading___Toc796029_222507752"/>
      <w:bookmarkStart w:id="1115" w:name="_Toc454"/>
      <w:bookmarkEnd w:id="1114"/>
      <w:r>
        <w:rPr>
          <w:rtl w:val="true"/>
        </w:rPr>
        <w:t>الثّالث</w:t>
      </w:r>
      <w:r>
        <w:rPr>
          <w:rtl w:val="true"/>
        </w:rPr>
        <w:t>:</w:t>
      </w:r>
      <w:r>
        <w:rPr>
          <w:rtl w:val="true"/>
        </w:rPr>
        <w:t>يشترط إدراك الفريضة و الطّهارة</w:t>
      </w:r>
      <w:r>
        <w:rPr>
          <w:rtl w:val="true"/>
        </w:rPr>
        <w:t>.</w:t>
      </w:r>
      <w:bookmarkEnd w:id="1115"/>
    </w:p>
    <w:p>
      <w:pPr>
        <w:pStyle w:val="BookText"/>
        <w:rPr/>
      </w:pPr>
      <w:r>
        <w:rPr>
          <w:rFonts w:ascii="Amiri" w:hAnsi="Amiri" w:eastAsia="Amiri" w:cs="Amiri"/>
          <w:color w:val="111111"/>
          <w:sz w:val="28"/>
          <w:sz w:val="28"/>
          <w:szCs w:val="28"/>
          <w:rtl w:val="true"/>
          <w:lang w:bidi="ar-SA"/>
        </w:rPr>
        <w:t>و هو أحد قولي الشّافعيّ،لأنّ الصّلاة لا تصحّ بدونها،و في القول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يشترط،لعدم اختصاص الطّهارة بوقت </w:t>
      </w:r>
      <w:r>
        <w:rPr>
          <w:rStyle w:val="FootnoteAnchor"/>
          <w:rtl w:val="true"/>
        </w:rPr>
        <w:footnoteReference w:id="197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116" w:name="__RefHeading___Toc796031_222507752"/>
      <w:bookmarkStart w:id="1117" w:name="_Toc455"/>
      <w:bookmarkEnd w:id="1116"/>
      <w:r>
        <w:rPr>
          <w:rtl w:val="true"/>
        </w:rPr>
        <w:t>الرّابع</w:t>
      </w:r>
      <w:r>
        <w:rPr>
          <w:rtl w:val="true"/>
        </w:rPr>
        <w:t>:</w:t>
      </w:r>
      <w:r>
        <w:rPr>
          <w:rtl w:val="true"/>
        </w:rPr>
        <w:t>لو مضى من الوقت أقلّ من أداء الفريضة ثمَّ حاضت،لم يجب</w:t>
      </w:r>
      <w:bookmarkEnd w:id="1117"/>
    </w:p>
    <w:p>
      <w:pPr>
        <w:pStyle w:val="BookText"/>
        <w:rPr/>
      </w:pPr>
      <w:r>
        <w:rPr>
          <w:rFonts w:ascii="IRNazanin" w:hAnsi="IRNazanin" w:eastAsia="IRNazanin"/>
          <w:color w:val="111111"/>
          <w:sz w:val="28"/>
          <w:sz w:val="28"/>
          <w:szCs w:val="28"/>
          <w:rtl w:val="true"/>
          <w:lang w:bidi="fa-IR"/>
        </w:rPr>
        <w:t>القضاء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بعض الشّافعيّة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يجب القضاء كما لو أدركت من آخر الوقت </w:t>
      </w:r>
      <w:r>
        <w:rPr>
          <w:rStyle w:val="FootnoteAnchor"/>
          <w:rtl w:val="true"/>
        </w:rPr>
        <w:footnoteReference w:id="1977"/>
      </w:r>
      <w:r>
        <w:rPr>
          <w:rFonts w:eastAsia="Times New Roman" w:cs="Times New Roman" w:ascii="Times New Roman" w:hAnsi="Times New Roman"/>
          <w:color w:val="111111"/>
          <w:sz w:val="28"/>
          <w:szCs w:val="28"/>
          <w:rtl w:val="true"/>
          <w:lang w:val="en-US" w:bidi="en-US"/>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الشّيخ،عن الفضل بن يونس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الحسن الأوّل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إذا رأت المرأة الدّم بعد ما يمضي من زوال الشّمس أربعة أقدام </w:t>
      </w:r>
    </w:p>
    <w:p>
      <w:pPr>
        <w:pStyle w:val="BookText"/>
        <w:rPr/>
      </w:pPr>
      <w:r>
        <w:rPr>
          <w:rFonts w:ascii="Amiri" w:hAnsi="Amiri" w:eastAsia="Amiri" w:cs="Amiri"/>
          <w:color w:val="111111"/>
          <w:sz w:val="28"/>
          <w:sz w:val="28"/>
          <w:szCs w:val="28"/>
          <w:rtl w:val="true"/>
          <w:lang w:bidi="ar-SA"/>
        </w:rPr>
        <w:t>فلتمسك عن الصّلاة،فإذا طهرت من الدّم فلتقض الظّهر،لأنّ وقت الظّهر دخل عليها و هي طاهرة و خرج عنها وقت الظّهر و هي طاهرة فضيّعت صلاة الظّهر فوجب عليها قضاؤها</w:t>
      </w:r>
      <w:r>
        <w:rPr>
          <w:rFonts w:eastAsia="Amiri" w:cs="Amiri" w:ascii="Amiri" w:hAnsi="Amiri"/>
          <w:color w:val="111111"/>
          <w:sz w:val="28"/>
          <w:szCs w:val="28"/>
          <w:rtl w:val="true"/>
          <w:lang w:bidi="ar-SA"/>
        </w:rPr>
        <w:t xml:space="preserve">» </w:t>
      </w:r>
      <w:r>
        <w:rPr>
          <w:rStyle w:val="FootnoteAnchor"/>
          <w:rtl w:val="true"/>
        </w:rPr>
        <w:footnoteReference w:id="1978"/>
      </w:r>
      <w:r>
        <w:rPr>
          <w:rFonts w:ascii="Amiri" w:hAnsi="Amiri" w:eastAsia="Amiri" w:cs="Amiri"/>
          <w:color w:val="111111"/>
          <w:sz w:val="28"/>
          <w:sz w:val="28"/>
          <w:szCs w:val="28"/>
          <w:rtl w:val="true"/>
          <w:lang w:bidi="ar-SA"/>
        </w:rPr>
        <w:t>و الفضل و إن كان واقفيّا إلاّ انّ النّجاشيّ حكم بتوثيقه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رواه في الحسن،عن أبي عبيدة،عن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طهرت في وقت فأخّرت الصّلاة حتّى يدخل وقت صلاة أخرى،ثمَّ رأت دما كان عليها قضاء تلك الصّلاة الّتي فرّطت فيها</w:t>
      </w:r>
      <w:r>
        <w:rPr>
          <w:rFonts w:eastAsia="Amiri" w:cs="Amiri" w:ascii="Amiri" w:hAnsi="Amiri"/>
          <w:color w:val="111111"/>
          <w:sz w:val="28"/>
          <w:szCs w:val="28"/>
          <w:rtl w:val="true"/>
          <w:lang w:bidi="ar-SA"/>
        </w:rPr>
        <w:t xml:space="preserve">» </w:t>
      </w:r>
      <w:r>
        <w:rPr>
          <w:rStyle w:val="FootnoteAnchor"/>
          <w:rtl w:val="true"/>
        </w:rPr>
        <w:footnoteReference w:id="19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روى،عن أبي الورد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جعفر عليه السّلام عن المرأة الّتي تكون في صلاة الظّهر و قد صلّت ركعتين،ثمَّ ترى الدّم؟قال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تقوم من مسجدها و لا تقضي الرّكعتين</w:t>
      </w:r>
      <w:r>
        <w:rPr>
          <w:rFonts w:eastAsia="Amiri" w:cs="Amiri" w:ascii="Amiri" w:hAnsi="Amiri"/>
          <w:color w:val="111111"/>
          <w:sz w:val="28"/>
          <w:szCs w:val="28"/>
          <w:rtl w:val="true"/>
          <w:lang w:bidi="ar-SA"/>
        </w:rPr>
        <w:t xml:space="preserve">» </w:t>
      </w:r>
      <w:r>
        <w:rPr>
          <w:rStyle w:val="FootnoteAnchor"/>
          <w:rtl w:val="true"/>
        </w:rPr>
        <w:footnoteReference w:id="1980"/>
      </w:r>
      <w:r>
        <w:rPr>
          <w:rFonts w:ascii="Amiri" w:hAnsi="Amiri" w:eastAsia="Amiri" w:cs="Amiri"/>
          <w:color w:val="111111"/>
          <w:sz w:val="28"/>
          <w:sz w:val="28"/>
          <w:szCs w:val="28"/>
          <w:rtl w:val="true"/>
          <w:lang w:bidi="ar-SA"/>
        </w:rPr>
        <w:t>و هذا يدلّ على عدم القضاء مع التّضيّق،و لأنّ وجوب القضاء تابع لوجود سبب وجوب الأداء و هو منتف،فإنّ التّكليف يستدعي وقتا،و إلاّ لزم تكليف ما لا يطاق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الحديثين الأوّلين دلاّ على وجوب القضاء مع خروج الوقت بالكلّيّة لا مع خروج وقت إمكان الفعل،و أنتم لا تقولون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انّهما من حيث المنطوق دلاّ على وجوب القضاء مع الخروج بالكلّيّة، و من حيث المفهوم على الوجوب مع خروج وقت الإمكان،لأنّ الأوّل رتّب الحكم فيه على الضّياع،و الثّاني على التّفريط و ذلك متحقّق في صورة النّزاع</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أيضا روى الشّيخ في الموثّق،عن يونس بن يعقوب،عن أبي عبد اللّه عليه </w:t>
      </w:r>
      <w:bookmarkStart w:id="1118" w:name="pg12669_113166"/>
    </w:p>
    <w:p>
      <w:pPr>
        <w:pStyle w:val="BookText"/>
        <w:rPr/>
      </w:pPr>
      <w:bookmarkEnd w:id="1118"/>
      <w:r>
        <w:rPr>
          <w:rFonts w:ascii="Amiri" w:hAnsi="Amiri" w:eastAsia="Amiri" w:cs="Amiri"/>
          <w:color w:val="111111"/>
          <w:sz w:val="28"/>
          <w:sz w:val="28"/>
          <w:szCs w:val="28"/>
          <w:rtl w:val="true"/>
          <w:lang w:bidi="ar-SA"/>
        </w:rPr>
        <w:t>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امرأة إذا دخل وقت الصّلاة و هي طاهر،فأخّرت الصّلاة حتّى حاضت؟قال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تقضي إذا طهرت</w:t>
      </w:r>
      <w:r>
        <w:rPr>
          <w:rFonts w:eastAsia="Amiri" w:cs="Amiri" w:ascii="Amiri" w:hAnsi="Amiri"/>
          <w:color w:val="111111"/>
          <w:sz w:val="28"/>
          <w:szCs w:val="28"/>
          <w:rtl w:val="true"/>
          <w:lang w:bidi="ar-SA"/>
        </w:rPr>
        <w:t xml:space="preserve">» </w:t>
      </w:r>
      <w:r>
        <w:rPr>
          <w:rStyle w:val="FootnoteAnchor"/>
          <w:rtl w:val="true"/>
        </w:rPr>
        <w:footnoteReference w:id="1981"/>
      </w:r>
      <w:r>
        <w:rPr>
          <w:rFonts w:ascii="Amiri" w:hAnsi="Amiri" w:eastAsia="Amiri" w:cs="Amiri"/>
          <w:color w:val="111111"/>
          <w:sz w:val="28"/>
          <w:sz w:val="28"/>
          <w:szCs w:val="28"/>
          <w:rtl w:val="true"/>
          <w:lang w:bidi="ar-SA"/>
        </w:rPr>
        <w:t>علّق الحكم على التّأخير عن الوقت،و ذلك يتناول الخروج بالكلّيّة و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رواه،عن عبد الرّحمن بن الحجّاج،قال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عن المرأة تطمث بعد ما تزول الشّمس و لم تصلّ الظّهر هل عليها قضاء تلك الصّلاة؟قال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Style w:val="FootnoteAnchor"/>
          <w:rtl w:val="true"/>
        </w:rPr>
        <w:footnoteReference w:id="1982"/>
      </w:r>
      <w:r>
        <w:rPr>
          <w:rFonts w:ascii="Amiri" w:hAnsi="Amiri" w:eastAsia="Amiri" w:cs="Amiri"/>
          <w:color w:val="111111"/>
          <w:sz w:val="28"/>
          <w:sz w:val="28"/>
          <w:szCs w:val="28"/>
          <w:rtl w:val="true"/>
          <w:lang w:bidi="ar-SA"/>
        </w:rPr>
        <w:t>و الفرق بين أوّل الوقت و آخره ظاهر،و هو عدم التّمكّن من الإتيان بالفرض حال إدراك الأوّل و وجوده عند إدراك الثّاني،و لهذا لو أدركت ركعة من آخر الوقت،ثمَّ جنّت لم يجب القضاء إجماعا</w:t>
      </w:r>
      <w:r>
        <w:rPr>
          <w:rFonts w:eastAsia="Amiri" w:cs="Amiri" w:ascii="Amiri" w:hAnsi="Amiri"/>
          <w:color w:val="111111"/>
          <w:sz w:val="28"/>
          <w:szCs w:val="28"/>
          <w:rtl w:val="true"/>
          <w:lang w:bidi="ar-SA"/>
        </w:rPr>
        <w:t>.</w:t>
      </w:r>
    </w:p>
    <w:p>
      <w:pPr>
        <w:pStyle w:val="Heading6"/>
        <w:numPr>
          <w:ilvl w:val="5"/>
          <w:numId w:val="1"/>
        </w:numPr>
        <w:rPr/>
      </w:pPr>
      <w:bookmarkStart w:id="1119" w:name="__RefHeading___Toc796033_222507752"/>
      <w:bookmarkStart w:id="1120" w:name="_Toc456"/>
      <w:bookmarkEnd w:id="1119"/>
      <w:r>
        <w:rPr>
          <w:rtl w:val="true"/>
        </w:rPr>
        <w:t>الخامس</w:t>
      </w:r>
      <w:r>
        <w:rPr>
          <w:rtl w:val="true"/>
        </w:rPr>
        <w:t>:</w:t>
      </w:r>
      <w:r>
        <w:rPr>
          <w:rtl w:val="true"/>
        </w:rPr>
        <w:t>لو عقّبت بالنّفاس بأن شربت دواءا فألقت الولد،لم يجب قضاء أيّام</w:t>
      </w:r>
      <w:bookmarkEnd w:id="1120"/>
    </w:p>
    <w:p>
      <w:pPr>
        <w:pStyle w:val="BookText"/>
        <w:rPr/>
      </w:pPr>
      <w:r>
        <w:rPr>
          <w:rFonts w:ascii="IRNazanin" w:hAnsi="IRNazanin" w:eastAsia="IRNazanin"/>
          <w:color w:val="111111"/>
          <w:sz w:val="28"/>
          <w:sz w:val="28"/>
          <w:szCs w:val="28"/>
          <w:rtl w:val="true"/>
          <w:lang w:bidi="fa-IR"/>
        </w:rPr>
        <w:t>نفاسها</w:t>
      </w:r>
    </w:p>
    <w:p>
      <w:pPr>
        <w:pStyle w:val="BookText"/>
        <w:rPr/>
      </w:pPr>
      <w:r>
        <w:rPr>
          <w:rFonts w:ascii="Amiri" w:hAnsi="Amiri" w:eastAsia="Amiri" w:cs="Amiri"/>
          <w:color w:val="111111"/>
          <w:sz w:val="28"/>
          <w:sz w:val="28"/>
          <w:szCs w:val="28"/>
          <w:rtl w:val="true"/>
          <w:lang w:bidi="ar-SA"/>
        </w:rPr>
        <w:t>بخلاف السّكران</w:t>
      </w:r>
      <w:r>
        <w:rPr>
          <w:rFonts w:eastAsia="Amiri" w:cs="Amiri" w:ascii="Amiri" w:hAnsi="Amiri"/>
          <w:color w:val="111111"/>
          <w:sz w:val="28"/>
          <w:szCs w:val="28"/>
          <w:rtl w:val="true"/>
          <w:lang w:bidi="ar-SA"/>
        </w:rPr>
        <w:t>.</w:t>
      </w:r>
    </w:p>
    <w:p>
      <w:pPr>
        <w:pStyle w:val="Heading6"/>
        <w:numPr>
          <w:ilvl w:val="5"/>
          <w:numId w:val="1"/>
        </w:numPr>
        <w:rPr/>
      </w:pPr>
      <w:bookmarkStart w:id="1121" w:name="__RefHeading___Toc796035_222507752"/>
      <w:bookmarkStart w:id="1122" w:name="_Toc457"/>
      <w:bookmarkEnd w:id="1121"/>
      <w:r>
        <w:rPr>
          <w:rtl w:val="true"/>
        </w:rPr>
        <w:t>مسألة</w:t>
      </w:r>
      <w:r>
        <w:rPr>
          <w:rtl w:val="true"/>
        </w:rPr>
        <w:t>:</w:t>
      </w:r>
      <w:r>
        <w:rPr>
          <w:rtl w:val="true"/>
        </w:rPr>
        <w:t>لو دخل الوقت و هي حائض فطهرت،وجب عليها الصّلاة</w:t>
      </w:r>
      <w:bookmarkEnd w:id="1122"/>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بقي من الوقت ما يتّسع للغسل و أداء ركعة،فلو بقي للغروب مقدار ما توقع الغسل و تصلّي ثمان ركعات،وجبت عليها الصّلاتان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لو بقي مقدار ما تصلّي فيه خمس ركعات،أمّا لو بقي مقدار ما تصلّي فيه أربع ركعات لا غير وجب عليها العصر 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البحث لو تخلّف من النّصف الأوّل من اللّيل مقدار خمس ركعات وجبت الصّلاتان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تخلّف إلى الغروب ما لا يسع الغسل و أداء ركعة سقط عنها الفرضان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أهملت في الصّور الّتي أوجبنا فيها الصّلاة،وجب عليها القضاء،و لا قضاء إلاّ مع اتّساع الزّمان،فلا </w:t>
      </w:r>
    </w:p>
    <w:p>
      <w:pPr>
        <w:pStyle w:val="BookText"/>
        <w:rPr/>
      </w:pPr>
      <w:r>
        <w:rPr>
          <w:rFonts w:ascii="Amiri" w:hAnsi="Amiri" w:eastAsia="Amiri" w:cs="Amiri"/>
          <w:color w:val="111111"/>
          <w:sz w:val="28"/>
          <w:sz w:val="28"/>
          <w:szCs w:val="28"/>
          <w:rtl w:val="true"/>
          <w:lang w:bidi="ar-SA"/>
        </w:rPr>
        <w:t>يجب في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الشّافعيّ </w:t>
      </w:r>
      <w:r>
        <w:rPr>
          <w:rStyle w:val="FootnoteAnchor"/>
          <w:rtl w:val="true"/>
        </w:rPr>
        <w:footnoteReference w:id="1983"/>
      </w:r>
      <w:r>
        <w:rPr>
          <w:rFonts w:ascii="Amiri" w:hAnsi="Amiri" w:eastAsia="Amiri" w:cs="Amiri"/>
          <w:color w:val="111111"/>
          <w:sz w:val="28"/>
          <w:sz w:val="28"/>
          <w:szCs w:val="28"/>
          <w:rtl w:val="true"/>
          <w:lang w:bidi="ar-SA"/>
        </w:rPr>
        <w:t xml:space="preserve">،و مالك </w:t>
      </w:r>
      <w:r>
        <w:rPr>
          <w:rStyle w:val="FootnoteAnchor"/>
          <w:rtl w:val="true"/>
        </w:rPr>
        <w:footnoteReference w:id="1984"/>
      </w:r>
      <w:r>
        <w:rPr>
          <w:rFonts w:ascii="Amiri" w:hAnsi="Amiri" w:eastAsia="Amiri" w:cs="Amiri"/>
          <w:color w:val="111111"/>
          <w:sz w:val="28"/>
          <w:sz w:val="28"/>
          <w:szCs w:val="28"/>
          <w:rtl w:val="true"/>
          <w:lang w:bidi="ar-SA"/>
        </w:rPr>
        <w:t>،و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طهرت قبل الغروب لزمها الفريضتان،و لو طهرت قبل الفجر لزمها المغرب و العشاء </w:t>
      </w:r>
      <w:r>
        <w:rPr>
          <w:rStyle w:val="FootnoteAnchor"/>
          <w:rtl w:val="true"/>
        </w:rPr>
        <w:footnoteReference w:id="19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التّكليف يستدعي وقتا يقع فيه الفعل لا يقصر عنه،فمع </w:t>
      </w:r>
      <w:r>
        <w:rPr>
          <w:rStyle w:val="FootnoteAnchor"/>
          <w:rtl w:val="true"/>
        </w:rPr>
        <w:footnoteReference w:id="1986"/>
      </w:r>
      <w:r>
        <w:rPr>
          <w:rFonts w:ascii="Amiri" w:hAnsi="Amiri" w:eastAsia="Amiri" w:cs="Amiri"/>
          <w:color w:val="111111"/>
          <w:sz w:val="28"/>
          <w:sz w:val="28"/>
          <w:szCs w:val="28"/>
          <w:rtl w:val="true"/>
          <w:lang w:bidi="ar-SA"/>
        </w:rPr>
        <w:t>القصور يسقط التّكليف و إلاّ لزم التّكليف بالمحال،و إذا سقط الأداء سقط القضاء،لأنّه تابع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رواه الشّيخ في الصّحيح،عن عبيد بن زرارة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أيّما امرأة رأت الطّهر و هي قادرة على أن تغتسل وقت صلاة ففرّطت فيها حتّى يدخل وقت صلاة اخرى،كان عليها قضاء تلك الصّلاة الّتي فرّطت فيها، فإن رأت الطّهر في وقت صلاة فقامت في تهيئة ذلك،فجاز وقت صلاة و دخل وقت صلاة أخرى،فليس عليها قضاء و تصلّي الصّلاة الّتي دخل وقتها</w:t>
      </w:r>
      <w:r>
        <w:rPr>
          <w:rFonts w:eastAsia="Amiri" w:cs="Amiri" w:ascii="Amiri" w:hAnsi="Amiri"/>
          <w:color w:val="111111"/>
          <w:sz w:val="28"/>
          <w:szCs w:val="28"/>
          <w:rtl w:val="true"/>
          <w:lang w:bidi="ar-SA"/>
        </w:rPr>
        <w:t xml:space="preserve">» </w:t>
      </w:r>
      <w:r>
        <w:rPr>
          <w:rStyle w:val="FootnoteAnchor"/>
          <w:rtl w:val="true"/>
        </w:rPr>
        <w:footnoteReference w:id="1987"/>
      </w:r>
      <w:r>
        <w:rPr>
          <w:rFonts w:eastAsia="Times New Roman" w:cs="Times New Roman" w:ascii="Times New Roman" w:hAnsi="Times New Roman"/>
          <w:color w:val="111111"/>
          <w:sz w:val="28"/>
          <w:szCs w:val="28"/>
          <w:rtl w:val="true"/>
          <w:lang w:val="en-US" w:bidi="en-US"/>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في الحسن،عن أبي عبيدة،عن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رأت المرأة الطّهر و هي في وقت صلاة،ثمَّ أخّرت الغسل حتّى يدخل وقت صلاة اخرى كان عليها قضاء تلك الصّلاة الّتي فرّطت فيها</w:t>
      </w:r>
      <w:r>
        <w:rPr>
          <w:rFonts w:eastAsia="Amiri" w:cs="Amiri" w:ascii="Amiri" w:hAnsi="Amiri"/>
          <w:color w:val="111111"/>
          <w:sz w:val="28"/>
          <w:szCs w:val="28"/>
          <w:rtl w:val="true"/>
          <w:lang w:bidi="ar-SA"/>
        </w:rPr>
        <w:t xml:space="preserve">» </w:t>
      </w:r>
      <w:r>
        <w:rPr>
          <w:rStyle w:val="FootnoteAnchor"/>
          <w:rtl w:val="true"/>
        </w:rPr>
        <w:footnoteReference w:id="1988"/>
      </w:r>
      <w:r>
        <w:rPr>
          <w:rFonts w:ascii="Amiri" w:hAnsi="Amiri" w:eastAsia="Amiri" w:cs="Amiri"/>
          <w:color w:val="111111"/>
          <w:sz w:val="28"/>
          <w:sz w:val="28"/>
          <w:szCs w:val="28"/>
          <w:rtl w:val="true"/>
          <w:lang w:bidi="ar-SA"/>
        </w:rPr>
        <w:t>و التّفريط إنّما يقع مع إمكان الفعل في وقته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روى في الموثّق،عن عبيد اللّه الحلبيّ،عن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المرأة تقوم في وقت الصّلاة فلا تقضي ظهرها حتّى تفوتها الصّلاة و يخرج الوقت،أ تقضي الصّلاة الّتي فاتتها؟قال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كانت توانت قضتها،و إن كانت دائبة في غسلها فلا تقضي</w:t>
      </w:r>
      <w:r>
        <w:rPr>
          <w:rFonts w:eastAsia="Amiri" w:cs="Amiri" w:ascii="Amiri" w:hAnsi="Amiri"/>
          <w:color w:val="111111"/>
          <w:sz w:val="28"/>
          <w:szCs w:val="28"/>
          <w:rtl w:val="true"/>
          <w:lang w:bidi="ar-SA"/>
        </w:rPr>
        <w:t xml:space="preserve">» </w:t>
      </w:r>
      <w:r>
        <w:rPr>
          <w:rStyle w:val="FootnoteAnchor"/>
          <w:rtl w:val="true"/>
        </w:rPr>
        <w:footnoteReference w:id="1989"/>
      </w:r>
      <w:r>
        <w:rPr>
          <w:rFonts w:ascii="Amiri" w:hAnsi="Amiri" w:eastAsia="Amiri" w:cs="Amiri"/>
          <w:color w:val="111111"/>
          <w:sz w:val="28"/>
          <w:sz w:val="28"/>
          <w:szCs w:val="28"/>
          <w:rtl w:val="true"/>
          <w:lang w:bidi="ar-SA"/>
        </w:rPr>
        <w:t>و في طريقها عليّ بن فضّال و قد شهد له بالثّقة مع كونه فطحيّا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يعارض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أبو همام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الحسن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الحائض إذا اغتسلت في وقت العصر،تصلّي العصر ثمَّ تصلّي الظّهر </w:t>
      </w:r>
      <w:r>
        <w:rPr>
          <w:rStyle w:val="FootnoteAnchor"/>
          <w:rtl w:val="true"/>
        </w:rPr>
        <w:footnoteReference w:id="19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رواه،عن الفضل بن يونس،قال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الحسن عليه السّلام عن المرأة ترى الطّهر قبل غروب الشّمس كيف تصنع بالصّلاة؟قال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رأت الطّهر بعد ما يمضي من زوال الشّمس أربعة أقدام فلا تصلّي إلاّ العصر،لأنّ وقت الظّهر دخل عليها و هي في الدّم و خرج عنها الوقت و هي في الدّم،فلم يجب عليها أن تصلّي الظّهر،و ما طرح اللّه عنها من الصّلاة و هي في الدّم أكثر</w:t>
      </w:r>
      <w:r>
        <w:rPr>
          <w:rFonts w:eastAsia="Amiri" w:cs="Amiri" w:ascii="Amiri" w:hAnsi="Amiri"/>
          <w:color w:val="111111"/>
          <w:sz w:val="28"/>
          <w:szCs w:val="28"/>
          <w:rtl w:val="true"/>
          <w:lang w:bidi="ar-SA"/>
        </w:rPr>
        <w:t xml:space="preserve">» </w:t>
      </w:r>
      <w:r>
        <w:rPr>
          <w:rStyle w:val="FootnoteAnchor"/>
          <w:rtl w:val="true"/>
        </w:rPr>
        <w:footnoteReference w:id="1991"/>
      </w:r>
      <w:r>
        <w:rPr>
          <w:rFonts w:eastAsia="Times New Roman" w:cs="Times New Roman" w:ascii="Times New Roman" w:hAnsi="Times New Roman"/>
          <w:color w:val="111111"/>
          <w:sz w:val="28"/>
          <w:szCs w:val="28"/>
          <w:rtl w:val="true"/>
          <w:lang w:val="en-US" w:bidi="en-US"/>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رواه،عن أبي الصّباح الكنانيّ،عن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طهرت المرأة قبل طلوع الفجر صلّت المغرب و العشاء،و إن طهرت قبل أن تغيب الشّمس صلّت الظّهر و العصر</w:t>
      </w:r>
      <w:r>
        <w:rPr>
          <w:rFonts w:eastAsia="Amiri" w:cs="Amiri" w:ascii="Amiri" w:hAnsi="Amiri"/>
          <w:color w:val="111111"/>
          <w:sz w:val="28"/>
          <w:szCs w:val="28"/>
          <w:rtl w:val="true"/>
          <w:lang w:bidi="ar-SA"/>
        </w:rPr>
        <w:t xml:space="preserve">» </w:t>
      </w:r>
      <w:r>
        <w:rPr>
          <w:rStyle w:val="FootnoteAnchor"/>
          <w:rtl w:val="true"/>
        </w:rPr>
        <w:footnoteReference w:id="199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ما رواه،عن عبد اللّه بن سنان،عن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طهرت المرأة قبل غروب الشّمس فلتصلّ الظّهر و العصر،و إن طهرت من آخر اللّيل فلتصلّ المغرب و العشاء</w:t>
      </w:r>
      <w:r>
        <w:rPr>
          <w:rFonts w:eastAsia="Amiri" w:cs="Amiri" w:ascii="Amiri" w:hAnsi="Amiri"/>
          <w:color w:val="111111"/>
          <w:sz w:val="28"/>
          <w:szCs w:val="28"/>
          <w:rtl w:val="true"/>
          <w:lang w:bidi="ar-SA"/>
        </w:rPr>
        <w:t xml:space="preserve">» </w:t>
      </w:r>
      <w:r>
        <w:rPr>
          <w:rStyle w:val="FootnoteAnchor"/>
          <w:rtl w:val="true"/>
        </w:rPr>
        <w:footnoteReference w:id="19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رواه،عن داود الدّجاجيّ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جعفر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كانت المرأة حائضا فطهرت قبل غروب الشّمس صلّت الظّهر و العصر،و إن طهرت في اللّيل صلّت المغرب و العشاء الآخرة</w:t>
      </w:r>
      <w:r>
        <w:rPr>
          <w:rFonts w:eastAsia="Amiri" w:cs="Amiri" w:ascii="Amiri" w:hAnsi="Amiri"/>
          <w:color w:val="111111"/>
          <w:sz w:val="28"/>
          <w:szCs w:val="28"/>
          <w:rtl w:val="true"/>
          <w:lang w:bidi="ar-SA"/>
        </w:rPr>
        <w:t xml:space="preserve">» </w:t>
      </w:r>
      <w:r>
        <w:rPr>
          <w:rStyle w:val="FootnoteAnchor"/>
          <w:rtl w:val="true"/>
        </w:rPr>
        <w:footnoteReference w:id="19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رواه،عن عمر بن حنظلة،عن الشّيخ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طهرت المرأة قبل طلوع الفجر صلّت المغرب و العشاء،و إن طهرت قبل أن تغيب الشّمس صلّت الظّهر و العصر</w:t>
      </w:r>
      <w:r>
        <w:rPr>
          <w:rFonts w:eastAsia="Amiri" w:cs="Amiri" w:ascii="Amiri" w:hAnsi="Amiri"/>
          <w:color w:val="111111"/>
          <w:sz w:val="28"/>
          <w:szCs w:val="28"/>
          <w:rtl w:val="true"/>
          <w:lang w:bidi="ar-SA"/>
        </w:rPr>
        <w:t xml:space="preserve">» </w:t>
      </w:r>
      <w:r>
        <w:rPr>
          <w:rStyle w:val="FootnoteAnchor"/>
          <w:rtl w:val="true"/>
        </w:rPr>
        <w:footnoteReference w:id="19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لأنّا نجيب عن الرّواية الأولى باحتمال أن تكون قد فرّطت في وقت الظّهر،لأنّ 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اغتسلت في وقت العصر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يشعر بأنّ الطّهر حصل في وقت الظّهر،و يحتمل أن يكون الأمر للاستحباب</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انّها مبنيّة على انّ وقت الظّهر أربعة أقدام،ثمَّ تصير قضاء، </w:t>
      </w:r>
    </w:p>
    <w:p>
      <w:pPr>
        <w:pStyle w:val="BookText"/>
        <w:rPr/>
      </w:pPr>
      <w:r>
        <w:rPr>
          <w:rFonts w:ascii="Amiri" w:hAnsi="Amiri" w:eastAsia="Amiri" w:cs="Amiri"/>
          <w:color w:val="111111"/>
          <w:sz w:val="28"/>
          <w:sz w:val="28"/>
          <w:szCs w:val="28"/>
          <w:rtl w:val="true"/>
          <w:lang w:bidi="ar-SA"/>
        </w:rPr>
        <w:t xml:space="preserve">و سيأتي البحث فيه </w:t>
      </w:r>
      <w:r>
        <w:rPr>
          <w:rStyle w:val="FootnoteAnchor"/>
          <w:rtl w:val="true"/>
        </w:rPr>
        <w:footnoteReference w:id="1996"/>
      </w:r>
      <w:r>
        <w:rPr>
          <w:rFonts w:ascii="Amiri" w:hAnsi="Amiri" w:eastAsia="Amiri" w:cs="Amiri"/>
          <w:color w:val="111111"/>
          <w:sz w:val="28"/>
          <w:sz w:val="28"/>
          <w:szCs w:val="28"/>
          <w:rtl w:val="true"/>
          <w:lang w:bidi="ar-SA"/>
        </w:rPr>
        <w:t>،على انّ راويها الفضل،و هو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الشّيخ أبو جعفر الطّوسي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الّذي أعوّل عليه انّ المرأة إذا طهرت بعد الزّوال إلى أن يمضي أربعة أقدام يجب عليها قضاء الصّلاتين،و لو طهرت بعد مضيّ أربعة أقدام وجب عليها قضاء العصر لا غير،و يستحبّ لها قضاء الظّهر إذا كان طهرها إلى مغيب الشّمس </w:t>
      </w:r>
      <w:r>
        <w:rPr>
          <w:rStyle w:val="FootnoteAnchor"/>
          <w:rtl w:val="true"/>
        </w:rPr>
        <w:footnoteReference w:id="19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سيأتي تحقيق هذا في باب المواقيت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الثّالثة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لا منافاة فيها لما ذكرناه،لأنّها إذا طهرت قبل نصف اللّيل أو قبل الغروب بمقدار ما تسع الصّلاتين و الغسل،يصدق انّها قد طهرت قبل الفجر و الغروب،فيحمل عليه جمعا بين الأدلّة،على انّ في طريقها ابن فضّال،و هو فطحيّ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الرّابعة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ذكرناه ها هنا،و 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طهرت من آخر اللّيل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يحمل على النّصف مجازا لما ذكرناه،أو يحمل الأمر على الاستحباب،و في طريقها ضعف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الجواب عن الرّوايتين الأخيرتين</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احتجّ الشّافعيّ </w:t>
      </w:r>
      <w:r>
        <w:rPr>
          <w:rStyle w:val="FootnoteAnchor"/>
          <w:rtl w:val="true"/>
        </w:rPr>
        <w:footnoteReference w:id="1998"/>
      </w:r>
      <w:r>
        <w:rPr>
          <w:rFonts w:ascii="Amiri" w:hAnsi="Amiri" w:eastAsia="Amiri" w:cs="Amiri"/>
          <w:color w:val="111111"/>
          <w:sz w:val="28"/>
          <w:sz w:val="28"/>
          <w:szCs w:val="28"/>
          <w:rtl w:val="true"/>
          <w:lang w:bidi="ar-SA"/>
        </w:rPr>
        <w:t>بما رواه الأثرم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ابن المنذر بإسنادهما،عن عبد اللّه بن عبّاس و عبد الرّحمن بن عوف،انّهما قالا في الحائض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تطهر قبل طلوع الفجر بركعة تصلّي المغرب و العشاء و إذا طهرت قبل غروب الشّمس صلّت الظّهر و العصر جميعا </w:t>
      </w:r>
      <w:r>
        <w:rPr>
          <w:rStyle w:val="FootnoteAnchor"/>
          <w:rtl w:val="true"/>
        </w:rPr>
        <w:footnoteReference w:id="1999"/>
      </w:r>
      <w:r>
        <w:rPr>
          <w:rFonts w:eastAsia="Times New Roman" w:cs="Times New Roman" w:ascii="Times New Roman" w:hAnsi="Times New Roman"/>
          <w:color w:val="111111"/>
          <w:sz w:val="28"/>
          <w:szCs w:val="28"/>
          <w:rtl w:val="true"/>
          <w:lang w:val="en-US" w:bidi="en-US"/>
        </w:rPr>
        <w:t xml:space="preserve">. </w:t>
      </w:r>
      <w:bookmarkStart w:id="1123" w:name="pg12669_113171"/>
    </w:p>
    <w:p>
      <w:pPr>
        <w:pStyle w:val="BookText"/>
        <w:rPr/>
      </w:pPr>
      <w:bookmarkEnd w:id="1123"/>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يحتمل انّهما قالاه عن اجتهاد لا نقلا عن رسول اللّه صلّى اللّه عليه و آله،فلا اعتداد به،و يحتمل انّهما قالاه على جهة الاستحباب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معارض بما ذكرناه من الأدلّة،و بما رواه الشّيخ،عن محمّد بن مسلم، عن أحدهما عليهما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المرأة ترى الطّهر عند الظّهر فتشتغل في شأنها حتّى يدخل وقت العصر؟قال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تصلّي العصر وحدها،فإن ضيّعت </w:t>
      </w:r>
      <w:r>
        <w:rPr>
          <w:rStyle w:val="FootnoteAnchor"/>
          <w:rtl w:val="true"/>
        </w:rPr>
        <w:footnoteReference w:id="2000"/>
      </w:r>
      <w:r>
        <w:rPr>
          <w:rFonts w:ascii="Amiri" w:hAnsi="Amiri" w:eastAsia="Amiri" w:cs="Amiri"/>
          <w:color w:val="111111"/>
          <w:sz w:val="28"/>
          <w:sz w:val="28"/>
          <w:szCs w:val="28"/>
          <w:rtl w:val="true"/>
          <w:lang w:bidi="ar-SA"/>
        </w:rPr>
        <w:t>فعليها صلاتان</w:t>
      </w:r>
      <w:r>
        <w:rPr>
          <w:rFonts w:eastAsia="Amiri" w:cs="Amiri" w:ascii="Amiri" w:hAnsi="Amiri"/>
          <w:color w:val="111111"/>
          <w:sz w:val="28"/>
          <w:szCs w:val="28"/>
          <w:rtl w:val="true"/>
          <w:lang w:bidi="ar-SA"/>
        </w:rPr>
        <w:t xml:space="preserve">» </w:t>
      </w:r>
      <w:r>
        <w:rPr>
          <w:rStyle w:val="FootnoteAnchor"/>
          <w:rtl w:val="true"/>
        </w:rPr>
        <w:footnoteReference w:id="20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الشّيخ،عن منصور بن حازم،عن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طهرت الحائض قبل العصر صلّت الظّهر و العصر،فإن طهرت في آخر وقت العصر صلّت العصر</w:t>
      </w:r>
      <w:r>
        <w:rPr>
          <w:rFonts w:eastAsia="Amiri" w:cs="Amiri" w:ascii="Amiri" w:hAnsi="Amiri"/>
          <w:color w:val="111111"/>
          <w:sz w:val="28"/>
          <w:szCs w:val="28"/>
          <w:rtl w:val="true"/>
          <w:lang w:bidi="ar-SA"/>
        </w:rPr>
        <w:t xml:space="preserve">» </w:t>
      </w:r>
      <w:r>
        <w:rPr>
          <w:rStyle w:val="FootnoteAnchor"/>
          <w:rtl w:val="true"/>
        </w:rPr>
        <w:footnoteReference w:id="200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124" w:name="__RefHeading___Toc796037_222507752"/>
      <w:bookmarkStart w:id="1125" w:name="_Toc458"/>
      <w:bookmarkEnd w:id="1124"/>
      <w:r>
        <w:rPr>
          <w:rtl w:val="true"/>
        </w:rPr>
        <w:t>فروع</w:t>
      </w:r>
      <w:r>
        <w:rPr>
          <w:rtl w:val="true"/>
        </w:rPr>
        <w:t>:</w:t>
      </w:r>
      <w:bookmarkEnd w:id="1125"/>
    </w:p>
    <w:p>
      <w:pPr>
        <w:pStyle w:val="Heading6"/>
        <w:numPr>
          <w:ilvl w:val="5"/>
          <w:numId w:val="1"/>
        </w:numPr>
        <w:rPr/>
      </w:pPr>
      <w:bookmarkStart w:id="1126" w:name="__RefHeading___Toc796039_222507752"/>
      <w:bookmarkStart w:id="1127" w:name="_Toc459"/>
      <w:bookmarkEnd w:id="1126"/>
      <w:r>
        <w:rPr>
          <w:rtl w:val="true"/>
        </w:rPr>
        <w:t>الأوّل</w:t>
      </w:r>
      <w:r>
        <w:rPr>
          <w:rtl w:val="true"/>
        </w:rPr>
        <w:t>:</w:t>
      </w:r>
      <w:r>
        <w:rPr>
          <w:rtl w:val="true"/>
        </w:rPr>
        <w:t>إذا طهرت قبل غروب الشّمس بمقدار خمس،فقد بيّنّا انّه يجب</w:t>
      </w:r>
      <w:bookmarkEnd w:id="1127"/>
    </w:p>
    <w:p>
      <w:pPr>
        <w:pStyle w:val="BookText"/>
        <w:rPr/>
      </w:pPr>
      <w:r>
        <w:rPr>
          <w:rFonts w:ascii="IRNazanin" w:hAnsi="IRNazanin" w:eastAsia="IRNazanin"/>
          <w:color w:val="111111"/>
          <w:sz w:val="28"/>
          <w:sz w:val="28"/>
          <w:szCs w:val="28"/>
          <w:rtl w:val="true"/>
          <w:lang w:bidi="fa-IR"/>
        </w:rPr>
        <w:t>الفرضان،</w:t>
      </w:r>
    </w:p>
    <w:p>
      <w:pPr>
        <w:pStyle w:val="BookText"/>
        <w:rPr/>
      </w:pPr>
      <w:r>
        <w:rPr>
          <w:rFonts w:ascii="Amiri" w:hAnsi="Amiri" w:eastAsia="Amiri" w:cs="Amiri"/>
          <w:color w:val="111111"/>
          <w:sz w:val="28"/>
          <w:sz w:val="28"/>
          <w:szCs w:val="28"/>
          <w:rtl w:val="true"/>
          <w:lang w:bidi="ar-SA"/>
        </w:rPr>
        <w:t>و هل الأربع للظّهر أو العصر؟فيه احتمال،و تظهر الفائدة لو أدركت قبل الانتصاف مقدار أربع ركعات،فإن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الأربعة للظّهر،وجب هنا الفرضان،و إن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للعصر،وجبت العشاء خاصّة،و الرّوايات تدلّ على الثّاني،و سيأتي</w:t>
      </w:r>
      <w:r>
        <w:rPr>
          <w:rFonts w:eastAsia="Amiri" w:cs="Amiri" w:ascii="Amiri" w:hAnsi="Amiri"/>
          <w:color w:val="111111"/>
          <w:sz w:val="28"/>
          <w:szCs w:val="28"/>
          <w:rtl w:val="true"/>
          <w:lang w:bidi="ar-SA"/>
        </w:rPr>
        <w:t>.</w:t>
      </w:r>
    </w:p>
    <w:p>
      <w:pPr>
        <w:pStyle w:val="Heading6"/>
        <w:numPr>
          <w:ilvl w:val="5"/>
          <w:numId w:val="1"/>
        </w:numPr>
        <w:rPr/>
      </w:pPr>
      <w:bookmarkStart w:id="1128" w:name="__RefHeading___Toc796041_222507752"/>
      <w:bookmarkStart w:id="1129" w:name="_Toc460"/>
      <w:bookmarkEnd w:id="1128"/>
      <w:r>
        <w:rPr>
          <w:rtl w:val="true"/>
        </w:rPr>
        <w:t>الثّاني</w:t>
      </w:r>
      <w:r>
        <w:rPr>
          <w:rtl w:val="true"/>
        </w:rPr>
        <w:t>:</w:t>
      </w:r>
      <w:r>
        <w:rPr>
          <w:rtl w:val="true"/>
        </w:rPr>
        <w:t>لا تجب الصّلاة إلاّ بإدراك الطّهارة و ركعة</w:t>
      </w:r>
      <w:r>
        <w:rPr>
          <w:rtl w:val="true"/>
        </w:rPr>
        <w:t>.</w:t>
      </w:r>
      <w:bookmarkEnd w:id="1129"/>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هو أحد قولي الشّافعيّ </w:t>
      </w:r>
      <w:r>
        <w:rPr>
          <w:rStyle w:val="FootnoteAnchor"/>
          <w:rtl w:val="true"/>
        </w:rPr>
        <w:footnoteReference w:id="2003"/>
      </w:r>
      <w:r>
        <w:rPr>
          <w:rFonts w:ascii="IRNazanin" w:hAnsi="IRNazanin" w:eastAsia="IRNazanin"/>
          <w:color w:val="111111"/>
          <w:sz w:val="28"/>
          <w:sz w:val="28"/>
          <w:szCs w:val="28"/>
          <w:rtl w:val="true"/>
          <w:lang w:bidi="fa-IR"/>
        </w:rPr>
        <w:t xml:space="preserve">، </w:t>
      </w:r>
      <w:bookmarkStart w:id="1130" w:name="pg12669_113172"/>
    </w:p>
    <w:p>
      <w:pPr>
        <w:pStyle w:val="BookText"/>
        <w:rPr/>
      </w:pPr>
      <w:bookmarkEnd w:id="1130"/>
      <w:r>
        <w:rPr>
          <w:rFonts w:ascii="Amiri" w:hAnsi="Amiri" w:eastAsia="Amiri" w:cs="Amiri"/>
          <w:color w:val="111111"/>
          <w:sz w:val="28"/>
          <w:sz w:val="28"/>
          <w:szCs w:val="28"/>
          <w:rtl w:val="true"/>
          <w:lang w:bidi="ar-SA"/>
        </w:rPr>
        <w:t>لأنّ الصّلاة لا تصحّ بدونها،و في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تشترط الطّهارة،لعدم اختصاصها بوقت </w:t>
      </w:r>
      <w:r>
        <w:rPr>
          <w:rStyle w:val="FootnoteAnchor"/>
          <w:rtl w:val="true"/>
        </w:rPr>
        <w:footnoteReference w:id="200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131" w:name="__RefHeading___Toc796043_222507752"/>
      <w:bookmarkStart w:id="1132" w:name="_Toc461"/>
      <w:bookmarkEnd w:id="1131"/>
      <w:r>
        <w:rPr>
          <w:rtl w:val="true"/>
        </w:rPr>
        <w:t>الثّالث</w:t>
      </w:r>
      <w:r>
        <w:rPr>
          <w:rtl w:val="true"/>
        </w:rPr>
        <w:t>:</w:t>
      </w:r>
      <w:r>
        <w:rPr>
          <w:rtl w:val="true"/>
        </w:rPr>
        <w:t>لو أدركت الطّهارة و أقلّ من ركعة،لم تجب الصّلاة عندنا</w:t>
      </w:r>
      <w:bookmarkEnd w:id="1132"/>
    </w:p>
    <w:p>
      <w:pPr>
        <w:pStyle w:val="BookText"/>
        <w:rPr/>
      </w:pPr>
      <w:r>
        <w:rPr>
          <w:rFonts w:ascii="Amiri" w:hAnsi="Amiri" w:eastAsia="Amiri" w:cs="Amiri"/>
          <w:color w:val="111111"/>
          <w:sz w:val="28"/>
          <w:sz w:val="28"/>
          <w:szCs w:val="28"/>
          <w:rtl w:val="true"/>
          <w:lang w:bidi="ar-SA"/>
        </w:rPr>
        <w:t>بل تستحبّ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هو أحد قولي الشّافعيّة </w:t>
      </w:r>
      <w:r>
        <w:rPr>
          <w:rStyle w:val="FootnoteAnchor"/>
          <w:rtl w:val="true"/>
        </w:rPr>
        <w:footnoteReference w:id="2005"/>
      </w:r>
      <w:r>
        <w:rPr>
          <w:rFonts w:ascii="Amiri" w:hAnsi="Amiri" w:eastAsia="Amiri" w:cs="Amiri"/>
          <w:color w:val="111111"/>
          <w:sz w:val="28"/>
          <w:sz w:val="28"/>
          <w:szCs w:val="28"/>
          <w:rtl w:val="true"/>
          <w:lang w:bidi="ar-SA"/>
        </w:rPr>
        <w:t>،و في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تجب </w:t>
      </w:r>
      <w:r>
        <w:rPr>
          <w:rStyle w:val="FootnoteAnchor"/>
          <w:rtl w:val="true"/>
        </w:rPr>
        <w:footnoteReference w:id="200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حينئذ هل تجب ما قبلها؟قالوا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كانت لا تجمع إليها كالعشاء و الصّبح،أو الصّبح و الظّهر لم تجب،و إن كانت تجمع معها كالظّهر،و العصر،و المغرب،و العشاء فوجهان</w:t>
      </w:r>
      <w:r>
        <w:rPr>
          <w:rFonts w:eastAsia="Amiri" w:cs="Amiri" w:ascii="Amiri" w:hAnsi="Amiri"/>
          <w:color w:val="111111"/>
          <w:sz w:val="28"/>
          <w:szCs w:val="28"/>
          <w:rtl w:val="true"/>
          <w:lang w:bidi="ar-SA"/>
        </w:rPr>
        <w:t>.</w:t>
      </w:r>
    </w:p>
    <w:p>
      <w:pPr>
        <w:pStyle w:val="Heading6"/>
        <w:numPr>
          <w:ilvl w:val="5"/>
          <w:numId w:val="1"/>
        </w:numPr>
        <w:rPr/>
      </w:pPr>
      <w:bookmarkStart w:id="1133" w:name="__RefHeading___Toc796045_222507752"/>
      <w:bookmarkStart w:id="1134" w:name="_Toc462"/>
      <w:bookmarkEnd w:id="1133"/>
      <w:r>
        <w:rPr>
          <w:rtl w:val="true"/>
        </w:rPr>
        <w:t>الرّابع</w:t>
      </w:r>
      <w:r>
        <w:rPr>
          <w:rtl w:val="true"/>
        </w:rPr>
        <w:t>:</w:t>
      </w:r>
      <w:r>
        <w:rPr>
          <w:rtl w:val="true"/>
        </w:rPr>
        <w:t>إذا قلنا</w:t>
      </w:r>
      <w:r>
        <w:rPr>
          <w:rtl w:val="true"/>
        </w:rPr>
        <w:t>:</w:t>
      </w:r>
      <w:r>
        <w:rPr>
          <w:rtl w:val="true"/>
        </w:rPr>
        <w:t>انّ الوقت مشترك بين الصّلاتين من الزّوال إلى الغروب و من</w:t>
      </w:r>
      <w:bookmarkEnd w:id="1134"/>
    </w:p>
    <w:p>
      <w:pPr>
        <w:pStyle w:val="BookText"/>
        <w:rPr/>
      </w:pPr>
      <w:r>
        <w:rPr>
          <w:rFonts w:ascii="Amiri" w:hAnsi="Amiri" w:eastAsia="Amiri" w:cs="Amiri"/>
          <w:color w:val="111111"/>
          <w:sz w:val="28"/>
          <w:sz w:val="28"/>
          <w:szCs w:val="28"/>
          <w:rtl w:val="true"/>
          <w:lang w:bidi="ar-SA"/>
        </w:rPr>
        <w:t>المغرب إلى نصف اللّيل حتّى تطهر قبل الغروب بمقدار أربع ركعات</w:t>
      </w:r>
    </w:p>
    <w:p>
      <w:pPr>
        <w:pStyle w:val="BookText"/>
        <w:rPr/>
      </w:pPr>
      <w:r>
        <w:rPr>
          <w:rFonts w:ascii="Amiri" w:hAnsi="Amiri" w:eastAsia="Amiri" w:cs="Amiri"/>
          <w:color w:val="111111"/>
          <w:sz w:val="28"/>
          <w:sz w:val="28"/>
          <w:szCs w:val="28"/>
          <w:rtl w:val="true"/>
          <w:lang w:bidi="ar-SA"/>
        </w:rPr>
        <w:t xml:space="preserve">وجب عليها العصر و قضاء الظّهر،و كذا في المغرب و العشاء،و هو قول الشّافعيّ </w:t>
      </w:r>
      <w:r>
        <w:rPr>
          <w:rStyle w:val="FootnoteAnchor"/>
          <w:rtl w:val="true"/>
        </w:rPr>
        <w:footnoteReference w:id="20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لو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الوقت يختصّ بكلّ فريضة فأوّل الوقت يختصّ بالظّهر،و آخره بالعصر حتّى تطهر قبل الغروب بأربع وجب عليها العصر لا غير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اختيار أبي حنيفة </w:t>
      </w:r>
      <w:r>
        <w:rPr>
          <w:rStyle w:val="FootnoteAnchor"/>
          <w:rtl w:val="true"/>
        </w:rPr>
        <w:footnoteReference w:id="2008"/>
      </w:r>
      <w:r>
        <w:rPr>
          <w:rFonts w:ascii="Amiri" w:hAnsi="Amiri" w:eastAsia="Amiri" w:cs="Amiri"/>
          <w:color w:val="111111"/>
          <w:sz w:val="28"/>
          <w:sz w:val="28"/>
          <w:szCs w:val="28"/>
          <w:rtl w:val="true"/>
          <w:lang w:bidi="ar-SA"/>
        </w:rPr>
        <w:t>، و هو الحقّ عندي،لما يأتي في باب الأوقات</w:t>
      </w:r>
      <w:r>
        <w:rPr>
          <w:rFonts w:eastAsia="Amiri" w:cs="Amiri" w:ascii="Amiri" w:hAnsi="Amiri"/>
          <w:color w:val="111111"/>
          <w:sz w:val="28"/>
          <w:szCs w:val="28"/>
          <w:rtl w:val="true"/>
          <w:lang w:bidi="ar-SA"/>
        </w:rPr>
        <w:t>.</w:t>
      </w:r>
    </w:p>
    <w:p>
      <w:pPr>
        <w:pStyle w:val="Heading6"/>
        <w:numPr>
          <w:ilvl w:val="5"/>
          <w:numId w:val="1"/>
        </w:numPr>
        <w:rPr/>
      </w:pPr>
      <w:bookmarkStart w:id="1135" w:name="__RefHeading___Toc796047_222507752"/>
      <w:bookmarkStart w:id="1136" w:name="_Toc463"/>
      <w:bookmarkEnd w:id="1135"/>
      <w:r>
        <w:rPr>
          <w:rtl w:val="true"/>
        </w:rPr>
        <w:t>مسألة</w:t>
      </w:r>
      <w:r>
        <w:rPr>
          <w:rtl w:val="true"/>
        </w:rPr>
        <w:t>:</w:t>
      </w:r>
      <w:r>
        <w:rPr>
          <w:rtl w:val="true"/>
        </w:rPr>
        <w:t>لو سمعت سجدة التّلاوة،قال في النّهاية</w:t>
      </w:r>
      <w:r>
        <w:rPr>
          <w:rtl w:val="true"/>
        </w:rPr>
        <w:t>:</w:t>
      </w:r>
      <w:r>
        <w:rPr>
          <w:rtl w:val="true"/>
        </w:rPr>
        <w:t xml:space="preserve">لا يجوز لها أن تسجد </w:t>
      </w:r>
      <w:r>
        <w:rPr>
          <w:rtl w:val="true"/>
        </w:rPr>
        <w:t>.</w:t>
      </w:r>
      <w:bookmarkEnd w:id="1136"/>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0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اختيار الشّافعيّ </w:t>
      </w:r>
      <w:r>
        <w:rPr>
          <w:rStyle w:val="FootnoteAnchor"/>
          <w:rtl w:val="true"/>
        </w:rPr>
        <w:footnoteReference w:id="2010"/>
      </w:r>
      <w:r>
        <w:rPr>
          <w:rFonts w:ascii="Amiri" w:hAnsi="Amiri" w:eastAsia="Amiri" w:cs="Amiri"/>
          <w:color w:val="111111"/>
          <w:sz w:val="28"/>
          <w:sz w:val="28"/>
          <w:szCs w:val="28"/>
          <w:rtl w:val="true"/>
          <w:lang w:bidi="ar-SA"/>
        </w:rPr>
        <w:t xml:space="preserve">،و أبي </w:t>
      </w:r>
      <w:r>
        <w:rPr>
          <w:rStyle w:val="FootnoteAnchor"/>
          <w:rtl w:val="true"/>
        </w:rPr>
        <w:footnoteReference w:id="2011"/>
      </w:r>
      <w:r>
        <w:rPr>
          <w:rFonts w:ascii="Amiri" w:hAnsi="Amiri" w:eastAsia="Amiri" w:cs="Amiri"/>
          <w:color w:val="111111"/>
          <w:sz w:val="28"/>
          <w:sz w:val="28"/>
          <w:szCs w:val="28"/>
          <w:rtl w:val="true"/>
          <w:lang w:bidi="ar-SA"/>
        </w:rPr>
        <w:t xml:space="preserve">حنيفة،و أحمد </w:t>
      </w:r>
      <w:r>
        <w:rPr>
          <w:rStyle w:val="FootnoteAnchor"/>
          <w:rtl w:val="true"/>
        </w:rPr>
        <w:footnoteReference w:id="201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عثمان،و سعيد بن المسيّب في </w:t>
      </w:r>
    </w:p>
    <w:p>
      <w:pPr>
        <w:pStyle w:val="BookText"/>
        <w:rPr/>
      </w:pPr>
      <w:r>
        <w:rPr>
          <w:rFonts w:ascii="Amiri" w:hAnsi="Amiri" w:eastAsia="Amiri" w:cs="Amiri"/>
          <w:color w:val="111111"/>
          <w:sz w:val="28"/>
          <w:sz w:val="28"/>
          <w:szCs w:val="28"/>
          <w:rtl w:val="true"/>
          <w:lang w:bidi="ar-SA"/>
        </w:rPr>
        <w:t>الحائض تسمع السّجدة،قال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تومئ برأسها و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لك سجدت </w:t>
      </w:r>
      <w:r>
        <w:rPr>
          <w:rStyle w:val="FootnoteAnchor"/>
          <w:rtl w:val="true"/>
        </w:rPr>
        <w:footnoteReference w:id="2013"/>
      </w:r>
      <w:r>
        <w:rPr>
          <w:rStyle w:val="FootnoteAnchor"/>
          <w:rtl w:val="true"/>
        </w:rPr>
        <w:footnoteReference w:id="201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 تمنع من السّجود،و هو الأقرب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الأمر بالسّجود ورد مطلقا،فساغ مع عدم 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احتجّوا </w:t>
      </w:r>
      <w:r>
        <w:rPr>
          <w:rStyle w:val="FootnoteAnchor"/>
          <w:rtl w:val="true"/>
        </w:rPr>
        <w:footnoteReference w:id="2015"/>
      </w:r>
      <w:r>
        <w:rPr>
          <w:rFonts w:ascii="Amiri" w:hAnsi="Amiri" w:eastAsia="Amiri" w:cs="Amiri"/>
          <w:color w:val="111111"/>
          <w:sz w:val="28"/>
          <w:sz w:val="28"/>
          <w:szCs w:val="28"/>
          <w:rtl w:val="true"/>
          <w:lang w:bidi="ar-SA"/>
        </w:rPr>
        <w:t>بقوله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يقبل اللّه صلاة بغير طهور</w:t>
      </w:r>
      <w:r>
        <w:rPr>
          <w:rFonts w:eastAsia="Amiri" w:cs="Amiri" w:ascii="Amiri" w:hAnsi="Amiri"/>
          <w:color w:val="111111"/>
          <w:sz w:val="28"/>
          <w:szCs w:val="28"/>
          <w:rtl w:val="true"/>
          <w:lang w:bidi="ar-SA"/>
        </w:rPr>
        <w:t xml:space="preserve">) </w:t>
      </w:r>
      <w:r>
        <w:rPr>
          <w:rStyle w:val="FootnoteAnchor"/>
          <w:rtl w:val="true"/>
        </w:rPr>
        <w:footnoteReference w:id="2016"/>
      </w:r>
      <w:r>
        <w:rPr>
          <w:rFonts w:ascii="Amiri" w:hAnsi="Amiri" w:eastAsia="Amiri" w:cs="Amiri"/>
          <w:color w:val="111111"/>
          <w:sz w:val="28"/>
          <w:sz w:val="28"/>
          <w:szCs w:val="28"/>
          <w:rtl w:val="true"/>
          <w:lang w:bidi="ar-SA"/>
        </w:rPr>
        <w:t>و السّجود جزء الصّلاة،فيدخل فيها ضمنا،و لأنّه سجود وقع على وجه الطّاعة،فيشترط فيه الطّهارة كسجود الصّلاة و السّهو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 عن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السّجود الّذي هو جزء الصّلاة ليس مطلق السّجود،بل سجود خاصّ،و ليس سجود التّلاوة جزءا،كما انّ سجود الشّكر ليس جزءا،و لا يشترط فيه الطّهارة</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بالفرق،فإنّ سجود السّهو معرض لأن يكون جزءا من الصّلاة، فاشترط فيه الطّهارة،بخلاف سجدة التّلاوة،على انّا نمنع كون سجود السّهو مفتقرا إلى الطّهارة،ثمَّ يعارض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محمّد بن يعقوب في الصّحيح،عن ابن رئاب،عن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جعفر عليه السّلام عن الطّامث تسمع </w:t>
      </w:r>
    </w:p>
    <w:p>
      <w:pPr>
        <w:pStyle w:val="BookText"/>
        <w:rPr/>
      </w:pPr>
      <w:r>
        <w:rPr>
          <w:rFonts w:ascii="Amiri" w:hAnsi="Amiri" w:eastAsia="Amiri" w:cs="Amiri"/>
          <w:color w:val="111111"/>
          <w:sz w:val="28"/>
          <w:sz w:val="28"/>
          <w:szCs w:val="28"/>
          <w:rtl w:val="true"/>
          <w:lang w:bidi="ar-SA"/>
        </w:rPr>
        <w:t>السّجدة؟فقال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كانت من العزائم فلتسجد إذا سمعتها</w:t>
      </w:r>
      <w:r>
        <w:rPr>
          <w:rFonts w:eastAsia="Amiri" w:cs="Amiri" w:ascii="Amiri" w:hAnsi="Amiri"/>
          <w:color w:val="111111"/>
          <w:sz w:val="28"/>
          <w:szCs w:val="28"/>
          <w:rtl w:val="true"/>
          <w:lang w:bidi="ar-SA"/>
        </w:rPr>
        <w:t xml:space="preserve">» </w:t>
      </w:r>
      <w:r>
        <w:rPr>
          <w:rStyle w:val="FootnoteAnchor"/>
          <w:rtl w:val="true"/>
        </w:rPr>
        <w:footnoteReference w:id="20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رواه الشّيخ في الصّحيح،عن أبي عبيدة الحذّاء،عن أبي جعفر عليه السّلام </w:t>
      </w:r>
      <w:r>
        <w:rPr>
          <w:rStyle w:val="FootnoteAnchor"/>
          <w:rtl w:val="true"/>
        </w:rPr>
        <w:footnoteReference w:id="201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أبو بصير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قرئ شيء من العزائم الأربع و سمعتها فاسجد،و إن كنت على غير وضوء،و إن كنت جنبا و إن كانت المرأة لا تصلّي،و سائر القرآن أنت فيه بالخيار،إن شئت سجدت،و إن شئت لم تسجد</w:t>
      </w:r>
      <w:r>
        <w:rPr>
          <w:rFonts w:eastAsia="Amiri" w:cs="Amiri" w:ascii="Amiri" w:hAnsi="Amiri"/>
          <w:color w:val="111111"/>
          <w:sz w:val="28"/>
          <w:szCs w:val="28"/>
          <w:rtl w:val="true"/>
          <w:lang w:bidi="ar-SA"/>
        </w:rPr>
        <w:t xml:space="preserve">» </w:t>
      </w:r>
      <w:r>
        <w:rPr>
          <w:rStyle w:val="FootnoteAnchor"/>
          <w:rtl w:val="true"/>
        </w:rPr>
        <w:footnoteReference w:id="2019"/>
      </w:r>
      <w:r>
        <w:rPr>
          <w:rFonts w:ascii="Amiri" w:hAnsi="Amiri" w:eastAsia="Amiri" w:cs="Amiri"/>
          <w:color w:val="111111"/>
          <w:sz w:val="28"/>
          <w:sz w:val="28"/>
          <w:szCs w:val="28"/>
          <w:rtl w:val="true"/>
          <w:lang w:bidi="ar-SA"/>
        </w:rPr>
        <w:t>هذا إذا استمعت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إذا سمعت هي أو الجنب،قال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يمنعان من السّجود </w:t>
      </w:r>
      <w:r>
        <w:rPr>
          <w:rStyle w:val="FootnoteAnchor"/>
          <w:rtl w:val="true"/>
        </w:rPr>
        <w:footnoteReference w:id="2020"/>
      </w:r>
      <w:r>
        <w:rPr>
          <w:rFonts w:ascii="Amiri" w:hAnsi="Amiri" w:eastAsia="Amiri" w:cs="Amiri"/>
          <w:color w:val="111111"/>
          <w:sz w:val="28"/>
          <w:sz w:val="28"/>
          <w:szCs w:val="28"/>
          <w:rtl w:val="true"/>
          <w:lang w:bidi="ar-SA"/>
        </w:rPr>
        <w:t>،لرواية عبد الرّحمن بن أبي عبد اللّه،عن أبي عبد اللّه عليه السّلام،قال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سألته عن الحائض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w:t>
      </w:r>
      <w:r>
        <w:rPr>
          <w:rFonts w:eastAsia="IRNazanin" w:cs="IRNazanin"/>
          <w:color w:val="111111"/>
          <w:sz w:val="28"/>
          <w:szCs w:val="28"/>
          <w:rtl w:val="true"/>
          <w:lang w:bidi="fa-IR"/>
        </w:rPr>
        <w:t xml:space="preserve">] </w:t>
      </w:r>
      <w:r>
        <w:rPr>
          <w:rStyle w:val="FootnoteAnchor"/>
          <w:rtl w:val="true"/>
        </w:rPr>
        <w:footnoteReference w:id="2021"/>
      </w:r>
      <w:r>
        <w:rPr>
          <w:rFonts w:ascii="Amiri" w:hAnsi="Amiri" w:eastAsia="Amiri" w:cs="Amiri"/>
          <w:color w:val="111111"/>
          <w:sz w:val="28"/>
          <w:sz w:val="28"/>
          <w:szCs w:val="28"/>
          <w:rtl w:val="true"/>
          <w:lang w:bidi="ar-SA"/>
        </w:rPr>
        <w:t>تقرأ القرآن و تسجد السّجدة إذا سمعت السّجدة؟قال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تقرأ و لا تسجد</w:t>
      </w:r>
      <w:r>
        <w:rPr>
          <w:rFonts w:eastAsia="IRNazanin" w:cs="IRNazanin"/>
          <w:color w:val="111111"/>
          <w:sz w:val="28"/>
          <w:szCs w:val="28"/>
          <w:rtl w:val="true"/>
          <w:lang w:bidi="fa-IR"/>
        </w:rPr>
        <w:t xml:space="preserve">» </w:t>
      </w:r>
      <w:r>
        <w:rPr>
          <w:rStyle w:val="FootnoteAnchor"/>
          <w:rtl w:val="true"/>
        </w:rPr>
        <w:footnoteReference w:id="2022"/>
      </w:r>
      <w:r>
        <w:rPr>
          <w:rFonts w:eastAsia="Times New Roman" w:cs="Times New Roman" w:ascii="Times New Roman" w:hAnsi="Times New Roman"/>
          <w:color w:val="111111"/>
          <w:sz w:val="28"/>
          <w:szCs w:val="28"/>
          <w:rtl w:val="true"/>
          <w:lang w:val="en-US" w:bidi="en-US"/>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في المبسوط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يجوز </w:t>
      </w:r>
      <w:r>
        <w:rPr>
          <w:rStyle w:val="FootnoteAnchor"/>
          <w:rtl w:val="true"/>
        </w:rPr>
        <w:footnoteReference w:id="202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لرواية عليّ بن أبي حمزة،عن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قرئ شيء من العزائم الأربع فسمعتها فاسجد،و إن كنت على غير وضوء،و إن كنت جنبا،و إن كانت المرأة لا تصلّي،و سائر القرآن أنت فيه بالخيار إن شئت سجدت و إن شئت لم تسجد</w:t>
      </w:r>
      <w:r>
        <w:rPr>
          <w:rFonts w:eastAsia="Amiri" w:cs="Amiri" w:ascii="Amiri" w:hAnsi="Amiri"/>
          <w:color w:val="111111"/>
          <w:sz w:val="28"/>
          <w:szCs w:val="28"/>
          <w:rtl w:val="true"/>
          <w:lang w:bidi="ar-SA"/>
        </w:rPr>
        <w:t xml:space="preserve">» </w:t>
      </w:r>
      <w:r>
        <w:rPr>
          <w:rStyle w:val="FootnoteAnchor"/>
          <w:rtl w:val="true"/>
        </w:rPr>
        <w:footnoteReference w:id="2024"/>
      </w:r>
      <w:r>
        <w:rPr>
          <w:rFonts w:eastAsia="Times New Roman" w:cs="Times New Roman" w:ascii="Times New Roman" w:hAnsi="Times New Roman"/>
          <w:color w:val="111111"/>
          <w:sz w:val="28"/>
          <w:szCs w:val="28"/>
          <w:rtl w:val="true"/>
          <w:lang w:val="en-US" w:bidi="en-US"/>
        </w:rPr>
        <w:t xml:space="preserve">. </w:t>
      </w:r>
      <w:bookmarkStart w:id="1137" w:name="pg12669_113175"/>
    </w:p>
    <w:p>
      <w:pPr>
        <w:pStyle w:val="Heading6"/>
        <w:numPr>
          <w:ilvl w:val="5"/>
          <w:numId w:val="1"/>
        </w:numPr>
        <w:rPr/>
      </w:pPr>
      <w:bookmarkStart w:id="1138" w:name="__RefHeading___Toc796049_222507752"/>
      <w:bookmarkStart w:id="1139" w:name="_Toc464"/>
      <w:bookmarkEnd w:id="1137"/>
      <w:bookmarkEnd w:id="1138"/>
      <w:r>
        <w:rPr>
          <w:rtl w:val="true"/>
        </w:rPr>
        <w:t>مسألة</w:t>
      </w:r>
      <w:r>
        <w:rPr>
          <w:rtl w:val="true"/>
        </w:rPr>
        <w:t>:</w:t>
      </w:r>
      <w:r>
        <w:rPr>
          <w:rtl w:val="true"/>
        </w:rPr>
        <w:t>و يستحبّ لها الوضوء عند كلّ صلاة،و ذكر اللّه تعالى في مصلاّها بقدر</w:t>
      </w:r>
      <w:bookmarkEnd w:id="1139"/>
    </w:p>
    <w:p>
      <w:pPr>
        <w:pStyle w:val="BookText"/>
        <w:rPr/>
      </w:pPr>
      <w:r>
        <w:rPr>
          <w:rFonts w:ascii="Amiri" w:hAnsi="Amiri" w:eastAsia="Amiri" w:cs="Amiri"/>
          <w:color w:val="111111"/>
          <w:sz w:val="28"/>
          <w:sz w:val="28"/>
          <w:szCs w:val="28"/>
          <w:rtl w:val="true"/>
          <w:lang w:bidi="ar-SA"/>
        </w:rPr>
        <w:t>زمان الصّلاة،</w:t>
      </w:r>
    </w:p>
    <w:p>
      <w:pPr>
        <w:pStyle w:val="BookText"/>
        <w:rPr/>
      </w:pPr>
      <w:r>
        <w:rPr>
          <w:rFonts w:ascii="Amiri" w:hAnsi="Amiri" w:eastAsia="Amiri" w:cs="Amiri"/>
          <w:color w:val="111111"/>
          <w:sz w:val="28"/>
          <w:sz w:val="28"/>
          <w:szCs w:val="28"/>
          <w:rtl w:val="true"/>
          <w:lang w:bidi="ar-SA"/>
        </w:rPr>
        <w:t xml:space="preserve">كذا قال الشّيخ </w:t>
      </w:r>
      <w:r>
        <w:rPr>
          <w:rStyle w:val="FootnoteAnchor"/>
          <w:rtl w:val="true"/>
        </w:rPr>
        <w:footnoteReference w:id="202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المفيد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تجلس ناحية من مصلاّها </w:t>
      </w:r>
      <w:r>
        <w:rPr>
          <w:rStyle w:val="FootnoteAnchor"/>
          <w:rtl w:val="true"/>
        </w:rPr>
        <w:footnoteReference w:id="202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أطلق باقي الأصحاب </w:t>
      </w:r>
      <w:r>
        <w:rPr>
          <w:rStyle w:val="FootnoteAnchor"/>
          <w:rtl w:val="true"/>
        </w:rPr>
        <w:footnoteReference w:id="2027"/>
      </w:r>
      <w:r>
        <w:rPr>
          <w:rFonts w:ascii="Amiri" w:hAnsi="Amiri" w:eastAsia="Amiri" w:cs="Amiri"/>
          <w:color w:val="111111"/>
          <w:sz w:val="28"/>
          <w:sz w:val="28"/>
          <w:szCs w:val="28"/>
          <w:rtl w:val="true"/>
          <w:lang w:bidi="ar-SA"/>
        </w:rPr>
        <w:t>،و هو الأقوى،لما رواه الشّيخ في الحسن،عن زيد الشّحّام،قال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ينبغي للحائض أن تتوضّأ عند وقت كلّ صلاة،ثمَّ تستقبل القبلة فتذكر اللّه عزّ و جلّ مقدار ما كانت تصلّي</w:t>
      </w:r>
      <w:r>
        <w:rPr>
          <w:rFonts w:eastAsia="Amiri" w:cs="Amiri" w:ascii="Amiri" w:hAnsi="Amiri"/>
          <w:color w:val="111111"/>
          <w:sz w:val="28"/>
          <w:szCs w:val="28"/>
          <w:rtl w:val="true"/>
          <w:lang w:bidi="ar-SA"/>
        </w:rPr>
        <w:t xml:space="preserve">» </w:t>
      </w:r>
      <w:r>
        <w:rPr>
          <w:rStyle w:val="FootnoteAnchor"/>
          <w:rtl w:val="true"/>
        </w:rPr>
        <w:footnoteReference w:id="20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رواه في الحسن،عن زرارة،عن أبي جعفر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كانت المرأة طامثا فلا تحلّ لها الصّلاة و عليها أن تتوضّأ وضوء الصّلاة عند وقت كلّ صلاة،ثمَّ تقعد في موضع طاهر فتذكر اللّه عزّ و جل و تسبّحه و تهلّله و تحمده كمقدار صلاتها،ثمَّ تفرغ لحاجتها</w:t>
      </w:r>
      <w:r>
        <w:rPr>
          <w:rFonts w:eastAsia="Amiri" w:cs="Amiri" w:ascii="Amiri" w:hAnsi="Amiri"/>
          <w:color w:val="111111"/>
          <w:sz w:val="28"/>
          <w:szCs w:val="28"/>
          <w:rtl w:val="true"/>
          <w:lang w:bidi="ar-SA"/>
        </w:rPr>
        <w:t xml:space="preserve">» </w:t>
      </w:r>
      <w:r>
        <w:rPr>
          <w:rStyle w:val="FootnoteAnchor"/>
          <w:rtl w:val="true"/>
        </w:rPr>
        <w:footnoteReference w:id="2029"/>
      </w:r>
      <w:r>
        <w:rPr>
          <w:rFonts w:ascii="Amiri" w:hAnsi="Amiri" w:eastAsia="Amiri" w:cs="Amiri"/>
          <w:color w:val="111111"/>
          <w:sz w:val="28"/>
          <w:sz w:val="28"/>
          <w:szCs w:val="28"/>
          <w:rtl w:val="true"/>
          <w:lang w:bidi="ar-SA"/>
        </w:rPr>
        <w:t>و لأنّ فيه نوع تشبيه بالطّاعة،فكان مطلوبا،و لأنّ فيه تمرينا على الطّاعات،إذ التّرك في أكثر الأوقات قد يشقّ معه الفعل عند الوجوب،فيكون سببا للإهمال</w:t>
      </w:r>
      <w:r>
        <w:rPr>
          <w:rFonts w:eastAsia="Amiri" w:cs="Amiri" w:ascii="Amiri" w:hAnsi="Amiri"/>
          <w:color w:val="111111"/>
          <w:sz w:val="28"/>
          <w:szCs w:val="28"/>
          <w:rtl w:val="true"/>
          <w:lang w:bidi="ar-SA"/>
        </w:rPr>
        <w:t>.</w:t>
      </w:r>
    </w:p>
    <w:p>
      <w:pPr>
        <w:pStyle w:val="Heading6"/>
        <w:numPr>
          <w:ilvl w:val="5"/>
          <w:numId w:val="1"/>
        </w:numPr>
        <w:rPr/>
      </w:pPr>
      <w:bookmarkStart w:id="1140" w:name="__RefHeading___Toc796051_222507752"/>
      <w:bookmarkStart w:id="1141" w:name="_Toc465"/>
      <w:bookmarkEnd w:id="1140"/>
      <w:r>
        <w:rPr>
          <w:rtl w:val="true"/>
        </w:rPr>
        <w:t>فروع</w:t>
      </w:r>
      <w:r>
        <w:rPr>
          <w:rtl w:val="true"/>
        </w:rPr>
        <w:t>:</w:t>
      </w:r>
      <w:bookmarkEnd w:id="1141"/>
    </w:p>
    <w:p>
      <w:pPr>
        <w:pStyle w:val="Heading6"/>
        <w:numPr>
          <w:ilvl w:val="5"/>
          <w:numId w:val="1"/>
        </w:numPr>
        <w:rPr/>
      </w:pPr>
      <w:bookmarkStart w:id="1142" w:name="__RefHeading___Toc796053_222507752"/>
      <w:bookmarkStart w:id="1143" w:name="_Toc466"/>
      <w:bookmarkEnd w:id="1142"/>
      <w:r>
        <w:rPr>
          <w:rtl w:val="true"/>
        </w:rPr>
        <w:t>الأوّل</w:t>
      </w:r>
      <w:r>
        <w:rPr>
          <w:rtl w:val="true"/>
        </w:rPr>
        <w:t>:</w:t>
      </w:r>
      <w:r>
        <w:rPr>
          <w:rtl w:val="true"/>
        </w:rPr>
        <w:t>لا تنوي بهذا الوضوء رفع الحدث،و لا استباحة الصّلاة،</w:t>
      </w:r>
      <w:bookmarkEnd w:id="1143"/>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لوجود الحدث، و حصول التّحريم للصّلاة،بل تنوي وضوءا متقرّبا به إلى اللّه تعالى</w:t>
      </w:r>
      <w:r>
        <w:rPr>
          <w:rFonts w:eastAsia="Amiri" w:cs="Amiri" w:ascii="Amiri" w:hAnsi="Amiri"/>
          <w:color w:val="111111"/>
          <w:sz w:val="28"/>
          <w:szCs w:val="28"/>
          <w:rtl w:val="true"/>
          <w:lang w:bidi="ar-SA"/>
        </w:rPr>
        <w:t xml:space="preserve">. </w:t>
      </w:r>
      <w:bookmarkStart w:id="1144" w:name="pg12669_113176"/>
    </w:p>
    <w:p>
      <w:pPr>
        <w:pStyle w:val="Heading6"/>
        <w:numPr>
          <w:ilvl w:val="5"/>
          <w:numId w:val="1"/>
        </w:numPr>
        <w:rPr/>
      </w:pPr>
      <w:bookmarkStart w:id="1145" w:name="__RefHeading___Toc796055_222507752"/>
      <w:bookmarkStart w:id="1146" w:name="_Toc467"/>
      <w:bookmarkEnd w:id="1144"/>
      <w:bookmarkEnd w:id="1145"/>
      <w:r>
        <w:rPr>
          <w:rtl w:val="true"/>
        </w:rPr>
        <w:t>الثّاني</w:t>
      </w:r>
      <w:r>
        <w:rPr>
          <w:rtl w:val="true"/>
        </w:rPr>
        <w:t>:</w:t>
      </w:r>
      <w:r>
        <w:rPr>
          <w:rtl w:val="true"/>
        </w:rPr>
        <w:t>لو توضّأت بنيّة التّقرّب في وقت يتوهّم انّه حيض فبان طهرا،لم يجز لها</w:t>
      </w:r>
      <w:bookmarkEnd w:id="1146"/>
    </w:p>
    <w:p>
      <w:pPr>
        <w:pStyle w:val="BookText"/>
        <w:rPr/>
      </w:pPr>
      <w:r>
        <w:rPr>
          <w:rFonts w:ascii="Amiri" w:hAnsi="Amiri" w:eastAsia="Amiri" w:cs="Amiri"/>
          <w:color w:val="111111"/>
          <w:sz w:val="28"/>
          <w:sz w:val="28"/>
          <w:szCs w:val="28"/>
          <w:rtl w:val="true"/>
          <w:lang w:bidi="ar-SA"/>
        </w:rPr>
        <w:t>الدّخول به في الصّلاة</w:t>
      </w:r>
    </w:p>
    <w:p>
      <w:pPr>
        <w:pStyle w:val="BookText"/>
        <w:rPr/>
      </w:pPr>
      <w:r>
        <w:rPr>
          <w:rFonts w:ascii="Amiri" w:hAnsi="Amiri" w:eastAsia="Amiri" w:cs="Amiri"/>
          <w:color w:val="111111"/>
          <w:sz w:val="28"/>
          <w:sz w:val="28"/>
          <w:szCs w:val="28"/>
          <w:rtl w:val="true"/>
          <w:lang w:bidi="ar-SA"/>
        </w:rPr>
        <w:t>،لأنّها لم تنو طهارة،فلم تقع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الفرق بينها و بين المجدّد حيث قلنا انّه يسوغ له الدّخول به في الصّلاة و إن بان محدثا،لأنّه ثمَّ ينوي الفضيلة الّتي لا تحصل إلاّ مع الطّهارة،أمّا هاهنا فلمّا لم تتوقّف الفضيلة على الطّهارة،لم تكن الطّهارة حاصلة</w:t>
      </w:r>
      <w:r>
        <w:rPr>
          <w:rFonts w:eastAsia="Amiri" w:cs="Amiri" w:ascii="Amiri" w:hAnsi="Amiri"/>
          <w:color w:val="111111"/>
          <w:sz w:val="28"/>
          <w:szCs w:val="28"/>
          <w:rtl w:val="true"/>
          <w:lang w:bidi="ar-SA"/>
        </w:rPr>
        <w:t>.</w:t>
      </w:r>
    </w:p>
    <w:p>
      <w:pPr>
        <w:pStyle w:val="Heading6"/>
        <w:numPr>
          <w:ilvl w:val="5"/>
          <w:numId w:val="1"/>
        </w:numPr>
        <w:rPr/>
      </w:pPr>
      <w:bookmarkStart w:id="1147" w:name="__RefHeading___Toc796057_222507752"/>
      <w:bookmarkStart w:id="1148" w:name="_Toc468"/>
      <w:bookmarkEnd w:id="1147"/>
      <w:r>
        <w:rPr>
          <w:rtl w:val="true"/>
        </w:rPr>
        <w:t>الثّالث</w:t>
      </w:r>
      <w:r>
        <w:rPr>
          <w:rtl w:val="true"/>
        </w:rPr>
        <w:t>:</w:t>
      </w:r>
      <w:r>
        <w:rPr>
          <w:rtl w:val="true"/>
        </w:rPr>
        <w:t>لو نوت بوضوئها رفع الحدث في وقت يتوهّم فيه انّها حائض فبانت</w:t>
      </w:r>
      <w:bookmarkEnd w:id="1148"/>
    </w:p>
    <w:p>
      <w:pPr>
        <w:pStyle w:val="BookText"/>
        <w:rPr/>
      </w:pPr>
      <w:r>
        <w:rPr>
          <w:rFonts w:ascii="Amiri" w:hAnsi="Amiri" w:eastAsia="Amiri" w:cs="Amiri"/>
          <w:color w:val="111111"/>
          <w:sz w:val="28"/>
          <w:sz w:val="28"/>
          <w:szCs w:val="28"/>
          <w:rtl w:val="true"/>
          <w:lang w:bidi="ar-SA"/>
        </w:rPr>
        <w:t>طاهرا،فالوجه انّها لا تدخل به في الصّلاة</w:t>
      </w:r>
    </w:p>
    <w:p>
      <w:pPr>
        <w:pStyle w:val="BookText"/>
        <w:rPr/>
      </w:pPr>
      <w:r>
        <w:rPr>
          <w:rFonts w:ascii="Amiri" w:hAnsi="Amiri" w:eastAsia="Amiri" w:cs="Amiri"/>
          <w:color w:val="111111"/>
          <w:sz w:val="28"/>
          <w:sz w:val="28"/>
          <w:szCs w:val="28"/>
          <w:rtl w:val="true"/>
          <w:lang w:bidi="ar-SA"/>
        </w:rPr>
        <w:t>،لأنّها أقدمت على القبيح،فلا يقع على وجه التّقرّب</w:t>
      </w:r>
      <w:r>
        <w:rPr>
          <w:rFonts w:eastAsia="Amiri" w:cs="Amiri" w:ascii="Amiri" w:hAnsi="Amiri"/>
          <w:color w:val="111111"/>
          <w:sz w:val="28"/>
          <w:szCs w:val="28"/>
          <w:rtl w:val="true"/>
          <w:lang w:bidi="ar-SA"/>
        </w:rPr>
        <w:t>.</w:t>
      </w:r>
    </w:p>
    <w:p>
      <w:pPr>
        <w:pStyle w:val="Heading6"/>
        <w:numPr>
          <w:ilvl w:val="5"/>
          <w:numId w:val="1"/>
        </w:numPr>
        <w:rPr/>
      </w:pPr>
      <w:bookmarkStart w:id="1149" w:name="__RefHeading___Toc796059_222507752"/>
      <w:bookmarkStart w:id="1150" w:name="_Toc469"/>
      <w:bookmarkEnd w:id="1149"/>
      <w:r>
        <w:rPr>
          <w:rtl w:val="true"/>
        </w:rPr>
        <w:t>الرّابع</w:t>
      </w:r>
      <w:r>
        <w:rPr>
          <w:rtl w:val="true"/>
        </w:rPr>
        <w:t>:</w:t>
      </w:r>
      <w:r>
        <w:rPr>
          <w:rtl w:val="true"/>
        </w:rPr>
        <w:t>لو اغتسلت عوض الوضوء لم تدرك به فضيلة الوضوء،</w:t>
      </w:r>
      <w:bookmarkEnd w:id="1150"/>
    </w:p>
    <w:p>
      <w:pPr>
        <w:pStyle w:val="BookText"/>
        <w:rPr/>
      </w:pPr>
      <w:r>
        <w:rPr>
          <w:rFonts w:ascii="Amiri" w:hAnsi="Amiri" w:eastAsia="Amiri" w:cs="Amiri"/>
          <w:color w:val="111111"/>
          <w:sz w:val="28"/>
          <w:sz w:val="28"/>
          <w:szCs w:val="28"/>
          <w:rtl w:val="true"/>
          <w:lang w:bidi="ar-SA"/>
        </w:rPr>
        <w:t>إذ النّصّ تناول الوضوء</w:t>
      </w:r>
      <w:r>
        <w:rPr>
          <w:rFonts w:eastAsia="Amiri" w:cs="Amiri" w:ascii="Amiri" w:hAnsi="Amiri"/>
          <w:color w:val="111111"/>
          <w:sz w:val="28"/>
          <w:szCs w:val="28"/>
          <w:rtl w:val="true"/>
          <w:lang w:bidi="ar-SA"/>
        </w:rPr>
        <w:t>.</w:t>
      </w:r>
    </w:p>
    <w:p>
      <w:pPr>
        <w:pStyle w:val="Heading6"/>
        <w:numPr>
          <w:ilvl w:val="5"/>
          <w:numId w:val="1"/>
        </w:numPr>
        <w:rPr/>
      </w:pPr>
      <w:bookmarkStart w:id="1151" w:name="__RefHeading___Toc796061_222507752"/>
      <w:bookmarkStart w:id="1152" w:name="_Toc470"/>
      <w:bookmarkEnd w:id="1151"/>
      <w:r>
        <w:rPr>
          <w:rtl w:val="true"/>
        </w:rPr>
        <w:t>الخامس</w:t>
      </w:r>
      <w:r>
        <w:rPr>
          <w:rtl w:val="true"/>
        </w:rPr>
        <w:t>:</w:t>
      </w:r>
      <w:r>
        <w:rPr>
          <w:rtl w:val="true"/>
        </w:rPr>
        <w:t>لو فقدت الماء هل تتيمّم أم لا؟الوجه</w:t>
      </w:r>
      <w:r>
        <w:rPr>
          <w:rtl w:val="true"/>
        </w:rPr>
        <w:t>:</w:t>
      </w:r>
      <w:r>
        <w:rPr>
          <w:rtl w:val="true"/>
        </w:rPr>
        <w:t>لا،</w:t>
      </w:r>
      <w:bookmarkEnd w:id="1152"/>
    </w:p>
    <w:p>
      <w:pPr>
        <w:pStyle w:val="BookText"/>
        <w:rPr/>
      </w:pPr>
      <w:r>
        <w:rPr>
          <w:rFonts w:ascii="Amiri" w:hAnsi="Amiri" w:eastAsia="Amiri" w:cs="Amiri"/>
          <w:color w:val="111111"/>
          <w:sz w:val="28"/>
          <w:sz w:val="28"/>
          <w:szCs w:val="28"/>
          <w:rtl w:val="true"/>
          <w:lang w:bidi="ar-SA"/>
        </w:rPr>
        <w:t>لأنّها طهارة اضطراريّة و لا ضرورة هنا،و لعدم تناول النّصّ له</w:t>
      </w:r>
      <w:r>
        <w:rPr>
          <w:rFonts w:eastAsia="Amiri" w:cs="Amiri" w:ascii="Amiri" w:hAnsi="Amiri"/>
          <w:color w:val="111111"/>
          <w:sz w:val="28"/>
          <w:szCs w:val="28"/>
          <w:rtl w:val="true"/>
          <w:lang w:bidi="ar-SA"/>
        </w:rPr>
        <w:t>.</w:t>
      </w:r>
    </w:p>
    <w:p>
      <w:pPr>
        <w:pStyle w:val="Heading6"/>
        <w:numPr>
          <w:ilvl w:val="5"/>
          <w:numId w:val="1"/>
        </w:numPr>
        <w:rPr/>
      </w:pPr>
      <w:bookmarkStart w:id="1153" w:name="__RefHeading___Toc796063_222507752"/>
      <w:bookmarkStart w:id="1154" w:name="_Toc471"/>
      <w:bookmarkEnd w:id="1153"/>
      <w:r>
        <w:rPr>
          <w:rtl w:val="true"/>
        </w:rPr>
        <w:t>مسألة</w:t>
      </w:r>
      <w:r>
        <w:rPr>
          <w:rtl w:val="true"/>
        </w:rPr>
        <w:t>:</w:t>
      </w:r>
      <w:r>
        <w:rPr>
          <w:rtl w:val="true"/>
        </w:rPr>
        <w:t>و يكره لها الخضاب</w:t>
      </w:r>
      <w:r>
        <w:rPr>
          <w:rtl w:val="true"/>
        </w:rPr>
        <w:t>.</w:t>
      </w:r>
      <w:bookmarkEnd w:id="1154"/>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مذهب علمائنا أجمع،لما رواه الشّيخ،عن عامر بن جذاعة،عن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تختضب الحائض و لا الجنب</w:t>
      </w:r>
      <w:r>
        <w:rPr>
          <w:rFonts w:eastAsia="Amiri" w:cs="Amiri" w:ascii="Amiri" w:hAnsi="Amiri"/>
          <w:color w:val="111111"/>
          <w:sz w:val="28"/>
          <w:szCs w:val="28"/>
          <w:rtl w:val="true"/>
          <w:lang w:bidi="ar-SA"/>
        </w:rPr>
        <w:t xml:space="preserve">» </w:t>
      </w:r>
      <w:r>
        <w:rPr>
          <w:rStyle w:val="FootnoteAnchor"/>
          <w:rtl w:val="true"/>
        </w:rPr>
        <w:footnoteReference w:id="2030"/>
      </w:r>
      <w:r>
        <w:rPr>
          <w:rFonts w:ascii="Amiri" w:hAnsi="Amiri" w:eastAsia="Amiri" w:cs="Amiri"/>
          <w:color w:val="111111"/>
          <w:sz w:val="28"/>
          <w:sz w:val="28"/>
          <w:szCs w:val="28"/>
          <w:rtl w:val="true"/>
          <w:lang w:bidi="ar-SA"/>
        </w:rPr>
        <w:t>و هذا النّهي ليس للتّحريم،لما رواه ابن يعقوب،عن سهل بن اليسع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أبي الحسن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بأن تختضب المرأة و هي حائض</w:t>
      </w:r>
      <w:r>
        <w:rPr>
          <w:rFonts w:eastAsia="Amiri" w:cs="Amiri" w:ascii="Amiri" w:hAnsi="Amiri"/>
          <w:color w:val="111111"/>
          <w:sz w:val="28"/>
          <w:szCs w:val="28"/>
          <w:rtl w:val="true"/>
          <w:lang w:bidi="ar-SA"/>
        </w:rPr>
        <w:t xml:space="preserve">» </w:t>
      </w:r>
      <w:r>
        <w:rPr>
          <w:rStyle w:val="FootnoteAnchor"/>
          <w:rtl w:val="true"/>
        </w:rPr>
        <w:footnoteReference w:id="2031"/>
      </w:r>
      <w:r>
        <w:rPr>
          <w:rFonts w:eastAsia="Times New Roman" w:cs="Times New Roman" w:ascii="Times New Roman" w:hAnsi="Times New Roman"/>
          <w:color w:val="111111"/>
          <w:sz w:val="28"/>
          <w:szCs w:val="28"/>
          <w:rtl w:val="true"/>
          <w:lang w:val="en-US" w:bidi="en-US"/>
        </w:rPr>
        <w:t xml:space="preserve">. </w:t>
      </w:r>
      <w:bookmarkStart w:id="1155" w:name="pg12669_113177"/>
    </w:p>
    <w:p>
      <w:pPr>
        <w:pStyle w:val="BookText"/>
        <w:rPr/>
      </w:pPr>
      <w:bookmarkEnd w:id="1155"/>
      <w:r>
        <w:rPr>
          <w:rFonts w:ascii="Amiri" w:hAnsi="Amiri" w:eastAsia="Amiri" w:cs="Amiri"/>
          <w:color w:val="111111"/>
          <w:sz w:val="28"/>
          <w:sz w:val="28"/>
          <w:szCs w:val="28"/>
          <w:rtl w:val="true"/>
          <w:lang w:bidi="ar-SA"/>
        </w:rPr>
        <w:t>و عن عليّ بن أبي حمزة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إبراهيم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تختضب المرأة و هي طامث؟فقال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Style w:val="FootnoteAnchor"/>
          <w:rtl w:val="true"/>
        </w:rPr>
        <w:footnoteReference w:id="2032"/>
      </w:r>
      <w:r>
        <w:rPr>
          <w:rFonts w:ascii="Amiri" w:hAnsi="Amiri" w:eastAsia="Amiri" w:cs="Amiri"/>
          <w:color w:val="111111"/>
          <w:sz w:val="28"/>
          <w:sz w:val="28"/>
          <w:szCs w:val="28"/>
          <w:rtl w:val="true"/>
          <w:lang w:bidi="ar-SA"/>
        </w:rPr>
        <w:t>فظهر انّ الرّواية الأولى تدلّ على الكراهية،و هاتان على الإباحة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يكره لها حمل المصحف،و لمس هامشه،و قال المرتضى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يحرم </w:t>
      </w:r>
      <w:r>
        <w:rPr>
          <w:rStyle w:val="FootnoteAnchor"/>
          <w:rtl w:val="true"/>
        </w:rPr>
        <w:footnoteReference w:id="203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تقدّم البحث فيه في باب الجنابة </w:t>
      </w:r>
      <w:r>
        <w:rPr>
          <w:rStyle w:val="FootnoteAnchor"/>
          <w:rtl w:val="true"/>
        </w:rPr>
        <w:footnoteReference w:id="2034"/>
      </w:r>
      <w:r>
        <w:rPr>
          <w:rFonts w:ascii="Amiri" w:hAnsi="Amiri" w:eastAsia="Amiri" w:cs="Amiri"/>
          <w:color w:val="111111"/>
          <w:sz w:val="28"/>
          <w:sz w:val="28"/>
          <w:szCs w:val="28"/>
          <w:rtl w:val="true"/>
          <w:lang w:bidi="ar-SA"/>
        </w:rPr>
        <w:t xml:space="preserve">و يكره الاستمتاع منها بما فوق الرّكبة و تحت السّرّة إلاّ موضع الدّم،فإنّه محرّم </w:t>
      </w:r>
      <w:r>
        <w:rPr>
          <w:rStyle w:val="FootnoteAnchor"/>
          <w:rtl w:val="true"/>
        </w:rPr>
        <w:footnoteReference w:id="203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156" w:name="__RefHeading___Toc796065_222507752"/>
      <w:bookmarkStart w:id="1157" w:name="_Toc472"/>
      <w:bookmarkEnd w:id="1156"/>
      <w:r>
        <w:rPr>
          <w:rtl w:val="true"/>
        </w:rPr>
        <w:t>مسألة</w:t>
      </w:r>
      <w:r>
        <w:rPr>
          <w:rtl w:val="true"/>
        </w:rPr>
        <w:t>:</w:t>
      </w:r>
      <w:r>
        <w:rPr>
          <w:rtl w:val="true"/>
        </w:rPr>
        <w:t>لا خلاف في تحريم وطء الحائض قبلا،</w:t>
      </w:r>
      <w:bookmarkEnd w:id="1157"/>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w:t>
      </w:r>
      <w:r>
        <w:rPr>
          <w:rStyle w:val="FootnoteAnchor"/>
          <w:rtl w:val="true"/>
        </w:rPr>
        <w:footnoteReference w:id="2036"/>
      </w: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اتّفقوا على تعلّق الكفّارة بالواطئ مع العلم بالحيض و التّحريم،و وقع الخلاف في وجوبها،قال الشّيخ في الجمل و المبسوط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تجب </w:t>
      </w:r>
      <w:r>
        <w:rPr>
          <w:rStyle w:val="FootnoteAnchor"/>
          <w:rtl w:val="true"/>
        </w:rPr>
        <w:footnoteReference w:id="2037"/>
      </w:r>
      <w:r>
        <w:rPr>
          <w:rFonts w:ascii="Amiri" w:hAnsi="Amiri" w:eastAsia="Amiri" w:cs="Amiri"/>
          <w:color w:val="111111"/>
          <w:sz w:val="28"/>
          <w:sz w:val="28"/>
          <w:szCs w:val="28"/>
          <w:rtl w:val="true"/>
          <w:lang w:bidi="ar-SA"/>
        </w:rPr>
        <w:t xml:space="preserve">،و هو قول المفيد </w:t>
      </w:r>
      <w:r>
        <w:rPr>
          <w:rStyle w:val="FootnoteAnchor"/>
          <w:rtl w:val="true"/>
        </w:rPr>
        <w:footnoteReference w:id="2038"/>
      </w:r>
      <w:r>
        <w:rPr>
          <w:rFonts w:ascii="Amiri" w:hAnsi="Amiri" w:eastAsia="Amiri" w:cs="Amiri"/>
          <w:color w:val="111111"/>
          <w:sz w:val="28"/>
          <w:sz w:val="28"/>
          <w:szCs w:val="28"/>
          <w:rtl w:val="true"/>
          <w:lang w:bidi="ar-SA"/>
        </w:rPr>
        <w:t xml:space="preserve">،و السّيّد المرتضى </w:t>
      </w:r>
      <w:r>
        <w:rPr>
          <w:rStyle w:val="FootnoteAnchor"/>
          <w:rtl w:val="true"/>
        </w:rPr>
        <w:footnoteReference w:id="2039"/>
      </w:r>
      <w:r>
        <w:rPr>
          <w:rFonts w:ascii="Amiri" w:hAnsi="Amiri" w:eastAsia="Amiri" w:cs="Amiri"/>
          <w:color w:val="111111"/>
          <w:sz w:val="28"/>
          <w:sz w:val="28"/>
          <w:szCs w:val="28"/>
          <w:rtl w:val="true"/>
          <w:lang w:bidi="ar-SA"/>
        </w:rPr>
        <w:t xml:space="preserve">،و ابني بابويه </w:t>
      </w:r>
      <w:r>
        <w:rPr>
          <w:rStyle w:val="FootnoteAnchor"/>
          <w:rtl w:val="true"/>
        </w:rPr>
        <w:footnoteReference w:id="2040"/>
      </w:r>
      <w:r>
        <w:rPr>
          <w:rFonts w:ascii="Amiri" w:hAnsi="Amiri" w:eastAsia="Amiri" w:cs="Amiri"/>
          <w:color w:val="111111"/>
          <w:sz w:val="28"/>
          <w:sz w:val="28"/>
          <w:szCs w:val="28"/>
          <w:rtl w:val="true"/>
          <w:lang w:bidi="ar-SA"/>
        </w:rPr>
        <w:t xml:space="preserve">،و هو إحدى الرّوايتين عن أحمد </w:t>
      </w:r>
      <w:r>
        <w:rPr>
          <w:rStyle w:val="FootnoteAnchor"/>
          <w:rtl w:val="true"/>
        </w:rPr>
        <w:footnoteReference w:id="2041"/>
      </w:r>
      <w:r>
        <w:rPr>
          <w:rFonts w:ascii="Amiri" w:hAnsi="Amiri" w:eastAsia="Amiri" w:cs="Amiri"/>
          <w:color w:val="111111"/>
          <w:sz w:val="28"/>
          <w:sz w:val="28"/>
          <w:szCs w:val="28"/>
          <w:rtl w:val="true"/>
          <w:lang w:bidi="ar-SA"/>
        </w:rPr>
        <w:t xml:space="preserve">،و أحد قولي الشّافعيّ </w:t>
      </w:r>
      <w:r>
        <w:rPr>
          <w:rStyle w:val="FootnoteAnchor"/>
          <w:rtl w:val="true"/>
        </w:rPr>
        <w:footnoteReference w:id="204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الشّيخ </w:t>
      </w:r>
    </w:p>
    <w:p>
      <w:pPr>
        <w:pStyle w:val="BookText"/>
        <w:rPr/>
      </w:pPr>
      <w:r>
        <w:rPr>
          <w:rFonts w:ascii="Amiri" w:hAnsi="Amiri" w:eastAsia="Amiri" w:cs="Amiri"/>
          <w:color w:val="111111"/>
          <w:sz w:val="28"/>
          <w:sz w:val="28"/>
          <w:szCs w:val="28"/>
          <w:rtl w:val="true"/>
          <w:lang w:bidi="ar-SA"/>
        </w:rPr>
        <w:t>في الخلاف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كان جاهلا بالحيض أو التّحريم،لم يجب عليه و يجب على العالم بهما </w:t>
      </w:r>
      <w:r>
        <w:rPr>
          <w:rStyle w:val="FootnoteAnchor"/>
          <w:rtl w:val="true"/>
        </w:rPr>
        <w:footnoteReference w:id="204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في النّهاية بالاستحباب </w:t>
      </w:r>
      <w:r>
        <w:rPr>
          <w:rStyle w:val="FootnoteAnchor"/>
          <w:rtl w:val="true"/>
        </w:rPr>
        <w:footnoteReference w:id="204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قول مالك </w:t>
      </w:r>
      <w:r>
        <w:rPr>
          <w:rStyle w:val="FootnoteAnchor"/>
          <w:rtl w:val="true"/>
        </w:rPr>
        <w:footnoteReference w:id="2045"/>
      </w:r>
      <w:r>
        <w:rPr>
          <w:rFonts w:ascii="Amiri" w:hAnsi="Amiri" w:eastAsia="Amiri" w:cs="Amiri"/>
          <w:color w:val="111111"/>
          <w:sz w:val="28"/>
          <w:sz w:val="28"/>
          <w:szCs w:val="28"/>
          <w:rtl w:val="true"/>
          <w:lang w:bidi="ar-SA"/>
        </w:rPr>
        <w:t xml:space="preserve">،و أبي حنيفة </w:t>
      </w:r>
      <w:r>
        <w:rPr>
          <w:rStyle w:val="FootnoteAnchor"/>
          <w:rtl w:val="true"/>
        </w:rPr>
        <w:footnoteReference w:id="2046"/>
      </w:r>
      <w:r>
        <w:rPr>
          <w:rFonts w:ascii="Amiri" w:hAnsi="Amiri" w:eastAsia="Amiri" w:cs="Amiri"/>
          <w:color w:val="111111"/>
          <w:sz w:val="28"/>
          <w:sz w:val="28"/>
          <w:szCs w:val="28"/>
          <w:rtl w:val="true"/>
          <w:lang w:bidi="ar-SA"/>
        </w:rPr>
        <w:t xml:space="preserve">، و أكثر أهل العلم </w:t>
      </w:r>
      <w:r>
        <w:rPr>
          <w:rStyle w:val="FootnoteAnchor"/>
          <w:rtl w:val="true"/>
        </w:rPr>
        <w:footnoteReference w:id="2047"/>
      </w:r>
      <w:r>
        <w:rPr>
          <w:rFonts w:ascii="Amiri" w:hAnsi="Amiri" w:eastAsia="Amiri" w:cs="Amiri"/>
          <w:color w:val="111111"/>
          <w:sz w:val="28"/>
          <w:sz w:val="28"/>
          <w:szCs w:val="28"/>
          <w:rtl w:val="true"/>
          <w:lang w:bidi="ar-SA"/>
        </w:rPr>
        <w:t>،و هو الحقّ عندي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الجمهور،عن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أتى حائضا فقد كفر بما انزل </w:t>
      </w:r>
      <w:r>
        <w:rPr>
          <w:rStyle w:val="FootnoteAnchor"/>
          <w:rtl w:val="true"/>
        </w:rPr>
        <w:footnoteReference w:id="2048"/>
      </w:r>
      <w:r>
        <w:rPr>
          <w:rFonts w:ascii="Amiri" w:hAnsi="Amiri" w:eastAsia="Amiri" w:cs="Amiri"/>
          <w:color w:val="111111"/>
          <w:sz w:val="28"/>
          <w:sz w:val="28"/>
          <w:szCs w:val="28"/>
          <w:rtl w:val="true"/>
          <w:lang w:bidi="ar-SA"/>
        </w:rPr>
        <w:t>على محمّد صلّى اللّه عليه و آله</w:t>
      </w:r>
      <w:r>
        <w:rPr>
          <w:rFonts w:eastAsia="Amiri" w:cs="Amiri" w:ascii="Amiri" w:hAnsi="Amiri"/>
          <w:color w:val="111111"/>
          <w:sz w:val="28"/>
          <w:szCs w:val="28"/>
          <w:rtl w:val="true"/>
          <w:lang w:bidi="ar-SA"/>
        </w:rPr>
        <w:t xml:space="preserve">) </w:t>
      </w:r>
      <w:r>
        <w:rPr>
          <w:rStyle w:val="FootnoteAnchor"/>
          <w:rtl w:val="true"/>
        </w:rPr>
        <w:footnoteReference w:id="2049"/>
      </w:r>
      <w:r>
        <w:rPr>
          <w:rFonts w:ascii="Amiri" w:hAnsi="Amiri" w:eastAsia="Amiri" w:cs="Amiri"/>
          <w:color w:val="111111"/>
          <w:sz w:val="28"/>
          <w:sz w:val="28"/>
          <w:szCs w:val="28"/>
          <w:rtl w:val="true"/>
          <w:lang w:bidi="ar-SA"/>
        </w:rPr>
        <w:t>و لم يذكر كفّارة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طريق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 في الصّحيح،عن عيص بن القاسم،قال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عبد اللّه عليه السّلام عن رجل واقع امرأته و هي طامث؟قال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يلتمس فعل ذلك،قد نهى اللّه أن يقربها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فعل أ عليه كفّارة؟قال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أعلم فيه شيئا،يستغفر اللّه</w:t>
      </w:r>
      <w:r>
        <w:rPr>
          <w:rFonts w:eastAsia="Amiri" w:cs="Amiri" w:ascii="Amiri" w:hAnsi="Amiri"/>
          <w:color w:val="111111"/>
          <w:sz w:val="28"/>
          <w:szCs w:val="28"/>
          <w:rtl w:val="true"/>
          <w:lang w:bidi="ar-SA"/>
        </w:rPr>
        <w:t xml:space="preserve">» </w:t>
      </w:r>
      <w:r>
        <w:rPr>
          <w:rStyle w:val="FootnoteAnchor"/>
          <w:rtl w:val="true"/>
        </w:rPr>
        <w:footnoteReference w:id="2050"/>
      </w:r>
      <w:r>
        <w:rPr>
          <w:rFonts w:eastAsia="Times New Roman" w:cs="Times New Roman" w:ascii="Times New Roman" w:hAnsi="Times New Roman"/>
          <w:color w:val="111111"/>
          <w:sz w:val="28"/>
          <w:szCs w:val="28"/>
          <w:rtl w:val="true"/>
          <w:lang w:val="en-US" w:bidi="en-US"/>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رواه،عن ليث المراديّ،قال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 اللّه عليه السّلام عن وقوع </w:t>
      </w:r>
    </w:p>
    <w:p>
      <w:pPr>
        <w:pStyle w:val="BookText"/>
        <w:rPr/>
      </w:pPr>
      <w:r>
        <w:rPr>
          <w:rFonts w:ascii="Amiri" w:hAnsi="Amiri" w:eastAsia="Amiri" w:cs="Amiri"/>
          <w:color w:val="111111"/>
          <w:sz w:val="28"/>
          <w:sz w:val="28"/>
          <w:szCs w:val="28"/>
          <w:rtl w:val="true"/>
          <w:lang w:bidi="ar-SA"/>
        </w:rPr>
        <w:t>الرّجل على امرأته و هي طامث خطأ؟قال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عليه شيء و قد عصى ربّه</w:t>
      </w:r>
      <w:r>
        <w:rPr>
          <w:rFonts w:eastAsia="Amiri" w:cs="Amiri" w:ascii="Amiri" w:hAnsi="Amiri"/>
          <w:color w:val="111111"/>
          <w:sz w:val="28"/>
          <w:szCs w:val="28"/>
          <w:rtl w:val="true"/>
          <w:lang w:bidi="ar-SA"/>
        </w:rPr>
        <w:t xml:space="preserve">» </w:t>
      </w:r>
      <w:r>
        <w:rPr>
          <w:rStyle w:val="FootnoteAnchor"/>
          <w:rtl w:val="true"/>
        </w:rPr>
        <w:footnoteReference w:id="20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لا يدلّ على المطلوب،إذ النّفي مصروف إلى الخاطئ لا إلى العامد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لم يكن الواطئ هاهنا عامدا لما حكم عليه بالعصيان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رواه،عن زرارة،عن أحدهما عليهما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الحائض يأتيها زوجها؟قال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عليه شيء يستغفر اللّه و لا يعود</w:t>
      </w:r>
      <w:r>
        <w:rPr>
          <w:rFonts w:eastAsia="Amiri" w:cs="Amiri" w:ascii="Amiri" w:hAnsi="Amiri"/>
          <w:color w:val="111111"/>
          <w:sz w:val="28"/>
          <w:szCs w:val="28"/>
          <w:rtl w:val="true"/>
          <w:lang w:bidi="ar-SA"/>
        </w:rPr>
        <w:t xml:space="preserve">» </w:t>
      </w:r>
      <w:r>
        <w:rPr>
          <w:rStyle w:val="FootnoteAnchor"/>
          <w:rtl w:val="true"/>
        </w:rPr>
        <w:footnoteReference w:id="2052"/>
      </w:r>
      <w:r>
        <w:rPr>
          <w:rFonts w:ascii="Amiri" w:hAnsi="Amiri" w:eastAsia="Amiri" w:cs="Amiri"/>
          <w:color w:val="111111"/>
          <w:sz w:val="28"/>
          <w:sz w:val="28"/>
          <w:szCs w:val="28"/>
          <w:rtl w:val="true"/>
          <w:lang w:bidi="ar-SA"/>
        </w:rPr>
        <w:t xml:space="preserve">و لأنّه وطء نهي عنه لأجل الأذى،فأشبه الدّبر عندهم،و لأنّ الأصل براءة الذّمة و عصمة المال،فالقول بالإيجاب هدم </w:t>
      </w:r>
      <w:r>
        <w:rPr>
          <w:rStyle w:val="FootnoteAnchor"/>
          <w:rtl w:val="true"/>
        </w:rPr>
        <w:footnoteReference w:id="2053"/>
      </w:r>
      <w:r>
        <w:rPr>
          <w:rFonts w:ascii="IRNazanin" w:hAnsi="IRNazanin" w:eastAsia="IRNazanin"/>
          <w:color w:val="111111"/>
          <w:sz w:val="28"/>
          <w:sz w:val="28"/>
          <w:szCs w:val="28"/>
          <w:rtl w:val="true"/>
          <w:lang w:bidi="fa-IR"/>
        </w:rPr>
        <w:t>لهما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احتجّ الشّيخ </w:t>
      </w:r>
      <w:r>
        <w:rPr>
          <w:rStyle w:val="FootnoteAnchor"/>
          <w:rtl w:val="true"/>
        </w:rPr>
        <w:footnoteReference w:id="2054"/>
      </w:r>
      <w:r>
        <w:rPr>
          <w:rFonts w:ascii="Amiri" w:hAnsi="Amiri" w:eastAsia="Amiri" w:cs="Amiri"/>
          <w:color w:val="111111"/>
          <w:sz w:val="28"/>
          <w:sz w:val="28"/>
          <w:szCs w:val="28"/>
          <w:rtl w:val="true"/>
          <w:lang w:bidi="ar-SA"/>
        </w:rPr>
        <w:t>على الإيجاب بما رواه في الصّحيح،عن محمّد بن مسلم،قال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سألته عمّن أتى امرأته و هي طامث؟قال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يتصدّق بدينار و يستغفر اللّه</w:t>
      </w:r>
      <w:r>
        <w:rPr>
          <w:rFonts w:eastAsia="Amiri" w:cs="Amiri" w:ascii="Amiri" w:hAnsi="Amiri"/>
          <w:color w:val="111111"/>
          <w:sz w:val="28"/>
          <w:szCs w:val="28"/>
          <w:rtl w:val="true"/>
          <w:lang w:bidi="ar-SA"/>
        </w:rPr>
        <w:t xml:space="preserve">» </w:t>
      </w:r>
      <w:r>
        <w:rPr>
          <w:rStyle w:val="FootnoteAnchor"/>
          <w:rtl w:val="true"/>
        </w:rPr>
        <w:footnoteReference w:id="2055"/>
      </w:r>
      <w:r>
        <w:rPr>
          <w:rFonts w:ascii="Amiri" w:hAnsi="Amiri" w:eastAsia="Amiri" w:cs="Amiri"/>
          <w:color w:val="111111"/>
          <w:sz w:val="28"/>
          <w:sz w:val="28"/>
          <w:szCs w:val="28"/>
          <w:rtl w:val="true"/>
          <w:lang w:bidi="ar-SA"/>
        </w:rPr>
        <w:t>و تأوّله على انّه في أوّله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رواه،عن أبي بصير،عن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أتى حائضا فعليه نصف دينار يتصدّق به</w:t>
      </w:r>
      <w:r>
        <w:rPr>
          <w:rFonts w:eastAsia="Amiri" w:cs="Amiri" w:ascii="Amiri" w:hAnsi="Amiri"/>
          <w:color w:val="111111"/>
          <w:sz w:val="28"/>
          <w:szCs w:val="28"/>
          <w:rtl w:val="true"/>
          <w:lang w:bidi="ar-SA"/>
        </w:rPr>
        <w:t xml:space="preserve">» </w:t>
      </w:r>
      <w:r>
        <w:rPr>
          <w:rStyle w:val="FootnoteAnchor"/>
          <w:rtl w:val="true"/>
        </w:rPr>
        <w:footnoteReference w:id="2056"/>
      </w:r>
      <w:r>
        <w:rPr>
          <w:rFonts w:ascii="IRNazanin" w:hAnsi="IRNazanin" w:eastAsia="IRNazanin"/>
          <w:color w:val="111111"/>
          <w:sz w:val="28"/>
          <w:sz w:val="28"/>
          <w:szCs w:val="28"/>
          <w:rtl w:val="true"/>
          <w:lang w:bidi="fa-IR"/>
        </w:rPr>
        <w:t>و تأوّله على الوسط</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رواه،عن عبيد اللّه بن علي الحلبيّ،عن أبي عبد اللّه عليه السّلام،عن </w:t>
      </w:r>
    </w:p>
    <w:p>
      <w:pPr>
        <w:pStyle w:val="BookText"/>
        <w:rPr/>
      </w:pPr>
      <w:r>
        <w:rPr>
          <w:rFonts w:ascii="Amiri" w:hAnsi="Amiri" w:eastAsia="Amiri" w:cs="Amiri"/>
          <w:color w:val="111111"/>
          <w:sz w:val="28"/>
          <w:sz w:val="28"/>
          <w:szCs w:val="28"/>
          <w:rtl w:val="true"/>
          <w:lang w:bidi="ar-SA"/>
        </w:rPr>
        <w:t>الرّجل يقع على امرأته و هي حائض ما عليه؟قال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يتصدّق على مسكين بقدر شبعه</w:t>
      </w:r>
      <w:r>
        <w:rPr>
          <w:rFonts w:eastAsia="Amiri" w:cs="Amiri" w:ascii="Amiri" w:hAnsi="Amiri"/>
          <w:color w:val="111111"/>
          <w:sz w:val="28"/>
          <w:szCs w:val="28"/>
          <w:rtl w:val="true"/>
          <w:lang w:bidi="ar-SA"/>
        </w:rPr>
        <w:t xml:space="preserve">» </w:t>
      </w:r>
      <w:r>
        <w:rPr>
          <w:rStyle w:val="FootnoteAnchor"/>
          <w:rtl w:val="true"/>
        </w:rPr>
        <w:footnoteReference w:id="2057"/>
      </w:r>
      <w:r>
        <w:rPr>
          <w:rFonts w:ascii="Amiri" w:hAnsi="Amiri" w:eastAsia="Amiri" w:cs="Amiri"/>
          <w:color w:val="111111"/>
          <w:sz w:val="28"/>
          <w:sz w:val="28"/>
          <w:szCs w:val="28"/>
          <w:rtl w:val="true"/>
          <w:lang w:bidi="ar-SA"/>
        </w:rPr>
        <w:t>و تأوّله إذا كان يبلغ المقدّر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رواه،عن عبد الملك بن عمرو،عن أبي عبد اللّه عليه السّلام،عن رجل أتى جاريته و هي طامث؟قال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يستغفر ربّه</w:t>
      </w:r>
      <w:r>
        <w:rPr>
          <w:rFonts w:eastAsia="Amiri" w:cs="Amiri" w:ascii="Amiri" w:hAnsi="Amiri"/>
          <w:color w:val="111111"/>
          <w:sz w:val="28"/>
          <w:szCs w:val="28"/>
          <w:rtl w:val="true"/>
          <w:lang w:bidi="ar-SA"/>
        </w:rPr>
        <w:t xml:space="preserve">» </w:t>
      </w:r>
      <w:r>
        <w:rPr>
          <w:rStyle w:val="FootnoteAnchor"/>
          <w:rtl w:val="true"/>
        </w:rPr>
        <w:footnoteReference w:id="2058"/>
      </w:r>
      <w:r>
        <w:rPr>
          <w:rFonts w:ascii="Amiri" w:hAnsi="Amiri" w:eastAsia="Amiri" w:cs="Amiri"/>
          <w:color w:val="111111"/>
          <w:sz w:val="28"/>
          <w:sz w:val="28"/>
          <w:szCs w:val="28"/>
          <w:rtl w:val="true"/>
          <w:lang w:bidi="ar-SA"/>
        </w:rPr>
        <w:t>قال عبد الملك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النّاس يقولون عليه نصف دينار أو دينار؟فقال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فليتصدّق على عشرة مساكين</w:t>
      </w:r>
      <w:r>
        <w:rPr>
          <w:rFonts w:eastAsia="Amiri" w:cs="Amiri" w:ascii="Amiri" w:hAnsi="Amiri"/>
          <w:color w:val="111111"/>
          <w:sz w:val="28"/>
          <w:szCs w:val="28"/>
          <w:rtl w:val="true"/>
          <w:lang w:bidi="ar-SA"/>
        </w:rPr>
        <w:t xml:space="preserve">» </w:t>
      </w:r>
      <w:r>
        <w:rPr>
          <w:rStyle w:val="FootnoteAnchor"/>
          <w:rtl w:val="true"/>
        </w:rPr>
        <w:footnoteReference w:id="20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روى،عن داود بن فرقد،عن أبي عبد اللّه عليه السّلام،في كفّارة الطّمث،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يتصدّق إذا كان في أوّله بدينار،و في وسطه بنصف دينار،و في آخره بربع 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لم يكن عنده ما يكفّر؟قال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فليتصدّق على مسكين واحد و إلاّ استغفر اللّه و لا يعود،فإنّ الاستغفار توبة و كفّارة لكلّ من لم يجد السّبيل إلى شيء من الكفّارة</w:t>
      </w:r>
      <w:r>
        <w:rPr>
          <w:rFonts w:eastAsia="Amiri" w:cs="Amiri" w:ascii="Amiri" w:hAnsi="Amiri"/>
          <w:color w:val="111111"/>
          <w:sz w:val="28"/>
          <w:szCs w:val="28"/>
          <w:rtl w:val="true"/>
          <w:lang w:bidi="ar-SA"/>
        </w:rPr>
        <w:t xml:space="preserve">» </w:t>
      </w:r>
      <w:r>
        <w:rPr>
          <w:rStyle w:val="FootnoteAnchor"/>
          <w:rtl w:val="true"/>
        </w:rPr>
        <w:footnoteReference w:id="20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احتجّ في الخلاف على مذهبه فيه بالإجماع </w:t>
      </w:r>
      <w:r>
        <w:rPr>
          <w:rStyle w:val="FootnoteAnchor"/>
          <w:rtl w:val="true"/>
        </w:rPr>
        <w:footnoteReference w:id="206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بمثله استدلّ السّيّد رحمه اللّه </w:t>
      </w:r>
      <w:r>
        <w:rPr>
          <w:rStyle w:val="FootnoteAnchor"/>
          <w:rtl w:val="true"/>
        </w:rPr>
        <w:footnoteReference w:id="2062"/>
      </w:r>
      <w:r>
        <w:rPr>
          <w:rFonts w:eastAsia="Times New Roman" w:cs="Times New Roman" w:ascii="Times New Roman" w:hAnsi="Times New Roman"/>
          <w:color w:val="111111"/>
          <w:sz w:val="28"/>
          <w:szCs w:val="28"/>
          <w:rtl w:val="true"/>
          <w:lang w:val="en-US" w:bidi="en-US"/>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احتجّ أحمد </w:t>
      </w:r>
      <w:r>
        <w:rPr>
          <w:rStyle w:val="FootnoteAnchor"/>
          <w:rtl w:val="true"/>
        </w:rPr>
        <w:footnoteReference w:id="2063"/>
      </w:r>
      <w:r>
        <w:rPr>
          <w:rFonts w:ascii="Amiri" w:hAnsi="Amiri" w:eastAsia="Amiri" w:cs="Amiri"/>
          <w:color w:val="111111"/>
          <w:sz w:val="28"/>
          <w:sz w:val="28"/>
          <w:szCs w:val="28"/>
          <w:rtl w:val="true"/>
          <w:lang w:bidi="ar-SA"/>
        </w:rPr>
        <w:t xml:space="preserve">بما رواه ابن عبّاس انّ النّبيّ صلّى اللّه عليه و آله قال في الّذي يأتي </w:t>
      </w:r>
    </w:p>
    <w:p>
      <w:pPr>
        <w:pStyle w:val="BookText"/>
        <w:rPr/>
      </w:pPr>
      <w:r>
        <w:rPr>
          <w:rFonts w:ascii="Amiri" w:hAnsi="Amiri" w:eastAsia="Amiri" w:cs="Amiri"/>
          <w:color w:val="111111"/>
          <w:sz w:val="28"/>
          <w:sz w:val="28"/>
          <w:szCs w:val="28"/>
          <w:rtl w:val="true"/>
          <w:lang w:bidi="ar-SA"/>
        </w:rPr>
        <w:t>امرأته و هي حائض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يتصدّق بدينار أو بنصف دينار</w:t>
      </w:r>
      <w:r>
        <w:rPr>
          <w:rFonts w:eastAsia="Amiri" w:cs="Amiri" w:ascii="Amiri" w:hAnsi="Amiri"/>
          <w:color w:val="111111"/>
          <w:sz w:val="28"/>
          <w:szCs w:val="28"/>
          <w:rtl w:val="true"/>
          <w:lang w:bidi="ar-SA"/>
        </w:rPr>
        <w:t xml:space="preserve">) </w:t>
      </w:r>
      <w:r>
        <w:rPr>
          <w:rStyle w:val="FootnoteAnchor"/>
          <w:rtl w:val="true"/>
        </w:rPr>
        <w:footnoteReference w:id="20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الجواب عن الرّواية الأولى من وجهين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محمّد بن مسلم لم يسند إلى 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انّها محمولة على الاستحباب،جمعا بين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الثّانية بوجهين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الحمل على الاستحباب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ضعف سندها،فإنّ في طريقها عليّ بن فضّال </w:t>
      </w:r>
      <w:r>
        <w:rPr>
          <w:rStyle w:val="FootnoteAnchor"/>
          <w:rtl w:val="true"/>
        </w:rPr>
        <w:footnoteReference w:id="20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الثّالثة بالوجهين المذكورين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الرّابعة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فإنّها تدلّ على الاستحباب،فإنّ القائل بالوجوب لم يوجب ما قدّره،و في طريقها أبان بن عثمان </w:t>
      </w:r>
      <w:r>
        <w:rPr>
          <w:rStyle w:val="FootnoteAnchor"/>
          <w:rtl w:val="true"/>
        </w:rPr>
        <w:footnoteReference w:id="2066"/>
      </w:r>
      <w:r>
        <w:rPr>
          <w:rFonts w:ascii="Amiri" w:hAnsi="Amiri" w:eastAsia="Amiri" w:cs="Amiri"/>
          <w:color w:val="111111"/>
          <w:sz w:val="28"/>
          <w:sz w:val="28"/>
          <w:szCs w:val="28"/>
          <w:rtl w:val="true"/>
          <w:lang w:bidi="ar-SA"/>
        </w:rPr>
        <w:t>،و فيه 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الخامسة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فإنّها مرسلة و محمولة على الاستحباب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الّذي يدلّ على الاستحباب اختلاف مقادير الكفّارات،و ذلك بحسب ما تراه الأئمّة عليهم السّلام من العقوبات،بالنّظر إلى زيادة قبح الفعل و نقصانه،بصدوره عن العارف و الجاهل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الإجماع،فلم نحقّقه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كيف يدّعى فيه ذلك،و فيه ما فيه من الخلاف</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حجّة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بضعف روايته،فإنّ مدارها على عبد الحميد بن عبد الرّحمن بن زيد بن الخطّاب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قيل لأحمد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نفسك من هذا الحديث شيء؟قال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w:t>
      </w:r>
      <w:bookmarkStart w:id="1158" w:name="pg12669_113182"/>
    </w:p>
    <w:p>
      <w:pPr>
        <w:pStyle w:val="BookText"/>
        <w:rPr/>
      </w:pPr>
      <w:bookmarkEnd w:id="1158"/>
      <w:r>
        <w:rPr>
          <w:rFonts w:ascii="Amiri" w:hAnsi="Amiri" w:eastAsia="Amiri" w:cs="Amiri"/>
          <w:color w:val="111111"/>
          <w:sz w:val="28"/>
          <w:sz w:val="28"/>
          <w:szCs w:val="28"/>
          <w:rtl w:val="true"/>
          <w:lang w:bidi="ar-SA"/>
        </w:rPr>
        <w:t>لأنّه من حديث فلان،و أشار به إلى عبد الحميد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صحّ ذلك الحديث،عن النّبيّ صلّى اللّه عليه و آله،كنّا نرى عليه الكفّارة </w:t>
      </w:r>
      <w:r>
        <w:rPr>
          <w:rStyle w:val="FootnoteAnchor"/>
          <w:rtl w:val="true"/>
        </w:rPr>
        <w:footnoteReference w:id="2067"/>
      </w:r>
      <w:r>
        <w:rPr>
          <w:rFonts w:ascii="Amiri" w:hAnsi="Amiri" w:eastAsia="Amiri" w:cs="Amiri"/>
          <w:color w:val="111111"/>
          <w:sz w:val="28"/>
          <w:sz w:val="28"/>
          <w:szCs w:val="28"/>
          <w:rtl w:val="true"/>
          <w:lang w:bidi="ar-SA"/>
        </w:rPr>
        <w:t>،و هذا يدلّ على ضعفه عنده،فلا احتجاج به</w:t>
      </w:r>
      <w:r>
        <w:rPr>
          <w:rFonts w:eastAsia="Amiri" w:cs="Amiri" w:ascii="Amiri" w:hAnsi="Amiri"/>
          <w:color w:val="111111"/>
          <w:sz w:val="28"/>
          <w:szCs w:val="28"/>
          <w:rtl w:val="true"/>
          <w:lang w:bidi="ar-SA"/>
        </w:rPr>
        <w:t>.</w:t>
      </w:r>
    </w:p>
    <w:p>
      <w:pPr>
        <w:pStyle w:val="Heading6"/>
        <w:numPr>
          <w:ilvl w:val="5"/>
          <w:numId w:val="1"/>
        </w:numPr>
        <w:rPr/>
      </w:pPr>
      <w:bookmarkStart w:id="1159" w:name="__RefHeading___Toc796067_222507752"/>
      <w:bookmarkStart w:id="1160" w:name="_Toc473"/>
      <w:bookmarkEnd w:id="1159"/>
      <w:r>
        <w:rPr>
          <w:rtl w:val="true"/>
        </w:rPr>
        <w:t>فروع</w:t>
      </w:r>
      <w:r>
        <w:rPr>
          <w:rtl w:val="true"/>
        </w:rPr>
        <w:t>:</w:t>
      </w:r>
      <w:bookmarkEnd w:id="1160"/>
    </w:p>
    <w:p>
      <w:pPr>
        <w:pStyle w:val="Heading6"/>
        <w:numPr>
          <w:ilvl w:val="5"/>
          <w:numId w:val="1"/>
        </w:numPr>
        <w:rPr/>
      </w:pPr>
      <w:bookmarkStart w:id="1161" w:name="__RefHeading___Toc796069_222507752"/>
      <w:bookmarkStart w:id="1162" w:name="_Toc474"/>
      <w:bookmarkEnd w:id="1161"/>
      <w:r>
        <w:rPr>
          <w:rtl w:val="true"/>
        </w:rPr>
        <w:t>الأوّل</w:t>
      </w:r>
      <w:r>
        <w:rPr>
          <w:rtl w:val="true"/>
        </w:rPr>
        <w:t>:</w:t>
      </w:r>
      <w:r>
        <w:rPr>
          <w:rtl w:val="true"/>
        </w:rPr>
        <w:t>الكفّارة في أوّله دينار قيمته عشرة دراهم</w:t>
      </w:r>
      <w:bookmarkEnd w:id="1162"/>
    </w:p>
    <w:p>
      <w:pPr>
        <w:pStyle w:val="BookText"/>
        <w:rPr/>
      </w:pPr>
      <w:r>
        <w:rPr>
          <w:rFonts w:ascii="Amiri" w:hAnsi="Amiri" w:eastAsia="Amiri" w:cs="Amiri"/>
          <w:color w:val="111111"/>
          <w:sz w:val="28"/>
          <w:sz w:val="28"/>
          <w:szCs w:val="28"/>
          <w:rtl w:val="true"/>
          <w:lang w:bidi="ar-SA"/>
        </w:rPr>
        <w:t>جيادا،و في أوسطه نصف دينار،و في آخره ربع دينار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مذهب أكثر علمائنا القائلين بالوجوب و الاستحباب </w:t>
      </w:r>
      <w:r>
        <w:rPr>
          <w:rStyle w:val="FootnoteAnchor"/>
          <w:rtl w:val="true"/>
        </w:rPr>
        <w:footnoteReference w:id="2068"/>
      </w:r>
      <w:r>
        <w:rPr>
          <w:rFonts w:ascii="Amiri" w:hAnsi="Amiri" w:eastAsia="Amiri" w:cs="Amiri"/>
          <w:color w:val="111111"/>
          <w:sz w:val="28"/>
          <w:sz w:val="28"/>
          <w:szCs w:val="28"/>
          <w:rtl w:val="true"/>
          <w:lang w:bidi="ar-SA"/>
        </w:rPr>
        <w:t xml:space="preserve">،و قول ابن بابويه في من لا يحضره الفقيه </w:t>
      </w:r>
      <w:r>
        <w:rPr>
          <w:rStyle w:val="FootnoteAnchor"/>
          <w:rtl w:val="true"/>
        </w:rPr>
        <w:footnoteReference w:id="2069"/>
      </w:r>
      <w:r>
        <w:rPr>
          <w:rFonts w:ascii="Amiri" w:hAnsi="Amiri" w:eastAsia="Amiri" w:cs="Amiri"/>
          <w:color w:val="111111"/>
          <w:sz w:val="28"/>
          <w:sz w:val="28"/>
          <w:szCs w:val="28"/>
          <w:rtl w:val="true"/>
          <w:lang w:bidi="ar-SA"/>
        </w:rPr>
        <w:t>،و قال في المقنع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يتصدّق على مسكين بقدر شبعه،و جعل الّذي قدّرناه رواية </w:t>
      </w:r>
      <w:r>
        <w:rPr>
          <w:rStyle w:val="FootnoteAnchor"/>
          <w:rtl w:val="true"/>
        </w:rPr>
        <w:footnoteReference w:id="207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بعض الحنفيّة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يتصدّق بدينار أو نصف دينار </w:t>
      </w:r>
      <w:r>
        <w:rPr>
          <w:rStyle w:val="FootnoteAnchor"/>
          <w:rtl w:val="true"/>
        </w:rPr>
        <w:footnoteReference w:id="207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إحدى الرّوايتين عن أحمد </w:t>
      </w:r>
      <w:r>
        <w:rPr>
          <w:rStyle w:val="FootnoteAnchor"/>
          <w:rtl w:val="true"/>
        </w:rPr>
        <w:footnoteReference w:id="2072"/>
      </w:r>
      <w:r>
        <w:rPr>
          <w:rFonts w:ascii="Amiri" w:hAnsi="Amiri" w:eastAsia="Amiri" w:cs="Amiri"/>
          <w:color w:val="111111"/>
          <w:sz w:val="28"/>
          <w:sz w:val="28"/>
          <w:szCs w:val="28"/>
          <w:rtl w:val="true"/>
          <w:lang w:bidi="ar-SA"/>
        </w:rPr>
        <w:t>،و انّهما على التّخيير</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روي عن أبي يوسف انّه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يتصدّق بدينار في اليوم الأوّل،و بنصف دينار في اليوم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أبي يوسف و محمّد انّهما 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في إقبال الدّم فعليه دينار،و إن كان في إدباره فعليه نصف دينار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قول النّخعيّ </w:t>
      </w:r>
      <w:r>
        <w:rPr>
          <w:rStyle w:val="FootnoteAnchor"/>
          <w:rtl w:val="true"/>
        </w:rPr>
        <w:footnoteReference w:id="2073"/>
      </w:r>
      <w:r>
        <w:rPr>
          <w:rFonts w:ascii="Amiri" w:hAnsi="Amiri" w:eastAsia="Amiri" w:cs="Amiri"/>
          <w:color w:val="111111"/>
          <w:sz w:val="28"/>
          <w:sz w:val="28"/>
          <w:szCs w:val="28"/>
          <w:rtl w:val="true"/>
          <w:lang w:bidi="ar-SA"/>
        </w:rPr>
        <w:t xml:space="preserve">،و قول الشّافعيّ </w:t>
      </w:r>
      <w:r>
        <w:rPr>
          <w:rStyle w:val="FootnoteAnchor"/>
          <w:rtl w:val="true"/>
        </w:rPr>
        <w:footnoteReference w:id="2074"/>
      </w:r>
      <w:r>
        <w:rPr>
          <w:rFonts w:ascii="IRNazanin" w:hAnsi="IRNazanin" w:eastAsia="IRNazanin"/>
          <w:color w:val="111111"/>
          <w:sz w:val="28"/>
          <w:sz w:val="28"/>
          <w:szCs w:val="28"/>
          <w:rtl w:val="true"/>
          <w:lang w:bidi="fa-IR"/>
        </w:rPr>
        <w:t xml:space="preserve">،و له قول </w:t>
      </w:r>
    </w:p>
    <w:p>
      <w:pPr>
        <w:pStyle w:val="BookText"/>
        <w:rPr/>
      </w:pPr>
      <w:r>
        <w:rPr>
          <w:rFonts w:ascii="Amiri" w:hAnsi="Amiri" w:eastAsia="Amiri" w:cs="Amiri"/>
          <w:color w:val="111111"/>
          <w:sz w:val="28"/>
          <w:sz w:val="28"/>
          <w:szCs w:val="28"/>
          <w:rtl w:val="true"/>
          <w:lang w:bidi="ar-SA"/>
        </w:rPr>
        <w:t>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عتق رقبة </w:t>
      </w:r>
      <w:r>
        <w:rPr>
          <w:rStyle w:val="FootnoteAnchor"/>
          <w:rtl w:val="true"/>
        </w:rPr>
        <w:footnoteReference w:id="207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الرّواية الأخرى عن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كان الدّم أحمر فدينار،و إن كان أصفر فنصف دينار </w:t>
      </w:r>
      <w:r>
        <w:rPr>
          <w:rStyle w:val="FootnoteAnchor"/>
          <w:rtl w:val="true"/>
        </w:rPr>
        <w:footnoteReference w:id="2076"/>
      </w:r>
      <w:r>
        <w:rPr>
          <w:rFonts w:ascii="IRNazanin" w:hAnsi="IRNazanin" w:eastAsia="IRNazanin"/>
          <w:color w:val="111111"/>
          <w:sz w:val="28"/>
          <w:sz w:val="28"/>
          <w:szCs w:val="28"/>
          <w:rtl w:val="true"/>
          <w:lang w:bidi="fa-IR"/>
        </w:rPr>
        <w:t xml:space="preserve">،و هو قول إسحاق </w:t>
      </w:r>
      <w:r>
        <w:rPr>
          <w:rStyle w:val="FootnoteAnchor"/>
          <w:rtl w:val="true"/>
        </w:rPr>
        <w:footnoteReference w:id="207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الشّافعيّ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كان الدّم عبيطا فدينار،و في آخره نصف دينار </w:t>
      </w:r>
      <w:r>
        <w:rPr>
          <w:rStyle w:val="FootnoteAnchor"/>
          <w:rtl w:val="true"/>
        </w:rPr>
        <w:footnoteReference w:id="207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حكي عن الحسن البصريّ و عطاء الخراسانيّ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انّهما 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تجب فيه كفّارة الفطر في رمضان </w:t>
      </w:r>
      <w:r>
        <w:rPr>
          <w:rStyle w:val="FootnoteAnchor"/>
          <w:rtl w:val="true"/>
        </w:rPr>
        <w:footnoteReference w:id="20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رواية داود بن فرقد،و قد تقدّمت </w:t>
      </w:r>
      <w:r>
        <w:rPr>
          <w:rStyle w:val="FootnoteAnchor"/>
          <w:rtl w:val="true"/>
        </w:rPr>
        <w:footnoteReference w:id="2080"/>
      </w:r>
      <w:r>
        <w:rPr>
          <w:rFonts w:ascii="Amiri" w:hAnsi="Amiri" w:eastAsia="Amiri" w:cs="Amiri"/>
          <w:color w:val="111111"/>
          <w:sz w:val="28"/>
          <w:sz w:val="28"/>
          <w:szCs w:val="28"/>
          <w:rtl w:val="true"/>
          <w:lang w:bidi="ar-SA"/>
        </w:rPr>
        <w:t xml:space="preserve">،و لا يمنع ضعف سندها العمل بها،إذ الاتّفاق وقع على صحّتها،فبعض استدلّ بها على الرّجحان المانع من النّقيض </w:t>
      </w:r>
      <w:r>
        <w:rPr>
          <w:rStyle w:val="FootnoteAnchor"/>
          <w:rtl w:val="true"/>
        </w:rPr>
        <w:footnoteReference w:id="2081"/>
      </w:r>
      <w:r>
        <w:rPr>
          <w:rFonts w:ascii="IRNazanin" w:hAnsi="IRNazanin" w:eastAsia="IRNazanin"/>
          <w:color w:val="111111"/>
          <w:sz w:val="28"/>
          <w:sz w:val="28"/>
          <w:szCs w:val="28"/>
          <w:rtl w:val="true"/>
          <w:lang w:bidi="fa-IR"/>
        </w:rPr>
        <w:t xml:space="preserve">، و بعض استدلّ بها على مطلق الرّجحان </w:t>
      </w:r>
      <w:r>
        <w:rPr>
          <w:rStyle w:val="FootnoteAnchor"/>
          <w:rtl w:val="true"/>
        </w:rPr>
        <w:footnoteReference w:id="20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احتجّ ابن بابويه برواية الحلبيّ،و قد تقدّم بيان ضعفها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انّ القول بالاستحباب لا ينافي تلك،إذ قد يؤمر بأدون الرّاجحين كما يؤمر بأعلاهما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احتجّ الباقون برواية ابن عباس</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الجواب عنها مثل هذا الجواب</w:t>
      </w:r>
      <w:r>
        <w:rPr>
          <w:rFonts w:eastAsia="IRNazanin" w:cs="IRNazanin"/>
          <w:color w:val="111111"/>
          <w:sz w:val="28"/>
          <w:szCs w:val="28"/>
          <w:rtl w:val="true"/>
          <w:lang w:bidi="fa-IR"/>
        </w:rPr>
        <w:t xml:space="preserve">. </w:t>
      </w:r>
      <w:bookmarkStart w:id="1163" w:name="pg12669_113184"/>
    </w:p>
    <w:p>
      <w:pPr>
        <w:pStyle w:val="Heading6"/>
        <w:numPr>
          <w:ilvl w:val="5"/>
          <w:numId w:val="1"/>
        </w:numPr>
        <w:rPr/>
      </w:pPr>
      <w:bookmarkStart w:id="1164" w:name="__RefHeading___Toc796071_222507752"/>
      <w:bookmarkStart w:id="1165" w:name="_Toc475"/>
      <w:bookmarkEnd w:id="1163"/>
      <w:bookmarkEnd w:id="1164"/>
      <w:r>
        <w:rPr>
          <w:rtl w:val="true"/>
        </w:rPr>
        <w:t>الثّاني</w:t>
      </w:r>
      <w:r>
        <w:rPr>
          <w:rtl w:val="true"/>
        </w:rPr>
        <w:t>:</w:t>
      </w:r>
      <w:r>
        <w:rPr>
          <w:rtl w:val="true"/>
        </w:rPr>
        <w:t>قال الشّيخ و ابن بابويه</w:t>
      </w:r>
      <w:r>
        <w:rPr>
          <w:rtl w:val="true"/>
        </w:rPr>
        <w:t>:</w:t>
      </w:r>
      <w:r>
        <w:rPr>
          <w:rtl w:val="true"/>
        </w:rPr>
        <w:t>من جامع أمته و هي حائض تصدّق بثلاثة</w:t>
      </w:r>
      <w:bookmarkEnd w:id="1165"/>
    </w:p>
    <w:p>
      <w:pPr>
        <w:pStyle w:val="BookText"/>
        <w:rPr/>
      </w:pPr>
      <w:r>
        <w:rPr>
          <w:rFonts w:ascii="IRNazanin" w:hAnsi="IRNazanin" w:eastAsia="IRNazanin"/>
          <w:color w:val="111111"/>
          <w:sz w:val="28"/>
          <w:sz w:val="28"/>
          <w:szCs w:val="28"/>
          <w:rtl w:val="true"/>
          <w:lang w:bidi="fa-IR"/>
        </w:rPr>
        <w:t xml:space="preserve">أمداد من طعام </w:t>
      </w:r>
      <w:r>
        <w:rPr>
          <w:rFonts w:eastAsia="IRNazanin" w:cs="IRNazanin"/>
          <w:color w:val="111111"/>
          <w:sz w:val="28"/>
          <w:szCs w:val="28"/>
          <w:rtl w:val="true"/>
          <w:lang w:bidi="fa-IR"/>
        </w:rPr>
        <w:t>.</w:t>
      </w:r>
    </w:p>
    <w:p>
      <w:pPr>
        <w:pStyle w:val="BookText"/>
        <w:rPr/>
      </w:pPr>
      <w:r>
        <w:rPr>
          <w:rStyle w:val="FootnoteAnchor"/>
          <w:rtl w:val="true"/>
        </w:rPr>
        <w:footnoteReference w:id="2083"/>
      </w:r>
      <w:r>
        <w:rPr>
          <w:rStyle w:val="FootnoteAnchor"/>
          <w:rtl w:val="true"/>
        </w:rPr>
        <w:footnoteReference w:id="20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الأقرب الاستحباب عملا بالأصل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رواية عبد الملك تدلّ على إطعام عشرة مساكين،و قد بيّنّا ضعفها</w:t>
      </w:r>
      <w:r>
        <w:rPr>
          <w:rFonts w:eastAsia="Amiri" w:cs="Amiri" w:ascii="Amiri" w:hAnsi="Amiri"/>
          <w:color w:val="111111"/>
          <w:sz w:val="28"/>
          <w:szCs w:val="28"/>
          <w:rtl w:val="true"/>
          <w:lang w:bidi="ar-SA"/>
        </w:rPr>
        <w:t>.</w:t>
      </w:r>
    </w:p>
    <w:p>
      <w:pPr>
        <w:pStyle w:val="Heading6"/>
        <w:numPr>
          <w:ilvl w:val="5"/>
          <w:numId w:val="1"/>
        </w:numPr>
        <w:rPr/>
      </w:pPr>
      <w:bookmarkStart w:id="1166" w:name="__RefHeading___Toc796073_222507752"/>
      <w:bookmarkStart w:id="1167" w:name="_Toc476"/>
      <w:bookmarkEnd w:id="1166"/>
      <w:r>
        <w:rPr>
          <w:rtl w:val="true"/>
        </w:rPr>
        <w:t>الثّالث</w:t>
      </w:r>
      <w:r>
        <w:rPr>
          <w:rtl w:val="true"/>
        </w:rPr>
        <w:t>:</w:t>
      </w:r>
      <w:r>
        <w:rPr>
          <w:rtl w:val="true"/>
        </w:rPr>
        <w:t>الأوّل،و الأوسط،و الآخر مختلف باختلاف النّساء في عاداتهنّ،</w:t>
      </w:r>
      <w:bookmarkEnd w:id="1167"/>
    </w:p>
    <w:p>
      <w:pPr>
        <w:pStyle w:val="BookText"/>
        <w:rPr/>
      </w:pPr>
      <w:r>
        <w:rPr>
          <w:rFonts w:ascii="Amiri" w:hAnsi="Amiri" w:eastAsia="Amiri" w:cs="Amiri"/>
          <w:color w:val="111111"/>
          <w:sz w:val="28"/>
          <w:sz w:val="28"/>
          <w:szCs w:val="28"/>
          <w:rtl w:val="true"/>
          <w:lang w:bidi="ar-SA"/>
        </w:rPr>
        <w:t>فلو كانت عادتها ستّة،فالأوّل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اليومان الأوّلان،و الأوسط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التّاليان،و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الأخيران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كانت أربعة،فاليوم الأوّل و ثلث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أوّل،و ثلثا الثّاني و ثلثا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أوسط،و ثلث الثّالث و الرّابع بأسره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هكذا كلّ عدد تفرضه فإنّك تقسّمه أثلاثا</w:t>
      </w:r>
      <w:r>
        <w:rPr>
          <w:rFonts w:eastAsia="Amiri" w:cs="Amiri" w:ascii="Amiri" w:hAnsi="Amiri"/>
          <w:color w:val="111111"/>
          <w:sz w:val="28"/>
          <w:szCs w:val="28"/>
          <w:rtl w:val="true"/>
          <w:lang w:bidi="ar-SA"/>
        </w:rPr>
        <w:t>.</w:t>
      </w:r>
    </w:p>
    <w:p>
      <w:pPr>
        <w:pStyle w:val="Heading6"/>
        <w:numPr>
          <w:ilvl w:val="5"/>
          <w:numId w:val="1"/>
        </w:numPr>
        <w:rPr/>
      </w:pPr>
      <w:bookmarkStart w:id="1168" w:name="__RefHeading___Toc796075_222507752"/>
      <w:bookmarkStart w:id="1169" w:name="_Toc477"/>
      <w:bookmarkEnd w:id="1168"/>
      <w:r>
        <w:rPr>
          <w:rtl w:val="true"/>
        </w:rPr>
        <w:t>الرّابع</w:t>
      </w:r>
      <w:r>
        <w:rPr>
          <w:rtl w:val="true"/>
        </w:rPr>
        <w:t>:</w:t>
      </w:r>
      <w:r>
        <w:rPr>
          <w:rtl w:val="true"/>
        </w:rPr>
        <w:t>لو عجز عن الكفّارة سقطت</w:t>
      </w:r>
      <w:bookmarkEnd w:id="1169"/>
    </w:p>
    <w:p>
      <w:pPr>
        <w:pStyle w:val="BookText"/>
        <w:rPr/>
      </w:pPr>
      <w:r>
        <w:rPr>
          <w:rFonts w:ascii="IRNazanin" w:hAnsi="IRNazanin" w:eastAsia="IRNazanin"/>
          <w:color w:val="111111"/>
          <w:sz w:val="28"/>
          <w:sz w:val="28"/>
          <w:szCs w:val="28"/>
          <w:rtl w:val="true"/>
          <w:lang w:bidi="fa-IR"/>
        </w:rPr>
        <w:t>وجوبا و استحبابا،و لو عجز عن بعضها،قال بعض الجمهور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تسقط </w:t>
      </w:r>
      <w:r>
        <w:rPr>
          <w:rStyle w:val="FootnoteAnchor"/>
          <w:rtl w:val="true"/>
        </w:rPr>
        <w:footnoteReference w:id="208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قيل بدفع ذلك البعض كان قويّا</w:t>
      </w:r>
      <w:r>
        <w:rPr>
          <w:rFonts w:eastAsia="Amiri" w:cs="Amiri" w:ascii="Amiri" w:hAnsi="Amiri"/>
          <w:color w:val="111111"/>
          <w:sz w:val="28"/>
          <w:szCs w:val="28"/>
          <w:rtl w:val="true"/>
          <w:lang w:bidi="ar-SA"/>
        </w:rPr>
        <w:t>.</w:t>
      </w:r>
    </w:p>
    <w:p>
      <w:pPr>
        <w:pStyle w:val="Heading6"/>
        <w:numPr>
          <w:ilvl w:val="5"/>
          <w:numId w:val="1"/>
        </w:numPr>
        <w:rPr/>
      </w:pPr>
      <w:bookmarkStart w:id="1170" w:name="__RefHeading___Toc796077_222507752"/>
      <w:bookmarkStart w:id="1171" w:name="_Toc478"/>
      <w:bookmarkEnd w:id="1170"/>
      <w:r>
        <w:rPr>
          <w:rtl w:val="true"/>
        </w:rPr>
        <w:t>الخامس</w:t>
      </w:r>
      <w:r>
        <w:rPr>
          <w:rtl w:val="true"/>
        </w:rPr>
        <w:t>:</w:t>
      </w:r>
      <w:r>
        <w:rPr>
          <w:rtl w:val="true"/>
        </w:rPr>
        <w:t>حكم الأجنبيّة حكم الزّوجة،</w:t>
      </w:r>
      <w:bookmarkEnd w:id="1171"/>
    </w:p>
    <w:p>
      <w:pPr>
        <w:pStyle w:val="BookText"/>
        <w:rPr/>
      </w:pPr>
      <w:r>
        <w:rPr>
          <w:rFonts w:ascii="Amiri" w:hAnsi="Amiri" w:eastAsia="Amiri" w:cs="Amiri"/>
          <w:color w:val="111111"/>
          <w:sz w:val="28"/>
          <w:sz w:val="28"/>
          <w:szCs w:val="28"/>
          <w:rtl w:val="true"/>
          <w:lang w:bidi="ar-SA"/>
        </w:rPr>
        <w:t>لقول أبي عبد اللّه عليه السّلام في رواية أبي بصير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أتى حائضا</w:t>
      </w:r>
      <w:r>
        <w:rPr>
          <w:rFonts w:eastAsia="Amiri" w:cs="Amiri" w:ascii="Amiri" w:hAnsi="Amiri"/>
          <w:color w:val="111111"/>
          <w:sz w:val="28"/>
          <w:szCs w:val="28"/>
          <w:rtl w:val="true"/>
          <w:lang w:bidi="ar-SA"/>
        </w:rPr>
        <w:t xml:space="preserve">» </w:t>
      </w:r>
      <w:r>
        <w:rPr>
          <w:rStyle w:val="FootnoteAnchor"/>
          <w:rtl w:val="true"/>
        </w:rPr>
        <w:footnoteReference w:id="2086"/>
      </w:r>
      <w:r>
        <w:rPr>
          <w:rFonts w:ascii="Amiri" w:hAnsi="Amiri" w:eastAsia="Amiri" w:cs="Amiri"/>
          <w:color w:val="111111"/>
          <w:sz w:val="28"/>
          <w:sz w:val="28"/>
          <w:szCs w:val="28"/>
          <w:rtl w:val="true"/>
          <w:lang w:bidi="ar-SA"/>
        </w:rPr>
        <w:t>علّق الحكم على المطلق من غير تقييد،فكان كالعام</w:t>
      </w:r>
      <w:r>
        <w:rPr>
          <w:rFonts w:eastAsia="Amiri" w:cs="Amiri" w:ascii="Amiri" w:hAnsi="Amiri"/>
          <w:color w:val="111111"/>
          <w:sz w:val="28"/>
          <w:szCs w:val="28"/>
          <w:rtl w:val="true"/>
          <w:lang w:bidi="ar-SA"/>
        </w:rPr>
        <w:t>.</w:t>
      </w:r>
    </w:p>
    <w:p>
      <w:pPr>
        <w:pStyle w:val="Heading6"/>
        <w:numPr>
          <w:ilvl w:val="5"/>
          <w:numId w:val="1"/>
        </w:numPr>
        <w:rPr/>
      </w:pPr>
      <w:bookmarkStart w:id="1172" w:name="__RefHeading___Toc796079_222507752"/>
      <w:bookmarkStart w:id="1173" w:name="_Toc479"/>
      <w:bookmarkEnd w:id="1172"/>
      <w:r>
        <w:rPr>
          <w:rtl w:val="true"/>
        </w:rPr>
        <w:t>السّادس</w:t>
      </w:r>
      <w:r>
        <w:rPr>
          <w:rtl w:val="true"/>
        </w:rPr>
        <w:t>:</w:t>
      </w:r>
      <w:r>
        <w:rPr>
          <w:rtl w:val="true"/>
        </w:rPr>
        <w:t>لو وطئ جاهلا أو ناسيا،فالوجه عدم تعلّق الكفّارة به</w:t>
      </w:r>
      <w:bookmarkEnd w:id="1173"/>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وجوبا و استحبابا،لقوله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 عن أمّتي الخطأ و النّسيان</w:t>
      </w:r>
      <w:r>
        <w:rPr>
          <w:rFonts w:eastAsia="Amiri" w:cs="Amiri" w:ascii="Amiri" w:hAnsi="Amiri"/>
          <w:color w:val="111111"/>
          <w:sz w:val="28"/>
          <w:szCs w:val="28"/>
          <w:rtl w:val="true"/>
          <w:lang w:bidi="ar-SA"/>
        </w:rPr>
        <w:t xml:space="preserve">) </w:t>
      </w:r>
      <w:r>
        <w:rPr>
          <w:rStyle w:val="FootnoteAnchor"/>
          <w:rtl w:val="true"/>
        </w:rPr>
        <w:footnoteReference w:id="2087"/>
      </w:r>
      <w:r>
        <w:rPr>
          <w:rFonts w:ascii="Amiri" w:hAnsi="Amiri" w:eastAsia="Amiri" w:cs="Amiri"/>
          <w:color w:val="111111"/>
          <w:sz w:val="28"/>
          <w:sz w:val="28"/>
          <w:szCs w:val="28"/>
          <w:rtl w:val="true"/>
          <w:lang w:bidi="ar-SA"/>
        </w:rPr>
        <w:t xml:space="preserve">و لأنّها إنّما تجب </w:t>
      </w:r>
      <w:bookmarkStart w:id="1174" w:name="pg12669_113185"/>
    </w:p>
    <w:p>
      <w:pPr>
        <w:pStyle w:val="BookText"/>
        <w:rPr/>
      </w:pPr>
      <w:bookmarkEnd w:id="1174"/>
      <w:r>
        <w:rPr>
          <w:rFonts w:ascii="IRNazanin" w:hAnsi="IRNazanin" w:eastAsia="IRNazanin"/>
          <w:color w:val="111111"/>
          <w:sz w:val="28"/>
          <w:sz w:val="28"/>
          <w:szCs w:val="28"/>
          <w:rtl w:val="true"/>
          <w:lang w:bidi="fa-IR"/>
        </w:rPr>
        <w:t xml:space="preserve">لمحو المأثم </w:t>
      </w:r>
      <w:r>
        <w:rPr>
          <w:rStyle w:val="FootnoteAnchor"/>
          <w:rtl w:val="true"/>
        </w:rPr>
        <w:footnoteReference w:id="2088"/>
      </w:r>
      <w:r>
        <w:rPr>
          <w:rFonts w:ascii="Amiri" w:hAnsi="Amiri" w:eastAsia="Amiri" w:cs="Amiri"/>
          <w:color w:val="111111"/>
          <w:sz w:val="28"/>
          <w:sz w:val="28"/>
          <w:szCs w:val="28"/>
          <w:rtl w:val="true"/>
          <w:lang w:bidi="ar-SA"/>
        </w:rPr>
        <w:t>،و لا إثم مع النّسيان كاليمين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بعض الجمهور القائل بالوجوب أوجبها </w:t>
      </w:r>
      <w:r>
        <w:rPr>
          <w:rStyle w:val="FootnoteAnchor"/>
          <w:rtl w:val="true"/>
        </w:rPr>
        <w:footnoteReference w:id="2089"/>
      </w:r>
      <w:r>
        <w:rPr>
          <w:rFonts w:ascii="IRNazanin" w:hAnsi="IRNazanin" w:eastAsia="IRNazanin"/>
          <w:color w:val="111111"/>
          <w:sz w:val="28"/>
          <w:sz w:val="28"/>
          <w:szCs w:val="28"/>
          <w:rtl w:val="true"/>
          <w:lang w:bidi="fa-IR"/>
        </w:rPr>
        <w:t>عملا بعموم الخبر،و الأوّل أقوى</w:t>
      </w:r>
      <w:r>
        <w:rPr>
          <w:rFonts w:eastAsia="IRNazanin" w:cs="IRNazanin"/>
          <w:color w:val="111111"/>
          <w:sz w:val="28"/>
          <w:szCs w:val="28"/>
          <w:rtl w:val="true"/>
          <w:lang w:bidi="fa-IR"/>
        </w:rPr>
        <w:t>.</w:t>
      </w:r>
    </w:p>
    <w:p>
      <w:pPr>
        <w:pStyle w:val="Heading6"/>
        <w:numPr>
          <w:ilvl w:val="5"/>
          <w:numId w:val="1"/>
        </w:numPr>
        <w:rPr/>
      </w:pPr>
      <w:bookmarkStart w:id="1175" w:name="__RefHeading___Toc796081_222507752"/>
      <w:bookmarkStart w:id="1176" w:name="_Toc480"/>
      <w:bookmarkEnd w:id="1175"/>
      <w:r>
        <w:rPr>
          <w:rtl w:val="true"/>
        </w:rPr>
        <w:t>السّابع</w:t>
      </w:r>
      <w:r>
        <w:rPr>
          <w:rtl w:val="true"/>
        </w:rPr>
        <w:t>:</w:t>
      </w:r>
      <w:r>
        <w:rPr>
          <w:rtl w:val="true"/>
        </w:rPr>
        <w:t>لو وطئ طاهرا فحاضت في أثناء وطئه،وجب عليه النّزع</w:t>
      </w:r>
      <w:bookmarkEnd w:id="1176"/>
    </w:p>
    <w:p>
      <w:pPr>
        <w:pStyle w:val="BookText"/>
        <w:rPr/>
      </w:pPr>
      <w:r>
        <w:rPr>
          <w:rFonts w:ascii="Amiri" w:hAnsi="Amiri" w:eastAsia="Amiri" w:cs="Amiri"/>
          <w:color w:val="111111"/>
          <w:sz w:val="28"/>
          <w:sz w:val="28"/>
          <w:szCs w:val="28"/>
          <w:rtl w:val="true"/>
          <w:lang w:bidi="ar-SA"/>
        </w:rPr>
        <w:t>مع العلم،فإن لم ينزع تعلّقت به الكفّارة على إحدى صفتي الوجوب و الاستحباب،و إن لم يعلم فالحكم فيه كما في الجاهل</w:t>
      </w:r>
      <w:r>
        <w:rPr>
          <w:rFonts w:eastAsia="Amiri" w:cs="Amiri" w:ascii="Amiri" w:hAnsi="Amiri"/>
          <w:color w:val="111111"/>
          <w:sz w:val="28"/>
          <w:szCs w:val="28"/>
          <w:rtl w:val="true"/>
          <w:lang w:bidi="ar-SA"/>
        </w:rPr>
        <w:t>.</w:t>
      </w:r>
    </w:p>
    <w:p>
      <w:pPr>
        <w:pStyle w:val="Heading6"/>
        <w:numPr>
          <w:ilvl w:val="5"/>
          <w:numId w:val="1"/>
        </w:numPr>
        <w:rPr/>
      </w:pPr>
      <w:bookmarkStart w:id="1177" w:name="__RefHeading___Toc796083_222507752"/>
      <w:bookmarkStart w:id="1178" w:name="_Toc481"/>
      <w:bookmarkEnd w:id="1177"/>
      <w:r>
        <w:rPr>
          <w:rtl w:val="true"/>
        </w:rPr>
        <w:t>الثّامن</w:t>
      </w:r>
      <w:r>
        <w:rPr>
          <w:rtl w:val="true"/>
        </w:rPr>
        <w:t>:</w:t>
      </w:r>
      <w:r>
        <w:rPr>
          <w:rtl w:val="true"/>
        </w:rPr>
        <w:t>لو وطئ الصّبيّ لم يتعلّق به إثم إجماعا</w:t>
      </w:r>
      <w:bookmarkEnd w:id="1178"/>
    </w:p>
    <w:p>
      <w:pPr>
        <w:pStyle w:val="BookText"/>
        <w:rPr/>
      </w:pPr>
      <w:r>
        <w:rPr>
          <w:rFonts w:ascii="Amiri" w:hAnsi="Amiri" w:eastAsia="Amiri" w:cs="Amiri"/>
          <w:color w:val="111111"/>
          <w:sz w:val="28"/>
          <w:sz w:val="28"/>
          <w:szCs w:val="28"/>
          <w:rtl w:val="true"/>
          <w:lang w:bidi="ar-SA"/>
        </w:rPr>
        <w:t>،لأنّه فرع التّكليف و لا تكليف مع عدم البلوغ،و قال ابن حامد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تلزمه الكفّارة،للعموم </w:t>
      </w:r>
      <w:r>
        <w:rPr>
          <w:rStyle w:val="FootnoteAnchor"/>
          <w:rtl w:val="true"/>
        </w:rPr>
        <w:footnoteReference w:id="2090"/>
      </w:r>
      <w:r>
        <w:rPr>
          <w:rFonts w:ascii="Amiri" w:hAnsi="Amiri" w:eastAsia="Amiri" w:cs="Amiri"/>
          <w:color w:val="111111"/>
          <w:sz w:val="28"/>
          <w:sz w:val="28"/>
          <w:szCs w:val="28"/>
          <w:rtl w:val="true"/>
          <w:lang w:bidi="ar-SA"/>
        </w:rPr>
        <w:t>،و لم يعلم انّ العموم انّما يتناول المكلّف</w:t>
      </w:r>
      <w:r>
        <w:rPr>
          <w:rFonts w:eastAsia="Amiri" w:cs="Amiri" w:ascii="Amiri" w:hAnsi="Amiri"/>
          <w:color w:val="111111"/>
          <w:sz w:val="28"/>
          <w:szCs w:val="28"/>
          <w:rtl w:val="true"/>
          <w:lang w:bidi="ar-SA"/>
        </w:rPr>
        <w:t>.</w:t>
      </w:r>
    </w:p>
    <w:p>
      <w:pPr>
        <w:pStyle w:val="Heading6"/>
        <w:numPr>
          <w:ilvl w:val="5"/>
          <w:numId w:val="1"/>
        </w:numPr>
        <w:rPr/>
      </w:pPr>
      <w:bookmarkStart w:id="1179" w:name="__RefHeading___Toc796085_222507752"/>
      <w:bookmarkStart w:id="1180" w:name="_Toc482"/>
      <w:bookmarkEnd w:id="1179"/>
      <w:r>
        <w:rPr>
          <w:rtl w:val="true"/>
        </w:rPr>
        <w:t>التّاسع</w:t>
      </w:r>
      <w:r>
        <w:rPr>
          <w:rtl w:val="true"/>
        </w:rPr>
        <w:t>:</w:t>
      </w:r>
      <w:r>
        <w:rPr>
          <w:rtl w:val="true"/>
        </w:rPr>
        <w:t>لو كرّر الوطء،قال الشّيخ</w:t>
      </w:r>
      <w:r>
        <w:rPr>
          <w:rtl w:val="true"/>
        </w:rPr>
        <w:t>:</w:t>
      </w:r>
      <w:r>
        <w:rPr>
          <w:rtl w:val="true"/>
        </w:rPr>
        <w:t xml:space="preserve">لا يتكرّر،عملا بالأصل </w:t>
      </w:r>
      <w:r>
        <w:rPr>
          <w:rtl w:val="true"/>
        </w:rPr>
        <w:t>.</w:t>
      </w:r>
      <w:bookmarkEnd w:id="1180"/>
    </w:p>
    <w:p>
      <w:pPr>
        <w:pStyle w:val="BookText"/>
        <w:rPr/>
      </w:pPr>
      <w:r>
        <w:rPr>
          <w:rStyle w:val="FootnoteAnchor"/>
          <w:rtl w:val="true"/>
        </w:rPr>
        <w:footnoteReference w:id="20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اختاره ابن إدريس </w:t>
      </w:r>
      <w:r>
        <w:rPr>
          <w:rStyle w:val="FootnoteAnchor"/>
          <w:rtl w:val="true"/>
        </w:rPr>
        <w:footnoteReference w:id="209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التّفصيل في هذا الباب أولى،و هو أن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الوطء قد تكرّر في حال واحد كالأوّل و لم يكفّر أوّلا فلا تكرار،و إلاّ تكرّرت</w:t>
      </w:r>
      <w:r>
        <w:rPr>
          <w:rFonts w:eastAsia="Amiri" w:cs="Amiri" w:ascii="Amiri" w:hAnsi="Amiri"/>
          <w:color w:val="111111"/>
          <w:sz w:val="28"/>
          <w:szCs w:val="28"/>
          <w:rtl w:val="true"/>
          <w:lang w:bidi="ar-SA"/>
        </w:rPr>
        <w:t>.</w:t>
      </w:r>
    </w:p>
    <w:p>
      <w:pPr>
        <w:pStyle w:val="Heading6"/>
        <w:numPr>
          <w:ilvl w:val="5"/>
          <w:numId w:val="1"/>
        </w:numPr>
        <w:rPr/>
      </w:pPr>
      <w:bookmarkStart w:id="1181" w:name="__RefHeading___Toc796087_222507752"/>
      <w:bookmarkStart w:id="1182" w:name="_Toc483"/>
      <w:bookmarkEnd w:id="1181"/>
      <w:r>
        <w:rPr>
          <w:rtl w:val="true"/>
        </w:rPr>
        <w:t>العاشر</w:t>
      </w:r>
      <w:r>
        <w:rPr>
          <w:rtl w:val="true"/>
        </w:rPr>
        <w:t>:</w:t>
      </w:r>
      <w:r>
        <w:rPr>
          <w:rtl w:val="true"/>
        </w:rPr>
        <w:t>يجب على الواطئ التّعزير،</w:t>
      </w:r>
      <w:bookmarkEnd w:id="1182"/>
    </w:p>
    <w:p>
      <w:pPr>
        <w:pStyle w:val="BookText"/>
        <w:rPr/>
      </w:pPr>
      <w:r>
        <w:rPr>
          <w:rFonts w:ascii="Amiri" w:hAnsi="Amiri" w:eastAsia="Amiri" w:cs="Amiri"/>
          <w:color w:val="111111"/>
          <w:sz w:val="28"/>
          <w:sz w:val="28"/>
          <w:szCs w:val="28"/>
          <w:rtl w:val="true"/>
          <w:lang w:bidi="ar-SA"/>
        </w:rPr>
        <w:t>لأنّه أقدم على فعل محرّم،هذا إن كان عالما بالحيض و التّحريم،و لو جهل أحدهما،فالوجه عدم العقوبة</w:t>
      </w:r>
      <w:r>
        <w:rPr>
          <w:rFonts w:eastAsia="Amiri" w:cs="Amiri" w:ascii="Amiri" w:hAnsi="Amiri"/>
          <w:color w:val="111111"/>
          <w:sz w:val="28"/>
          <w:szCs w:val="28"/>
          <w:rtl w:val="true"/>
          <w:lang w:bidi="ar-SA"/>
        </w:rPr>
        <w:t>.</w:t>
      </w:r>
    </w:p>
    <w:p>
      <w:pPr>
        <w:pStyle w:val="Heading6"/>
        <w:numPr>
          <w:ilvl w:val="5"/>
          <w:numId w:val="1"/>
        </w:numPr>
        <w:rPr/>
      </w:pPr>
      <w:bookmarkStart w:id="1183" w:name="__RefHeading___Toc796089_222507752"/>
      <w:bookmarkStart w:id="1184" w:name="_Toc484"/>
      <w:bookmarkEnd w:id="1183"/>
      <w:r>
        <w:rPr>
          <w:rtl w:val="true"/>
        </w:rPr>
        <w:t>الحادي عشر</w:t>
      </w:r>
      <w:r>
        <w:rPr>
          <w:rtl w:val="true"/>
        </w:rPr>
        <w:t>:</w:t>
      </w:r>
      <w:r>
        <w:rPr>
          <w:rtl w:val="true"/>
        </w:rPr>
        <w:t>لو وطئ مستحلاّ وجب قتله</w:t>
      </w:r>
      <w:bookmarkEnd w:id="1184"/>
    </w:p>
    <w:p>
      <w:pPr>
        <w:pStyle w:val="BookText"/>
        <w:rPr/>
      </w:pPr>
      <w:r>
        <w:rPr>
          <w:rFonts w:ascii="Amiri" w:hAnsi="Amiri" w:eastAsia="Amiri" w:cs="Amiri"/>
          <w:color w:val="111111"/>
          <w:sz w:val="28"/>
          <w:sz w:val="28"/>
          <w:szCs w:val="28"/>
          <w:rtl w:val="true"/>
          <w:lang w:bidi="ar-SA"/>
        </w:rPr>
        <w:t>،لأنّه ينكر ما علم ثبوته من الدّين قطعا</w:t>
      </w:r>
      <w:r>
        <w:rPr>
          <w:rFonts w:eastAsia="Amiri" w:cs="Amiri" w:ascii="Amiri" w:hAnsi="Amiri"/>
          <w:color w:val="111111"/>
          <w:sz w:val="28"/>
          <w:szCs w:val="28"/>
          <w:rtl w:val="true"/>
          <w:lang w:bidi="ar-SA"/>
        </w:rPr>
        <w:t>.</w:t>
      </w:r>
    </w:p>
    <w:p>
      <w:pPr>
        <w:pStyle w:val="Heading6"/>
        <w:numPr>
          <w:ilvl w:val="5"/>
          <w:numId w:val="1"/>
        </w:numPr>
        <w:rPr/>
      </w:pPr>
      <w:bookmarkStart w:id="1185" w:name="__RefHeading___Toc796091_222507752"/>
      <w:bookmarkStart w:id="1186" w:name="_Toc485"/>
      <w:bookmarkEnd w:id="1185"/>
      <w:r>
        <w:rPr>
          <w:rtl w:val="true"/>
        </w:rPr>
        <w:t>الثّاني عشر</w:t>
      </w:r>
      <w:r>
        <w:rPr>
          <w:rtl w:val="true"/>
        </w:rPr>
        <w:t>:</w:t>
      </w:r>
      <w:r>
        <w:rPr>
          <w:rtl w:val="true"/>
        </w:rPr>
        <w:t>يجب عليه الامتناع من الوطء وقت الاشتباه</w:t>
      </w:r>
      <w:bookmarkEnd w:id="1186"/>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في حالة استمرار </w:t>
      </w:r>
      <w:bookmarkStart w:id="1187" w:name="pg12669_113186"/>
    </w:p>
    <w:p>
      <w:pPr>
        <w:pStyle w:val="BookText"/>
        <w:rPr/>
      </w:pPr>
      <w:bookmarkEnd w:id="1187"/>
      <w:r>
        <w:rPr>
          <w:rFonts w:ascii="Amiri" w:hAnsi="Amiri" w:eastAsia="Amiri" w:cs="Amiri"/>
          <w:color w:val="111111"/>
          <w:sz w:val="28"/>
          <w:sz w:val="28"/>
          <w:szCs w:val="28"/>
          <w:rtl w:val="true"/>
          <w:lang w:bidi="ar-SA"/>
        </w:rPr>
        <w:t>الدّم،لأنّ الاجتناب حالة الحيض واجب،و الوطء حالة الطّهر مباح،فيحتاط بتغليب الحرام،لأنّ الباب باب الفروج</w:t>
      </w:r>
      <w:r>
        <w:rPr>
          <w:rFonts w:eastAsia="Amiri" w:cs="Amiri" w:ascii="Amiri" w:hAnsi="Amiri"/>
          <w:color w:val="111111"/>
          <w:sz w:val="28"/>
          <w:szCs w:val="28"/>
          <w:rtl w:val="true"/>
          <w:lang w:bidi="ar-SA"/>
        </w:rPr>
        <w:t>.</w:t>
      </w:r>
    </w:p>
    <w:p>
      <w:pPr>
        <w:pStyle w:val="Heading6"/>
        <w:numPr>
          <w:ilvl w:val="5"/>
          <w:numId w:val="1"/>
        </w:numPr>
        <w:rPr/>
      </w:pPr>
      <w:bookmarkStart w:id="1188" w:name="__RefHeading___Toc796093_222507752"/>
      <w:bookmarkStart w:id="1189" w:name="_Toc486"/>
      <w:bookmarkEnd w:id="1188"/>
      <w:r>
        <w:rPr>
          <w:rtl w:val="true"/>
        </w:rPr>
        <w:t>الثّالث عشر</w:t>
      </w:r>
      <w:r>
        <w:rPr>
          <w:rtl w:val="true"/>
        </w:rPr>
        <w:t>:</w:t>
      </w:r>
      <w:r>
        <w:rPr>
          <w:rtl w:val="true"/>
        </w:rPr>
        <w:t>لا تجب الكفّارة على المرأة و لو غرّت زوجها،</w:t>
      </w:r>
      <w:bookmarkEnd w:id="1189"/>
    </w:p>
    <w:p>
      <w:pPr>
        <w:pStyle w:val="BookText"/>
        <w:rPr/>
      </w:pPr>
      <w:r>
        <w:rPr>
          <w:rFonts w:ascii="Amiri" w:hAnsi="Amiri" w:eastAsia="Amiri" w:cs="Amiri"/>
          <w:color w:val="111111"/>
          <w:sz w:val="28"/>
          <w:sz w:val="28"/>
          <w:szCs w:val="28"/>
          <w:rtl w:val="true"/>
          <w:lang w:bidi="ar-SA"/>
        </w:rPr>
        <w:t>لعدم الدّليل،و لأنّ الأصل براءة الذّمّة و عصمة المال،و لأنّا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الزّوج لا يجب عليه الكفّارة فالمرأة أولى </w:t>
      </w:r>
      <w:r>
        <w:rPr>
          <w:rStyle w:val="FootnoteAnchor"/>
          <w:rtl w:val="true"/>
        </w:rPr>
        <w:footnoteReference w:id="209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غرّته وجب عليهما معا الكفّارة،قياسا على الإحرام </w:t>
      </w:r>
      <w:r>
        <w:rPr>
          <w:rStyle w:val="FootnoteAnchor"/>
          <w:rtl w:val="true"/>
        </w:rPr>
        <w:footnoteReference w:id="20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القياس عندنا باطل خصوصا في باب الكفّارات،أمّا لو كانت مكرهة أو جاهلة،فلا كفّارة عليها إجماعا</w:t>
      </w:r>
      <w:r>
        <w:rPr>
          <w:rFonts w:eastAsia="Amiri" w:cs="Amiri" w:ascii="Amiri" w:hAnsi="Amiri"/>
          <w:color w:val="111111"/>
          <w:sz w:val="28"/>
          <w:szCs w:val="28"/>
          <w:rtl w:val="true"/>
          <w:lang w:bidi="ar-SA"/>
        </w:rPr>
        <w:t>.</w:t>
      </w:r>
    </w:p>
    <w:p>
      <w:pPr>
        <w:pStyle w:val="Heading6"/>
        <w:numPr>
          <w:ilvl w:val="5"/>
          <w:numId w:val="1"/>
        </w:numPr>
        <w:rPr/>
      </w:pPr>
      <w:bookmarkStart w:id="1190" w:name="__RefHeading___Toc796095_222507752"/>
      <w:bookmarkStart w:id="1191" w:name="_Toc487"/>
      <w:bookmarkEnd w:id="1190"/>
      <w:r>
        <w:rPr>
          <w:rtl w:val="true"/>
        </w:rPr>
        <w:t>الرّابع عشر</w:t>
      </w:r>
      <w:r>
        <w:rPr>
          <w:rtl w:val="true"/>
        </w:rPr>
        <w:t>:</w:t>
      </w:r>
      <w:r>
        <w:rPr>
          <w:rtl w:val="true"/>
        </w:rPr>
        <w:t>حكم النّفساء في ذلك حكم الحائض</w:t>
      </w:r>
      <w:bookmarkEnd w:id="1191"/>
    </w:p>
    <w:p>
      <w:pPr>
        <w:pStyle w:val="BookText"/>
        <w:rPr/>
      </w:pPr>
      <w:r>
        <w:rPr>
          <w:rFonts w:ascii="Amiri" w:hAnsi="Amiri" w:eastAsia="Amiri" w:cs="Amiri"/>
          <w:color w:val="111111"/>
          <w:sz w:val="28"/>
          <w:sz w:val="28"/>
          <w:szCs w:val="28"/>
          <w:rtl w:val="true"/>
          <w:lang w:bidi="ar-SA"/>
        </w:rPr>
        <w:t>،لتساوي أحكامهما على ما يأتي</w:t>
      </w:r>
      <w:r>
        <w:rPr>
          <w:rFonts w:eastAsia="Amiri" w:cs="Amiri" w:ascii="Amiri" w:hAnsi="Amiri"/>
          <w:color w:val="111111"/>
          <w:sz w:val="28"/>
          <w:szCs w:val="28"/>
          <w:rtl w:val="true"/>
          <w:lang w:bidi="ar-SA"/>
        </w:rPr>
        <w:t>.</w:t>
      </w:r>
    </w:p>
    <w:p>
      <w:pPr>
        <w:pStyle w:val="Heading6"/>
        <w:numPr>
          <w:ilvl w:val="5"/>
          <w:numId w:val="1"/>
        </w:numPr>
        <w:rPr/>
      </w:pPr>
      <w:bookmarkStart w:id="1192" w:name="__RefHeading___Toc796097_222507752"/>
      <w:bookmarkStart w:id="1193" w:name="_Toc488"/>
      <w:bookmarkEnd w:id="1192"/>
      <w:r>
        <w:rPr>
          <w:rtl w:val="true"/>
        </w:rPr>
        <w:t>الخامس عشر</w:t>
      </w:r>
      <w:r>
        <w:rPr>
          <w:rtl w:val="true"/>
        </w:rPr>
        <w:t>:</w:t>
      </w:r>
      <w:r>
        <w:rPr>
          <w:rtl w:val="true"/>
        </w:rPr>
        <w:t>لا فرق في الإخراج بين المضروب و التّبر</w:t>
      </w:r>
      <w:bookmarkEnd w:id="1193"/>
    </w:p>
    <w:p>
      <w:pPr>
        <w:pStyle w:val="BookText"/>
        <w:rPr/>
      </w:pPr>
      <w:r>
        <w:rPr>
          <w:rFonts w:ascii="Amiri" w:hAnsi="Amiri" w:eastAsia="Amiri" w:cs="Amiri"/>
          <w:color w:val="111111"/>
          <w:sz w:val="28"/>
          <w:sz w:val="28"/>
          <w:szCs w:val="28"/>
          <w:rtl w:val="true"/>
          <w:lang w:bidi="ar-SA"/>
        </w:rPr>
        <w:t>،لتناول الاسم لهما،و يشترط أن يكون صافيا من الغشّ،و في إخراج القيمة نظر،أقربه عدم الإجزاء،لأنّه كفّارة فاختصّ ببعض أنواع المال كسائر الكفّارات</w:t>
      </w:r>
      <w:r>
        <w:rPr>
          <w:rFonts w:eastAsia="Amiri" w:cs="Amiri" w:ascii="Amiri" w:hAnsi="Amiri"/>
          <w:color w:val="111111"/>
          <w:sz w:val="28"/>
          <w:szCs w:val="28"/>
          <w:rtl w:val="true"/>
          <w:lang w:bidi="ar-SA"/>
        </w:rPr>
        <w:t>.</w:t>
      </w:r>
    </w:p>
    <w:p>
      <w:pPr>
        <w:pStyle w:val="Heading6"/>
        <w:numPr>
          <w:ilvl w:val="5"/>
          <w:numId w:val="1"/>
        </w:numPr>
        <w:rPr/>
      </w:pPr>
      <w:bookmarkStart w:id="1194" w:name="__RefHeading___Toc796099_222507752"/>
      <w:bookmarkStart w:id="1195" w:name="_Toc489"/>
      <w:bookmarkEnd w:id="1194"/>
      <w:r>
        <w:rPr>
          <w:rtl w:val="true"/>
        </w:rPr>
        <w:t>السّادس عشر</w:t>
      </w:r>
      <w:r>
        <w:rPr>
          <w:rtl w:val="true"/>
        </w:rPr>
        <w:t>:</w:t>
      </w:r>
      <w:r>
        <w:rPr>
          <w:rtl w:val="true"/>
        </w:rPr>
        <w:t>مصرف هذه الكفّارة مصرف سائر الكفّارات،</w:t>
      </w:r>
      <w:bookmarkEnd w:id="1195"/>
    </w:p>
    <w:p>
      <w:pPr>
        <w:pStyle w:val="BookText"/>
        <w:rPr/>
      </w:pPr>
      <w:r>
        <w:rPr>
          <w:rFonts w:ascii="Amiri" w:hAnsi="Amiri" w:eastAsia="Amiri" w:cs="Amiri"/>
          <w:color w:val="111111"/>
          <w:sz w:val="28"/>
          <w:sz w:val="28"/>
          <w:szCs w:val="28"/>
          <w:rtl w:val="true"/>
          <w:lang w:bidi="ar-SA"/>
        </w:rPr>
        <w:t>لأنّها كفّارة، و لأنّها حقّ اللّه تعالى،و المساكين مصرف حقوق اللّه تعالى</w:t>
      </w:r>
      <w:r>
        <w:rPr>
          <w:rFonts w:eastAsia="Amiri" w:cs="Amiri" w:ascii="Amiri" w:hAnsi="Amiri"/>
          <w:color w:val="111111"/>
          <w:sz w:val="28"/>
          <w:szCs w:val="28"/>
          <w:rtl w:val="true"/>
          <w:lang w:bidi="ar-SA"/>
        </w:rPr>
        <w:t>.</w:t>
      </w:r>
    </w:p>
    <w:p>
      <w:pPr>
        <w:pStyle w:val="Heading6"/>
        <w:numPr>
          <w:ilvl w:val="5"/>
          <w:numId w:val="1"/>
        </w:numPr>
        <w:rPr/>
      </w:pPr>
      <w:bookmarkStart w:id="1196" w:name="__RefHeading___Toc796101_222507752"/>
      <w:bookmarkStart w:id="1197" w:name="_Toc490"/>
      <w:bookmarkEnd w:id="1196"/>
      <w:r>
        <w:rPr>
          <w:rtl w:val="true"/>
        </w:rPr>
        <w:t>السّابع عشر</w:t>
      </w:r>
      <w:r>
        <w:rPr>
          <w:rtl w:val="true"/>
        </w:rPr>
        <w:t>:</w:t>
      </w:r>
      <w:r>
        <w:rPr>
          <w:rtl w:val="true"/>
        </w:rPr>
        <w:t>وطء المستحاضة مباح</w:t>
      </w:r>
      <w:bookmarkEnd w:id="1197"/>
    </w:p>
    <w:p>
      <w:pPr>
        <w:pStyle w:val="BookText"/>
        <w:rPr/>
      </w:pPr>
      <w:r>
        <w:rPr>
          <w:rFonts w:ascii="Amiri" w:hAnsi="Amiri" w:eastAsia="Amiri" w:cs="Amiri"/>
          <w:color w:val="111111"/>
          <w:sz w:val="28"/>
          <w:sz w:val="28"/>
          <w:szCs w:val="28"/>
          <w:rtl w:val="true"/>
          <w:lang w:bidi="ar-SA"/>
        </w:rPr>
        <w:t>عندنا على ما يأتي،فلا يتعلّق به كفّارة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القائلون بالتّحريم </w:t>
      </w:r>
      <w:r>
        <w:rPr>
          <w:rStyle w:val="FootnoteAnchor"/>
          <w:rtl w:val="true"/>
        </w:rPr>
        <w:footnoteReference w:id="2095"/>
      </w:r>
      <w:r>
        <w:rPr>
          <w:rFonts w:ascii="Amiri" w:hAnsi="Amiri" w:eastAsia="Amiri" w:cs="Amiri"/>
          <w:color w:val="111111"/>
          <w:sz w:val="28"/>
          <w:sz w:val="28"/>
          <w:szCs w:val="28"/>
          <w:rtl w:val="true"/>
          <w:lang w:bidi="ar-SA"/>
        </w:rPr>
        <w:t>قالوا بعدم الوجوب أيضا،لأنّ الوجوب من الشّرع،و لم يرد بإيجابها في حقّها،و هي ليست في معنى الحائض،لما بينهما من الاختلاف</w:t>
      </w:r>
      <w:r>
        <w:rPr>
          <w:rFonts w:eastAsia="Amiri" w:cs="Amiri" w:ascii="Amiri" w:hAnsi="Amiri"/>
          <w:color w:val="111111"/>
          <w:sz w:val="28"/>
          <w:szCs w:val="28"/>
          <w:rtl w:val="true"/>
          <w:lang w:bidi="ar-SA"/>
        </w:rPr>
        <w:t>.</w:t>
      </w:r>
    </w:p>
    <w:p>
      <w:pPr>
        <w:pStyle w:val="Heading6"/>
        <w:numPr>
          <w:ilvl w:val="5"/>
          <w:numId w:val="1"/>
        </w:numPr>
        <w:rPr/>
      </w:pPr>
      <w:bookmarkStart w:id="1198" w:name="__RefHeading___Toc796103_222507752"/>
      <w:bookmarkStart w:id="1199" w:name="_Toc491"/>
      <w:bookmarkEnd w:id="1198"/>
      <w:r>
        <w:rPr>
          <w:rtl w:val="true"/>
        </w:rPr>
        <w:t>مسألة</w:t>
      </w:r>
      <w:r>
        <w:rPr>
          <w:rtl w:val="true"/>
        </w:rPr>
        <w:t>:</w:t>
      </w:r>
      <w:r>
        <w:rPr>
          <w:rtl w:val="true"/>
        </w:rPr>
        <w:t>و لو انقطع دمها حلّ وطؤها قبل الغسل</w:t>
      </w:r>
      <w:r>
        <w:rPr>
          <w:rtl w:val="true"/>
        </w:rPr>
        <w:t>.</w:t>
      </w:r>
      <w:bookmarkEnd w:id="1199"/>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هو قول أكثر علمائنا </w:t>
      </w:r>
      <w:r>
        <w:rPr>
          <w:rStyle w:val="FootnoteAnchor"/>
          <w:rtl w:val="true"/>
        </w:rPr>
        <w:footnoteReference w:id="2096"/>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خلافا لابن بابويه من أصحابنا فإنّه حرّمه قبل الغسل </w:t>
      </w:r>
      <w:r>
        <w:rPr>
          <w:rStyle w:val="FootnoteAnchor"/>
          <w:rtl w:val="true"/>
        </w:rPr>
        <w:footnoteReference w:id="209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به قال الشّافعيّ </w:t>
      </w:r>
      <w:r>
        <w:rPr>
          <w:rStyle w:val="FootnoteAnchor"/>
          <w:rtl w:val="true"/>
        </w:rPr>
        <w:footnoteReference w:id="2098"/>
      </w:r>
      <w:r>
        <w:rPr>
          <w:rFonts w:ascii="Amiri" w:hAnsi="Amiri" w:eastAsia="Amiri" w:cs="Amiri"/>
          <w:color w:val="111111"/>
          <w:sz w:val="28"/>
          <w:sz w:val="28"/>
          <w:szCs w:val="28"/>
          <w:rtl w:val="true"/>
          <w:lang w:bidi="ar-SA"/>
        </w:rPr>
        <w:t xml:space="preserve">، و الزّهريّ،و ربيعة </w:t>
      </w:r>
      <w:r>
        <w:rPr>
          <w:rStyle w:val="FootnoteAnchor"/>
          <w:rtl w:val="true"/>
        </w:rPr>
        <w:footnoteReference w:id="2099"/>
      </w:r>
      <w:r>
        <w:rPr>
          <w:rFonts w:ascii="Amiri" w:hAnsi="Amiri" w:eastAsia="Amiri" w:cs="Amiri"/>
          <w:color w:val="111111"/>
          <w:sz w:val="28"/>
          <w:sz w:val="28"/>
          <w:szCs w:val="28"/>
          <w:rtl w:val="true"/>
          <w:lang w:bidi="ar-SA"/>
        </w:rPr>
        <w:t xml:space="preserve">،و مالك </w:t>
      </w:r>
      <w:r>
        <w:rPr>
          <w:rStyle w:val="FootnoteAnchor"/>
          <w:rtl w:val="true"/>
        </w:rPr>
        <w:footnoteReference w:id="2100"/>
      </w:r>
      <w:r>
        <w:rPr>
          <w:rFonts w:ascii="Amiri" w:hAnsi="Amiri" w:eastAsia="Amiri" w:cs="Amiri"/>
          <w:color w:val="111111"/>
          <w:sz w:val="28"/>
          <w:sz w:val="28"/>
          <w:szCs w:val="28"/>
          <w:rtl w:val="true"/>
          <w:lang w:bidi="ar-SA"/>
        </w:rPr>
        <w:t xml:space="preserve">،و اللّيث،و الثّوريّ </w:t>
      </w:r>
      <w:r>
        <w:rPr>
          <w:rStyle w:val="FootnoteAnchor"/>
          <w:rtl w:val="true"/>
        </w:rPr>
        <w:footnoteReference w:id="2101"/>
      </w:r>
      <w:r>
        <w:rPr>
          <w:rFonts w:ascii="IRNazanin" w:hAnsi="IRNazanin" w:eastAsia="IRNazanin"/>
          <w:color w:val="111111"/>
          <w:sz w:val="28"/>
          <w:sz w:val="28"/>
          <w:szCs w:val="28"/>
          <w:rtl w:val="true"/>
          <w:lang w:bidi="fa-IR"/>
        </w:rPr>
        <w:t xml:space="preserve">،و أحمد </w:t>
      </w:r>
      <w:r>
        <w:rPr>
          <w:rStyle w:val="FootnoteAnchor"/>
          <w:rtl w:val="true"/>
        </w:rPr>
        <w:footnoteReference w:id="2102"/>
      </w:r>
      <w:r>
        <w:rPr>
          <w:rFonts w:ascii="IRNazanin" w:hAnsi="IRNazanin" w:eastAsia="IRNazanin"/>
          <w:color w:val="111111"/>
          <w:sz w:val="28"/>
          <w:sz w:val="28"/>
          <w:szCs w:val="28"/>
          <w:rtl w:val="true"/>
          <w:lang w:bidi="fa-IR"/>
        </w:rPr>
        <w:t xml:space="preserve">،و إسحاق،و أبو ثور </w:t>
      </w:r>
      <w:r>
        <w:rPr>
          <w:rStyle w:val="FootnoteAnchor"/>
          <w:rtl w:val="true"/>
        </w:rPr>
        <w:footnoteReference w:id="210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أبو حنيفة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انقطع الدّم لأكثر الحيض حلّ وطؤها،و إن انقطع لدون ذلك لم يبح حتّى تغتسل،أو تتيمّم،أو يمضي عليها وقت الصّلاة </w:t>
      </w:r>
      <w:r>
        <w:rPr>
          <w:rStyle w:val="FootnoteAnchor"/>
          <w:rtl w:val="true"/>
        </w:rPr>
        <w:footnoteReference w:id="21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تعالى وَ لا تَقْرَبُوهُنَّ حَتّى يَطْهُرْنَ </w:t>
      </w:r>
      <w:r>
        <w:rPr>
          <w:rStyle w:val="FootnoteAnchor"/>
          <w:rtl w:val="true"/>
        </w:rPr>
        <w:footnoteReference w:id="2105"/>
      </w:r>
      <w:r>
        <w:rPr>
          <w:rFonts w:ascii="Amiri" w:hAnsi="Amiri" w:eastAsia="Amiri" w:cs="Amiri"/>
          <w:color w:val="111111"/>
          <w:sz w:val="28"/>
          <w:sz w:val="28"/>
          <w:szCs w:val="28"/>
          <w:rtl w:val="true"/>
          <w:lang w:bidi="ar-SA"/>
        </w:rPr>
        <w:t>بالتّخفيف،أي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يخرجن من الحيض،فيجب القول بالإباحة بعد هذه الغاية</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تعالى فَاعْتَزِلُوا النِّساءَ فِي الْمَحِيضِ </w:t>
      </w:r>
      <w:r>
        <w:rPr>
          <w:rStyle w:val="FootnoteAnchor"/>
          <w:rtl w:val="true"/>
        </w:rPr>
        <w:footnoteReference w:id="2106"/>
      </w:r>
      <w:r>
        <w:rPr>
          <w:rFonts w:ascii="IRNazanin" w:hAnsi="IRNazanin" w:eastAsia="IRNazanin"/>
          <w:color w:val="111111"/>
          <w:sz w:val="28"/>
          <w:sz w:val="28"/>
          <w:szCs w:val="28"/>
          <w:rtl w:val="true"/>
          <w:lang w:bidi="fa-IR"/>
        </w:rPr>
        <w:t xml:space="preserve">و المنع متعلّق به، </w:t>
      </w:r>
    </w:p>
    <w:p>
      <w:pPr>
        <w:pStyle w:val="BookText"/>
        <w:rPr/>
      </w:pPr>
      <w:r>
        <w:rPr>
          <w:rFonts w:ascii="Amiri" w:hAnsi="Amiri" w:eastAsia="Amiri" w:cs="Amiri"/>
          <w:color w:val="111111"/>
          <w:sz w:val="28"/>
          <w:sz w:val="28"/>
          <w:szCs w:val="28"/>
          <w:rtl w:val="true"/>
          <w:lang w:bidi="ar-SA"/>
        </w:rPr>
        <w:t xml:space="preserve">فمع زواله يثبت </w:t>
      </w:r>
      <w:r>
        <w:rPr>
          <w:rStyle w:val="FootnoteAnchor"/>
          <w:rtl w:val="true"/>
        </w:rPr>
        <w:footnoteReference w:id="2107"/>
      </w:r>
      <w:r>
        <w:rPr>
          <w:rFonts w:ascii="Amiri" w:hAnsi="Amiri" w:eastAsia="Amiri" w:cs="Amiri"/>
          <w:color w:val="111111"/>
          <w:sz w:val="28"/>
          <w:sz w:val="28"/>
          <w:szCs w:val="28"/>
          <w:rtl w:val="true"/>
          <w:lang w:bidi="ar-SA"/>
        </w:rPr>
        <w:t>الحلّ،لأنّ الأصل الإباحة،و لأنّ وجوب الغسل لا يمنع الوطء كالجنابة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رواه الشّيخ،عن محمّد بن مسلم،عن أبي جعفر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المرأة ينقطع عنها دم الحيض في آخر أيّامها؟فقال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أصاب زوجها شبق فلتغسل فرجها ثمَّ يمسّها زوجها إن شاء قبل أن تغتسل</w:t>
      </w:r>
      <w:r>
        <w:rPr>
          <w:rFonts w:eastAsia="Amiri" w:cs="Amiri" w:ascii="Amiri" w:hAnsi="Amiri"/>
          <w:color w:val="111111"/>
          <w:sz w:val="28"/>
          <w:szCs w:val="28"/>
          <w:rtl w:val="true"/>
          <w:lang w:bidi="ar-SA"/>
        </w:rPr>
        <w:t xml:space="preserve">» </w:t>
      </w:r>
      <w:r>
        <w:rPr>
          <w:rStyle w:val="FootnoteAnchor"/>
          <w:rtl w:val="true"/>
        </w:rPr>
        <w:footnoteReference w:id="21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روى،عن عليّ بن يقطين،عن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انقطع الدّم و لم تغتسل فليأتها زوجها إن شاء</w:t>
      </w:r>
      <w:r>
        <w:rPr>
          <w:rFonts w:eastAsia="Amiri" w:cs="Amiri" w:ascii="Amiri" w:hAnsi="Amiri"/>
          <w:color w:val="111111"/>
          <w:sz w:val="28"/>
          <w:szCs w:val="28"/>
          <w:rtl w:val="true"/>
          <w:lang w:bidi="ar-SA"/>
        </w:rPr>
        <w:t xml:space="preserve">» </w:t>
      </w:r>
      <w:r>
        <w:rPr>
          <w:rStyle w:val="FootnoteAnchor"/>
          <w:rtl w:val="true"/>
        </w:rPr>
        <w:footnoteReference w:id="21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محمّد بن مسلم،عن أبي جعفر عليه السّلام في المرأة ينقطع عنها دم الحيض </w:t>
      </w:r>
      <w:r>
        <w:rPr>
          <w:rStyle w:val="FootnoteAnchor"/>
          <w:rtl w:val="true"/>
        </w:rPr>
        <w:footnoteReference w:id="2110"/>
      </w:r>
      <w:r>
        <w:rPr>
          <w:rFonts w:ascii="Amiri" w:hAnsi="Amiri" w:eastAsia="Amiri" w:cs="Amiri"/>
          <w:color w:val="111111"/>
          <w:sz w:val="28"/>
          <w:sz w:val="28"/>
          <w:szCs w:val="28"/>
          <w:rtl w:val="true"/>
          <w:lang w:bidi="ar-SA"/>
        </w:rPr>
        <w:t>في آخر أيّامها؟قال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أصاب زوجها شبق فلتغسل فرجها،ثمَّ يمسّها إن شاء قبل أن تغتسل</w:t>
      </w:r>
      <w:r>
        <w:rPr>
          <w:rFonts w:eastAsia="Amiri" w:cs="Amiri" w:ascii="Amiri" w:hAnsi="Amiri"/>
          <w:color w:val="111111"/>
          <w:sz w:val="28"/>
          <w:szCs w:val="28"/>
          <w:rtl w:val="true"/>
          <w:lang w:bidi="ar-SA"/>
        </w:rPr>
        <w:t xml:space="preserve">» </w:t>
      </w:r>
      <w:r>
        <w:rPr>
          <w:rStyle w:val="FootnoteAnchor"/>
          <w:rtl w:val="true"/>
        </w:rPr>
        <w:footnoteReference w:id="21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روى،عن عبد اللّه بن المغيرة،عمّن سمع من العبد الصّالح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المرأة إذا طهرت من الحيض و لم تمسّ الماء فلا يقع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زوجها حتّى تغتسل فإن فعل ذلك فلا بأس به،و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تمسّ الماء أحبّ إليّ</w:t>
      </w:r>
      <w:r>
        <w:rPr>
          <w:rFonts w:eastAsia="Amiri" w:cs="Amiri" w:ascii="Amiri" w:hAnsi="Amiri"/>
          <w:color w:val="111111"/>
          <w:sz w:val="28"/>
          <w:szCs w:val="28"/>
          <w:rtl w:val="true"/>
          <w:lang w:bidi="ar-SA"/>
        </w:rPr>
        <w:t xml:space="preserve">» </w:t>
      </w:r>
      <w:r>
        <w:rPr>
          <w:rStyle w:val="FootnoteAnchor"/>
          <w:rtl w:val="true"/>
        </w:rPr>
        <w:footnoteReference w:id="2112"/>
      </w:r>
      <w:r>
        <w:rPr>
          <w:rFonts w:eastAsia="Times New Roman" w:cs="Times New Roman" w:ascii="Times New Roman" w:hAnsi="Times New Roman"/>
          <w:color w:val="111111"/>
          <w:sz w:val="28"/>
          <w:szCs w:val="28"/>
          <w:rtl w:val="true"/>
          <w:lang w:val="en-US" w:bidi="en-US"/>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 عليّ بن يقطين،عن أبي الحسن عليه السّلام في الحائض ترى الطّهر يقع </w:t>
      </w:r>
      <w:r>
        <w:rPr>
          <w:rStyle w:val="FootnoteAnchor"/>
          <w:rtl w:val="true"/>
        </w:rPr>
        <w:footnoteReference w:id="2113"/>
      </w:r>
    </w:p>
    <w:p>
      <w:pPr>
        <w:pStyle w:val="BookText"/>
        <w:rPr/>
      </w:pPr>
      <w:r>
        <w:rPr>
          <w:rFonts w:ascii="Amiri" w:hAnsi="Amiri" w:eastAsia="Amiri" w:cs="Amiri"/>
          <w:color w:val="111111"/>
          <w:sz w:val="28"/>
          <w:sz w:val="28"/>
          <w:szCs w:val="28"/>
          <w:rtl w:val="true"/>
          <w:lang w:bidi="ar-SA"/>
        </w:rPr>
        <w:t>بها زوجها قبل أن تغتسل؟قال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بأس،و بعد الغسل أحبّ إليّ</w:t>
      </w:r>
      <w:r>
        <w:rPr>
          <w:rFonts w:eastAsia="Amiri" w:cs="Amiri" w:ascii="Amiri" w:hAnsi="Amiri"/>
          <w:color w:val="111111"/>
          <w:sz w:val="28"/>
          <w:szCs w:val="28"/>
          <w:rtl w:val="true"/>
          <w:lang w:bidi="ar-SA"/>
        </w:rPr>
        <w:t xml:space="preserve">» </w:t>
      </w:r>
      <w:r>
        <w:rPr>
          <w:rStyle w:val="FootnoteAnchor"/>
          <w:rtl w:val="true"/>
        </w:rPr>
        <w:footnoteReference w:id="2114"/>
      </w:r>
      <w:r>
        <w:rPr>
          <w:rFonts w:ascii="Amiri" w:hAnsi="Amiri" w:eastAsia="Amiri" w:cs="Amiri"/>
          <w:color w:val="111111"/>
          <w:sz w:val="28"/>
          <w:sz w:val="28"/>
          <w:szCs w:val="28"/>
          <w:rtl w:val="true"/>
          <w:lang w:bidi="ar-SA"/>
        </w:rPr>
        <w:t>و هذه الأحاديث تدلّ على استحباب تقديم 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احتجّ المانعون بقوله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حَتّى يَطَّهَّرْنَ </w:t>
      </w:r>
      <w:r>
        <w:rPr>
          <w:rStyle w:val="FootnoteAnchor"/>
          <w:rtl w:val="true"/>
        </w:rPr>
        <w:footnoteReference w:id="2115"/>
      </w:r>
      <w:r>
        <w:rPr>
          <w:rFonts w:ascii="Amiri" w:hAnsi="Amiri" w:eastAsia="Amiri" w:cs="Amiri"/>
          <w:color w:val="111111"/>
          <w:sz w:val="28"/>
          <w:sz w:val="28"/>
          <w:szCs w:val="28"/>
          <w:rtl w:val="true"/>
          <w:lang w:bidi="ar-SA"/>
        </w:rPr>
        <w:t>بالتّشديد،أي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يغتسلن،و لأنّها ممنوعة من الصّلاة بحدث الحيض فلم يبح وطؤها كما لو انقطع لأقلّ الحيض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بما رواه الشّيخ،عن أبي بصير،عن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امرأة كانت طامثا فرأت الطّهر،أ يقع عليها زوجها قبل أن تغتسل؟قال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لا،حتّى تغتسل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امرأة حاضت في السّفر،ثمَّ طهرت فلم تجد ماء يوما و اثنين،أ يحلّ لزوجها أن يجامعها قبل أن تغتسل؟قال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يصلح حتّى تغتسل</w:t>
      </w:r>
      <w:r>
        <w:rPr>
          <w:rFonts w:eastAsia="Amiri" w:cs="Amiri" w:ascii="Amiri" w:hAnsi="Amiri"/>
          <w:color w:val="111111"/>
          <w:sz w:val="28"/>
          <w:szCs w:val="28"/>
          <w:rtl w:val="true"/>
          <w:lang w:bidi="ar-SA"/>
        </w:rPr>
        <w:t xml:space="preserve">» </w:t>
      </w:r>
      <w:r>
        <w:rPr>
          <w:rStyle w:val="FootnoteAnchor"/>
          <w:rtl w:val="true"/>
        </w:rPr>
        <w:footnoteReference w:id="21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روى،عن سعيد بن يسار،عن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المرأة تحرم عليها الصّلاة،ثمَّ تطهر فتتوضّأ من غير أن تغتسل،أ فلزوجها أن يأتيها قبل أن تغتسل؟قال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لا،حتّى تغتسل</w:t>
      </w:r>
      <w:r>
        <w:rPr>
          <w:rFonts w:eastAsia="Amiri" w:cs="Amiri" w:ascii="Amiri" w:hAnsi="Amiri"/>
          <w:color w:val="111111"/>
          <w:sz w:val="28"/>
          <w:szCs w:val="28"/>
          <w:rtl w:val="true"/>
          <w:lang w:bidi="ar-SA"/>
        </w:rPr>
        <w:t xml:space="preserve">» </w:t>
      </w:r>
      <w:r>
        <w:rPr>
          <w:rStyle w:val="FootnoteAnchor"/>
          <w:rtl w:val="true"/>
        </w:rPr>
        <w:footnoteReference w:id="21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الجواب عن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قدّمنا انّ التّخفيف قراءة،فصارت القراءتان كآيتين، فيجب العمل بهما،فتحمل عند الاغتسال و عند الانقطاع،أو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يحمل قراءة التّشديد على الاستحباب،و الأولى على الجواز،صونا للقراءتين عن التّنافي</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فَإِذا تَطَهَّرْنَ فَأْتُوهُنَّ </w:t>
      </w:r>
      <w:r>
        <w:rPr>
          <w:rStyle w:val="FootnoteAnchor"/>
          <w:rtl w:val="true"/>
        </w:rPr>
        <w:footnoteReference w:id="2118"/>
      </w:r>
      <w:r>
        <w:rPr>
          <w:rFonts w:ascii="IRNazanin" w:hAnsi="IRNazanin" w:eastAsia="IRNazanin"/>
          <w:color w:val="111111"/>
          <w:sz w:val="28"/>
          <w:sz w:val="28"/>
          <w:szCs w:val="28"/>
          <w:rtl w:val="true"/>
          <w:lang w:bidi="fa-IR"/>
        </w:rPr>
        <w:t xml:space="preserve">دالّ على اشتراط الغسل،إذ المراد </w:t>
      </w:r>
      <w:bookmarkStart w:id="1200" w:name="pg12669_113190"/>
    </w:p>
    <w:p>
      <w:pPr>
        <w:pStyle w:val="BookText"/>
        <w:rPr/>
      </w:pPr>
      <w:bookmarkEnd w:id="1200"/>
      <w:r>
        <w:rPr>
          <w:rFonts w:ascii="Amiri" w:hAnsi="Amiri" w:eastAsia="Amiri" w:cs="Amiri"/>
          <w:color w:val="111111"/>
          <w:sz w:val="28"/>
          <w:sz w:val="28"/>
          <w:szCs w:val="28"/>
          <w:rtl w:val="true"/>
          <w:lang w:bidi="ar-SA"/>
        </w:rPr>
        <w:t>بالتّطهير هاهنا الغسل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كذا قوله وَ يُحِبُّ الْمُتَطَهِّرِينَ </w:t>
      </w:r>
      <w:r>
        <w:rPr>
          <w:rStyle w:val="FootnoteAnchor"/>
          <w:rtl w:val="true"/>
        </w:rPr>
        <w:footnoteReference w:id="2119"/>
      </w:r>
      <w:r>
        <w:rPr>
          <w:rFonts w:ascii="Amiri" w:hAnsi="Amiri" w:eastAsia="Amiri" w:cs="Amiri"/>
          <w:color w:val="111111"/>
          <w:sz w:val="28"/>
          <w:sz w:val="28"/>
          <w:szCs w:val="28"/>
          <w:rtl w:val="true"/>
          <w:lang w:bidi="ar-SA"/>
        </w:rPr>
        <w:t>أثنى عليهم فدلّ على انّه فعل منهم،و الفعل هو الاغتسال لا الانقطاع،فشرط لإباحة الوطء شرطين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الانقطاع،و الاغتسال،فلا يباح إلاّ 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لا يجوز أن يكون قوله فَإِذا تَطَهَّرْنَ يعني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طهرن، كما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قطعت الحبل فتقطّع،و كسرت الكوز فتكسّر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حاصله 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جاء بمعنى فعل كما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تطعّمت الطّعام و طعمته،بمعنى 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سلّمنا،لكن لم لا يجوز أن يكون كلاما مستأنفا لا مدخل له في الشّرط و الغاية؟سلّمنا،لكن يحمل على غسل الفرج جمعا بين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قوله وَ يُحِبُّ الْمُتَطَهِّرِينَ </w:t>
      </w:r>
      <w:r>
        <w:rPr>
          <w:rStyle w:val="FootnoteAnchor"/>
          <w:rtl w:val="true"/>
        </w:rPr>
        <w:footnoteReference w:id="2120"/>
      </w:r>
      <w:r>
        <w:rPr>
          <w:rFonts w:ascii="Amiri" w:hAnsi="Amiri" w:eastAsia="Amiri" w:cs="Amiri"/>
          <w:color w:val="111111"/>
          <w:sz w:val="28"/>
          <w:sz w:val="28"/>
          <w:szCs w:val="28"/>
          <w:rtl w:val="true"/>
          <w:lang w:bidi="ar-SA"/>
        </w:rPr>
        <w:t>فلا يدلّ على ما ذكرتم،لاحتمال الاستئناف،أو يكون المراد منه التّنزّه من الذّنوب،فإنّ الطّهارة في اللّغة هي النّزاهة، فيحمل عليها هاهنا لمناسبة التّوبة،فإنّه لا استبعاد أن يكون المراد إِنَّ اللّهَ يُحِبُّ التَّوّابِينَ 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الإقدام على الوطء بعد فعله،فإنّ التّوبة إنّما تكون بعد الإيقاع وَ يُحِبُّ الْمُتَطَهِّرِينَ أي المتنزّهين عن إيقاع الوطء الّذي هو الذّنب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غير وارد علينا،و إنّما هو وارد على مذهب أبي حنيفة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النّهي فيه يحمل على الكراهة جمعا بين الأدلّة،على انّ الرّواية في طريقها عليّ بن أسباط،و فيه قول،و كذا الجواب عن الرّواية الثّانية</w:t>
      </w:r>
      <w:r>
        <w:rPr>
          <w:rFonts w:eastAsia="Amiri" w:cs="Amiri" w:ascii="Amiri" w:hAnsi="Amiri"/>
          <w:color w:val="111111"/>
          <w:sz w:val="28"/>
          <w:szCs w:val="28"/>
          <w:rtl w:val="true"/>
          <w:lang w:bidi="ar-SA"/>
        </w:rPr>
        <w:t>.</w:t>
      </w:r>
    </w:p>
    <w:p>
      <w:pPr>
        <w:pStyle w:val="Heading6"/>
        <w:numPr>
          <w:ilvl w:val="5"/>
          <w:numId w:val="1"/>
        </w:numPr>
        <w:rPr/>
      </w:pPr>
      <w:bookmarkStart w:id="1201" w:name="__RefHeading___Toc796105_222507752"/>
      <w:bookmarkStart w:id="1202" w:name="_Toc492"/>
      <w:bookmarkEnd w:id="1201"/>
      <w:r>
        <w:rPr>
          <w:rtl w:val="true"/>
        </w:rPr>
        <w:t>فروع</w:t>
      </w:r>
      <w:r>
        <w:rPr>
          <w:rtl w:val="true"/>
        </w:rPr>
        <w:t>:</w:t>
      </w:r>
      <w:bookmarkEnd w:id="1202"/>
    </w:p>
    <w:p>
      <w:pPr>
        <w:pStyle w:val="Heading6"/>
        <w:numPr>
          <w:ilvl w:val="5"/>
          <w:numId w:val="1"/>
        </w:numPr>
        <w:rPr/>
      </w:pPr>
      <w:bookmarkStart w:id="1203" w:name="__RefHeading___Toc796107_222507752"/>
      <w:bookmarkStart w:id="1204" w:name="_Toc493"/>
      <w:bookmarkEnd w:id="1203"/>
      <w:r>
        <w:rPr>
          <w:rtl w:val="true"/>
        </w:rPr>
        <w:t>الأوّل</w:t>
      </w:r>
      <w:r>
        <w:rPr>
          <w:rtl w:val="true"/>
        </w:rPr>
        <w:t>:</w:t>
      </w:r>
      <w:r>
        <w:rPr>
          <w:rtl w:val="true"/>
        </w:rPr>
        <w:t>لو كانت عادتها دون العشرة فانقطع عليها،جاز للزّوج وطؤها</w:t>
      </w:r>
      <w:r>
        <w:rPr>
          <w:rtl w:val="true"/>
        </w:rPr>
        <w:t>.</w:t>
      </w:r>
      <w:bookmarkEnd w:id="1204"/>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أبو حنيفة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توطأ حتّى تغتسل،أو يمضي عليها وقت أداء الصّلاة إليها مع القدرة على </w:t>
      </w:r>
    </w:p>
    <w:p>
      <w:pPr>
        <w:pStyle w:val="BookText"/>
        <w:rPr/>
      </w:pPr>
      <w:r>
        <w:rPr>
          <w:rFonts w:ascii="Amiri" w:hAnsi="Amiri" w:eastAsia="Amiri" w:cs="Amiri"/>
          <w:color w:val="111111"/>
          <w:sz w:val="28"/>
          <w:sz w:val="28"/>
          <w:szCs w:val="28"/>
          <w:rtl w:val="true"/>
          <w:lang w:bidi="ar-SA"/>
        </w:rPr>
        <w:t xml:space="preserve">الغسل،مثل أن يكون الانقطاع في وقت صلاة،فإن وجدت في الوقت مقدار ما تغتسل فتجد من الوقت ساعة تصحّ فيها الصّلاة فإنّه يحكم بطهارتها بمضيّ ذلك الوقت،و يجوز وطؤها بعد مضيّه،اغتسلت أو لا </w:t>
      </w:r>
      <w:r>
        <w:rPr>
          <w:rStyle w:val="FootnoteAnchor"/>
          <w:rtl w:val="true"/>
        </w:rPr>
        <w:footnoteReference w:id="212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زفر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يجوز أن يقربها حتّى تغتسل،و لو بقي من الوقت مقدار الاغتسال لا غير،لم يحكم بطهارتها حتّى يمضي ذلك الوقت أو تغتسل أو يمضي وقت صلاة أخرى </w:t>
      </w:r>
      <w:r>
        <w:rPr>
          <w:rStyle w:val="FootnoteAnchor"/>
          <w:rtl w:val="true"/>
        </w:rPr>
        <w:footnoteReference w:id="212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مبناه على أصل هو انّ المرأة إذا كانت أيّامها دون العشرة في الحيض،فإنّ مدّه الاغتسال من الحيض،و لو كانت عشرة فمدّته ليس من الحيض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فقدت الماء فتيمّمت حكم بطهارتها،و جاز للزّوج أن يقربها،و هل تنقطع الرّجعة بنفس التّيمّم من غير صلاة به؟قال أبو حنيفة و أبو يوسف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تنقطع </w:t>
      </w:r>
      <w:r>
        <w:rPr>
          <w:rStyle w:val="FootnoteAnchor"/>
          <w:rtl w:val="true"/>
        </w:rPr>
        <w:footnoteReference w:id="21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خلافا لمحمّد </w:t>
      </w:r>
      <w:r>
        <w:rPr>
          <w:rStyle w:val="FootnoteAnchor"/>
          <w:rtl w:val="true"/>
        </w:rPr>
        <w:footnoteReference w:id="2124"/>
      </w:r>
      <w:r>
        <w:rPr>
          <w:rFonts w:ascii="Amiri" w:hAnsi="Amiri" w:eastAsia="Amiri" w:cs="Amiri"/>
          <w:color w:val="111111"/>
          <w:sz w:val="28"/>
          <w:sz w:val="28"/>
          <w:szCs w:val="28"/>
          <w:rtl w:val="true"/>
          <w:lang w:bidi="ar-SA"/>
        </w:rPr>
        <w:t>،فلو رأت بعد ذلك الماء حلّ للزّوج وطؤها،و لا تقرأ القرآن،لأنّها بالتّيمّم خرجت من الحيض،فلمّا وجدت الماء وجب عليها الغسل، فصارت كالجنب</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حنيفة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انقطع في ليل رمضان،و وجدت من اللّيل مقدار ما تغتسل و تجد ساعة من اللّيل،فإنّه يجب عليها قضاء العشاء و يصحّ صومها في الغد،و لو بقي أقلّ من ذلك لم يجب القضاء و لم يصحّ صومها،أمّا لو كانت عادتها عشرة و وجدت بعد الانقطاع مقدار زمان الغسل،وجب عليها قضاء صلاة العشاء و صحّ صوم غدها </w:t>
      </w:r>
      <w:r>
        <w:rPr>
          <w:rStyle w:val="FootnoteAnchor"/>
          <w:rtl w:val="true"/>
        </w:rPr>
        <w:footnoteReference w:id="2125"/>
      </w:r>
      <w:r>
        <w:rPr>
          <w:rFonts w:eastAsia="Times New Roman" w:cs="Times New Roman" w:ascii="Times New Roman" w:hAnsi="Times New Roman"/>
          <w:color w:val="111111"/>
          <w:sz w:val="28"/>
          <w:szCs w:val="28"/>
          <w:rtl w:val="true"/>
          <w:lang w:val="en-US" w:bidi="en-US"/>
        </w:rPr>
        <w:t xml:space="preserve">. </w:t>
      </w:r>
      <w:bookmarkStart w:id="1205" w:name="pg12669_113192"/>
    </w:p>
    <w:p>
      <w:pPr>
        <w:pStyle w:val="BookText"/>
        <w:rPr/>
      </w:pPr>
      <w:bookmarkEnd w:id="1205"/>
      <w:r>
        <w:rPr>
          <w:rFonts w:ascii="Amiri" w:hAnsi="Amiri" w:eastAsia="Amiri" w:cs="Amiri"/>
          <w:color w:val="111111"/>
          <w:sz w:val="28"/>
          <w:sz w:val="28"/>
          <w:szCs w:val="28"/>
          <w:rtl w:val="true"/>
          <w:lang w:bidi="ar-SA"/>
        </w:rPr>
        <w:t>و نحن عندنا انّ الشّرط الّذي ذكره ليس بصحيح،و قد تقدّم بيانه</w:t>
      </w:r>
      <w:r>
        <w:rPr>
          <w:rFonts w:eastAsia="Amiri" w:cs="Amiri" w:ascii="Amiri" w:hAnsi="Amiri"/>
          <w:color w:val="111111"/>
          <w:sz w:val="28"/>
          <w:szCs w:val="28"/>
          <w:rtl w:val="true"/>
          <w:lang w:bidi="ar-SA"/>
        </w:rPr>
        <w:t>.</w:t>
      </w:r>
    </w:p>
    <w:p>
      <w:pPr>
        <w:pStyle w:val="Heading6"/>
        <w:numPr>
          <w:ilvl w:val="5"/>
          <w:numId w:val="1"/>
        </w:numPr>
        <w:rPr/>
      </w:pPr>
      <w:bookmarkStart w:id="1206" w:name="__RefHeading___Toc796109_222507752"/>
      <w:bookmarkStart w:id="1207" w:name="_Toc494"/>
      <w:bookmarkEnd w:id="1206"/>
      <w:r>
        <w:rPr>
          <w:rtl w:val="true"/>
        </w:rPr>
        <w:t>الثّاني</w:t>
      </w:r>
      <w:r>
        <w:rPr>
          <w:rtl w:val="true"/>
        </w:rPr>
        <w:t>:</w:t>
      </w:r>
      <w:r>
        <w:rPr>
          <w:rtl w:val="true"/>
        </w:rPr>
        <w:t>يكره للزّوج وطؤها قبل الغسل</w:t>
      </w:r>
      <w:bookmarkEnd w:id="1207"/>
    </w:p>
    <w:p>
      <w:pPr>
        <w:pStyle w:val="BookText"/>
        <w:rPr/>
      </w:pPr>
      <w:r>
        <w:rPr>
          <w:rFonts w:ascii="Amiri" w:hAnsi="Amiri" w:eastAsia="Amiri" w:cs="Amiri"/>
          <w:color w:val="111111"/>
          <w:sz w:val="28"/>
          <w:sz w:val="28"/>
          <w:szCs w:val="28"/>
          <w:rtl w:val="true"/>
          <w:lang w:bidi="ar-SA"/>
        </w:rPr>
        <w:t>،لما بيّنّاه من الأحاديث الدّالّة على المنع، و لوقوع الخلاف في الجواز و عدمه،و ذلك يثمر كراهيّته</w:t>
      </w:r>
      <w:r>
        <w:rPr>
          <w:rFonts w:eastAsia="Amiri" w:cs="Amiri" w:ascii="Amiri" w:hAnsi="Amiri"/>
          <w:color w:val="111111"/>
          <w:sz w:val="28"/>
          <w:szCs w:val="28"/>
          <w:rtl w:val="true"/>
          <w:lang w:bidi="ar-SA"/>
        </w:rPr>
        <w:t>.</w:t>
      </w:r>
    </w:p>
    <w:p>
      <w:pPr>
        <w:pStyle w:val="Heading6"/>
        <w:numPr>
          <w:ilvl w:val="5"/>
          <w:numId w:val="1"/>
        </w:numPr>
        <w:rPr/>
      </w:pPr>
      <w:bookmarkStart w:id="1208" w:name="__RefHeading___Toc796111_222507752"/>
      <w:bookmarkStart w:id="1209" w:name="_Toc495"/>
      <w:bookmarkEnd w:id="1208"/>
      <w:r>
        <w:rPr>
          <w:rtl w:val="true"/>
        </w:rPr>
        <w:t>الثّالث</w:t>
      </w:r>
      <w:r>
        <w:rPr>
          <w:rtl w:val="true"/>
        </w:rPr>
        <w:t>:</w:t>
      </w:r>
      <w:r>
        <w:rPr>
          <w:rtl w:val="true"/>
        </w:rPr>
        <w:t>لو غلبته الشّهوة أمرها بغسل فرجها</w:t>
      </w:r>
      <w:bookmarkEnd w:id="1209"/>
    </w:p>
    <w:p>
      <w:pPr>
        <w:pStyle w:val="BookText"/>
        <w:rPr/>
      </w:pPr>
      <w:r>
        <w:rPr>
          <w:rFonts w:ascii="Amiri" w:hAnsi="Amiri" w:eastAsia="Amiri" w:cs="Amiri"/>
          <w:color w:val="111111"/>
          <w:sz w:val="28"/>
          <w:sz w:val="28"/>
          <w:szCs w:val="28"/>
          <w:rtl w:val="true"/>
          <w:lang w:bidi="ar-SA"/>
        </w:rPr>
        <w:t>استحبابا،ثمَّ يطؤها إن شاء،لرواية محمّد بن مسلم،و قد تقدّمت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انّها تدلّ على الوجوب،لأنّه أمره أن لا يقربها إلاّ بعد غسل فرجها، و الأمر للوجوب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الأمر و إن كان في الأصل للوجوب،لكن قد يترك ذلك الأصل لوجود دليل و قد وجد ها هنا،و هو رواية عليّ بن عبد اللّه بن المغيرة </w:t>
      </w:r>
      <w:r>
        <w:rPr>
          <w:rStyle w:val="FootnoteAnchor"/>
          <w:rtl w:val="true"/>
        </w:rPr>
        <w:footnoteReference w:id="212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210" w:name="__RefHeading___Toc796113_222507752"/>
      <w:bookmarkStart w:id="1211" w:name="_Toc496"/>
      <w:bookmarkEnd w:id="1210"/>
      <w:r>
        <w:rPr>
          <w:rtl w:val="true"/>
        </w:rPr>
        <w:t>مسألة</w:t>
      </w:r>
      <w:r>
        <w:rPr>
          <w:rtl w:val="true"/>
        </w:rPr>
        <w:t>:</w:t>
      </w:r>
      <w:r>
        <w:rPr>
          <w:rtl w:val="true"/>
        </w:rPr>
        <w:t>و عرق الحائض طاهر إذا لم يلاق النّجاسة،</w:t>
      </w:r>
      <w:bookmarkEnd w:id="1211"/>
    </w:p>
    <w:p>
      <w:pPr>
        <w:pStyle w:val="BookText"/>
        <w:rPr/>
      </w:pPr>
      <w:r>
        <w:rPr>
          <w:rFonts w:ascii="Amiri" w:hAnsi="Amiri" w:eastAsia="Amiri" w:cs="Amiri"/>
          <w:color w:val="111111"/>
          <w:sz w:val="28"/>
          <w:sz w:val="28"/>
          <w:szCs w:val="28"/>
          <w:rtl w:val="true"/>
          <w:lang w:bidi="ar-SA"/>
        </w:rPr>
        <w:t>لأنّه الأصل،فلا يزول اعتقاد ثبوته إلاّ بدليل،و لما رواه محمّد بن يعقوب في كتابه،عن سورة بن كليب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المرأة الحائض أ تغسل ثيابها الّتي لبستها في طمثها؟قال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تغسل ما أصاب ثيابها من الدّم و تدع ما سوى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عرقت فيها؟قال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العرق ليس من الحيض</w:t>
      </w:r>
      <w:r>
        <w:rPr>
          <w:rFonts w:eastAsia="Amiri" w:cs="Amiri" w:ascii="Amiri" w:hAnsi="Amiri"/>
          <w:color w:val="111111"/>
          <w:sz w:val="28"/>
          <w:szCs w:val="28"/>
          <w:rtl w:val="true"/>
          <w:lang w:bidi="ar-SA"/>
        </w:rPr>
        <w:t xml:space="preserve">» </w:t>
      </w:r>
      <w:r>
        <w:rPr>
          <w:rStyle w:val="FootnoteAnchor"/>
          <w:rtl w:val="true"/>
        </w:rPr>
        <w:footnoteReference w:id="2127"/>
      </w:r>
      <w:r>
        <w:rPr>
          <w:rFonts w:eastAsia="Times New Roman" w:cs="Times New Roman" w:ascii="Times New Roman" w:hAnsi="Times New Roman"/>
          <w:color w:val="111111"/>
          <w:sz w:val="28"/>
          <w:szCs w:val="28"/>
          <w:rtl w:val="true"/>
          <w:lang w:val="en-US" w:bidi="en-US"/>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رواه،عن إسحاق بن عمّار،عن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الحائض تصلّي في ثوبها ما لم يصبه دم</w:t>
      </w:r>
      <w:r>
        <w:rPr>
          <w:rFonts w:eastAsia="Amiri" w:cs="Amiri" w:ascii="Amiri" w:hAnsi="Amiri"/>
          <w:color w:val="111111"/>
          <w:sz w:val="28"/>
          <w:szCs w:val="28"/>
          <w:rtl w:val="true"/>
          <w:lang w:bidi="ar-SA"/>
        </w:rPr>
        <w:t xml:space="preserve">» </w:t>
      </w:r>
      <w:r>
        <w:rPr>
          <w:rStyle w:val="FootnoteAnchor"/>
          <w:rtl w:val="true"/>
        </w:rPr>
        <w:footnoteReference w:id="2128"/>
      </w:r>
      <w:r>
        <w:rPr>
          <w:rFonts w:ascii="Amiri" w:hAnsi="Amiri" w:eastAsia="Amiri" w:cs="Amiri"/>
          <w:color w:val="111111"/>
          <w:sz w:val="28"/>
          <w:sz w:val="28"/>
          <w:szCs w:val="28"/>
          <w:rtl w:val="true"/>
          <w:lang w:bidi="ar-SA"/>
        </w:rPr>
        <w:t xml:space="preserve">جعل الغاية في الإباحة إصابة الدّم،و العرق ليس </w:t>
      </w:r>
      <w:bookmarkStart w:id="1212" w:name="pg12669_113193"/>
    </w:p>
    <w:p>
      <w:pPr>
        <w:pStyle w:val="BookText"/>
        <w:rPr/>
      </w:pPr>
      <w:bookmarkEnd w:id="1212"/>
      <w:r>
        <w:rPr>
          <w:rFonts w:ascii="Amiri" w:hAnsi="Amiri" w:eastAsia="Amiri" w:cs="Amiri"/>
          <w:color w:val="111111"/>
          <w:sz w:val="28"/>
          <w:sz w:val="28"/>
          <w:szCs w:val="28"/>
          <w:rtl w:val="true"/>
          <w:lang w:bidi="ar-SA"/>
        </w:rPr>
        <w:t>به،فساغ الصّلاة فيه،فكان طاهرا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لا ينجس ما تباشره من المائع،لما رواه الشّيخ،و محمّد بن يعقوب في كتابيهما في الصّحيح،عن معاوية بن عمّار،عن أبي عبد اللّه عليه السّلام،قال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سألته عن الحائض تناول الرّجل الماء؟فقال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كان بعض نساء النّبيّ صلّى اللّه عليه و آله تسكب عليه الماء و هي حائض و تناوله الخمرة</w:t>
      </w:r>
      <w:r>
        <w:rPr>
          <w:rFonts w:eastAsia="Amiri" w:cs="Amiri" w:ascii="Amiri" w:hAnsi="Amiri"/>
          <w:color w:val="111111"/>
          <w:sz w:val="28"/>
          <w:szCs w:val="28"/>
          <w:rtl w:val="true"/>
          <w:lang w:bidi="ar-SA"/>
        </w:rPr>
        <w:t xml:space="preserve">» </w:t>
      </w:r>
      <w:r>
        <w:rPr>
          <w:rStyle w:val="FootnoteAnchor"/>
          <w:rtl w:val="true"/>
        </w:rPr>
        <w:footnoteReference w:id="2129"/>
      </w:r>
      <w:r>
        <w:rPr>
          <w:rFonts w:ascii="Amiri" w:hAnsi="Amiri" w:eastAsia="Amiri" w:cs="Amiri"/>
          <w:color w:val="111111"/>
          <w:sz w:val="28"/>
          <w:sz w:val="28"/>
          <w:szCs w:val="28"/>
          <w:rtl w:val="true"/>
          <w:lang w:bidi="ar-SA"/>
        </w:rPr>
        <w:t>و لأنّ الأصل عدم النّجاسة</w:t>
      </w:r>
      <w:r>
        <w:rPr>
          <w:rFonts w:eastAsia="Amiri" w:cs="Amiri" w:ascii="Amiri" w:hAnsi="Amiri"/>
          <w:color w:val="111111"/>
          <w:sz w:val="28"/>
          <w:szCs w:val="28"/>
          <w:rtl w:val="true"/>
          <w:lang w:bidi="ar-SA"/>
        </w:rPr>
        <w:t>.</w:t>
      </w:r>
    </w:p>
    <w:p>
      <w:pPr>
        <w:pStyle w:val="Heading6"/>
        <w:numPr>
          <w:ilvl w:val="5"/>
          <w:numId w:val="1"/>
        </w:numPr>
        <w:rPr/>
      </w:pPr>
      <w:bookmarkStart w:id="1213" w:name="__RefHeading___Toc796115_222507752"/>
      <w:bookmarkStart w:id="1214" w:name="_Toc497"/>
      <w:bookmarkEnd w:id="1213"/>
      <w:r>
        <w:rPr>
          <w:rtl w:val="true"/>
        </w:rPr>
        <w:t>فصول في هذا الباب</w:t>
      </w:r>
      <w:r>
        <w:rPr>
          <w:rtl w:val="true"/>
        </w:rPr>
        <w:t>:</w:t>
      </w:r>
      <w:bookmarkEnd w:id="1214"/>
    </w:p>
    <w:p>
      <w:pPr>
        <w:pStyle w:val="Heading6"/>
        <w:numPr>
          <w:ilvl w:val="5"/>
          <w:numId w:val="1"/>
        </w:numPr>
        <w:rPr/>
      </w:pPr>
      <w:bookmarkStart w:id="1215" w:name="__RefHeading___Toc796117_222507752"/>
      <w:bookmarkStart w:id="1216" w:name="_Toc498"/>
      <w:bookmarkEnd w:id="1215"/>
      <w:r>
        <w:rPr>
          <w:rtl w:val="true"/>
        </w:rPr>
        <w:t>فصل</w:t>
      </w:r>
      <w:r>
        <w:rPr>
          <w:rtl w:val="true"/>
        </w:rPr>
        <w:t>:</w:t>
      </w:r>
      <w:r>
        <w:rPr>
          <w:rtl w:val="true"/>
        </w:rPr>
        <w:t>و لا ينبغي أن تشرب المرأة دواءا إذا احتبس دمها</w:t>
      </w:r>
      <w:bookmarkEnd w:id="1216"/>
    </w:p>
    <w:p>
      <w:pPr>
        <w:pStyle w:val="BookText"/>
        <w:rPr/>
      </w:pPr>
      <w:r>
        <w:rPr>
          <w:rFonts w:ascii="Amiri" w:hAnsi="Amiri" w:eastAsia="Amiri" w:cs="Amiri"/>
          <w:color w:val="111111"/>
          <w:sz w:val="28"/>
          <w:sz w:val="28"/>
          <w:szCs w:val="28"/>
          <w:rtl w:val="true"/>
          <w:lang w:bidi="ar-SA"/>
        </w:rPr>
        <w:t>،لما رواه محمّد بن يعقوب في الصّحيح،عن رفاعة النّخّاس،عن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أشتري الجارية فربّما احتبس طمثها من فساد دم أو ريح فتسقى دواء لذلك فتطمث من يومها،أ فيجوز ذلك لي و أنا لا أدري من حبل هو أو من غيره؟فقال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تفعل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ارتفع طمثها منها شهرا،و لو كان ذلك من حبل إنّما كان نطفة كنطفة الرّجل الّذي يعزل،فقال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النّطفة إذا وقعت في الرّحم تصير إلى علقة،ثمَّ إلى مضغة،ثمَّ إلى ما شاء اللّه،و إنّ النّطفة إذا وقعت في غير الرّحم لم يخلق منها شيء فلا تسقها دواءا إذا ارتفع طمثها شهرا و جاز وقتها الّذي كانت تطمث فيه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النّهي يدلّ على انّ المنع إنّما كان للحبل،فعلى هذا لو كانت خالية منه لم أر به بأسا</w:t>
      </w:r>
      <w:r>
        <w:rPr>
          <w:rFonts w:eastAsia="Amiri" w:cs="Amiri" w:ascii="Amiri" w:hAnsi="Amiri"/>
          <w:color w:val="111111"/>
          <w:sz w:val="28"/>
          <w:szCs w:val="28"/>
          <w:rtl w:val="true"/>
          <w:lang w:bidi="ar-SA"/>
        </w:rPr>
        <w:t>.</w:t>
      </w:r>
    </w:p>
    <w:p>
      <w:pPr>
        <w:pStyle w:val="Heading6"/>
        <w:numPr>
          <w:ilvl w:val="5"/>
          <w:numId w:val="1"/>
        </w:numPr>
        <w:rPr/>
      </w:pPr>
      <w:bookmarkStart w:id="1217" w:name="__RefHeading___Toc796119_222507752"/>
      <w:bookmarkStart w:id="1218" w:name="_Toc499"/>
      <w:bookmarkEnd w:id="1217"/>
      <w:r>
        <w:rPr>
          <w:rtl w:val="true"/>
        </w:rPr>
        <w:t>فصل</w:t>
      </w:r>
      <w:r>
        <w:rPr>
          <w:rtl w:val="true"/>
        </w:rPr>
        <w:t>:</w:t>
      </w:r>
      <w:r>
        <w:rPr>
          <w:rtl w:val="true"/>
        </w:rPr>
        <w:t>و أغلب ما يجيء الحيض في كلّ شهر مرّة</w:t>
      </w:r>
      <w:r>
        <w:rPr>
          <w:rtl w:val="true"/>
        </w:rPr>
        <w:t>.</w:t>
      </w:r>
      <w:bookmarkEnd w:id="1218"/>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ابن يعقوب،عن أديم بن الحرّ،عن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اللّه تعالى حدّ للنّساء في كلّ شهر </w:t>
      </w:r>
    </w:p>
    <w:p>
      <w:pPr>
        <w:pStyle w:val="BookText"/>
        <w:rPr/>
      </w:pPr>
      <w:r>
        <w:rPr>
          <w:rFonts w:ascii="Amiri" w:hAnsi="Amiri" w:eastAsia="Amiri" w:cs="Amiri"/>
          <w:color w:val="111111"/>
          <w:sz w:val="28"/>
          <w:sz w:val="28"/>
          <w:szCs w:val="28"/>
          <w:rtl w:val="true"/>
          <w:lang w:bidi="ar-SA"/>
        </w:rPr>
        <w:t>مرّة</w:t>
      </w:r>
      <w:r>
        <w:rPr>
          <w:rFonts w:eastAsia="Amiri" w:cs="Amiri" w:ascii="Amiri" w:hAnsi="Amiri"/>
          <w:color w:val="111111"/>
          <w:sz w:val="28"/>
          <w:szCs w:val="28"/>
          <w:rtl w:val="true"/>
          <w:lang w:bidi="ar-SA"/>
        </w:rPr>
        <w:t xml:space="preserve">» </w:t>
      </w:r>
      <w:r>
        <w:rPr>
          <w:rStyle w:val="FootnoteAnchor"/>
          <w:rtl w:val="true"/>
        </w:rPr>
        <w:footnoteReference w:id="21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في الحسن،عن الحلبيّ،عن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سألته عن قوله تعالى إِنِ ارْتَبْتُمْ </w:t>
      </w:r>
      <w:r>
        <w:rPr>
          <w:rStyle w:val="FootnoteAnchor"/>
          <w:rtl w:val="true"/>
        </w:rPr>
        <w:footnoteReference w:id="213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جاز الشّهر،فهو ريبة</w:t>
      </w:r>
      <w:r>
        <w:rPr>
          <w:rFonts w:eastAsia="Amiri" w:cs="Amiri" w:ascii="Amiri" w:hAnsi="Amiri"/>
          <w:color w:val="111111"/>
          <w:sz w:val="28"/>
          <w:szCs w:val="28"/>
          <w:rtl w:val="true"/>
          <w:lang w:bidi="ar-SA"/>
        </w:rPr>
        <w:t xml:space="preserve">» </w:t>
      </w:r>
      <w:r>
        <w:rPr>
          <w:rStyle w:val="FootnoteAnchor"/>
          <w:rtl w:val="true"/>
        </w:rPr>
        <w:footnoteReference w:id="21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ابن بابويه،عن الباقر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الحيض نجاسة للنّساء رماهنّ اللّه تعالى بها،و قد كنّ في زمن نوح عليه السّلام إنّما تحيض المرأة في كلّ سنة حيضة حتّى خرج نسوة من مجانهنّ </w:t>
      </w:r>
      <w:r>
        <w:rPr>
          <w:rStyle w:val="FootnoteAnchor"/>
          <w:rtl w:val="true"/>
        </w:rPr>
        <w:footnoteReference w:id="2133"/>
      </w:r>
      <w:r>
        <w:rPr>
          <w:rFonts w:ascii="Amiri" w:hAnsi="Amiri" w:eastAsia="Amiri" w:cs="Amiri"/>
          <w:color w:val="111111"/>
          <w:sz w:val="28"/>
          <w:sz w:val="28"/>
          <w:szCs w:val="28"/>
          <w:rtl w:val="true"/>
          <w:lang w:bidi="ar-SA"/>
        </w:rPr>
        <w:t>و كنّ سبعمائة امرأة فانطلقن فلبسن المعصفرات من الثّياب و تحلّين و تعطّرن،ثمَّ خرجن فتفرّقن في البلاد،فجلسن مع الرّجال و شهدن الأعياد معهم،و جلسن في صفوفهم،فرماهنّ اللّه بالحيض عند ذلك في كلّ شهر،يعني أولئك النّسوة بأعيانهنّ،فسالت دماؤهنّ فأخرجن من بين الرّجال فكنّ يحضن في كلّ شهر حيضة فشغلهنّ اللّه تعالى بالحيض و كسر شهوتهنّ و كان غيرهنّ من النّساء اللّواتي لم يفعلن مثل ما فعلن يحضن في كلّ سنة حيضة،قال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فتزوّج بنو اللّواتي </w:t>
      </w:r>
      <w:r>
        <w:rPr>
          <w:rStyle w:val="FootnoteAnchor"/>
          <w:rtl w:val="true"/>
        </w:rPr>
        <w:footnoteReference w:id="2134"/>
      </w:r>
      <w:r>
        <w:rPr>
          <w:rFonts w:ascii="Amiri" w:hAnsi="Amiri" w:eastAsia="Amiri" w:cs="Amiri"/>
          <w:color w:val="111111"/>
          <w:sz w:val="28"/>
          <w:sz w:val="28"/>
          <w:szCs w:val="28"/>
          <w:rtl w:val="true"/>
          <w:lang w:bidi="ar-SA"/>
        </w:rPr>
        <w:t xml:space="preserve">يحضن في كلّ شهر حيضة بنات اللّواتي </w:t>
      </w:r>
      <w:r>
        <w:rPr>
          <w:rStyle w:val="FootnoteAnchor"/>
          <w:rtl w:val="true"/>
        </w:rPr>
        <w:footnoteReference w:id="2135"/>
      </w:r>
      <w:r>
        <w:rPr>
          <w:rFonts w:ascii="Amiri" w:hAnsi="Amiri" w:eastAsia="Amiri" w:cs="Amiri"/>
          <w:color w:val="111111"/>
          <w:sz w:val="28"/>
          <w:sz w:val="28"/>
          <w:szCs w:val="28"/>
          <w:rtl w:val="true"/>
          <w:lang w:bidi="ar-SA"/>
        </w:rPr>
        <w:t>يحضن في كلّ سنة حيضة،فامتزج القوم فحضن بنات هؤلاء و هؤلاء في كلّ شهر حيضة</w:t>
      </w:r>
      <w:r>
        <w:rPr>
          <w:rFonts w:eastAsia="Amiri" w:cs="Amiri" w:ascii="Amiri" w:hAnsi="Amiri"/>
          <w:color w:val="111111"/>
          <w:sz w:val="28"/>
          <w:szCs w:val="28"/>
          <w:rtl w:val="true"/>
          <w:lang w:bidi="ar-SA"/>
        </w:rPr>
        <w:t xml:space="preserve">» </w:t>
      </w:r>
      <w:r>
        <w:rPr>
          <w:rStyle w:val="FootnoteAnchor"/>
          <w:rtl w:val="true"/>
        </w:rPr>
        <w:footnoteReference w:id="2136"/>
      </w:r>
      <w:r>
        <w:rPr>
          <w:rFonts w:eastAsia="Times New Roman" w:cs="Times New Roman" w:ascii="Times New Roman" w:hAnsi="Times New Roman"/>
          <w:color w:val="111111"/>
          <w:sz w:val="28"/>
          <w:szCs w:val="28"/>
          <w:rtl w:val="true"/>
          <w:lang w:val="en-US" w:bidi="en-US"/>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يجوز أن يقع في النّدرة خلاف ذلك،روى ابن بابويه،عن النّبيّ صلّى اللّه عليه و آله انّه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فاطمة عليها السّلام ليست كإحداكنّ،انّها لا ترى دما في حيض و لا نفاس</w:t>
      </w:r>
      <w:r>
        <w:rPr>
          <w:rFonts w:eastAsia="Amiri" w:cs="Amiri" w:ascii="Amiri" w:hAnsi="Amiri"/>
          <w:color w:val="111111"/>
          <w:sz w:val="28"/>
          <w:szCs w:val="28"/>
          <w:rtl w:val="true"/>
          <w:lang w:bidi="ar-SA"/>
        </w:rPr>
        <w:t xml:space="preserve">» </w:t>
      </w:r>
      <w:r>
        <w:rPr>
          <w:rStyle w:val="FootnoteAnchor"/>
          <w:rtl w:val="true"/>
        </w:rPr>
        <w:footnoteReference w:id="2137"/>
      </w:r>
      <w:r>
        <w:rPr>
          <w:rFonts w:eastAsia="Times New Roman" w:cs="Times New Roman" w:ascii="Times New Roman" w:hAnsi="Times New Roman"/>
          <w:color w:val="111111"/>
          <w:sz w:val="28"/>
          <w:szCs w:val="28"/>
          <w:rtl w:val="true"/>
          <w:lang w:val="en-US" w:bidi="en-US"/>
        </w:rPr>
        <w:t xml:space="preserve">. </w:t>
      </w:r>
      <w:bookmarkStart w:id="1219" w:name="pg12669_113195"/>
    </w:p>
    <w:p>
      <w:pPr>
        <w:pStyle w:val="Heading6"/>
        <w:numPr>
          <w:ilvl w:val="5"/>
          <w:numId w:val="1"/>
        </w:numPr>
        <w:rPr/>
      </w:pPr>
      <w:bookmarkStart w:id="1220" w:name="__RefHeading___Toc796121_222507752"/>
      <w:bookmarkStart w:id="1221" w:name="_Toc500"/>
      <w:bookmarkEnd w:id="1219"/>
      <w:bookmarkEnd w:id="1220"/>
      <w:r>
        <w:rPr>
          <w:rtl w:val="true"/>
        </w:rPr>
        <w:t>فصل</w:t>
      </w:r>
      <w:r>
        <w:rPr>
          <w:rtl w:val="true"/>
        </w:rPr>
        <w:t>:</w:t>
      </w:r>
      <w:r>
        <w:rPr>
          <w:rtl w:val="true"/>
        </w:rPr>
        <w:t>النّاسية للعدد و الوقت ليس لها حيض و لا طهر</w:t>
      </w:r>
      <w:bookmarkEnd w:id="1221"/>
    </w:p>
    <w:p>
      <w:pPr>
        <w:pStyle w:val="BookText"/>
        <w:rPr/>
      </w:pPr>
      <w:r>
        <w:rPr>
          <w:rFonts w:ascii="Amiri" w:hAnsi="Amiri" w:eastAsia="Amiri" w:cs="Amiri"/>
          <w:color w:val="111111"/>
          <w:sz w:val="28"/>
          <w:sz w:val="28"/>
          <w:szCs w:val="28"/>
          <w:rtl w:val="true"/>
          <w:lang w:bidi="ar-SA"/>
        </w:rPr>
        <w:t>بيقين فتستعمل الاحتياط، و تغتسل عند كلّ صلاة،و تصلّي إلى أن تمضي ثلاثة أيّام،ثمَّ تغتسل عند كل صلاة،لاحتمال انقطاع دم الحيض،و هكذا تفعل ما تفعله المستحاضة،و تغتسل للانقطاع إلى آخر الشّهر،و يردّها إلى آخر الأحوال في أمور ثمانية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منعها من الاستمتاع،فلا يحلّ على الزّوج دائما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تنقطع عدّتها إلاّ بثلاثة 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أرادت قضاء صوم يوم،صامت يومين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و حادي عشر،و على ما اخترناه تضعيف إليهما الثّاني و الثّاني عشر،لاحتمال أن يكون ابتداؤه من نصف الأوّل إلى نصف الحادي عشر فيصحّ الثّاني عشر،و يحتمل أن يكون انقطاعه في نصف الثّاني،بأن يكون قد مزجت من الشّهر الأوّل إلى نصف الثّاني عشر،و يبتدئ الحيض الثّاني من نصف الثّاني عشر،فيصحّ الحادي عشر،و يحتمل انقطاعه في نصف اليوم الأوّل،ثمَّ يبتدئ في نصف الحادي عشر فيصحّ الثّاني،و يحتمل أن يكون الأوّل طهرا فيصحّ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طلّقت واحدة افتقر إلى إيقاعها في هذه الأيّام الأربعة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تصوم شهر رمضان بأجمعه و تقضي أحد عشر على ما اخترناه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أرادت القضاء في أيّام الدّم صامت شهرين ليحصل لها في كلّ شهر عشرة أيّام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منعها من المساجد و الطّواف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منعها من قراءة العزائم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أمرها بالصّلوات،و الغسل عند كلّ صلاة</w:t>
      </w:r>
      <w:r>
        <w:rPr>
          <w:rFonts w:eastAsia="Amiri" w:cs="Amiri" w:ascii="Amiri" w:hAnsi="Amiri"/>
          <w:color w:val="111111"/>
          <w:sz w:val="28"/>
          <w:szCs w:val="28"/>
          <w:rtl w:val="true"/>
          <w:lang w:bidi="ar-SA"/>
        </w:rPr>
        <w:t>.</w:t>
      </w:r>
    </w:p>
    <w:p>
      <w:pPr>
        <w:pStyle w:val="Heading6"/>
        <w:numPr>
          <w:ilvl w:val="5"/>
          <w:numId w:val="1"/>
        </w:numPr>
        <w:rPr/>
      </w:pPr>
      <w:bookmarkStart w:id="1222" w:name="__RefHeading___Toc796123_222507752"/>
      <w:bookmarkStart w:id="1223" w:name="_Toc501"/>
      <w:bookmarkEnd w:id="1222"/>
      <w:r>
        <w:rPr>
          <w:rtl w:val="true"/>
        </w:rPr>
        <w:t>فصل</w:t>
      </w:r>
      <w:r>
        <w:rPr>
          <w:rtl w:val="true"/>
        </w:rPr>
        <w:t>:</w:t>
      </w:r>
      <w:r>
        <w:rPr>
          <w:rtl w:val="true"/>
        </w:rPr>
        <w:t>قال ابن بابويه</w:t>
      </w:r>
      <w:r>
        <w:rPr>
          <w:rtl w:val="true"/>
        </w:rPr>
        <w:t>:</w:t>
      </w:r>
      <w:r>
        <w:rPr>
          <w:rtl w:val="true"/>
        </w:rPr>
        <w:t>و لا يجوز للحائض أن تختضب</w:t>
      </w:r>
      <w:bookmarkEnd w:id="1223"/>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،لأنّه يخاف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Style w:val="FootnoteAnchor"/>
          <w:rtl w:val="true"/>
        </w:rPr>
        <w:footnoteReference w:id="2138"/>
      </w:r>
      <w:bookmarkStart w:id="1224" w:name="pg12669_113196"/>
    </w:p>
    <w:p>
      <w:pPr>
        <w:pStyle w:val="BookText"/>
        <w:rPr/>
      </w:pPr>
      <w:bookmarkEnd w:id="1224"/>
      <w:r>
        <w:rPr>
          <w:rFonts w:ascii="Amiri" w:hAnsi="Amiri" w:eastAsia="Amiri" w:cs="Amiri"/>
          <w:color w:val="111111"/>
          <w:sz w:val="28"/>
          <w:sz w:val="28"/>
          <w:szCs w:val="28"/>
          <w:rtl w:val="true"/>
          <w:lang w:bidi="ar-SA"/>
        </w:rPr>
        <w:t xml:space="preserve">الشّيطان </w:t>
      </w:r>
      <w:r>
        <w:rPr>
          <w:rStyle w:val="FootnoteAnchor"/>
          <w:rtl w:val="true"/>
        </w:rPr>
        <w:footnoteReference w:id="213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ليس مراده بذلك التّحريم،لما بيّنّاه من الأحاديث الدّالّة على الجواز </w:t>
      </w:r>
      <w:r>
        <w:rPr>
          <w:rStyle w:val="FootnoteAnchor"/>
          <w:rtl w:val="true"/>
        </w:rPr>
        <w:footnoteReference w:id="21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كذا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الحائض تغتسل بتسعة أرطال من ماء بالرّطل المدنيّ </w:t>
      </w:r>
      <w:r>
        <w:rPr>
          <w:rStyle w:val="FootnoteAnchor"/>
          <w:rtl w:val="true"/>
        </w:rPr>
        <w:footnoteReference w:id="2141"/>
      </w:r>
      <w:r>
        <w:rPr>
          <w:rFonts w:ascii="Amiri" w:hAnsi="Amiri" w:eastAsia="Amiri" w:cs="Amiri"/>
          <w:color w:val="111111"/>
          <w:sz w:val="28"/>
          <w:sz w:val="28"/>
          <w:szCs w:val="28"/>
          <w:rtl w:val="true"/>
          <w:lang w:bidi="ar-SA"/>
        </w:rPr>
        <w:t>،و ليس المراد بذلك الأمر الوجوب،لما رواه الشّيخ في الصّحيح،عن محمّد بن مسلم،عن أبي جعفر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الحائض ما بلغ بلل الماء من شعرها أجزأها</w:t>
      </w:r>
      <w:r>
        <w:rPr>
          <w:rFonts w:eastAsia="Amiri" w:cs="Amiri" w:ascii="Amiri" w:hAnsi="Amiri"/>
          <w:color w:val="111111"/>
          <w:sz w:val="28"/>
          <w:szCs w:val="28"/>
          <w:rtl w:val="true"/>
          <w:lang w:bidi="ar-SA"/>
        </w:rPr>
        <w:t xml:space="preserve">» </w:t>
      </w:r>
      <w:r>
        <w:rPr>
          <w:rStyle w:val="FootnoteAnchor"/>
          <w:rtl w:val="true"/>
        </w:rPr>
        <w:footnoteReference w:id="2142"/>
      </w:r>
      <w:r>
        <w:rPr>
          <w:rFonts w:ascii="Amiri" w:hAnsi="Amiri" w:eastAsia="Amiri" w:cs="Amiri"/>
          <w:color w:val="111111"/>
          <w:sz w:val="28"/>
          <w:sz w:val="28"/>
          <w:szCs w:val="28"/>
          <w:rtl w:val="true"/>
          <w:lang w:bidi="ar-SA"/>
        </w:rPr>
        <w:t>و هذا يشعر على انّ وصول الماء إلى الجسد مع حصول مسمّى الغسل مجز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رواية الحسن الصّيقل،عن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الطّامث تغتسل بتسعة أرطال من ماء</w:t>
      </w:r>
      <w:r>
        <w:rPr>
          <w:rFonts w:eastAsia="Amiri" w:cs="Amiri" w:ascii="Amiri" w:hAnsi="Amiri"/>
          <w:color w:val="111111"/>
          <w:sz w:val="28"/>
          <w:szCs w:val="28"/>
          <w:rtl w:val="true"/>
          <w:lang w:bidi="ar-SA"/>
        </w:rPr>
        <w:t xml:space="preserve">» </w:t>
      </w:r>
      <w:r>
        <w:rPr>
          <w:rStyle w:val="FootnoteAnchor"/>
          <w:rtl w:val="true"/>
        </w:rPr>
        <w:footnoteReference w:id="2143"/>
      </w:r>
      <w:r>
        <w:rPr>
          <w:rStyle w:val="FootnoteAnchor"/>
          <w:rtl w:val="true"/>
        </w:rPr>
        <w:footnoteReference w:id="2144"/>
      </w:r>
      <w:r>
        <w:rPr>
          <w:rFonts w:ascii="Amiri" w:hAnsi="Amiri" w:eastAsia="Amiri" w:cs="Amiri"/>
          <w:color w:val="111111"/>
          <w:sz w:val="28"/>
          <w:sz w:val="28"/>
          <w:szCs w:val="28"/>
          <w:rtl w:val="true"/>
          <w:lang w:bidi="ar-SA"/>
        </w:rPr>
        <w:t>لا يعارض هذا،إذ الأمر هنا للاستحباب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روى الشّيخ في الصّحيح،عن محمّد بن الفضيل،عن أبي الحسن عليه السّلام عن الحائض كم يكفيها من الماء؟فقال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فرق</w:t>
      </w:r>
      <w:r>
        <w:rPr>
          <w:rFonts w:eastAsia="Amiri" w:cs="Amiri" w:ascii="Amiri" w:hAnsi="Amiri"/>
          <w:color w:val="111111"/>
          <w:sz w:val="28"/>
          <w:szCs w:val="28"/>
          <w:rtl w:val="true"/>
          <w:lang w:bidi="ar-SA"/>
        </w:rPr>
        <w:t xml:space="preserve">» </w:t>
      </w:r>
      <w:r>
        <w:rPr>
          <w:rStyle w:val="FootnoteAnchor"/>
          <w:rtl w:val="true"/>
        </w:rPr>
        <w:footnoteReference w:id="2145"/>
      </w:r>
      <w:r>
        <w:rPr>
          <w:rFonts w:ascii="Amiri" w:hAnsi="Amiri" w:eastAsia="Amiri" w:cs="Amiri"/>
          <w:color w:val="111111"/>
          <w:sz w:val="28"/>
          <w:sz w:val="28"/>
          <w:szCs w:val="28"/>
          <w:rtl w:val="true"/>
          <w:lang w:bidi="ar-SA"/>
        </w:rPr>
        <w:t>قال أبو عبيدة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اختلاف بين النّاس فيما أعلمه انّ الفرق ثلاثة أصوع </w:t>
      </w:r>
      <w:r>
        <w:rPr>
          <w:rStyle w:val="FootnoteAnchor"/>
          <w:rtl w:val="true"/>
        </w:rPr>
        <w:footnoteReference w:id="21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على الاستحباب،فإنّ أحدا لم يوجب الاغتسال بفرق</w:t>
      </w:r>
      <w:r>
        <w:rPr>
          <w:rFonts w:eastAsia="Amiri" w:cs="Amiri" w:ascii="Amiri" w:hAnsi="Amiri"/>
          <w:color w:val="111111"/>
          <w:sz w:val="28"/>
          <w:szCs w:val="28"/>
          <w:rtl w:val="true"/>
          <w:lang w:bidi="ar-SA"/>
        </w:rPr>
        <w:t>.</w:t>
      </w:r>
    </w:p>
    <w:p>
      <w:pPr>
        <w:pStyle w:val="Heading6"/>
        <w:numPr>
          <w:ilvl w:val="5"/>
          <w:numId w:val="1"/>
        </w:numPr>
        <w:rPr/>
      </w:pPr>
      <w:bookmarkStart w:id="1225" w:name="__RefHeading___Toc796125_222507752"/>
      <w:bookmarkStart w:id="1226" w:name="_Toc502"/>
      <w:bookmarkEnd w:id="1225"/>
      <w:r>
        <w:rPr>
          <w:rtl w:val="true"/>
        </w:rPr>
        <w:t>فصل</w:t>
      </w:r>
      <w:r>
        <w:rPr>
          <w:rtl w:val="true"/>
        </w:rPr>
        <w:t>:</w:t>
      </w:r>
      <w:r>
        <w:rPr>
          <w:rtl w:val="true"/>
        </w:rPr>
        <w:t>و لو شكّت المرأة في حال الصّلاة هل حاضت أم لا؟</w:t>
      </w:r>
      <w:bookmarkEnd w:id="1226"/>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أدخلت يدها فتمسّ </w:t>
      </w:r>
      <w:bookmarkStart w:id="1227" w:name="pg12669_113197"/>
    </w:p>
    <w:p>
      <w:pPr>
        <w:pStyle w:val="BookText"/>
        <w:rPr/>
      </w:pPr>
      <w:bookmarkEnd w:id="1227"/>
      <w:r>
        <w:rPr>
          <w:rFonts w:ascii="Amiri" w:hAnsi="Amiri" w:eastAsia="Amiri" w:cs="Amiri"/>
          <w:color w:val="111111"/>
          <w:sz w:val="28"/>
          <w:sz w:val="28"/>
          <w:szCs w:val="28"/>
          <w:rtl w:val="true"/>
          <w:lang w:bidi="ar-SA"/>
        </w:rPr>
        <w:t>الموضع فإن رأت شيئا انصرفت و إن لم تر شيئا أتمّت صلاتها</w:t>
      </w:r>
      <w:r>
        <w:rPr>
          <w:rFonts w:eastAsia="Amiri" w:cs="Amiri" w:ascii="Amiri" w:hAnsi="Amiri"/>
          <w:color w:val="111111"/>
          <w:sz w:val="28"/>
          <w:szCs w:val="28"/>
          <w:rtl w:val="true"/>
          <w:lang w:bidi="ar-SA"/>
        </w:rPr>
        <w:t xml:space="preserve">» </w:t>
      </w:r>
      <w:r>
        <w:rPr>
          <w:rStyle w:val="FootnoteAnchor"/>
          <w:rtl w:val="true"/>
        </w:rPr>
        <w:footnoteReference w:id="2147"/>
      </w:r>
      <w:r>
        <w:rPr>
          <w:rFonts w:ascii="Amiri" w:hAnsi="Amiri" w:eastAsia="Amiri" w:cs="Amiri"/>
          <w:color w:val="111111"/>
          <w:sz w:val="28"/>
          <w:sz w:val="28"/>
          <w:szCs w:val="28"/>
          <w:rtl w:val="true"/>
          <w:lang w:bidi="ar-SA"/>
        </w:rPr>
        <w:t>رواه الشّيخ و ابن يعقوب،و في الطّريق ضعف إلاّ انّ فيها احتياطا فلا بأس بالعمل بمضمونها</w:t>
      </w:r>
      <w:r>
        <w:rPr>
          <w:rFonts w:eastAsia="Amiri" w:cs="Amiri" w:ascii="Amiri" w:hAnsi="Amiri"/>
          <w:color w:val="111111"/>
          <w:sz w:val="28"/>
          <w:szCs w:val="28"/>
          <w:rtl w:val="true"/>
          <w:lang w:bidi="ar-SA"/>
        </w:rPr>
        <w:t>.</w:t>
      </w:r>
    </w:p>
    <w:p>
      <w:pPr>
        <w:pStyle w:val="Heading6"/>
        <w:numPr>
          <w:ilvl w:val="5"/>
          <w:numId w:val="1"/>
        </w:numPr>
        <w:rPr/>
      </w:pPr>
      <w:bookmarkStart w:id="1228" w:name="__RefHeading___Toc796127_222507752"/>
      <w:bookmarkStart w:id="1229" w:name="_Toc503"/>
      <w:bookmarkEnd w:id="1228"/>
      <w:r>
        <w:rPr>
          <w:rtl w:val="true"/>
        </w:rPr>
        <w:t>فصل</w:t>
      </w:r>
      <w:r>
        <w:rPr>
          <w:rtl w:val="true"/>
        </w:rPr>
        <w:t>:</w:t>
      </w:r>
      <w:r>
        <w:rPr>
          <w:rtl w:val="true"/>
        </w:rPr>
        <w:t>و إذا كان على الحائض جنابة فليس عليها أن تغتسل حتّى ينقطع حيضها</w:t>
      </w:r>
      <w:r>
        <w:rPr>
          <w:rtl w:val="true"/>
        </w:rPr>
        <w:t>.</w:t>
      </w:r>
      <w:bookmarkEnd w:id="1229"/>
    </w:p>
    <w:p>
      <w:pPr>
        <w:pStyle w:val="BookText"/>
        <w:rPr/>
      </w:pPr>
      <w:r>
        <w:rPr>
          <w:rFonts w:ascii="IRNazanin" w:hAnsi="IRNazanin" w:eastAsia="IRNazanin"/>
          <w:color w:val="111111"/>
          <w:sz w:val="28"/>
          <w:sz w:val="28"/>
          <w:szCs w:val="28"/>
          <w:rtl w:val="true"/>
          <w:lang w:bidi="fa-IR"/>
        </w:rPr>
        <w:t xml:space="preserve">و به قال أحمد و إسحاق </w:t>
      </w:r>
      <w:r>
        <w:rPr>
          <w:rStyle w:val="FootnoteAnchor"/>
          <w:rtl w:val="true"/>
        </w:rPr>
        <w:footnoteReference w:id="2148"/>
      </w:r>
      <w:r>
        <w:rPr>
          <w:rFonts w:ascii="Amiri" w:hAnsi="Amiri" w:eastAsia="Amiri" w:cs="Amiri"/>
          <w:color w:val="111111"/>
          <w:sz w:val="28"/>
          <w:sz w:val="28"/>
          <w:szCs w:val="28"/>
          <w:rtl w:val="true"/>
          <w:lang w:bidi="ar-SA"/>
        </w:rPr>
        <w:t>،لأنّ الغسل لا يفيد شيئا من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الشّيخ في الصّحيح،عن عبد اللّه بن سنان،عن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المرأة تحيض و هي جنب هل عليها غسل الجنابة؟قال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غسل الجنابة و الحيض واحد</w:t>
      </w:r>
      <w:r>
        <w:rPr>
          <w:rFonts w:eastAsia="Amiri" w:cs="Amiri" w:ascii="Amiri" w:hAnsi="Amiri"/>
          <w:color w:val="111111"/>
          <w:sz w:val="28"/>
          <w:szCs w:val="28"/>
          <w:rtl w:val="true"/>
          <w:lang w:bidi="ar-SA"/>
        </w:rPr>
        <w:t xml:space="preserve">» </w:t>
      </w:r>
      <w:r>
        <w:rPr>
          <w:rStyle w:val="FootnoteAnchor"/>
          <w:rtl w:val="true"/>
        </w:rPr>
        <w:footnoteReference w:id="21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روى،عن زرارة،عن أبي جعفر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حاضت المرأة و هي جنب أجزأها غسل واحد</w:t>
      </w:r>
      <w:r>
        <w:rPr>
          <w:rFonts w:eastAsia="Amiri" w:cs="Amiri" w:ascii="Amiri" w:hAnsi="Amiri"/>
          <w:color w:val="111111"/>
          <w:sz w:val="28"/>
          <w:szCs w:val="28"/>
          <w:rtl w:val="true"/>
          <w:lang w:bidi="ar-SA"/>
        </w:rPr>
        <w:t xml:space="preserve">» </w:t>
      </w:r>
      <w:r>
        <w:rPr>
          <w:rStyle w:val="FootnoteAnchor"/>
          <w:rtl w:val="true"/>
        </w:rPr>
        <w:footnoteReference w:id="215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230" w:name="__RefHeading___Toc796129_222507752"/>
      <w:bookmarkStart w:id="1231" w:name="_Toc504"/>
      <w:bookmarkEnd w:id="1230"/>
      <w:r>
        <w:rPr>
          <w:rtl w:val="true"/>
        </w:rPr>
        <w:t>تذنيب</w:t>
      </w:r>
      <w:r>
        <w:rPr>
          <w:rtl w:val="true"/>
        </w:rPr>
        <w:t>:</w:t>
      </w:r>
      <w:r>
        <w:rPr>
          <w:rtl w:val="true"/>
        </w:rPr>
        <w:t>لو اغتسلت للجنابة في زمن حيضها لم ترتفع جنابتها</w:t>
      </w:r>
      <w:bookmarkEnd w:id="1231"/>
    </w:p>
    <w:p>
      <w:pPr>
        <w:pStyle w:val="BookText"/>
        <w:rPr/>
      </w:pPr>
      <w:r>
        <w:rPr>
          <w:rFonts w:ascii="Amiri" w:hAnsi="Amiri" w:eastAsia="Amiri" w:cs="Amiri"/>
          <w:color w:val="111111"/>
          <w:sz w:val="28"/>
          <w:sz w:val="28"/>
          <w:szCs w:val="28"/>
          <w:rtl w:val="true"/>
          <w:lang w:bidi="ar-SA"/>
        </w:rPr>
        <w:t xml:space="preserve">و لم يصحّ غسلها،خلافا لأكثر الجمهور </w:t>
      </w:r>
      <w:r>
        <w:rPr>
          <w:rStyle w:val="FootnoteAnchor"/>
          <w:rtl w:val="true"/>
        </w:rPr>
        <w:footnoteReference w:id="21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الحدث ملازم،و لأنّ الحيض أكبر من الغسل،و لأنّه لو توضّأ ليزيل الحدث الأصغر لم يعتدّ به مع الجنابة،فكذا ها هنا</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لما رواه الشّيخ في الصّحيح،عن عبد اللّه بن يحيى الكاهليّ،عن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سألته عن المرأة يجامعها زوجها فتحيض و هي في المغتسل،تغتسل أو </w:t>
      </w:r>
    </w:p>
    <w:p>
      <w:pPr>
        <w:pStyle w:val="BookText"/>
        <w:rPr/>
      </w:pPr>
      <w:r>
        <w:rPr>
          <w:rFonts w:ascii="Amiri" w:hAnsi="Amiri" w:eastAsia="Amiri" w:cs="Amiri"/>
          <w:color w:val="111111"/>
          <w:sz w:val="28"/>
          <w:sz w:val="28"/>
          <w:szCs w:val="28"/>
          <w:rtl w:val="true"/>
          <w:lang w:bidi="ar-SA"/>
        </w:rPr>
        <w:t>لا تغتسل؟قال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تغتسل،قد جاءها ما يفسد الصّلاة</w:t>
      </w:r>
      <w:r>
        <w:rPr>
          <w:rFonts w:eastAsia="Amiri" w:cs="Amiri" w:ascii="Amiri" w:hAnsi="Amiri"/>
          <w:color w:val="111111"/>
          <w:sz w:val="28"/>
          <w:szCs w:val="28"/>
          <w:rtl w:val="true"/>
          <w:lang w:bidi="ar-SA"/>
        </w:rPr>
        <w:t xml:space="preserve">» </w:t>
      </w:r>
      <w:r>
        <w:rPr>
          <w:rStyle w:val="FootnoteAnchor"/>
          <w:rtl w:val="true"/>
        </w:rPr>
        <w:footnoteReference w:id="21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في الموثّق،عن أبي بصير،عن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عن رجل أصاب من امرأته،ثمَّ حاضت قبل أن تغتسل؟قال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تجعله غسلا واحدا</w:t>
      </w:r>
      <w:r>
        <w:rPr>
          <w:rFonts w:eastAsia="Amiri" w:cs="Amiri" w:ascii="Amiri" w:hAnsi="Amiri"/>
          <w:color w:val="111111"/>
          <w:sz w:val="28"/>
          <w:szCs w:val="28"/>
          <w:rtl w:val="true"/>
          <w:lang w:bidi="ar-SA"/>
        </w:rPr>
        <w:t xml:space="preserve">» </w:t>
      </w:r>
      <w:r>
        <w:rPr>
          <w:rStyle w:val="FootnoteAnchor"/>
          <w:rtl w:val="true"/>
        </w:rPr>
        <w:footnoteReference w:id="2153"/>
      </w:r>
      <w:r>
        <w:rPr>
          <w:rFonts w:ascii="IRNazanin" w:hAnsi="IRNazanin" w:eastAsia="IRNazanin"/>
          <w:color w:val="111111"/>
          <w:sz w:val="28"/>
          <w:sz w:val="28"/>
          <w:szCs w:val="28"/>
          <w:rtl w:val="true"/>
          <w:lang w:bidi="fa-IR"/>
        </w:rPr>
        <w:t>و الأمر ظاهر للوجوب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روى في الموثّق،عن الحجّاج الخشّاب،قال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رجل وقع على امرأته فطمثت بعد ما فرغ،أ تجعله غسلا واحدا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تطهّرت</w:t>
      </w:r>
      <w:r>
        <w:rPr>
          <w:rFonts w:eastAsia="Amiri" w:cs="Amiri" w:ascii="Amiri" w:hAnsi="Amiri"/>
          <w:color w:val="111111"/>
          <w:sz w:val="28"/>
          <w:szCs w:val="28"/>
          <w:rtl w:val="true"/>
          <w:lang w:bidi="ar-SA"/>
        </w:rPr>
        <w:t xml:space="preserve">] </w:t>
      </w:r>
      <w:r>
        <w:rPr>
          <w:rStyle w:val="FootnoteAnchor"/>
          <w:rtl w:val="true"/>
        </w:rPr>
        <w:footnoteReference w:id="2154"/>
      </w:r>
      <w:r>
        <w:rPr>
          <w:rFonts w:ascii="Amiri" w:hAnsi="Amiri" w:eastAsia="Amiri" w:cs="Amiri"/>
          <w:color w:val="111111"/>
          <w:sz w:val="28"/>
          <w:sz w:val="28"/>
          <w:szCs w:val="28"/>
          <w:rtl w:val="true"/>
          <w:lang w:bidi="ar-SA"/>
        </w:rPr>
        <w:t>أو تغتسل مرّتين؟قال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تجعله غسلا واحدا عند طهرها</w:t>
      </w:r>
      <w:r>
        <w:rPr>
          <w:rFonts w:eastAsia="Amiri" w:cs="Amiri" w:ascii="Amiri" w:hAnsi="Amiri"/>
          <w:color w:val="111111"/>
          <w:sz w:val="28"/>
          <w:szCs w:val="28"/>
          <w:rtl w:val="true"/>
          <w:lang w:bidi="ar-SA"/>
        </w:rPr>
        <w:t xml:space="preserve">» </w:t>
      </w:r>
      <w:r>
        <w:rPr>
          <w:rStyle w:val="FootnoteAnchor"/>
          <w:rtl w:val="true"/>
        </w:rPr>
        <w:footnoteReference w:id="21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يعارض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الشّيخ،عن سماعة بن مهران،عن أبي عبد اللّه و أبي الحسن عليهما السّلام قالا في الرّجل يجامع امرأته فتحيض قبل أن تغتسل من الجنابة،قال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غسل الجنابة عليها واجب</w:t>
      </w:r>
      <w:r>
        <w:rPr>
          <w:rFonts w:eastAsia="Amiri" w:cs="Amiri" w:ascii="Amiri" w:hAnsi="Amiri"/>
          <w:color w:val="111111"/>
          <w:sz w:val="28"/>
          <w:szCs w:val="28"/>
          <w:rtl w:val="true"/>
          <w:lang w:bidi="ar-SA"/>
        </w:rPr>
        <w:t xml:space="preserve">» </w:t>
      </w:r>
      <w:r>
        <w:rPr>
          <w:rStyle w:val="FootnoteAnchor"/>
          <w:rtl w:val="true"/>
        </w:rPr>
        <w:footnoteReference w:id="2156"/>
      </w:r>
      <w:r>
        <w:rPr>
          <w:rFonts w:eastAsia="Times New Roman" w:cs="Times New Roman" w:ascii="Times New Roman" w:hAnsi="Times New Roman"/>
          <w:color w:val="111111"/>
          <w:sz w:val="28"/>
          <w:szCs w:val="28"/>
          <w:rtl w:val="true"/>
          <w:lang w:val="en-US" w:bidi="en-US"/>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سماعة واقفيّ،و الرّاوي عنه عثمان بن عيسى و هو واقفيّ أيضا، فلا تعويل على هذه الرّواية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انّا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نسلّم هذه الرّواية،فإنّ الحيض لا يسقط وجوب غسل الجنابة و ليس فيها دلالة على وجوب فعل غسل الجنابة حالة الحيض</w:t>
      </w:r>
      <w:r>
        <w:rPr>
          <w:rFonts w:eastAsia="Amiri" w:cs="Amiri" w:ascii="Amiri" w:hAnsi="Amiri"/>
          <w:color w:val="111111"/>
          <w:sz w:val="28"/>
          <w:szCs w:val="28"/>
          <w:rtl w:val="true"/>
          <w:lang w:bidi="ar-SA"/>
        </w:rPr>
        <w:t xml:space="preserve">. </w:t>
      </w:r>
      <w:bookmarkStart w:id="1232" w:name="pg12669_113199"/>
    </w:p>
    <w:p>
      <w:pPr>
        <w:pStyle w:val="BookText"/>
        <w:rPr/>
      </w:pPr>
      <w:bookmarkEnd w:id="1232"/>
      <w:r>
        <w:rPr>
          <w:rFonts w:ascii="Amiri" w:hAnsi="Amiri" w:eastAsia="Amiri" w:cs="Amiri"/>
          <w:color w:val="111111"/>
          <w:sz w:val="28"/>
          <w:sz w:val="28"/>
          <w:szCs w:val="28"/>
          <w:rtl w:val="true"/>
          <w:lang w:bidi="ar-SA"/>
        </w:rPr>
        <w:t xml:space="preserve">احتجّ المخالف بأنّ أحد الحدثين لا يمنع ارتفاع الآخر،كما لو اغتسل الجنب المحدث الحدث الأصغر </w:t>
      </w:r>
      <w:r>
        <w:rPr>
          <w:rStyle w:val="FootnoteAnchor"/>
          <w:rtl w:val="true"/>
        </w:rPr>
        <w:footnoteReference w:id="21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المنع من بقاء الحدث الأصغر مع غسل الجنابة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سلّمنا،لكنّا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الحدث الأصغر لا يرتفع إلاّ بمجموع الطّهارتين،فكان كلّ واحد منهما كجزء طهارة،و فعل الجزء لا يمنع من فعل الجزء الآخر،بخلاف طهارتي الجنابة و الحيض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انّ الشّيخ يلوح من كلامه في التّهذيب جواز الاغتسال </w:t>
      </w:r>
      <w:r>
        <w:rPr>
          <w:rStyle w:val="FootnoteAnchor"/>
          <w:rtl w:val="true"/>
        </w:rPr>
        <w:footnoteReference w:id="2158"/>
      </w:r>
      <w:r>
        <w:rPr>
          <w:rFonts w:ascii="Amiri" w:hAnsi="Amiri" w:eastAsia="Amiri" w:cs="Amiri"/>
          <w:color w:val="111111"/>
          <w:sz w:val="28"/>
          <w:sz w:val="28"/>
          <w:szCs w:val="28"/>
          <w:rtl w:val="true"/>
          <w:lang w:bidi="ar-SA"/>
        </w:rPr>
        <w:t>،لرواية عمّار،عن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المرأة يواقعها زوجها،ثمَّ تحيض قبل أن تغتسل،قال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شاءت أن تغتسل فعلت و إن لم تفعل فليس عليها شيء، فإذا طهرت اغتسلت غسلا واحدا للحيض و الجنابة</w:t>
      </w:r>
      <w:r>
        <w:rPr>
          <w:rFonts w:eastAsia="Amiri" w:cs="Amiri" w:ascii="Amiri" w:hAnsi="Amiri"/>
          <w:color w:val="111111"/>
          <w:sz w:val="28"/>
          <w:szCs w:val="28"/>
          <w:rtl w:val="true"/>
          <w:lang w:bidi="ar-SA"/>
        </w:rPr>
        <w:t xml:space="preserve">» </w:t>
      </w:r>
      <w:r>
        <w:rPr>
          <w:rStyle w:val="FootnoteAnchor"/>
          <w:rtl w:val="true"/>
        </w:rPr>
        <w:footnoteReference w:id="2159"/>
      </w:r>
      <w:r>
        <w:rPr>
          <w:rFonts w:ascii="Amiri" w:hAnsi="Amiri" w:eastAsia="Amiri" w:cs="Amiri"/>
          <w:color w:val="111111"/>
          <w:sz w:val="28"/>
          <w:sz w:val="28"/>
          <w:szCs w:val="28"/>
          <w:rtl w:val="true"/>
          <w:lang w:bidi="ar-SA"/>
        </w:rPr>
        <w:t>و في طريقها ابن فضّال و عمّار السّاباطيّ،و كلاهما ضعيفان</w:t>
      </w:r>
      <w:r>
        <w:rPr>
          <w:rFonts w:eastAsia="Amiri" w:cs="Amiri" w:ascii="Amiri" w:hAnsi="Amiri"/>
          <w:color w:val="111111"/>
          <w:sz w:val="28"/>
          <w:szCs w:val="28"/>
          <w:rtl w:val="true"/>
          <w:lang w:bidi="ar-SA"/>
        </w:rPr>
        <w:t>.</w:t>
      </w:r>
    </w:p>
    <w:p>
      <w:pPr>
        <w:pStyle w:val="Heading6"/>
        <w:numPr>
          <w:ilvl w:val="5"/>
          <w:numId w:val="1"/>
        </w:numPr>
        <w:rPr/>
      </w:pPr>
      <w:bookmarkStart w:id="1233" w:name="__RefHeading___Toc796131_222507752"/>
      <w:bookmarkStart w:id="1234" w:name="_Toc505"/>
      <w:bookmarkEnd w:id="1233"/>
      <w:r>
        <w:rPr>
          <w:rtl w:val="true"/>
        </w:rPr>
        <w:t>فصل</w:t>
      </w:r>
      <w:r>
        <w:rPr>
          <w:rtl w:val="true"/>
        </w:rPr>
        <w:t>:</w:t>
      </w:r>
      <w:r>
        <w:rPr>
          <w:rtl w:val="true"/>
        </w:rPr>
        <w:t>قد بيّنّا الاختلاف في الاكتفاء بغسل الحيض عن الطّهارة الصّغرى و عدمه ،</w:t>
      </w:r>
      <w:bookmarkEnd w:id="1234"/>
    </w:p>
    <w:p>
      <w:pPr>
        <w:pStyle w:val="BookText"/>
        <w:rPr/>
      </w:pPr>
      <w:r>
        <w:rPr>
          <w:rStyle w:val="FootnoteAnchor"/>
          <w:rtl w:val="true"/>
        </w:rPr>
        <w:footnoteReference w:id="21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القول بالعدم يجوز تقديم الوضوء و تأخيره،و أيّهما قدّم جاز أن ينوي به استباحة الصّلاة،و هل ينوي بالمتقدّم رفع الحدث أم بالمتأخّر لا غير؟فيه نظر،من حيث انّ الحدث لا يرتفع إلاّ بهما،فكان الأوّل غير رافع،فلا ينوي به الرّفع،أو انّه مع المتأخّر كالجزء فجازت نيّة رفع الحدث،و كان أبي رحمه اللّه يذهب إلى الأوّل،و عندي فيه توقّف</w:t>
      </w:r>
      <w:r>
        <w:rPr>
          <w:rFonts w:eastAsia="Amiri" w:cs="Amiri" w:ascii="Amiri" w:hAnsi="Amiri"/>
          <w:color w:val="111111"/>
          <w:sz w:val="28"/>
          <w:szCs w:val="28"/>
          <w:rtl w:val="true"/>
          <w:lang w:bidi="ar-SA"/>
        </w:rPr>
        <w:t>.</w:t>
      </w:r>
    </w:p>
    <w:p>
      <w:pPr>
        <w:pStyle w:val="Heading6"/>
        <w:numPr>
          <w:ilvl w:val="5"/>
          <w:numId w:val="1"/>
        </w:numPr>
        <w:rPr/>
      </w:pPr>
      <w:bookmarkStart w:id="1235" w:name="__RefHeading___Toc796133_222507752"/>
      <w:bookmarkStart w:id="1236" w:name="_Toc506"/>
      <w:bookmarkEnd w:id="1235"/>
      <w:r>
        <w:rPr>
          <w:rtl w:val="true"/>
        </w:rPr>
        <w:t>فصل</w:t>
      </w:r>
      <w:r>
        <w:rPr>
          <w:rtl w:val="true"/>
        </w:rPr>
        <w:t>:</w:t>
      </w:r>
      <w:r>
        <w:rPr>
          <w:rtl w:val="true"/>
        </w:rPr>
        <w:t>و يستحبّ لها الغسل للإحرام،و الجمعة،و دخول الحرم،</w:t>
      </w:r>
      <w:bookmarkEnd w:id="1236"/>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غيرها من الأغسال </w:t>
      </w:r>
      <w:bookmarkStart w:id="1237" w:name="pg12669_113200"/>
    </w:p>
    <w:p>
      <w:pPr>
        <w:pStyle w:val="BookText"/>
        <w:rPr/>
      </w:pPr>
      <w:bookmarkEnd w:id="1237"/>
      <w:r>
        <w:rPr>
          <w:rFonts w:ascii="Amiri" w:hAnsi="Amiri" w:eastAsia="Amiri" w:cs="Amiri"/>
          <w:color w:val="111111"/>
          <w:sz w:val="28"/>
          <w:sz w:val="28"/>
          <w:szCs w:val="28"/>
          <w:rtl w:val="true"/>
          <w:lang w:bidi="ar-SA"/>
        </w:rPr>
        <w:t>المستحبّة عملا بالعموم،و ليس شيء منها رافعا للحدث،فلا يصلح الحيض للمانعيّة</w:t>
      </w:r>
      <w:r>
        <w:rPr>
          <w:rFonts w:eastAsia="Amiri" w:cs="Amiri" w:ascii="Amiri" w:hAnsi="Amiri"/>
          <w:color w:val="111111"/>
          <w:sz w:val="28"/>
          <w:szCs w:val="28"/>
          <w:rtl w:val="true"/>
          <w:lang w:bidi="ar-SA"/>
        </w:rPr>
        <w:t>.</w:t>
      </w:r>
    </w:p>
    <w:p>
      <w:pPr>
        <w:pStyle w:val="Heading6"/>
        <w:numPr>
          <w:ilvl w:val="5"/>
          <w:numId w:val="1"/>
        </w:numPr>
        <w:rPr/>
      </w:pPr>
      <w:bookmarkStart w:id="1238" w:name="__RefHeading___Toc796135_222507752"/>
      <w:bookmarkStart w:id="1239" w:name="_Toc507"/>
      <w:bookmarkEnd w:id="1238"/>
      <w:r>
        <w:rPr>
          <w:rtl w:val="true"/>
        </w:rPr>
        <w:t>فصل</w:t>
      </w:r>
      <w:r>
        <w:rPr>
          <w:rtl w:val="true"/>
        </w:rPr>
        <w:t>:</w:t>
      </w:r>
      <w:r>
        <w:rPr>
          <w:rtl w:val="true"/>
        </w:rPr>
        <w:t>و روى ابن بابويه،عن النّبيّ صلّى اللّه عليه و آله،</w:t>
      </w:r>
      <w:bookmarkEnd w:id="1239"/>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جامع امرأته و هي حائض فخرج الولد مجذوما أو أبرص فلا يلومنّ إلاّ نفسه</w:t>
      </w:r>
      <w:r>
        <w:rPr>
          <w:rFonts w:eastAsia="Amiri" w:cs="Amiri" w:ascii="Amiri" w:hAnsi="Amiri"/>
          <w:color w:val="111111"/>
          <w:sz w:val="28"/>
          <w:szCs w:val="28"/>
          <w:rtl w:val="true"/>
          <w:lang w:bidi="ar-SA"/>
        </w:rPr>
        <w:t xml:space="preserve">» </w:t>
      </w:r>
      <w:r>
        <w:rPr>
          <w:rStyle w:val="FootnoteAnchor"/>
          <w:rtl w:val="true"/>
        </w:rPr>
        <w:footnoteReference w:id="21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سئل الصّادق عليه السّلام عن المشوّهين في خلقهم،فقال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الّذين يأتي آباؤهم نساءهم في الطّمث</w:t>
      </w:r>
      <w:r>
        <w:rPr>
          <w:rFonts w:eastAsia="Amiri" w:cs="Amiri" w:ascii="Amiri" w:hAnsi="Amiri"/>
          <w:color w:val="111111"/>
          <w:sz w:val="28"/>
          <w:szCs w:val="28"/>
          <w:rtl w:val="true"/>
          <w:lang w:bidi="ar-SA"/>
        </w:rPr>
        <w:t xml:space="preserve">» </w:t>
      </w:r>
      <w:r>
        <w:rPr>
          <w:rStyle w:val="FootnoteAnchor"/>
          <w:rtl w:val="true"/>
        </w:rPr>
        <w:footnoteReference w:id="21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ابن بابويه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يجوز للنّساء أن ينظرن إلى أنفسهنّ في المحيض،لأنّهنّ قد نهين عن ذلك </w:t>
      </w:r>
      <w:r>
        <w:rPr>
          <w:rStyle w:val="FootnoteAnchor"/>
          <w:rtl w:val="true"/>
        </w:rPr>
        <w:footnoteReference w:id="216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240" w:name="__RefHeading___Toc796137_222507752"/>
      <w:bookmarkStart w:id="1241" w:name="_Toc508"/>
      <w:bookmarkEnd w:id="1240"/>
      <w:r>
        <w:rPr>
          <w:rtl w:val="true"/>
        </w:rPr>
        <w:t>فصل</w:t>
      </w:r>
      <w:r>
        <w:rPr>
          <w:rtl w:val="true"/>
        </w:rPr>
        <w:t>:</w:t>
      </w:r>
      <w:r>
        <w:rPr>
          <w:rtl w:val="true"/>
        </w:rPr>
        <w:t>و لا بأس أن تغتسل المرأة و عليها الزّعفران،</w:t>
      </w:r>
      <w:bookmarkEnd w:id="1241"/>
    </w:p>
    <w:p>
      <w:pPr>
        <w:pStyle w:val="BookText"/>
        <w:rPr/>
      </w:pPr>
      <w:r>
        <w:rPr>
          <w:rFonts w:ascii="Amiri" w:hAnsi="Amiri" w:eastAsia="Amiri" w:cs="Amiri"/>
          <w:color w:val="111111"/>
          <w:sz w:val="28"/>
          <w:sz w:val="28"/>
          <w:szCs w:val="28"/>
          <w:rtl w:val="true"/>
          <w:lang w:bidi="ar-SA"/>
        </w:rPr>
        <w:t>لرواية عمّار السّاباطيّ،عن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الحائض تغتسل و على جسدها الزّعفران لم يذهب به الماء؟قال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 xml:space="preserve">» </w:t>
      </w:r>
      <w:r>
        <w:rPr>
          <w:rStyle w:val="FootnoteAnchor"/>
          <w:rtl w:val="true"/>
        </w:rPr>
        <w:footnoteReference w:id="216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242" w:name="__RefHeading___Toc796139_222507752"/>
      <w:bookmarkStart w:id="1243" w:name="_Toc509"/>
      <w:bookmarkEnd w:id="1242"/>
      <w:r>
        <w:rPr>
          <w:rtl w:val="true"/>
        </w:rPr>
        <w:t>فصل</w:t>
      </w:r>
      <w:r>
        <w:rPr>
          <w:rtl w:val="true"/>
        </w:rPr>
        <w:t>:</w:t>
      </w:r>
      <w:r>
        <w:rPr>
          <w:rtl w:val="true"/>
        </w:rPr>
        <w:t>بدن الحائض و الجنب و النّفساء ليس بنجس،</w:t>
      </w:r>
      <w:bookmarkEnd w:id="1243"/>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فلو أصاب أحدهم بيده ثوبا رطبا لم ينجس،و حكي عن أبي يوسف انّه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بدن الحائض و الجنب نجس حتّى لو أدخل الجنب رجله في ماء قليل صار نجسا </w:t>
      </w:r>
      <w:r>
        <w:rPr>
          <w:rStyle w:val="FootnoteAnchor"/>
          <w:rtl w:val="true"/>
        </w:rPr>
        <w:footnoteReference w:id="2165"/>
      </w:r>
      <w:r>
        <w:rPr>
          <w:rFonts w:ascii="Amiri" w:hAnsi="Amiri" w:eastAsia="Amiri" w:cs="Amiri"/>
          <w:color w:val="111111"/>
          <w:sz w:val="28"/>
          <w:sz w:val="28"/>
          <w:szCs w:val="28"/>
          <w:rtl w:val="true"/>
          <w:lang w:bidi="ar-SA"/>
        </w:rPr>
        <w:t>،و ليس بشيء،لقوله عليه السّلام لعائشة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ليست حيضتك في يدك</w:t>
      </w:r>
      <w:r>
        <w:rPr>
          <w:rFonts w:eastAsia="Amiri" w:cs="Amiri" w:ascii="Amiri" w:hAnsi="Amiri"/>
          <w:color w:val="111111"/>
          <w:sz w:val="28"/>
          <w:szCs w:val="28"/>
          <w:rtl w:val="true"/>
          <w:lang w:bidi="ar-SA"/>
        </w:rPr>
        <w:t xml:space="preserve">) </w:t>
      </w:r>
      <w:r>
        <w:rPr>
          <w:rStyle w:val="FootnoteAnchor"/>
          <w:rtl w:val="true"/>
        </w:rPr>
        <w:footnoteReference w:id="2166"/>
      </w:r>
      <w:r>
        <w:rPr>
          <w:rFonts w:eastAsia="Times New Roman" w:cs="Times New Roman" w:ascii="Times New Roman" w:hAnsi="Times New Roman"/>
          <w:color w:val="111111"/>
          <w:sz w:val="28"/>
          <w:szCs w:val="28"/>
          <w:rtl w:val="true"/>
          <w:lang w:val="en-US" w:bidi="en-US"/>
        </w:rPr>
        <w:t xml:space="preserve">. </w:t>
      </w:r>
      <w:bookmarkStart w:id="1244" w:name="pg12669_113201"/>
    </w:p>
    <w:p>
      <w:pPr>
        <w:pStyle w:val="Heading4"/>
        <w:numPr>
          <w:ilvl w:val="3"/>
          <w:numId w:val="1"/>
        </w:numPr>
        <w:rPr/>
      </w:pPr>
      <w:bookmarkStart w:id="1245" w:name="__RefHeading___Toc796141_222507752"/>
      <w:bookmarkStart w:id="1246" w:name="_Toc510"/>
      <w:bookmarkEnd w:id="1244"/>
      <w:bookmarkEnd w:id="1245"/>
      <w:r>
        <w:rPr>
          <w:rtl w:val="true"/>
        </w:rPr>
        <w:t>الفصل الثّالث</w:t>
      </w:r>
      <w:r>
        <w:rPr>
          <w:rtl w:val="true"/>
        </w:rPr>
        <w:t>:</w:t>
      </w:r>
      <w:r>
        <w:rPr>
          <w:rtl w:val="true"/>
        </w:rPr>
        <w:t>في الاستحاضة</w:t>
      </w:r>
      <w:bookmarkEnd w:id="1246"/>
    </w:p>
    <w:p>
      <w:pPr>
        <w:pStyle w:val="Heading5"/>
        <w:numPr>
          <w:ilvl w:val="4"/>
          <w:numId w:val="1"/>
        </w:numPr>
        <w:rPr/>
      </w:pPr>
      <w:bookmarkStart w:id="1247" w:name="__RefHeading___Toc796143_222507752"/>
      <w:bookmarkStart w:id="1248" w:name="_Toc511"/>
      <w:bookmarkEnd w:id="1247"/>
      <w:r>
        <w:rPr>
          <w:rtl w:val="true"/>
        </w:rPr>
        <w:t>اشارة</w:t>
      </w:r>
      <w:bookmarkEnd w:id="1248"/>
    </w:p>
    <w:p>
      <w:pPr>
        <w:pStyle w:val="BookText"/>
        <w:rPr/>
      </w:pPr>
      <w:r>
        <w:rPr>
          <w:rFonts w:ascii="Amiri" w:hAnsi="Amiri" w:eastAsia="Amiri" w:cs="Amiri"/>
          <w:color w:val="111111"/>
          <w:sz w:val="28"/>
          <w:sz w:val="28"/>
          <w:szCs w:val="28"/>
          <w:rtl w:val="true"/>
          <w:lang w:bidi="ar-SA"/>
        </w:rPr>
        <w:t>و هو في الأغلب دم أصفر بارد رقيق،لما رواه الشّيخ في الحسن،عن حفص بن البختريّ،عن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دم الاستحاضة أصفر بارد</w:t>
      </w:r>
      <w:r>
        <w:rPr>
          <w:rFonts w:eastAsia="Amiri" w:cs="Amiri" w:ascii="Amiri" w:hAnsi="Amiri"/>
          <w:color w:val="111111"/>
          <w:sz w:val="28"/>
          <w:szCs w:val="28"/>
          <w:rtl w:val="true"/>
          <w:lang w:bidi="ar-SA"/>
        </w:rPr>
        <w:t xml:space="preserve">» </w:t>
      </w:r>
      <w:r>
        <w:rPr>
          <w:rStyle w:val="FootnoteAnchor"/>
          <w:rtl w:val="true"/>
        </w:rPr>
        <w:footnoteReference w:id="21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في الصّحيح،عن معاوية بن عمّار،عن أبي عبد اللّه عليه السّلام،قال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دم الاستحاضة بارد</w:t>
      </w:r>
      <w:r>
        <w:rPr>
          <w:rFonts w:eastAsia="Amiri" w:cs="Amiri" w:ascii="Amiri" w:hAnsi="Amiri"/>
          <w:color w:val="111111"/>
          <w:sz w:val="28"/>
          <w:szCs w:val="28"/>
          <w:rtl w:val="true"/>
          <w:lang w:bidi="ar-SA"/>
        </w:rPr>
        <w:t xml:space="preserve">» </w:t>
      </w:r>
      <w:r>
        <w:rPr>
          <w:rStyle w:val="FootnoteAnchor"/>
          <w:rtl w:val="true"/>
        </w:rPr>
        <w:footnoteReference w:id="21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في الصّحيح،عن إسحاق بن جرير،عن أبي عبد اللّه عليه السّلام،قال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دم الاستحاضة دم فاسد بارد</w:t>
      </w:r>
      <w:r>
        <w:rPr>
          <w:rFonts w:eastAsia="Amiri" w:cs="Amiri" w:ascii="Amiri" w:hAnsi="Amiri"/>
          <w:color w:val="111111"/>
          <w:sz w:val="28"/>
          <w:szCs w:val="28"/>
          <w:rtl w:val="true"/>
          <w:lang w:bidi="ar-SA"/>
        </w:rPr>
        <w:t xml:space="preserve">» </w:t>
      </w:r>
      <w:r>
        <w:rPr>
          <w:rStyle w:val="FootnoteAnchor"/>
          <w:rtl w:val="true"/>
        </w:rPr>
        <w:footnoteReference w:id="21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يتّفق بهذه الصّفات حيضا إذا كان في العادة،و أن يكون استحاضة و إن لم يكن بهذه الصّفات إذا تجاوز العادة،أو كان بعد أكثر أيّام النّفاس و الحيض،أو كان أقلّ من 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سلف بيان ذلك كلّه </w:t>
      </w:r>
      <w:r>
        <w:rPr>
          <w:rStyle w:val="FootnoteAnchor"/>
          <w:rtl w:val="true"/>
        </w:rPr>
        <w:footnoteReference w:id="217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49" w:name="__RefHeading___Toc796145_222507752"/>
      <w:bookmarkStart w:id="1250" w:name="_Toc512"/>
      <w:bookmarkEnd w:id="1249"/>
      <w:r>
        <w:rPr>
          <w:rtl w:val="true"/>
        </w:rPr>
        <w:t>مسألة</w:t>
      </w:r>
      <w:r>
        <w:rPr>
          <w:rtl w:val="true"/>
        </w:rPr>
        <w:t>:</w:t>
      </w:r>
      <w:r>
        <w:rPr>
          <w:rtl w:val="true"/>
        </w:rPr>
        <w:t>و يجب على المستحاضة أن تعتبر الدّم في قلّته و كثرته و توسّطه،</w:t>
      </w:r>
      <w:bookmarkEnd w:id="1250"/>
    </w:p>
    <w:p>
      <w:pPr>
        <w:pStyle w:val="Heading6"/>
        <w:numPr>
          <w:ilvl w:val="5"/>
          <w:numId w:val="1"/>
        </w:numPr>
        <w:rPr/>
      </w:pPr>
      <w:bookmarkStart w:id="1251" w:name="__RefHeading___Toc796147_222507752"/>
      <w:bookmarkStart w:id="1252" w:name="_Toc513"/>
      <w:bookmarkEnd w:id="1251"/>
      <w:r>
        <w:rPr>
          <w:rtl w:val="true"/>
        </w:rPr>
        <w:t>اشارة</w:t>
      </w:r>
      <w:bookmarkEnd w:id="1252"/>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لتغيّر أحكامها في الأحوال الثّلاث،و ذلك بأن تدخل قطنة في فرجها،فإن لطّخ الدّم باطنها و لم يظهر عليها،لزمها </w:t>
      </w:r>
      <w:r>
        <w:rPr>
          <w:rStyle w:val="FootnoteAnchor"/>
          <w:rtl w:val="true"/>
        </w:rPr>
        <w:footnoteReference w:id="2171"/>
      </w:r>
      <w:r>
        <w:rPr>
          <w:rFonts w:ascii="Amiri" w:hAnsi="Amiri" w:eastAsia="Amiri" w:cs="Amiri"/>
          <w:color w:val="111111"/>
          <w:sz w:val="28"/>
          <w:sz w:val="28"/>
          <w:szCs w:val="28"/>
          <w:rtl w:val="true"/>
          <w:lang w:bidi="ar-SA"/>
        </w:rPr>
        <w:t>إبدالها عند كل صلاة و الوضوء لكلّ صلاة،و لا خلاف عندنا في وجوب الإبدال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أمّا الوضوء،فهو قول أكثر الأصحاب </w:t>
      </w:r>
      <w:r>
        <w:rPr>
          <w:rStyle w:val="FootnoteAnchor"/>
          <w:rtl w:val="true"/>
        </w:rPr>
        <w:footnoteReference w:id="2172"/>
      </w:r>
      <w:r>
        <w:rPr>
          <w:rFonts w:ascii="Amiri" w:hAnsi="Amiri" w:eastAsia="Amiri" w:cs="Amiri"/>
          <w:color w:val="111111"/>
          <w:sz w:val="28"/>
          <w:sz w:val="28"/>
          <w:szCs w:val="28"/>
          <w:rtl w:val="true"/>
          <w:lang w:bidi="ar-SA"/>
        </w:rPr>
        <w:t xml:space="preserve">خلافا لابن أبي </w:t>
      </w:r>
    </w:p>
    <w:p>
      <w:pPr>
        <w:pStyle w:val="BookText"/>
        <w:rPr/>
      </w:pPr>
      <w:r>
        <w:rPr>
          <w:rFonts w:ascii="Amiri" w:hAnsi="Amiri" w:eastAsia="Amiri" w:cs="Amiri"/>
          <w:color w:val="111111"/>
          <w:sz w:val="28"/>
          <w:sz w:val="28"/>
          <w:szCs w:val="28"/>
          <w:rtl w:val="true"/>
          <w:lang w:bidi="ar-SA"/>
        </w:rPr>
        <w:t xml:space="preserve">عقيل </w:t>
      </w:r>
      <w:r>
        <w:rPr>
          <w:rStyle w:val="FootnoteAnchor"/>
          <w:rtl w:val="true"/>
        </w:rPr>
        <w:footnoteReference w:id="2173"/>
      </w:r>
      <w:r>
        <w:rPr>
          <w:rFonts w:ascii="Amiri" w:hAnsi="Amiri" w:eastAsia="Amiri" w:cs="Amiri"/>
          <w:color w:val="111111"/>
          <w:sz w:val="28"/>
          <w:sz w:val="28"/>
          <w:szCs w:val="28"/>
          <w:rtl w:val="true"/>
          <w:lang w:bidi="ar-SA"/>
        </w:rPr>
        <w:t xml:space="preserve">،و مالك </w:t>
      </w:r>
      <w:r>
        <w:rPr>
          <w:rStyle w:val="FootnoteAnchor"/>
          <w:rtl w:val="true"/>
        </w:rPr>
        <w:footnoteReference w:id="2174"/>
      </w:r>
      <w:r>
        <w:rPr>
          <w:rFonts w:ascii="Amiri" w:hAnsi="Amiri" w:eastAsia="Amiri" w:cs="Amiri"/>
          <w:color w:val="111111"/>
          <w:sz w:val="28"/>
          <w:sz w:val="28"/>
          <w:szCs w:val="28"/>
          <w:rtl w:val="true"/>
          <w:lang w:bidi="ar-SA"/>
        </w:rPr>
        <w:t>،و قال أبو حنيفة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تتوضّأ لوقت كلّ صلاة </w:t>
      </w:r>
      <w:r>
        <w:rPr>
          <w:rStyle w:val="FootnoteAnchor"/>
          <w:rtl w:val="true"/>
        </w:rPr>
        <w:footnoteReference w:id="217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تقدّم البحث في </w:t>
      </w:r>
      <w:r>
        <w:rPr>
          <w:rStyle w:val="FootnoteAnchor"/>
          <w:rtl w:val="true"/>
        </w:rPr>
        <w:footnoteReference w:id="2176"/>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غمس الدّم القطنة و لم يسل،لزمها مع الوضوء و الإبدال تغيير الخرقة و الغسل لصلاة الغداة و الوضوء لكلّ 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ابن أبي عقيل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يجب عليها ثلاثة أغسال </w:t>
      </w:r>
      <w:r>
        <w:rPr>
          <w:rStyle w:val="FootnoteAnchor"/>
          <w:rtl w:val="true"/>
        </w:rPr>
        <w:footnoteReference w:id="21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الشّيخ،عن سماعة،عن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لم يجز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الدّم</w:t>
      </w:r>
      <w:r>
        <w:rPr>
          <w:rFonts w:eastAsia="Amiri" w:cs="Amiri" w:ascii="Amiri" w:hAnsi="Amiri"/>
          <w:color w:val="111111"/>
          <w:sz w:val="28"/>
          <w:szCs w:val="28"/>
          <w:rtl w:val="true"/>
          <w:lang w:bidi="ar-SA"/>
        </w:rPr>
        <w:t xml:space="preserve">] </w:t>
      </w:r>
      <w:r>
        <w:rPr>
          <w:rStyle w:val="FootnoteAnchor"/>
          <w:rtl w:val="true"/>
        </w:rPr>
        <w:footnoteReference w:id="2178"/>
      </w:r>
      <w:r>
        <w:rPr>
          <w:rFonts w:ascii="Amiri" w:hAnsi="Amiri" w:eastAsia="Amiri" w:cs="Amiri"/>
          <w:color w:val="111111"/>
          <w:sz w:val="28"/>
          <w:sz w:val="28"/>
          <w:szCs w:val="28"/>
          <w:rtl w:val="true"/>
          <w:lang w:bidi="ar-SA"/>
        </w:rPr>
        <w:t>الكرسف فعليها الغسل لكلّ يوم مرّة،و الوضوء لكلّ صلاة</w:t>
      </w:r>
      <w:r>
        <w:rPr>
          <w:rFonts w:eastAsia="Amiri" w:cs="Amiri" w:ascii="Amiri" w:hAnsi="Amiri"/>
          <w:color w:val="111111"/>
          <w:sz w:val="28"/>
          <w:szCs w:val="28"/>
          <w:rtl w:val="true"/>
          <w:lang w:bidi="ar-SA"/>
        </w:rPr>
        <w:t xml:space="preserve">» </w:t>
      </w:r>
      <w:r>
        <w:rPr>
          <w:rStyle w:val="FootnoteAnchor"/>
          <w:rtl w:val="true"/>
        </w:rPr>
        <w:footnoteReference w:id="2179"/>
      </w:r>
      <w:r>
        <w:rPr>
          <w:rFonts w:eastAsia="Times New Roman" w:cs="Times New Roman" w:ascii="Times New Roman" w:hAnsi="Times New Roman"/>
          <w:color w:val="111111"/>
          <w:sz w:val="28"/>
          <w:szCs w:val="28"/>
          <w:rtl w:val="true"/>
          <w:lang w:val="en-US" w:bidi="en-US"/>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الشّيخ،عن الحسين بن نعيم الصحّاف،عن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لم ينقطع عنها الدّم إلاّ بعد أن تمضي الأيّام الّتي كانت ترى الدّم فيها بيوم أو يومين فلتغتسل و لتحتشي و لتستثفر و تصلّي الظّهر و العصر،ثمَّ لتنظر،فإن كان الدّم فيما بينهما و بين المغرب لا يسيل من خلف الكرسف فلتتوضّأ و لتصلّ عند وقت كلّ صلاة ما لم تطرح الكرسف عنها،فإن طرحت الكرسف عنها و سال الدّم،وجب عليها الغسل</w:t>
      </w:r>
      <w:r>
        <w:rPr>
          <w:rFonts w:eastAsia="Amiri" w:cs="Amiri" w:ascii="Amiri" w:hAnsi="Amiri"/>
          <w:color w:val="111111"/>
          <w:sz w:val="28"/>
          <w:szCs w:val="28"/>
          <w:rtl w:val="true"/>
          <w:lang w:bidi="ar-SA"/>
        </w:rPr>
        <w:t xml:space="preserve">» </w:t>
      </w:r>
      <w:r>
        <w:rPr>
          <w:rStyle w:val="FootnoteAnchor"/>
          <w:rtl w:val="true"/>
        </w:rPr>
        <w:footnoteReference w:id="218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روى في الموثّق،عن زرارة،عن أبي جعفر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نفذ اغتسلت و صلّت</w:t>
      </w:r>
      <w:r>
        <w:rPr>
          <w:rFonts w:eastAsia="Amiri" w:cs="Amiri" w:ascii="Amiri" w:hAnsi="Amiri"/>
          <w:color w:val="111111"/>
          <w:sz w:val="28"/>
          <w:szCs w:val="28"/>
          <w:rtl w:val="true"/>
          <w:lang w:bidi="ar-SA"/>
        </w:rPr>
        <w:t xml:space="preserve">». </w:t>
      </w:r>
      <w:r>
        <w:rPr>
          <w:rStyle w:val="FootnoteAnchor"/>
          <w:rtl w:val="true"/>
        </w:rPr>
        <w:footnoteReference w:id="21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 إسماعيل الجعفيّ،عن أبي جعفر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المستحاضة تقعد أيّام قرئها،ثمَّ تحتاط بيوم أو يومين،فإن هي رأت طهرا اغتسلت و إن هي لم تر طهرا اغتسلت و احتشت و لا تزال تصلّي بذلك الغسل حتّى يظهر الدّم على الكرسف، فإذا ظهر أعادت الغسل و أعادت الكرسف</w:t>
      </w:r>
      <w:r>
        <w:rPr>
          <w:rFonts w:eastAsia="Amiri" w:cs="Amiri" w:ascii="Amiri" w:hAnsi="Amiri"/>
          <w:color w:val="111111"/>
          <w:sz w:val="28"/>
          <w:szCs w:val="28"/>
          <w:rtl w:val="true"/>
          <w:lang w:bidi="ar-SA"/>
        </w:rPr>
        <w:t xml:space="preserve">» </w:t>
      </w:r>
      <w:r>
        <w:rPr>
          <w:rStyle w:val="FootnoteAnchor"/>
          <w:rtl w:val="true"/>
        </w:rPr>
        <w:footnoteReference w:id="21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الشّيخ في الصّحيح،عن زرارة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النّفساء متى تصلّي؟قال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تقعد قدر حيضها و تستظهر بيومين،فإن انقطع الدّم و إلاّ اغتسلت و احتشت و استثفرت و صلّت،فإن جاز الدّم الكرسف تعصّبت و اغتسلت،ثمَّ صلّت الغداة بغسل،و الظّهر و العصر بغسل،و المغرب و العشاء بغسل،و إن لم يجز الكرسف صلّت بغسل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فالحائض </w:t>
      </w:r>
      <w:r>
        <w:rPr>
          <w:rStyle w:val="FootnoteAnchor"/>
          <w:rtl w:val="true"/>
        </w:rPr>
        <w:footnoteReference w:id="218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ذلك سواء،فإن انقطع الدّم و إلاّ فهي مستحاضة تصنع مثل النّفساء سواء</w:t>
      </w:r>
      <w:r>
        <w:rPr>
          <w:rFonts w:eastAsia="Amiri" w:cs="Amiri" w:ascii="Amiri" w:hAnsi="Amiri"/>
          <w:color w:val="111111"/>
          <w:sz w:val="28"/>
          <w:szCs w:val="28"/>
          <w:rtl w:val="true"/>
          <w:lang w:bidi="ar-SA"/>
        </w:rPr>
        <w:t xml:space="preserve">» </w:t>
      </w:r>
      <w:r>
        <w:rPr>
          <w:rStyle w:val="FootnoteAnchor"/>
          <w:rtl w:val="true"/>
        </w:rPr>
        <w:footnoteReference w:id="21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اعلم انّ هذه الرّوايات كلّها لا تخلو عن ضعف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فراويها سماعة،و الرّاوي عنه عثمان بن عيسى،و هما واقفيّان </w:t>
      </w:r>
      <w:r>
        <w:rPr>
          <w:rStyle w:val="FootnoteAnchor"/>
          <w:rtl w:val="true"/>
        </w:rPr>
        <w:footnoteReference w:id="2185"/>
      </w:r>
      <w:r>
        <w:rPr>
          <w:rFonts w:eastAsia="Times New Roman" w:cs="Times New Roman" w:ascii="Times New Roman" w:hAnsi="Times New Roman"/>
          <w:color w:val="111111"/>
          <w:sz w:val="28"/>
          <w:szCs w:val="28"/>
          <w:rtl w:val="true"/>
          <w:lang w:val="en-US" w:bidi="en-US"/>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الحكم فيها معلّق على السّيلان،و مع ذلك ففي طريقها من لا يحضرني الآن حال عدالته و جرحه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أمّا الثّالثة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في طريقها ابن بكير،و فيه قول </w:t>
      </w:r>
      <w:r>
        <w:rPr>
          <w:rStyle w:val="FootnoteAnchor"/>
          <w:rtl w:val="true"/>
        </w:rPr>
        <w:footnoteReference w:id="218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رواية إسماعيل في طريقها القاسم بن محمّد،و هو واقفيّ </w:t>
      </w:r>
      <w:r>
        <w:rPr>
          <w:rStyle w:val="FootnoteAnchor"/>
          <w:rtl w:val="true"/>
        </w:rPr>
        <w:footnoteReference w:id="2187"/>
      </w:r>
      <w:r>
        <w:rPr>
          <w:rFonts w:ascii="Amiri" w:hAnsi="Amiri" w:eastAsia="Amiri" w:cs="Amiri"/>
          <w:color w:val="111111"/>
          <w:sz w:val="28"/>
          <w:sz w:val="28"/>
          <w:szCs w:val="28"/>
          <w:rtl w:val="true"/>
          <w:lang w:bidi="ar-SA"/>
        </w:rPr>
        <w:t xml:space="preserve">،و أبان بن عثمان،و هو ضعيف ذكره الكشّيّ </w:t>
      </w:r>
      <w:r>
        <w:rPr>
          <w:rStyle w:val="FootnoteAnchor"/>
          <w:rtl w:val="true"/>
        </w:rPr>
        <w:footnoteReference w:id="21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رواية زرارة فإنّه لم يسندها إلى إمام،و إن كانت ثقته تدلّ على انّه لا يسندها إلاّ إلى إمام،إلاّ انّ ذلك لا يخلو من احتمال،فإنّه من الممكن أن يخبر عن غير 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روى ابن يعقوب في كتابه في الصّحيح،عن محمّد بن إسماعيل،عن الفضل بن شاذان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حمّاد بن عيسى و ابن أبي عمير،عن معاوية بن عمّار،عن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المستحاضة تنظر أيّامها،فلا تصلّي فيها و لا يقربها بعلها،فإذا جازت أيّامها و رأت الدّم يثقب الكرسف اغتسلت للظّهر و العصر تؤخّر هذه و تعجّل هذه،و للمغرب و العشاء غسلا تؤخّر هذه و تعجّل هذه،و تغتسل للصّبح و تحتشي و تستثفر و لا تحيّي </w:t>
      </w:r>
      <w:r>
        <w:rPr>
          <w:rStyle w:val="FootnoteAnchor"/>
          <w:rtl w:val="true"/>
        </w:rPr>
        <w:footnoteReference w:id="2189"/>
      </w:r>
      <w:r>
        <w:rPr>
          <w:rFonts w:ascii="Amiri" w:hAnsi="Amiri" w:eastAsia="Amiri" w:cs="Amiri"/>
          <w:color w:val="111111"/>
          <w:sz w:val="28"/>
          <w:sz w:val="28"/>
          <w:szCs w:val="28"/>
          <w:rtl w:val="true"/>
          <w:lang w:bidi="ar-SA"/>
        </w:rPr>
        <w:t>و تضمّ فخذيها في المسجد و سائر جسدها خارج،و لا يأتيها بعلها أيّام قرئها،و إن كان الدّم لا يثقب الكرسف توضّأت و دخلت المسجد و صلّت كلّ صلاة بوضوء،و هذه يأتيها بعلها إلاّ في أيّام حيضها</w:t>
      </w:r>
      <w:r>
        <w:rPr>
          <w:rFonts w:eastAsia="Amiri" w:cs="Amiri" w:ascii="Amiri" w:hAnsi="Amiri"/>
          <w:color w:val="111111"/>
          <w:sz w:val="28"/>
          <w:szCs w:val="28"/>
          <w:rtl w:val="true"/>
          <w:lang w:bidi="ar-SA"/>
        </w:rPr>
        <w:t xml:space="preserve">» </w:t>
      </w:r>
      <w:r>
        <w:rPr>
          <w:rStyle w:val="FootnoteAnchor"/>
          <w:rtl w:val="true"/>
        </w:rPr>
        <w:footnoteReference w:id="2190"/>
      </w:r>
      <w:r>
        <w:rPr>
          <w:rFonts w:ascii="Amiri" w:hAnsi="Amiri" w:eastAsia="Amiri" w:cs="Amiri"/>
          <w:color w:val="111111"/>
          <w:sz w:val="28"/>
          <w:sz w:val="28"/>
          <w:szCs w:val="28"/>
          <w:rtl w:val="true"/>
          <w:lang w:bidi="ar-SA"/>
        </w:rPr>
        <w:t>و هذه رواية صحيحة و عليها أعمل</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لو سال دمها فعليها ثلاثة أغسال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غسل للصّبح،و إن كانت تصلّي صلاة اللّيل أخّرتها إلى قرب الصّبح،ثمَّ اغتسلت لها و للصّبح،و غسل للظّهر و العصر،و غسل </w:t>
      </w:r>
    </w:p>
    <w:p>
      <w:pPr>
        <w:pStyle w:val="BookText"/>
        <w:rPr/>
      </w:pPr>
      <w:r>
        <w:rPr>
          <w:rFonts w:ascii="Amiri" w:hAnsi="Amiri" w:eastAsia="Amiri" w:cs="Amiri"/>
          <w:color w:val="111111"/>
          <w:sz w:val="28"/>
          <w:sz w:val="28"/>
          <w:szCs w:val="28"/>
          <w:rtl w:val="true"/>
          <w:lang w:bidi="ar-SA"/>
        </w:rPr>
        <w:t>للمغرب و العشاء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مذهب علمائنا أجمع،خلافا لأكثر الجمهور،فإنّ بعضهم لم يوجب الغسل أصلا </w:t>
      </w:r>
      <w:r>
        <w:rPr>
          <w:rStyle w:val="FootnoteAnchor"/>
          <w:rtl w:val="true"/>
        </w:rPr>
        <w:footnoteReference w:id="2191"/>
      </w:r>
      <w:r>
        <w:rPr>
          <w:rFonts w:ascii="Amiri" w:hAnsi="Amiri" w:eastAsia="Amiri" w:cs="Amiri"/>
          <w:color w:val="111111"/>
          <w:sz w:val="28"/>
          <w:sz w:val="28"/>
          <w:szCs w:val="28"/>
          <w:rtl w:val="true"/>
          <w:lang w:bidi="ar-SA"/>
        </w:rPr>
        <w:t xml:space="preserve">،و مالك لم يجعله ناقضا </w:t>
      </w:r>
      <w:r>
        <w:rPr>
          <w:rStyle w:val="FootnoteAnchor"/>
          <w:rtl w:val="true"/>
        </w:rPr>
        <w:footnoteReference w:id="21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رواه الجمهور،عن النّبيّ صلّى اللّه عليه و آله انّه أمر حمنة </w:t>
      </w:r>
      <w:r>
        <w:rPr>
          <w:rStyle w:val="FootnoteAnchor"/>
          <w:rtl w:val="true"/>
        </w:rPr>
        <w:footnoteReference w:id="2193"/>
      </w:r>
      <w:r>
        <w:rPr>
          <w:rFonts w:ascii="Amiri" w:hAnsi="Amiri" w:eastAsia="Amiri" w:cs="Amiri"/>
          <w:color w:val="111111"/>
          <w:sz w:val="28"/>
          <w:sz w:val="28"/>
          <w:szCs w:val="28"/>
          <w:rtl w:val="true"/>
          <w:lang w:bidi="ar-SA"/>
        </w:rPr>
        <w:t xml:space="preserve">و سهلة بنت سهيل </w:t>
      </w:r>
      <w:r>
        <w:rPr>
          <w:rStyle w:val="FootnoteAnchor"/>
          <w:rtl w:val="true"/>
        </w:rPr>
        <w:footnoteReference w:id="2194"/>
      </w:r>
      <w:r>
        <w:rPr>
          <w:rFonts w:ascii="IRNazanin" w:hAnsi="IRNazanin" w:eastAsia="IRNazanin"/>
          <w:color w:val="111111"/>
          <w:sz w:val="28"/>
          <w:sz w:val="28"/>
          <w:szCs w:val="28"/>
          <w:rtl w:val="true"/>
          <w:lang w:bidi="fa-IR"/>
        </w:rPr>
        <w:t xml:space="preserve">بالغسل </w:t>
      </w:r>
      <w:r>
        <w:rPr>
          <w:rStyle w:val="FootnoteAnchor"/>
          <w:rtl w:val="true"/>
        </w:rPr>
        <w:footnoteReference w:id="21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طريق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تقدّم من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رواه الشّيخ،عن الحسين بن نعيم بن الصّحّاف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كان الدّم إذا أمسكت الكرسف يسيل من خلف الكرسف صبيبا لا يرقأ، فإنّ عليها أن تغتسل في كلّ يوم و ليلة ثلاث مرّات و تحتشي و تصلّي و تغتسل للفجر و تغتسل للظّهر و العصر،و تغتسل للمغرب و العشاء الآخرة</w:t>
      </w:r>
      <w:r>
        <w:rPr>
          <w:rFonts w:eastAsia="Amiri" w:cs="Amiri" w:ascii="Amiri" w:hAnsi="Amiri"/>
          <w:color w:val="111111"/>
          <w:sz w:val="28"/>
          <w:szCs w:val="28"/>
          <w:rtl w:val="true"/>
          <w:lang w:bidi="ar-SA"/>
        </w:rPr>
        <w:t xml:space="preserve">» </w:t>
      </w:r>
      <w:r>
        <w:rPr>
          <w:rStyle w:val="FootnoteAnchor"/>
          <w:rtl w:val="true"/>
        </w:rPr>
        <w:footnoteReference w:id="21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في الصّحيح،عن ابن سنان،عن أبي عبد اللّه عليه السّلام،قال</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المستحاضة تغتسل عند صلاة الظّهر و تصلّي الظّهر و العصر،ثمَّ تغتسل عند المغرب و تصلّي المغرب و العشاء،ثمَّ تغتسل عند الصّبح و تصلّي الفجر،و لا بأس أن يأتيها بعلها </w:t>
      </w:r>
      <w:bookmarkStart w:id="1253" w:name="pg12669_113206"/>
    </w:p>
    <w:p>
      <w:pPr>
        <w:pStyle w:val="BookText"/>
        <w:rPr/>
      </w:pPr>
      <w:bookmarkEnd w:id="1253"/>
      <w:r>
        <w:rPr>
          <w:rFonts w:ascii="Amiri" w:hAnsi="Amiri" w:eastAsia="Amiri" w:cs="Amiri"/>
          <w:color w:val="111111"/>
          <w:sz w:val="28"/>
          <w:sz w:val="28"/>
          <w:szCs w:val="28"/>
          <w:rtl w:val="true"/>
          <w:lang w:bidi="ar-SA"/>
        </w:rPr>
        <w:t>متى شاء إلاّ في أيّام حيضها فيعتزلها زوجها</w:t>
      </w:r>
      <w:r>
        <w:rPr>
          <w:rFonts w:eastAsia="Amiri" w:cs="Amiri" w:ascii="Amiri" w:hAnsi="Amiri"/>
          <w:color w:val="111111"/>
          <w:sz w:val="28"/>
          <w:szCs w:val="28"/>
          <w:rtl w:val="true"/>
          <w:lang w:bidi="ar-SA"/>
        </w:rPr>
        <w:t xml:space="preserve">» </w:t>
      </w:r>
      <w:r>
        <w:rPr>
          <w:rStyle w:val="FootnoteAnchor"/>
          <w:rtl w:val="true"/>
        </w:rPr>
        <w:footnoteReference w:id="21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رواه،عن يونس،عن رجاله،عن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 رسول اللّه صلّى اللّه عليه و آله حمنة بنت جحش حين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أثجّه ثجّا،فقال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تلجّمي و تحيّضي في كلّ شهر في علم اللّه سبعة أيّام أو ستّة أيّام </w:t>
      </w:r>
      <w:r>
        <w:rPr>
          <w:rStyle w:val="FootnoteAnchor"/>
          <w:rtl w:val="true"/>
        </w:rPr>
        <w:footnoteReference w:id="2198"/>
      </w:r>
      <w:r>
        <w:rPr>
          <w:rFonts w:ascii="Amiri" w:hAnsi="Amiri" w:eastAsia="Amiri" w:cs="Amiri"/>
          <w:color w:val="111111"/>
          <w:sz w:val="28"/>
          <w:sz w:val="28"/>
          <w:szCs w:val="28"/>
          <w:rtl w:val="true"/>
          <w:lang w:bidi="ar-SA"/>
        </w:rPr>
        <w:t>،ثمَّ اغتسلي غسلا و صومي ثلاثا و عشرين،أو أربعا و عشرين،و اغتسلي للفجر غسلا،و أخّري الظّهر و عجّلي العصر و اغتسلي غسلا،و أخّري المغرب،و عجّلي العشاء،و اغتسلي غسلا</w:t>
      </w:r>
      <w:r>
        <w:rPr>
          <w:rFonts w:eastAsia="Amiri" w:cs="Amiri" w:ascii="Amiri" w:hAnsi="Amiri"/>
          <w:color w:val="111111"/>
          <w:sz w:val="28"/>
          <w:szCs w:val="28"/>
          <w:rtl w:val="true"/>
          <w:lang w:bidi="ar-SA"/>
        </w:rPr>
        <w:t xml:space="preserve">» </w:t>
      </w:r>
      <w:r>
        <w:rPr>
          <w:rStyle w:val="FootnoteAnchor"/>
          <w:rtl w:val="true"/>
        </w:rPr>
        <w:footnoteReference w:id="21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في الصّحيح،عن إسحاق بن عمّار،عن أبي عبد اللّه عليه السّلام،قال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كان صفرة فلتغتسل عند كلّ صلاتين</w:t>
      </w:r>
      <w:r>
        <w:rPr>
          <w:rFonts w:eastAsia="Amiri" w:cs="Amiri" w:ascii="Amiri" w:hAnsi="Amiri"/>
          <w:color w:val="111111"/>
          <w:sz w:val="28"/>
          <w:szCs w:val="28"/>
          <w:rtl w:val="true"/>
          <w:lang w:bidi="ar-SA"/>
        </w:rPr>
        <w:t xml:space="preserve">» </w:t>
      </w:r>
      <w:r>
        <w:rPr>
          <w:rStyle w:val="FootnoteAnchor"/>
          <w:rtl w:val="true"/>
        </w:rPr>
        <w:footnoteReference w:id="2200"/>
      </w:r>
      <w:r>
        <w:rPr>
          <w:rFonts w:ascii="IRNazanin" w:hAnsi="IRNazanin" w:eastAsia="IRNazanin"/>
          <w:color w:val="111111"/>
          <w:sz w:val="28"/>
          <w:sz w:val="28"/>
          <w:szCs w:val="28"/>
          <w:rtl w:val="true"/>
          <w:lang w:bidi="fa-IR"/>
        </w:rPr>
        <w:t xml:space="preserve">و قد مضى البحث مع المخالف </w:t>
      </w:r>
      <w:r>
        <w:rPr>
          <w:rStyle w:val="FootnoteAnchor"/>
          <w:rtl w:val="true"/>
        </w:rPr>
        <w:footnoteReference w:id="220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254" w:name="__RefHeading___Toc796149_222507752"/>
      <w:bookmarkStart w:id="1255" w:name="_Toc514"/>
      <w:bookmarkEnd w:id="1254"/>
      <w:r>
        <w:rPr>
          <w:rtl w:val="true"/>
        </w:rPr>
        <w:t>فروع</w:t>
      </w:r>
      <w:r>
        <w:rPr>
          <w:rtl w:val="true"/>
        </w:rPr>
        <w:t>:</w:t>
      </w:r>
      <w:bookmarkEnd w:id="1255"/>
    </w:p>
    <w:p>
      <w:pPr>
        <w:pStyle w:val="Heading6"/>
        <w:numPr>
          <w:ilvl w:val="5"/>
          <w:numId w:val="1"/>
        </w:numPr>
        <w:rPr/>
      </w:pPr>
      <w:bookmarkStart w:id="1256" w:name="__RefHeading___Toc796151_222507752"/>
      <w:bookmarkStart w:id="1257" w:name="_Toc515"/>
      <w:bookmarkEnd w:id="1256"/>
      <w:r>
        <w:rPr>
          <w:rtl w:val="true"/>
        </w:rPr>
        <w:t>الأوّل</w:t>
      </w:r>
      <w:r>
        <w:rPr>
          <w:rtl w:val="true"/>
        </w:rPr>
        <w:t>:</w:t>
      </w:r>
      <w:r>
        <w:rPr>
          <w:rtl w:val="true"/>
        </w:rPr>
        <w:t>قال المفيد رحمه اللّه</w:t>
      </w:r>
      <w:r>
        <w:rPr>
          <w:rtl w:val="true"/>
        </w:rPr>
        <w:t>:</w:t>
      </w:r>
      <w:r>
        <w:rPr>
          <w:rtl w:val="true"/>
        </w:rPr>
        <w:t>إذا كان الدّم كثيرا صلّت بوضوئها و غسلها الظّهر</w:t>
      </w:r>
      <w:bookmarkEnd w:id="1257"/>
    </w:p>
    <w:p>
      <w:pPr>
        <w:pStyle w:val="BookText"/>
        <w:rPr/>
      </w:pPr>
      <w:r>
        <w:rPr>
          <w:rFonts w:ascii="IRNazanin" w:hAnsi="IRNazanin" w:eastAsia="IRNazanin"/>
          <w:color w:val="111111"/>
          <w:sz w:val="28"/>
          <w:sz w:val="28"/>
          <w:szCs w:val="28"/>
          <w:rtl w:val="true"/>
          <w:lang w:bidi="fa-IR"/>
        </w:rPr>
        <w:t>و العصر معا</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الاجتماع،و تفعل مثل ذلك في المغرب و العشاء،و تفعل مثل ذلك لصلاة اللّيل و الغداة </w:t>
      </w:r>
      <w:r>
        <w:rPr>
          <w:rStyle w:val="FootnoteAnchor"/>
          <w:rtl w:val="true"/>
        </w:rPr>
        <w:footnoteReference w:id="220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السّيّد المرتضى </w:t>
      </w:r>
      <w:r>
        <w:rPr>
          <w:rStyle w:val="FootnoteAnchor"/>
          <w:rtl w:val="true"/>
        </w:rPr>
        <w:footnoteReference w:id="2203"/>
      </w:r>
      <w:r>
        <w:rPr>
          <w:rFonts w:ascii="Amiri" w:hAnsi="Amiri" w:eastAsia="Amiri" w:cs="Amiri"/>
          <w:color w:val="111111"/>
          <w:sz w:val="28"/>
          <w:sz w:val="28"/>
          <w:szCs w:val="28"/>
          <w:rtl w:val="true"/>
          <w:lang w:bidi="ar-SA"/>
        </w:rPr>
        <w:t>و ابنا بابويه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تكتفي بالأغسال </w:t>
      </w:r>
      <w:r>
        <w:rPr>
          <w:rStyle w:val="FootnoteAnchor"/>
          <w:rtl w:val="true"/>
        </w:rPr>
        <w:footnoteReference w:id="2204"/>
      </w:r>
      <w:r>
        <w:rPr>
          <w:rFonts w:ascii="IRNazanin" w:hAnsi="IRNazanin" w:eastAsia="IRNazanin"/>
          <w:color w:val="111111"/>
          <w:sz w:val="28"/>
          <w:sz w:val="28"/>
          <w:szCs w:val="28"/>
          <w:rtl w:val="true"/>
          <w:lang w:bidi="fa-IR"/>
        </w:rPr>
        <w:t xml:space="preserve">عن </w:t>
      </w:r>
    </w:p>
    <w:p>
      <w:pPr>
        <w:pStyle w:val="BookText"/>
        <w:rPr/>
      </w:pPr>
      <w:r>
        <w:rPr>
          <w:rFonts w:ascii="Amiri" w:hAnsi="Amiri" w:eastAsia="Amiri" w:cs="Amiri"/>
          <w:color w:val="111111"/>
          <w:sz w:val="28"/>
          <w:sz w:val="28"/>
          <w:szCs w:val="28"/>
          <w:rtl w:val="true"/>
          <w:lang w:bidi="ar-SA"/>
        </w:rPr>
        <w:t>الوضوء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الظّاهر من كلام الشّيخ رحمه اللّه </w:t>
      </w:r>
      <w:r>
        <w:rPr>
          <w:rStyle w:val="FootnoteAnchor"/>
          <w:rtl w:val="true"/>
        </w:rPr>
        <w:footnoteReference w:id="2205"/>
      </w:r>
      <w:r>
        <w:rPr>
          <w:rFonts w:ascii="Amiri" w:hAnsi="Amiri" w:eastAsia="Amiri" w:cs="Amiri"/>
          <w:color w:val="111111"/>
          <w:sz w:val="28"/>
          <w:sz w:val="28"/>
          <w:szCs w:val="28"/>
          <w:rtl w:val="true"/>
          <w:lang w:bidi="ar-SA"/>
        </w:rPr>
        <w:t>،و الحقّ عندي أنّها تتوضّأ لكلّ صلاة مع هذه الأغسال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تعالى إِذا قُمْتُمْ إِلَى الصَّلاةِ فَاغْسِلُوا </w:t>
      </w:r>
      <w:r>
        <w:rPr>
          <w:rStyle w:val="FootnoteAnchor"/>
          <w:rtl w:val="true"/>
        </w:rPr>
        <w:footnoteReference w:id="2206"/>
      </w:r>
      <w:r>
        <w:rPr>
          <w:rFonts w:ascii="Amiri" w:hAnsi="Amiri" w:eastAsia="Amiri" w:cs="Amiri"/>
          <w:color w:val="111111"/>
          <w:sz w:val="28"/>
          <w:sz w:val="28"/>
          <w:szCs w:val="28"/>
          <w:rtl w:val="true"/>
          <w:lang w:bidi="ar-SA"/>
        </w:rPr>
        <w:t>و ذلك 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يعارض هذا ما رواه الشّيخ،عن الحسين بن نعيم الصّحّاف،عن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طرحت الكرسف عنها و لم يسل الدّم فلتوضّأ و لتصلّ و لا غسل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كان الدّم إذا أمسكت الكرسف يسيل من خلف الكرسف صبيبا لا يرقأ،فإنّ عليها أن تغتسل في كلّ يوم و ليلة ثلاث مرّات و تحتشي و تصلّي و تغتسل للظّهر و العصر و تغتسل للمغرب و العشاء الآخرة</w:t>
      </w:r>
      <w:r>
        <w:rPr>
          <w:rFonts w:eastAsia="Amiri" w:cs="Amiri" w:ascii="Amiri" w:hAnsi="Amiri"/>
          <w:color w:val="111111"/>
          <w:sz w:val="28"/>
          <w:szCs w:val="28"/>
          <w:rtl w:val="true"/>
          <w:lang w:bidi="ar-SA"/>
        </w:rPr>
        <w:t xml:space="preserve">» </w:t>
      </w:r>
      <w:r>
        <w:rPr>
          <w:rStyle w:val="FootnoteAnchor"/>
          <w:rtl w:val="true"/>
        </w:rPr>
        <w:footnoteReference w:id="22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رواه زرارة،عن أبي جعفر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الطّامث تقعد بعدد أيّامها كيف تصنع؟قال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تستظهر بيوم أو يومين،ثمَّ هي مستحاضة فلتغتسل و لتستوثق من نفسها و تصلّي كلّ صلاة بوضوء ما لم ينفذ الدّم،فإذا نفذ اغتسلت و صلّت</w:t>
      </w:r>
      <w:r>
        <w:rPr>
          <w:rFonts w:eastAsia="Amiri" w:cs="Amiri" w:ascii="Amiri" w:hAnsi="Amiri"/>
          <w:color w:val="111111"/>
          <w:sz w:val="28"/>
          <w:szCs w:val="28"/>
          <w:rtl w:val="true"/>
          <w:lang w:bidi="ar-SA"/>
        </w:rPr>
        <w:t xml:space="preserve">» </w:t>
      </w:r>
      <w:r>
        <w:rPr>
          <w:rStyle w:val="FootnoteAnchor"/>
          <w:rtl w:val="true"/>
        </w:rPr>
        <w:footnoteReference w:id="2208"/>
      </w:r>
      <w:r>
        <w:rPr>
          <w:rFonts w:ascii="Amiri" w:hAnsi="Amiri" w:eastAsia="Amiri" w:cs="Amiri"/>
          <w:color w:val="111111"/>
          <w:sz w:val="28"/>
          <w:sz w:val="28"/>
          <w:szCs w:val="28"/>
          <w:rtl w:val="true"/>
          <w:lang w:bidi="ar-SA"/>
        </w:rPr>
        <w:t>و هذا التّفصيل قاطع للشّركة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رواه الشّيخ في الصّحيح،عن معاوية بن عمّار،عن أبي عبد اللّه عليه السّلام،و قد تقدّمت</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إيجاب الغسل لا يمنع إيجاب الوضوء مع كلّ غسل،و لا مع كلّ صلاة،لما تقدّم من قولهم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غسل لا بدّ معه من الوضوء إلاّ غسل الجنابة</w:t>
      </w:r>
      <w:r>
        <w:rPr>
          <w:rFonts w:eastAsia="Amiri" w:cs="Amiri" w:ascii="Amiri" w:hAnsi="Amiri"/>
          <w:color w:val="111111"/>
          <w:sz w:val="28"/>
          <w:szCs w:val="28"/>
          <w:rtl w:val="true"/>
          <w:lang w:bidi="ar-SA"/>
        </w:rPr>
        <w:t xml:space="preserve">» </w:t>
      </w:r>
      <w:r>
        <w:rPr>
          <w:rStyle w:val="FootnoteAnchor"/>
          <w:rtl w:val="true"/>
        </w:rPr>
        <w:footnoteReference w:id="2209"/>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التّفصيل قاطع للشّركة،مسلّم،فإنّ ذات الدم القليل تقدّم على </w:t>
      </w:r>
      <w:bookmarkStart w:id="1258" w:name="pg12669_113208"/>
    </w:p>
    <w:p>
      <w:pPr>
        <w:pStyle w:val="BookText"/>
        <w:rPr/>
      </w:pPr>
      <w:bookmarkEnd w:id="1258"/>
      <w:r>
        <w:rPr>
          <w:rFonts w:ascii="Amiri" w:hAnsi="Amiri" w:eastAsia="Amiri" w:cs="Amiri"/>
          <w:color w:val="111111"/>
          <w:sz w:val="28"/>
          <w:sz w:val="28"/>
          <w:szCs w:val="28"/>
          <w:rtl w:val="true"/>
          <w:lang w:bidi="ar-SA"/>
        </w:rPr>
        <w:t>الصّلاة بالوضوء لا غير،و ذات الكثير به و بالغسل معا،فانقطعت الشّركة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رواية عبد اللّه بن سنان،عن أبي عبد اللّه عليه السّلام تنافي هذا، لأنّه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تغتسل عند صلاة الظّهر و تصلّي الظّهر و العصر،ثمَّ تغتسل عند المغرب فتصلّي المغرب و العشاء،ثمَّ تغتسل عند الصّبح فتصلّي الفجر</w:t>
      </w:r>
      <w:r>
        <w:rPr>
          <w:rFonts w:eastAsia="Amiri" w:cs="Amiri" w:ascii="Amiri" w:hAnsi="Amiri"/>
          <w:color w:val="111111"/>
          <w:sz w:val="28"/>
          <w:szCs w:val="28"/>
          <w:rtl w:val="true"/>
          <w:lang w:bidi="ar-SA"/>
        </w:rPr>
        <w:t xml:space="preserve">» </w:t>
      </w:r>
      <w:r>
        <w:rPr>
          <w:rStyle w:val="FootnoteAnchor"/>
          <w:rtl w:val="true"/>
        </w:rPr>
        <w:footnoteReference w:id="2210"/>
      </w:r>
      <w:r>
        <w:rPr>
          <w:rFonts w:ascii="Amiri" w:hAnsi="Amiri" w:eastAsia="Amiri" w:cs="Amiri"/>
          <w:color w:val="111111"/>
          <w:sz w:val="28"/>
          <w:sz w:val="28"/>
          <w:szCs w:val="28"/>
          <w:rtl w:val="true"/>
          <w:lang w:bidi="ar-SA"/>
        </w:rPr>
        <w:t>و هذا يدلّ على تعقيب الفعل للغسل،فلا يجب 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من حيث المفهوم دالّ على ما ذكرتم،و ما قدّمناه من احتياج كلّ غسل إلى وضوء منطوق،فكان العمل به أولى،على انّه يمكن حمل الصّلاة على المعنى الشّرعيّ،و جزء مفهومها حينئذ الوضوء،و في طريق الرّواية عليّ بن فضّال،و فيه قول </w:t>
      </w:r>
      <w:r>
        <w:rPr>
          <w:rStyle w:val="FootnoteAnchor"/>
          <w:rtl w:val="true"/>
        </w:rPr>
        <w:footnoteReference w:id="221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259" w:name="__RefHeading___Toc796153_222507752"/>
      <w:bookmarkStart w:id="1260" w:name="_Toc516"/>
      <w:bookmarkEnd w:id="1259"/>
      <w:r>
        <w:rPr>
          <w:rtl w:val="true"/>
        </w:rPr>
        <w:t>الثّاني</w:t>
      </w:r>
      <w:r>
        <w:rPr>
          <w:rtl w:val="true"/>
        </w:rPr>
        <w:t>:</w:t>
      </w:r>
      <w:r>
        <w:rPr>
          <w:rtl w:val="true"/>
        </w:rPr>
        <w:t>حكم النّيّة هاهنا حكم نيّة الحيض</w:t>
      </w:r>
      <w:bookmarkEnd w:id="1260"/>
    </w:p>
    <w:p>
      <w:pPr>
        <w:pStyle w:val="BookText"/>
        <w:rPr/>
      </w:pPr>
      <w:r>
        <w:rPr>
          <w:rFonts w:ascii="Amiri" w:hAnsi="Amiri" w:eastAsia="Amiri" w:cs="Amiri"/>
          <w:color w:val="111111"/>
          <w:sz w:val="28"/>
          <w:sz w:val="28"/>
          <w:szCs w:val="28"/>
          <w:rtl w:val="true"/>
          <w:lang w:bidi="ar-SA"/>
        </w:rPr>
        <w:t>في الوضوء و الغسل معا</w:t>
      </w:r>
      <w:r>
        <w:rPr>
          <w:rFonts w:eastAsia="Amiri" w:cs="Amiri" w:ascii="Amiri" w:hAnsi="Amiri"/>
          <w:color w:val="111111"/>
          <w:sz w:val="28"/>
          <w:szCs w:val="28"/>
          <w:rtl w:val="true"/>
          <w:lang w:bidi="ar-SA"/>
        </w:rPr>
        <w:t>.</w:t>
      </w:r>
    </w:p>
    <w:p>
      <w:pPr>
        <w:pStyle w:val="Heading6"/>
        <w:numPr>
          <w:ilvl w:val="5"/>
          <w:numId w:val="1"/>
        </w:numPr>
        <w:rPr/>
      </w:pPr>
      <w:bookmarkStart w:id="1261" w:name="__RefHeading___Toc796155_222507752"/>
      <w:bookmarkStart w:id="1262" w:name="_Toc517"/>
      <w:bookmarkEnd w:id="1261"/>
      <w:r>
        <w:rPr>
          <w:rtl w:val="true"/>
        </w:rPr>
        <w:t>الثّالث</w:t>
      </w:r>
      <w:r>
        <w:rPr>
          <w:rtl w:val="true"/>
        </w:rPr>
        <w:t>:</w:t>
      </w:r>
      <w:r>
        <w:rPr>
          <w:rtl w:val="true"/>
        </w:rPr>
        <w:t>إذا فعلت هذه الأغسال صارت طاهرة،</w:t>
      </w:r>
      <w:bookmarkEnd w:id="1262"/>
    </w:p>
    <w:p>
      <w:pPr>
        <w:pStyle w:val="BookText"/>
        <w:rPr/>
      </w:pPr>
      <w:r>
        <w:rPr>
          <w:rFonts w:ascii="Amiri" w:hAnsi="Amiri" w:eastAsia="Amiri" w:cs="Amiri"/>
          <w:color w:val="111111"/>
          <w:sz w:val="28"/>
          <w:sz w:val="28"/>
          <w:szCs w:val="28"/>
          <w:rtl w:val="true"/>
          <w:lang w:bidi="ar-SA"/>
        </w:rPr>
        <w:t>لأنّ الاستحاضة حدث يبطل الطّهارة بوجوده،فمع الإتيان بما ذكر من الوضوء حالة القلّة،و الأغسال حالة الكثرة يخرج عن حكم الحدث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يجوز لها استباحة كلّما يشترط فيه الطّهارة كالصّلاة،و الطّواف،و دخول المساجد و قراءة العزائم و إباحة الوطء،و لو لم تفعل ذلك كان حدثها باقيا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هل يصحّ صومها حينئذ؟قال أصحابنا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يجب عليها القضاء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كذا قال الشّيخ في المبسوط </w:t>
      </w:r>
      <w:r>
        <w:rPr>
          <w:rStyle w:val="FootnoteAnchor"/>
          <w:rtl w:val="true"/>
        </w:rPr>
        <w:footnoteReference w:id="221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263" w:name="__RefHeading___Toc796157_222507752"/>
      <w:bookmarkStart w:id="1264" w:name="_Toc518"/>
      <w:bookmarkEnd w:id="1263"/>
      <w:r>
        <w:rPr>
          <w:rtl w:val="true"/>
        </w:rPr>
        <w:t>الرّابع</w:t>
      </w:r>
      <w:r>
        <w:rPr>
          <w:rtl w:val="true"/>
        </w:rPr>
        <w:t>:</w:t>
      </w:r>
      <w:r>
        <w:rPr>
          <w:rtl w:val="true"/>
        </w:rPr>
        <w:t>قد بيّنّا انّ المستحاضة لا تجمع بين صلاتين بوضوء واحد</w:t>
      </w:r>
      <w:bookmarkEnd w:id="1264"/>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على الأشهر عندنا </w:t>
      </w:r>
      <w:r>
        <w:rPr>
          <w:rStyle w:val="FootnoteAnchor"/>
          <w:rtl w:val="true"/>
        </w:rPr>
        <w:footnoteReference w:id="221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الشّافعيّ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تجمع بين فريضتين،و تجمع بين الفريضة و ما شاءت من </w:t>
      </w:r>
      <w:bookmarkStart w:id="1265" w:name="pg12669_113209"/>
    </w:p>
    <w:p>
      <w:pPr>
        <w:pStyle w:val="BookText"/>
        <w:rPr/>
      </w:pPr>
      <w:bookmarkEnd w:id="1265"/>
      <w:r>
        <w:rPr>
          <w:rFonts w:ascii="Amiri" w:hAnsi="Amiri" w:eastAsia="Amiri" w:cs="Amiri"/>
          <w:color w:val="111111"/>
          <w:sz w:val="28"/>
          <w:sz w:val="28"/>
          <w:szCs w:val="28"/>
          <w:rtl w:val="true"/>
          <w:lang w:bidi="ar-SA"/>
        </w:rPr>
        <w:t xml:space="preserve">النّوافل </w:t>
      </w:r>
      <w:r>
        <w:rPr>
          <w:rStyle w:val="FootnoteAnchor"/>
          <w:rtl w:val="true"/>
        </w:rPr>
        <w:footnoteReference w:id="221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أبو حنيفة </w:t>
      </w:r>
      <w:r>
        <w:rPr>
          <w:rStyle w:val="FootnoteAnchor"/>
          <w:rtl w:val="true"/>
        </w:rPr>
        <w:footnoteReference w:id="2215"/>
      </w:r>
      <w:r>
        <w:rPr>
          <w:rFonts w:ascii="Amiri" w:hAnsi="Amiri" w:eastAsia="Amiri" w:cs="Amiri"/>
          <w:color w:val="111111"/>
          <w:sz w:val="28"/>
          <w:sz w:val="28"/>
          <w:szCs w:val="28"/>
          <w:rtl w:val="true"/>
          <w:lang w:bidi="ar-SA"/>
        </w:rPr>
        <w:t>و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تجمع بين فريضتين في وقت واحد،و تبطل طهارتها بخروج وقت الصّلاة </w:t>
      </w:r>
      <w:r>
        <w:rPr>
          <w:rStyle w:val="FootnoteAnchor"/>
          <w:rtl w:val="true"/>
        </w:rPr>
        <w:footnoteReference w:id="221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ربيعة </w:t>
      </w:r>
      <w:r>
        <w:rPr>
          <w:rStyle w:val="FootnoteAnchor"/>
          <w:rtl w:val="true"/>
        </w:rPr>
        <w:footnoteReference w:id="2217"/>
      </w:r>
      <w:r>
        <w:rPr>
          <w:rFonts w:ascii="Amiri" w:hAnsi="Amiri" w:eastAsia="Amiri" w:cs="Amiri"/>
          <w:color w:val="111111"/>
          <w:sz w:val="28"/>
          <w:sz w:val="28"/>
          <w:szCs w:val="28"/>
          <w:rtl w:val="true"/>
          <w:lang w:bidi="ar-SA"/>
        </w:rPr>
        <w:t xml:space="preserve">،و مالك </w:t>
      </w:r>
      <w:r>
        <w:rPr>
          <w:rStyle w:val="FootnoteAnchor"/>
          <w:rtl w:val="true"/>
        </w:rPr>
        <w:footnoteReference w:id="2218"/>
      </w:r>
      <w:r>
        <w:rPr>
          <w:rFonts w:ascii="Amiri" w:hAnsi="Amiri" w:eastAsia="Amiri" w:cs="Amiri"/>
          <w:color w:val="111111"/>
          <w:sz w:val="28"/>
          <w:sz w:val="28"/>
          <w:szCs w:val="28"/>
          <w:rtl w:val="true"/>
          <w:lang w:bidi="ar-SA"/>
        </w:rPr>
        <w:t>،و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وضوء على المستحاضة </w:t>
      </w:r>
      <w:r>
        <w:rPr>
          <w:rStyle w:val="FootnoteAnchor"/>
          <w:rtl w:val="true"/>
        </w:rPr>
        <w:footnoteReference w:id="221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الأوزاعيّ،و اللّيث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تجمع بطهارتها بين الظّهر و العصر </w:t>
      </w:r>
      <w:r>
        <w:rPr>
          <w:rStyle w:val="FootnoteAnchor"/>
          <w:rtl w:val="true"/>
        </w:rPr>
        <w:footnoteReference w:id="222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266" w:name="__RefHeading___Toc796159_222507752"/>
      <w:bookmarkStart w:id="1267" w:name="_Toc519"/>
      <w:bookmarkEnd w:id="1266"/>
      <w:r>
        <w:rPr>
          <w:rtl w:val="true"/>
        </w:rPr>
        <w:t>الخامس</w:t>
      </w:r>
      <w:r>
        <w:rPr>
          <w:rtl w:val="true"/>
        </w:rPr>
        <w:t>:</w:t>
      </w:r>
      <w:r>
        <w:rPr>
          <w:rtl w:val="true"/>
        </w:rPr>
        <w:t>انقطاع دم الاستحاضة ليس بموجب للغسل</w:t>
      </w:r>
      <w:bookmarkEnd w:id="1267"/>
    </w:p>
    <w:p>
      <w:pPr>
        <w:pStyle w:val="BookText"/>
        <w:rPr/>
      </w:pPr>
      <w:r>
        <w:rPr>
          <w:rFonts w:ascii="Amiri" w:hAnsi="Amiri" w:eastAsia="Amiri" w:cs="Amiri"/>
          <w:color w:val="111111"/>
          <w:sz w:val="28"/>
          <w:sz w:val="28"/>
          <w:szCs w:val="28"/>
          <w:rtl w:val="true"/>
          <w:lang w:bidi="ar-SA"/>
        </w:rPr>
        <w:t>،فلو اغتسلت ذات الدّم الكثير وقت الصّبح و صلّت به،ثمَّ انقطع الدّم وقت الظّهر لم يجب الغسل و اكتفت بالوضوء،و لو كان الدّم الكثير سائلا ففرّطت في غسل الصّبح،اجتزأت بغسل واحد للظّهر و العصر مع الوضوءين،و لو أرادت قضاء الصّبح حينئذ كفاها الوضوء،أمّا لو أرادت قضاءه قبل الظّهر وجب أن تغتسل،و لا يكفيها عن غسل صلاة الظّهر و إن أوقعته قبل الزّوال بشيء يناسب تقديم غسل الصّبح لصلاة اللّيل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ليس لها أن تقدّم غسل الزّوال عليه،و لا غسل الغروب عليه</w:t>
      </w:r>
      <w:r>
        <w:rPr>
          <w:rFonts w:eastAsia="Amiri" w:cs="Amiri" w:ascii="Amiri" w:hAnsi="Amiri"/>
          <w:color w:val="111111"/>
          <w:sz w:val="28"/>
          <w:szCs w:val="28"/>
          <w:rtl w:val="true"/>
          <w:lang w:bidi="ar-SA"/>
        </w:rPr>
        <w:t>.</w:t>
      </w:r>
    </w:p>
    <w:p>
      <w:pPr>
        <w:pStyle w:val="Heading5"/>
        <w:numPr>
          <w:ilvl w:val="4"/>
          <w:numId w:val="1"/>
        </w:numPr>
        <w:rPr/>
      </w:pPr>
      <w:bookmarkStart w:id="1268" w:name="__RefHeading___Toc796161_222507752"/>
      <w:bookmarkStart w:id="1269" w:name="_Toc520"/>
      <w:bookmarkEnd w:id="1268"/>
      <w:r>
        <w:rPr>
          <w:rtl w:val="true"/>
        </w:rPr>
        <w:t>مسألة</w:t>
      </w:r>
      <w:r>
        <w:rPr>
          <w:rtl w:val="true"/>
        </w:rPr>
        <w:t>:</w:t>
      </w:r>
      <w:r>
        <w:rPr>
          <w:rtl w:val="true"/>
        </w:rPr>
        <w:t>المستحاضة مع الأفعال يجوز وطؤها</w:t>
      </w:r>
      <w:r>
        <w:rPr>
          <w:rtl w:val="true"/>
        </w:rPr>
        <w:t>.</w:t>
      </w:r>
      <w:bookmarkEnd w:id="1269"/>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ذهب إليه علماؤنا،و به قال أكثر الفقهاء </w:t>
      </w:r>
      <w:r>
        <w:rPr>
          <w:rStyle w:val="FootnoteAnchor"/>
          <w:rtl w:val="true"/>
        </w:rPr>
        <w:footnoteReference w:id="222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يحرم وطؤها إلاّ أن يخاف على نفسه الوقوع في محذور </w:t>
      </w:r>
      <w:r>
        <w:rPr>
          <w:rStyle w:val="FootnoteAnchor"/>
          <w:rtl w:val="true"/>
        </w:rPr>
        <w:footnoteReference w:id="22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w:t>
      </w:r>
    </w:p>
    <w:p>
      <w:pPr>
        <w:pStyle w:val="BookText"/>
        <w:rPr/>
      </w:pPr>
      <w:r>
        <w:rPr>
          <w:rFonts w:ascii="Amiri" w:hAnsi="Amiri" w:eastAsia="Amiri" w:cs="Amiri"/>
          <w:color w:val="111111"/>
          <w:sz w:val="28"/>
          <w:sz w:val="28"/>
          <w:szCs w:val="28"/>
          <w:rtl w:val="true"/>
          <w:lang w:bidi="ar-SA"/>
        </w:rPr>
        <w:t xml:space="preserve">اختيار ابن سيرين </w:t>
      </w:r>
      <w:r>
        <w:rPr>
          <w:rStyle w:val="FootnoteAnchor"/>
          <w:rtl w:val="true"/>
        </w:rPr>
        <w:footnoteReference w:id="2223"/>
      </w:r>
      <w:r>
        <w:rPr>
          <w:rFonts w:ascii="Amiri" w:hAnsi="Amiri" w:eastAsia="Amiri" w:cs="Amiri"/>
          <w:color w:val="111111"/>
          <w:sz w:val="28"/>
          <w:sz w:val="28"/>
          <w:szCs w:val="28"/>
          <w:rtl w:val="true"/>
          <w:lang w:bidi="ar-SA"/>
        </w:rPr>
        <w:t xml:space="preserve">،و الشّعبيّ </w:t>
      </w:r>
      <w:r>
        <w:rPr>
          <w:rStyle w:val="FootnoteAnchor"/>
          <w:rtl w:val="true"/>
        </w:rPr>
        <w:footnoteReference w:id="2224"/>
      </w:r>
      <w:r>
        <w:rPr>
          <w:rFonts w:ascii="Amiri" w:hAnsi="Amiri" w:eastAsia="Amiri" w:cs="Amiri"/>
          <w:color w:val="111111"/>
          <w:sz w:val="28"/>
          <w:sz w:val="28"/>
          <w:szCs w:val="28"/>
          <w:rtl w:val="true"/>
          <w:lang w:bidi="ar-SA"/>
        </w:rPr>
        <w:t xml:space="preserve">،و النّخعيّ </w:t>
      </w:r>
      <w:r>
        <w:rPr>
          <w:rStyle w:val="FootnoteAnchor"/>
          <w:rtl w:val="true"/>
        </w:rPr>
        <w:footnoteReference w:id="2225"/>
      </w:r>
      <w:r>
        <w:rPr>
          <w:rFonts w:ascii="Amiri" w:hAnsi="Amiri" w:eastAsia="Amiri" w:cs="Amiri"/>
          <w:color w:val="111111"/>
          <w:sz w:val="28"/>
          <w:sz w:val="28"/>
          <w:szCs w:val="28"/>
          <w:rtl w:val="true"/>
          <w:lang w:bidi="ar-SA"/>
        </w:rPr>
        <w:t xml:space="preserve">و الحكم </w:t>
      </w:r>
      <w:r>
        <w:rPr>
          <w:rStyle w:val="FootnoteAnchor"/>
          <w:rtl w:val="true"/>
        </w:rPr>
        <w:footnoteReference w:id="22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مع عدم الأفعال،فالّذي تعطيه عبارة أصحابنا التّحريم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الإباحة قوله تعالى فَإِذا تَطَهَّرْنَ فَأْتُوهُنَّ </w:t>
      </w:r>
      <w:r>
        <w:rPr>
          <w:rStyle w:val="FootnoteAnchor"/>
          <w:rtl w:val="true"/>
        </w:rPr>
        <w:footnoteReference w:id="2227"/>
      </w:r>
      <w:r>
        <w:rPr>
          <w:rFonts w:ascii="Amiri" w:hAnsi="Amiri" w:eastAsia="Amiri" w:cs="Amiri"/>
          <w:color w:val="111111"/>
          <w:sz w:val="28"/>
          <w:sz w:val="28"/>
          <w:szCs w:val="28"/>
          <w:rtl w:val="true"/>
          <w:lang w:bidi="ar-SA"/>
        </w:rPr>
        <w:t>و ذلك 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رواه الجمهور،عن حمنة بنت جحش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انّها كانت مستحاضة و كان زوجها طلحة يجامعها </w:t>
      </w:r>
      <w:r>
        <w:rPr>
          <w:rStyle w:val="FootnoteAnchor"/>
          <w:rtl w:val="true"/>
        </w:rPr>
        <w:footnoteReference w:id="2228"/>
      </w:r>
      <w:r>
        <w:rPr>
          <w:rFonts w:ascii="Amiri" w:hAnsi="Amiri" w:eastAsia="Amiri" w:cs="Amiri"/>
          <w:color w:val="111111"/>
          <w:sz w:val="28"/>
          <w:sz w:val="28"/>
          <w:szCs w:val="28"/>
          <w:rtl w:val="true"/>
          <w:lang w:bidi="ar-SA"/>
        </w:rPr>
        <w:t xml:space="preserve">،و كانت أمّ حبيبة تستحاض و كان زوجها عبد الرّحمن بن عوف يجامعها </w:t>
      </w:r>
      <w:r>
        <w:rPr>
          <w:rStyle w:val="FootnoteAnchor"/>
          <w:rtl w:val="true"/>
        </w:rPr>
        <w:footnoteReference w:id="2229"/>
      </w:r>
      <w:r>
        <w:rPr>
          <w:rFonts w:ascii="Amiri" w:hAnsi="Amiri" w:eastAsia="Amiri" w:cs="Amiri"/>
          <w:color w:val="111111"/>
          <w:sz w:val="28"/>
          <w:sz w:val="28"/>
          <w:szCs w:val="28"/>
          <w:rtl w:val="true"/>
          <w:lang w:bidi="ar-SA"/>
        </w:rPr>
        <w:t xml:space="preserve">،و قد سألتا النّبيّ صلّى اللّه عليه و آله </w:t>
      </w:r>
      <w:r>
        <w:rPr>
          <w:rStyle w:val="FootnoteAnchor"/>
          <w:rtl w:val="true"/>
        </w:rPr>
        <w:footnoteReference w:id="2230"/>
      </w:r>
      <w:r>
        <w:rPr>
          <w:rFonts w:ascii="Amiri" w:hAnsi="Amiri" w:eastAsia="Amiri" w:cs="Amiri"/>
          <w:color w:val="111111"/>
          <w:sz w:val="28"/>
          <w:sz w:val="28"/>
          <w:szCs w:val="28"/>
          <w:rtl w:val="true"/>
          <w:lang w:bidi="ar-SA"/>
        </w:rPr>
        <w:t>من أحكام المستحاضة،فلو كان حراما لبيّنه لهما</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طريق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رواه الشّيخ في الموثّق،عن زرارة،عن أبي جعفر عليه </w:t>
      </w:r>
    </w:p>
    <w:p>
      <w:pPr>
        <w:pStyle w:val="BookText"/>
        <w:rPr/>
      </w:pPr>
      <w:r>
        <w:rPr>
          <w:rFonts w:ascii="Amiri" w:hAnsi="Amiri" w:eastAsia="Amiri" w:cs="Amiri"/>
          <w:color w:val="111111"/>
          <w:sz w:val="28"/>
          <w:sz w:val="28"/>
          <w:szCs w:val="28"/>
          <w:rtl w:val="true"/>
          <w:lang w:bidi="ar-SA"/>
        </w:rPr>
        <w:t>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هذه يأتيها بعلها إلاّ في أيّام حيضها</w:t>
      </w:r>
      <w:r>
        <w:rPr>
          <w:rFonts w:eastAsia="Amiri" w:cs="Amiri" w:ascii="Amiri" w:hAnsi="Amiri"/>
          <w:color w:val="111111"/>
          <w:sz w:val="28"/>
          <w:szCs w:val="28"/>
          <w:rtl w:val="true"/>
          <w:lang w:bidi="ar-SA"/>
        </w:rPr>
        <w:t xml:space="preserve">» </w:t>
      </w:r>
      <w:r>
        <w:rPr>
          <w:rStyle w:val="FootnoteAnchor"/>
          <w:rtl w:val="true"/>
        </w:rPr>
        <w:footnoteReference w:id="2231"/>
      </w:r>
      <w:r>
        <w:rPr>
          <w:rFonts w:ascii="Amiri" w:hAnsi="Amiri" w:eastAsia="Amiri" w:cs="Amiri"/>
          <w:color w:val="111111"/>
          <w:sz w:val="28"/>
          <w:sz w:val="28"/>
          <w:szCs w:val="28"/>
          <w:rtl w:val="true"/>
          <w:lang w:bidi="ar-SA"/>
        </w:rPr>
        <w:t>عني المستحاضة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رواه في الصّحيح،عن ابن سنان،عن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بأس أن يأتيها بعلها متى شاء إلاّ في أيّام حيضها</w:t>
      </w:r>
      <w:r>
        <w:rPr>
          <w:rFonts w:eastAsia="Amiri" w:cs="Amiri" w:ascii="Amiri" w:hAnsi="Amiri"/>
          <w:color w:val="111111"/>
          <w:sz w:val="28"/>
          <w:szCs w:val="28"/>
          <w:rtl w:val="true"/>
          <w:lang w:bidi="ar-SA"/>
        </w:rPr>
        <w:t xml:space="preserve">» </w:t>
      </w:r>
      <w:r>
        <w:rPr>
          <w:rStyle w:val="FootnoteAnchor"/>
          <w:rtl w:val="true"/>
        </w:rPr>
        <w:footnoteReference w:id="22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ما يدلّ على اشتراط الأفعال،فما رواه الشّيخ،في الموثّق،عن فضيل، و زرارة عن أحدهما عليهما السّلام في المستحاضة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حلّت لها الصّلاة حلّ لزوجها أن يغشاها</w:t>
      </w:r>
      <w:r>
        <w:rPr>
          <w:rFonts w:eastAsia="Amiri" w:cs="Amiri" w:ascii="Amiri" w:hAnsi="Amiri"/>
          <w:color w:val="111111"/>
          <w:sz w:val="28"/>
          <w:szCs w:val="28"/>
          <w:rtl w:val="true"/>
          <w:lang w:bidi="ar-SA"/>
        </w:rPr>
        <w:t xml:space="preserve">» </w:t>
      </w:r>
      <w:r>
        <w:rPr>
          <w:rStyle w:val="FootnoteAnchor"/>
          <w:rtl w:val="true"/>
        </w:rPr>
        <w:footnoteReference w:id="2233"/>
      </w:r>
      <w:r>
        <w:rPr>
          <w:rFonts w:ascii="Amiri" w:hAnsi="Amiri" w:eastAsia="Amiri" w:cs="Amiri"/>
          <w:color w:val="111111"/>
          <w:sz w:val="28"/>
          <w:sz w:val="28"/>
          <w:szCs w:val="28"/>
          <w:rtl w:val="true"/>
          <w:lang w:bidi="ar-SA"/>
        </w:rPr>
        <w:t>و لا ريب انّ الصّلاة لا تحلّ إلاّ مع الأفعال،فكذا المعلّق معه بحرف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رواه،عن مالك بن أعين،عن أبي جعفر عليه السّلام،في المستحاضة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يغشاها حتّى يأمرها فتغتسل،ثمَّ يغشاها إن أراد</w:t>
      </w:r>
      <w:r>
        <w:rPr>
          <w:rFonts w:eastAsia="Amiri" w:cs="Amiri" w:ascii="Amiri" w:hAnsi="Amiri"/>
          <w:color w:val="111111"/>
          <w:sz w:val="28"/>
          <w:szCs w:val="28"/>
          <w:rtl w:val="true"/>
          <w:lang w:bidi="ar-SA"/>
        </w:rPr>
        <w:t xml:space="preserve">» </w:t>
      </w:r>
      <w:r>
        <w:rPr>
          <w:rStyle w:val="FootnoteAnchor"/>
          <w:rtl w:val="true"/>
        </w:rPr>
        <w:footnoteReference w:id="22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رواه،عن سماعة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أراد زوجها أن يأتيها فحين تغتسل</w:t>
      </w:r>
      <w:r>
        <w:rPr>
          <w:rFonts w:eastAsia="Amiri" w:cs="Amiri" w:ascii="Amiri" w:hAnsi="Amiri"/>
          <w:color w:val="111111"/>
          <w:sz w:val="28"/>
          <w:szCs w:val="28"/>
          <w:rtl w:val="true"/>
          <w:lang w:bidi="ar-SA"/>
        </w:rPr>
        <w:t xml:space="preserve">» </w:t>
      </w:r>
      <w:r>
        <w:rPr>
          <w:rStyle w:val="FootnoteAnchor"/>
          <w:rtl w:val="true"/>
        </w:rPr>
        <w:footnoteReference w:id="22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احتجّ أحمد </w:t>
      </w:r>
      <w:r>
        <w:rPr>
          <w:rStyle w:val="FootnoteAnchor"/>
          <w:rtl w:val="true"/>
        </w:rPr>
        <w:footnoteReference w:id="2236"/>
      </w:r>
      <w:r>
        <w:rPr>
          <w:rFonts w:ascii="Amiri" w:hAnsi="Amiri" w:eastAsia="Amiri" w:cs="Amiri"/>
          <w:color w:val="111111"/>
          <w:sz w:val="28"/>
          <w:sz w:val="28"/>
          <w:szCs w:val="28"/>
          <w:rtl w:val="true"/>
          <w:lang w:bidi="ar-SA"/>
        </w:rPr>
        <w:t>بما روي،عن عائشة انّها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المستحاضة لا يغشاها زوجها </w:t>
      </w:r>
      <w:r>
        <w:rPr>
          <w:rStyle w:val="FootnoteAnchor"/>
          <w:rtl w:val="true"/>
        </w:rPr>
        <w:footnoteReference w:id="223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لأنّ بها أذى،فيحرم وطؤها،كالحائض الممنوع وطؤها بالأذى،لترتّب الحكم عليه بفاء التّعقيب المشعر بالعلّيّة</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الجواب عن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باحتمال أن يكون ذلك باجتهاد منها لا نقلا عن الرّسول صلّى اللّه عليه و آله،فلا يكون حجّة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يمكن أن يكون المراد لا يغشاها زوجها في أيّام أقرائها،أو مع الاشتباه فإنّ الصّيغة ليست للعموم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ما ذكرتموه مفهوم،فلا يعارض المنطوق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سلّمنا،لكن يمكن ترتيب الحكم على أذى الحيض،لا على كلّ أذى،خصوصا مع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تَطَهَّرْنَ فَأْتُوهُنَّ</w:t>
      </w:r>
      <w:r>
        <w:rPr>
          <w:rFonts w:eastAsia="Amiri" w:cs="Amiri" w:ascii="Amiri" w:hAnsi="Amiri"/>
          <w:color w:val="111111"/>
          <w:sz w:val="28"/>
          <w:szCs w:val="28"/>
          <w:rtl w:val="true"/>
          <w:lang w:bidi="ar-SA"/>
        </w:rPr>
        <w:t xml:space="preserve">» </w:t>
      </w:r>
      <w:r>
        <w:rPr>
          <w:rStyle w:val="FootnoteAnchor"/>
          <w:rtl w:val="true"/>
        </w:rPr>
        <w:footnoteReference w:id="2238"/>
      </w:r>
      <w:r>
        <w:rPr>
          <w:rFonts w:ascii="Amiri" w:hAnsi="Amiri" w:eastAsia="Amiri" w:cs="Amiri"/>
          <w:color w:val="111111"/>
          <w:sz w:val="28"/>
          <w:sz w:val="28"/>
          <w:szCs w:val="28"/>
          <w:rtl w:val="true"/>
          <w:lang w:bidi="ar-SA"/>
        </w:rPr>
        <w:t>و هذا يدلّ بمنطوقه على تحليل الوطء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يمنع اشتراط الأفعال فإنّ اللّه تعالى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تَطَهَّرْنَ فَأْتُوهُنَّ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هُمْ لِفُرُوجِهِمْ حافِظُونَ إِلاّ عَلى أَزْواجِهِمْ</w:t>
      </w:r>
      <w:r>
        <w:rPr>
          <w:rFonts w:eastAsia="Amiri" w:cs="Amiri" w:ascii="Amiri" w:hAnsi="Amiri"/>
          <w:color w:val="111111"/>
          <w:sz w:val="28"/>
          <w:szCs w:val="28"/>
          <w:rtl w:val="true"/>
          <w:lang w:bidi="ar-SA"/>
        </w:rPr>
        <w:t xml:space="preserve">» </w:t>
      </w:r>
      <w:r>
        <w:rPr>
          <w:rStyle w:val="FootnoteAnchor"/>
          <w:rtl w:val="true"/>
        </w:rPr>
        <w:footnoteReference w:id="2239"/>
      </w:r>
      <w:r>
        <w:rPr>
          <w:rFonts w:ascii="Amiri" w:hAnsi="Amiri" w:eastAsia="Amiri" w:cs="Amiri"/>
          <w:color w:val="111111"/>
          <w:sz w:val="28"/>
          <w:sz w:val="28"/>
          <w:szCs w:val="28"/>
          <w:rtl w:val="true"/>
          <w:lang w:bidi="ar-SA"/>
        </w:rPr>
        <w:t>و ذلك يدلّ على عموميّة التّحليل،و لأنّ رواية ابن سنان تدلّ على الإباحة مطلقا،و لأنّ الوطء لا يشترط فيه خلوّ الموطوءة من الحدث كالحائض إذا انقطع دمها و الجنب،و لأنّ الأصل الحلّ،و قد سلم من المعارض،فيعمل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رواية زرارة غير دالّة على مطلوبكم،لأنّ الظّاهر انّ المنع لمّا كان من الحيض،كان الحلّ بالخروج منه،كما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تحلّ الصّلاة في المغصوب،فإذا خرج حلّت،أي زال منع الغصب و إن افتقر إلى الطّهارة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رواية ابن أعين يحتمل انّه أراد غسل الحيض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ذكرتم من الآيات لا تدلّ من حيث المنطوق على العموم،إذ ليست هذه الصّيغ موضوعة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سلّمناه لكن ما ذكرناه خاصّ،فيكون مقدّما،و هو الجواب عن رواية ابن سنان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انّها إنّما وردت عقيب أمرها بالاغتسال و 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ذكرتموه من القياس على الحائض،فهو ينقلب عليكم،لأنّا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يشترط فيه انقطاع الدّم كالحائض،و أمّا التّمسّك بالأصل فضعيف مع ما ذكرنا من الأدلّة</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ما ذكره في تأويل رواية زرارة فضعيف،إذا المنطوق تعليق الحلّ بالحلّ و الاحتمال الّذي ذكروه في رواية ابن أعين لم يدلّ عليه اللّفظ،فلا يكون مقبولا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يجب عليها التّحفّظ بمنع الدّم من التّعدّي على قدر الإمكان،بأن تحتشي،و تستثفر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تحتاط بحشو القطن أو ما يشبهه لردّ </w:t>
      </w:r>
      <w:r>
        <w:rPr>
          <w:rStyle w:val="FootnoteAnchor"/>
          <w:rtl w:val="true"/>
        </w:rPr>
        <w:footnoteReference w:id="2240"/>
      </w:r>
      <w:r>
        <w:rPr>
          <w:rFonts w:ascii="Amiri" w:hAnsi="Amiri" w:eastAsia="Amiri" w:cs="Amiri"/>
          <w:color w:val="111111"/>
          <w:sz w:val="28"/>
          <w:sz w:val="28"/>
          <w:szCs w:val="28"/>
          <w:rtl w:val="true"/>
          <w:lang w:bidi="ar-SA"/>
        </w:rPr>
        <w:t>الدّم،لما رواه يونس، عن رجاله،عن أبي عبد اللّه عليه السّلام انّه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رسول اللّه صلّى اللّه عليه و آله أمر حمنة لمّا شكت إليه كثرة الدّم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احتشي كرسفا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أشدّ من ذلك انّي أثجّه ثجّا؟فقال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تلجّمي</w:t>
      </w:r>
      <w:r>
        <w:rPr>
          <w:rFonts w:eastAsia="Amiri" w:cs="Amiri" w:ascii="Amiri" w:hAnsi="Amiri"/>
          <w:color w:val="111111"/>
          <w:sz w:val="28"/>
          <w:szCs w:val="28"/>
          <w:rtl w:val="true"/>
          <w:lang w:bidi="ar-SA"/>
        </w:rPr>
        <w:t xml:space="preserve">» </w:t>
      </w:r>
      <w:r>
        <w:rPr>
          <w:rStyle w:val="FootnoteAnchor"/>
          <w:rtl w:val="true"/>
        </w:rPr>
        <w:footnoteReference w:id="22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 فضيل و زرارة،عن أحدهما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تحتشي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ابن أبي يعفور،عن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احتشت كرسفا و تنظر،فإن ظهر على الكرسف زادت كرسفها</w:t>
      </w:r>
      <w:r>
        <w:rPr>
          <w:rFonts w:eastAsia="Amiri" w:cs="Amiri" w:ascii="Amiri" w:hAnsi="Amiri"/>
          <w:color w:val="111111"/>
          <w:sz w:val="28"/>
          <w:szCs w:val="28"/>
          <w:rtl w:val="true"/>
          <w:lang w:bidi="ar-SA"/>
        </w:rPr>
        <w:t xml:space="preserve">» </w:t>
      </w:r>
      <w:r>
        <w:rPr>
          <w:rStyle w:val="FootnoteAnchor"/>
          <w:rtl w:val="true"/>
        </w:rPr>
        <w:footnoteReference w:id="22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 ابن نعيم،عن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لتحتش بالكرسف و لتستثفر</w:t>
      </w:r>
      <w:r>
        <w:rPr>
          <w:rFonts w:eastAsia="Amiri" w:cs="Amiri" w:ascii="Amiri" w:hAnsi="Amiri"/>
          <w:color w:val="111111"/>
          <w:sz w:val="28"/>
          <w:szCs w:val="28"/>
          <w:rtl w:val="true"/>
          <w:lang w:bidi="ar-SA"/>
        </w:rPr>
        <w:t xml:space="preserve">» </w:t>
      </w:r>
      <w:r>
        <w:rPr>
          <w:rStyle w:val="FootnoteAnchor"/>
          <w:rtl w:val="true"/>
        </w:rPr>
        <w:footnoteReference w:id="22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 زرارة،عن أبي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تستوثق من نفسها</w:t>
      </w:r>
      <w:r>
        <w:rPr>
          <w:rFonts w:eastAsia="Amiri" w:cs="Amiri" w:ascii="Amiri" w:hAnsi="Amiri"/>
          <w:color w:val="111111"/>
          <w:sz w:val="28"/>
          <w:szCs w:val="28"/>
          <w:rtl w:val="true"/>
          <w:lang w:bidi="ar-SA"/>
        </w:rPr>
        <w:t xml:space="preserve">» </w:t>
      </w:r>
      <w:r>
        <w:rPr>
          <w:rStyle w:val="FootnoteAnchor"/>
          <w:rtl w:val="true"/>
        </w:rPr>
        <w:footnoteReference w:id="2244"/>
      </w:r>
      <w:r>
        <w:rPr>
          <w:rFonts w:eastAsia="Times New Roman" w:cs="Times New Roman" w:ascii="Times New Roman" w:hAnsi="Times New Roman"/>
          <w:color w:val="111111"/>
          <w:sz w:val="28"/>
          <w:szCs w:val="28"/>
          <w:rtl w:val="true"/>
          <w:lang w:val="en-US" w:bidi="en-US"/>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رواية معاوية بن عمّار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تحتشي و تستثفر و تضمّ فخذيها في المسجد</w:t>
      </w:r>
      <w:r>
        <w:rPr>
          <w:rFonts w:eastAsia="Amiri" w:cs="Amiri" w:ascii="Amiri" w:hAnsi="Amiri"/>
          <w:color w:val="111111"/>
          <w:sz w:val="28"/>
          <w:szCs w:val="28"/>
          <w:rtl w:val="true"/>
          <w:lang w:bidi="ar-SA"/>
        </w:rPr>
        <w:t xml:space="preserve">» </w:t>
      </w:r>
      <w:r>
        <w:rPr>
          <w:rStyle w:val="FootnoteAnchor"/>
          <w:rtl w:val="true"/>
        </w:rPr>
        <w:footnoteReference w:id="2245"/>
      </w:r>
      <w:r>
        <w:rPr>
          <w:rFonts w:eastAsia="Times New Roman" w:cs="Times New Roman" w:ascii="Times New Roman" w:hAnsi="Times New Roman"/>
          <w:color w:val="111111"/>
          <w:sz w:val="28"/>
          <w:szCs w:val="28"/>
          <w:rtl w:val="true"/>
          <w:lang w:val="en-US" w:bidi="en-US"/>
        </w:rPr>
        <w:t xml:space="preserve">. </w:t>
      </w:r>
      <w:bookmarkStart w:id="1270" w:name="pg12669_113214"/>
    </w:p>
    <w:p>
      <w:pPr>
        <w:pStyle w:val="BookText"/>
        <w:rPr/>
      </w:pPr>
      <w:bookmarkEnd w:id="1270"/>
      <w:r>
        <w:rPr>
          <w:rFonts w:ascii="Amiri" w:hAnsi="Amiri" w:eastAsia="Amiri" w:cs="Amiri"/>
          <w:color w:val="111111"/>
          <w:sz w:val="28"/>
          <w:sz w:val="28"/>
          <w:szCs w:val="28"/>
          <w:rtl w:val="true"/>
          <w:lang w:bidi="ar-SA"/>
        </w:rPr>
        <w:t>و في رواية صفوان،عن أبي الحسن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تستدخل قطنة</w:t>
      </w:r>
      <w:r>
        <w:rPr>
          <w:rFonts w:eastAsia="Amiri" w:cs="Amiri" w:ascii="Amiri" w:hAnsi="Amiri"/>
          <w:color w:val="111111"/>
          <w:sz w:val="28"/>
          <w:szCs w:val="28"/>
          <w:rtl w:val="true"/>
          <w:lang w:bidi="ar-SA"/>
        </w:rPr>
        <w:t xml:space="preserve">» </w:t>
      </w:r>
      <w:r>
        <w:rPr>
          <w:rStyle w:val="FootnoteAnchor"/>
          <w:rtl w:val="true"/>
        </w:rPr>
        <w:footnoteReference w:id="2246"/>
      </w:r>
      <w:r>
        <w:rPr>
          <w:rFonts w:ascii="Amiri" w:hAnsi="Amiri" w:eastAsia="Amiri" w:cs="Amiri"/>
          <w:color w:val="111111"/>
          <w:sz w:val="28"/>
          <w:sz w:val="28"/>
          <w:szCs w:val="28"/>
          <w:rtl w:val="true"/>
          <w:lang w:bidi="ar-SA"/>
        </w:rPr>
        <w:t xml:space="preserve">و الأحاديث في ذلك كثيرة </w:t>
      </w:r>
      <w:r>
        <w:rPr>
          <w:rStyle w:val="FootnoteAnchor"/>
          <w:rtl w:val="true"/>
        </w:rPr>
        <w:footnoteReference w:id="22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محمّد بن يعقوب في كتابه في الصّحيح،عن الحلبيّ،عن أبي عبد اللّه عليه السّلام،عن أبي جعفر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تستدخل قطنة و تستثفر بثوب</w:t>
      </w:r>
      <w:r>
        <w:rPr>
          <w:rFonts w:eastAsia="Amiri" w:cs="Amiri" w:ascii="Amiri" w:hAnsi="Amiri"/>
          <w:color w:val="111111"/>
          <w:sz w:val="28"/>
          <w:szCs w:val="28"/>
          <w:rtl w:val="true"/>
          <w:lang w:bidi="ar-SA"/>
        </w:rPr>
        <w:t xml:space="preserve">» </w:t>
      </w:r>
      <w:r>
        <w:rPr>
          <w:rStyle w:val="FootnoteAnchor"/>
          <w:rtl w:val="true"/>
        </w:rPr>
        <w:footnoteReference w:id="2248"/>
      </w:r>
      <w:r>
        <w:rPr>
          <w:rFonts w:ascii="Amiri" w:hAnsi="Amiri" w:eastAsia="Amiri" w:cs="Amiri"/>
          <w:color w:val="111111"/>
          <w:sz w:val="28"/>
          <w:sz w:val="28"/>
          <w:szCs w:val="28"/>
          <w:rtl w:val="true"/>
          <w:lang w:bidi="ar-SA"/>
        </w:rPr>
        <w:t>و لأنّ طهارة البدن من النّجاسة شرط في الإذن في الدّخول في الصّلاة،فيجب تحصيله بقدر الإمكان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كذا البحث في صاحب السّلس و المبطون و صاحب الجرح،و قد تقدّم </w:t>
      </w:r>
      <w:r>
        <w:rPr>
          <w:rStyle w:val="FootnoteAnchor"/>
          <w:rtl w:val="true"/>
        </w:rPr>
        <w:footnoteReference w:id="2249"/>
      </w:r>
      <w:r>
        <w:rPr>
          <w:rFonts w:ascii="Amiri" w:hAnsi="Amiri" w:eastAsia="Amiri" w:cs="Amiri"/>
          <w:color w:val="111111"/>
          <w:sz w:val="28"/>
          <w:sz w:val="28"/>
          <w:szCs w:val="28"/>
          <w:rtl w:val="true"/>
          <w:lang w:bidi="ar-SA"/>
        </w:rPr>
        <w:t>،إلاّ انّ الاستحاضة تفارقهم بوجوب تغيير الشّداد للنّص،و ليس ذلك بواجب في حقّهم لعدم الدّلالة</w:t>
      </w:r>
      <w:r>
        <w:rPr>
          <w:rFonts w:eastAsia="Amiri" w:cs="Amiri" w:ascii="Amiri" w:hAnsi="Amiri"/>
          <w:color w:val="111111"/>
          <w:sz w:val="28"/>
          <w:szCs w:val="28"/>
          <w:rtl w:val="true"/>
          <w:lang w:bidi="ar-SA"/>
        </w:rPr>
        <w:t>.</w:t>
      </w:r>
    </w:p>
    <w:p>
      <w:pPr>
        <w:pStyle w:val="Heading5"/>
        <w:numPr>
          <w:ilvl w:val="4"/>
          <w:numId w:val="1"/>
        </w:numPr>
        <w:rPr/>
      </w:pPr>
      <w:bookmarkStart w:id="1271" w:name="__RefHeading___Toc796163_222507752"/>
      <w:bookmarkStart w:id="1272" w:name="_Toc521"/>
      <w:bookmarkEnd w:id="1271"/>
      <w:r>
        <w:rPr>
          <w:rtl w:val="true"/>
        </w:rPr>
        <w:t>مسألة</w:t>
      </w:r>
      <w:r>
        <w:rPr>
          <w:rtl w:val="true"/>
        </w:rPr>
        <w:t>:</w:t>
      </w:r>
      <w:r>
        <w:rPr>
          <w:rtl w:val="true"/>
        </w:rPr>
        <w:t xml:space="preserve">قد ذكرنا أنّ المستحاضة إذا انقطع دمها انتقض وضوؤها </w:t>
      </w:r>
      <w:r>
        <w:rPr>
          <w:rtl w:val="true"/>
        </w:rPr>
        <w:t>.</w:t>
      </w:r>
      <w:bookmarkEnd w:id="1272"/>
    </w:p>
    <w:p>
      <w:pPr>
        <w:pStyle w:val="Heading6"/>
        <w:numPr>
          <w:ilvl w:val="5"/>
          <w:numId w:val="1"/>
        </w:numPr>
        <w:rPr/>
      </w:pPr>
      <w:bookmarkStart w:id="1273" w:name="__RefHeading___Toc796165_222507752"/>
      <w:bookmarkStart w:id="1274" w:name="_Toc522"/>
      <w:bookmarkEnd w:id="1273"/>
      <w:r>
        <w:rPr>
          <w:rtl w:val="true"/>
        </w:rPr>
        <w:t>اشارة</w:t>
      </w:r>
      <w:bookmarkEnd w:id="1274"/>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2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قول الشّيخ في المبسوط </w:t>
      </w:r>
      <w:r>
        <w:rPr>
          <w:rStyle w:val="FootnoteAnchor"/>
          <w:rtl w:val="true"/>
        </w:rPr>
        <w:footnoteReference w:id="2251"/>
      </w:r>
      <w:r>
        <w:rPr>
          <w:rFonts w:ascii="Amiri" w:hAnsi="Amiri" w:eastAsia="Amiri" w:cs="Amiri"/>
          <w:color w:val="111111"/>
          <w:sz w:val="28"/>
          <w:sz w:val="28"/>
          <w:szCs w:val="28"/>
          <w:rtl w:val="true"/>
          <w:lang w:bidi="ar-SA"/>
        </w:rPr>
        <w:t>،و قد أطلق الشّيخ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 يقتضيه النّظر التّفصيل،فإنّ الانقطاع إن كان للبرء ثبت ما قاله الشّيخ،أمّا لو انقطع،ثمَّ عاد،فالوجه انّه لا عبرة بهذا الانقطاع،لأنّ اعتباره ممّا يشقّ،و العادة في المستحاضة و أصحاب الأعذار كالسّلس و المبطون انّ الخارج يجري تارة و ينقطع اخرى،و اعتبار مقدار الانقطاع بما يمكن فعل العبادة فيه يشقّ جدّا،و إيجاب الوضوء عند كلّ انقطاع غير مستقرّ حرج لم يثبت بدليل شرعيّ اعتباره،و لم يسأل النّبيّ صلّى اللّه عليه و آله عنه المستحاضة الّتي استفتته،فلم يكن معتبرا</w:t>
      </w:r>
      <w:r>
        <w:rPr>
          <w:rFonts w:eastAsia="Amiri" w:cs="Amiri" w:ascii="Amiri" w:hAnsi="Amiri"/>
          <w:color w:val="111111"/>
          <w:sz w:val="28"/>
          <w:szCs w:val="28"/>
          <w:rtl w:val="true"/>
          <w:lang w:bidi="ar-SA"/>
        </w:rPr>
        <w:t xml:space="preserve">. </w:t>
      </w:r>
      <w:bookmarkStart w:id="1275" w:name="pg12669_113215"/>
    </w:p>
    <w:p>
      <w:pPr>
        <w:pStyle w:val="Heading6"/>
        <w:numPr>
          <w:ilvl w:val="5"/>
          <w:numId w:val="1"/>
        </w:numPr>
        <w:rPr/>
      </w:pPr>
      <w:bookmarkStart w:id="1276" w:name="__RefHeading___Toc796167_222507752"/>
      <w:bookmarkStart w:id="1277" w:name="_Toc523"/>
      <w:bookmarkEnd w:id="1275"/>
      <w:bookmarkEnd w:id="1276"/>
      <w:r>
        <w:rPr>
          <w:rtl w:val="true"/>
        </w:rPr>
        <w:t>فروع</w:t>
      </w:r>
      <w:r>
        <w:rPr>
          <w:rtl w:val="true"/>
        </w:rPr>
        <w:t>:</w:t>
      </w:r>
      <w:bookmarkEnd w:id="1277"/>
    </w:p>
    <w:p>
      <w:pPr>
        <w:pStyle w:val="Heading6"/>
        <w:numPr>
          <w:ilvl w:val="5"/>
          <w:numId w:val="1"/>
        </w:numPr>
        <w:rPr/>
      </w:pPr>
      <w:bookmarkStart w:id="1278" w:name="__RefHeading___Toc796169_222507752"/>
      <w:bookmarkStart w:id="1279" w:name="_Toc524"/>
      <w:bookmarkEnd w:id="1278"/>
      <w:r>
        <w:rPr>
          <w:rtl w:val="true"/>
        </w:rPr>
        <w:t>الأوّل</w:t>
      </w:r>
      <w:r>
        <w:rPr>
          <w:rtl w:val="true"/>
        </w:rPr>
        <w:t>:</w:t>
      </w:r>
      <w:r>
        <w:rPr>
          <w:rtl w:val="true"/>
        </w:rPr>
        <w:t>لو انقطع دمها في أثناء الصّلاة للبرء،احتمل وجوب الإتمام و الإعادة</w:t>
      </w:r>
      <w:bookmarkEnd w:id="1279"/>
    </w:p>
    <w:p>
      <w:pPr>
        <w:pStyle w:val="BookText"/>
        <w:rPr/>
      </w:pPr>
      <w:r>
        <w:rPr>
          <w:rFonts w:ascii="Amiri" w:hAnsi="Amiri" w:eastAsia="Amiri" w:cs="Amiri"/>
          <w:color w:val="111111"/>
          <w:sz w:val="28"/>
          <w:sz w:val="28"/>
          <w:szCs w:val="28"/>
          <w:rtl w:val="true"/>
          <w:lang w:bidi="ar-SA"/>
        </w:rPr>
        <w:t>حينئذ،لأنّها دخلت في الصّلاة دخولا مشروعا فليس لها إبطاله،كالمتيمّم يجد الماء بعد الدّخول،و الإبطال،لأنّ حدثها لم يرتفع،و إنّما دخلت مع الحدث للضّرورة و قد زالت،و الحمل على المتيمّم قياس،و الأوّل أقوى</w:t>
      </w:r>
      <w:r>
        <w:rPr>
          <w:rFonts w:eastAsia="Amiri" w:cs="Amiri" w:ascii="Amiri" w:hAnsi="Amiri"/>
          <w:color w:val="111111"/>
          <w:sz w:val="28"/>
          <w:szCs w:val="28"/>
          <w:rtl w:val="true"/>
          <w:lang w:bidi="ar-SA"/>
        </w:rPr>
        <w:t>.</w:t>
      </w:r>
    </w:p>
    <w:p>
      <w:pPr>
        <w:pStyle w:val="Heading6"/>
        <w:numPr>
          <w:ilvl w:val="5"/>
          <w:numId w:val="1"/>
        </w:numPr>
        <w:rPr/>
      </w:pPr>
      <w:bookmarkStart w:id="1280" w:name="__RefHeading___Toc796171_222507752"/>
      <w:bookmarkStart w:id="1281" w:name="_Toc525"/>
      <w:bookmarkEnd w:id="1280"/>
      <w:r>
        <w:rPr>
          <w:rtl w:val="true"/>
        </w:rPr>
        <w:t>الثّاني</w:t>
      </w:r>
      <w:r>
        <w:rPr>
          <w:rtl w:val="true"/>
        </w:rPr>
        <w:t>:</w:t>
      </w:r>
      <w:r>
        <w:rPr>
          <w:rtl w:val="true"/>
        </w:rPr>
        <w:t>لو كان دمها يجري تارة و ينقطع أخرى،فإن اتّسع وقت الانقطاع للطّهارة</w:t>
      </w:r>
      <w:bookmarkEnd w:id="1281"/>
    </w:p>
    <w:p>
      <w:pPr>
        <w:pStyle w:val="BookText"/>
        <w:rPr/>
      </w:pPr>
      <w:r>
        <w:rPr>
          <w:rFonts w:ascii="Amiri" w:hAnsi="Amiri" w:eastAsia="Amiri" w:cs="Amiri"/>
          <w:color w:val="111111"/>
          <w:sz w:val="28"/>
          <w:sz w:val="28"/>
          <w:szCs w:val="28"/>
          <w:rtl w:val="true"/>
          <w:lang w:bidi="ar-SA"/>
        </w:rPr>
        <w:t>و الصّلاة انتظرته</w:t>
      </w:r>
    </w:p>
    <w:p>
      <w:pPr>
        <w:pStyle w:val="BookText"/>
        <w:rPr/>
      </w:pPr>
      <w:r>
        <w:rPr>
          <w:rFonts w:ascii="Amiri" w:hAnsi="Amiri" w:eastAsia="Amiri" w:cs="Amiri"/>
          <w:color w:val="111111"/>
          <w:sz w:val="28"/>
          <w:sz w:val="28"/>
          <w:szCs w:val="28"/>
          <w:rtl w:val="true"/>
          <w:lang w:bidi="ar-SA"/>
        </w:rPr>
        <w:t>ما لم يخرج الوقت،و إن لم يتّسع جاز لها الوضوء و الصّلاة مع جريان الدّم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توضّأت حال جريانه و انقطع فدخلت في الصّلاة جاز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استمرّ الانقطاع بطلت صلاتها،لظهور انّ هذا الانقطاع قد أبطل طهارتها قبل الشّروع في الصّلاة</w:t>
      </w:r>
      <w:r>
        <w:rPr>
          <w:rFonts w:eastAsia="Amiri" w:cs="Amiri" w:ascii="Amiri" w:hAnsi="Amiri"/>
          <w:color w:val="111111"/>
          <w:sz w:val="28"/>
          <w:szCs w:val="28"/>
          <w:rtl w:val="true"/>
          <w:lang w:bidi="ar-SA"/>
        </w:rPr>
        <w:t>.</w:t>
      </w:r>
    </w:p>
    <w:p>
      <w:pPr>
        <w:pStyle w:val="Heading6"/>
        <w:numPr>
          <w:ilvl w:val="5"/>
          <w:numId w:val="1"/>
        </w:numPr>
        <w:rPr/>
      </w:pPr>
      <w:bookmarkStart w:id="1282" w:name="__RefHeading___Toc796173_222507752"/>
      <w:bookmarkStart w:id="1283" w:name="_Toc526"/>
      <w:bookmarkEnd w:id="1282"/>
      <w:r>
        <w:rPr>
          <w:rtl w:val="true"/>
        </w:rPr>
        <w:t>الثّالث</w:t>
      </w:r>
      <w:r>
        <w:rPr>
          <w:rtl w:val="true"/>
        </w:rPr>
        <w:t>:</w:t>
      </w:r>
      <w:r>
        <w:rPr>
          <w:rtl w:val="true"/>
        </w:rPr>
        <w:t>لو توضّأت حال الجريان،ثمَّ صلّت بعد الانقطاع،فإن علمت انّه يعاود</w:t>
      </w:r>
      <w:bookmarkEnd w:id="1283"/>
    </w:p>
    <w:p>
      <w:pPr>
        <w:pStyle w:val="BookText"/>
        <w:rPr/>
      </w:pPr>
      <w:r>
        <w:rPr>
          <w:rFonts w:ascii="Amiri" w:hAnsi="Amiri" w:eastAsia="Amiri" w:cs="Amiri"/>
          <w:color w:val="111111"/>
          <w:sz w:val="28"/>
          <w:sz w:val="28"/>
          <w:szCs w:val="28"/>
          <w:rtl w:val="true"/>
          <w:lang w:bidi="ar-SA"/>
        </w:rPr>
        <w:t>صحّت صلاتها</w:t>
      </w:r>
    </w:p>
    <w:p>
      <w:pPr>
        <w:pStyle w:val="BookText"/>
        <w:rPr/>
      </w:pPr>
      <w:r>
        <w:rPr>
          <w:rFonts w:ascii="Amiri" w:hAnsi="Amiri" w:eastAsia="Amiri" w:cs="Amiri"/>
          <w:color w:val="111111"/>
          <w:sz w:val="28"/>
          <w:sz w:val="28"/>
          <w:szCs w:val="28"/>
          <w:rtl w:val="true"/>
          <w:lang w:bidi="ar-SA"/>
        </w:rPr>
        <w:t>،و إن شكّت لم يصحّ،سواء عاد إليها الدّم و هي في الصّلاة أو لا،أمّا مع عدمه فظاهر،و أمّا مع عوده فلأنّها دخلت بطهارة مشكوك فيها فلم يصحّ،و إن تبيّنت صحّتها،كما لو دخل الشّاك في الطّهارة في الصّلاة،ثمَّ تبيّن انّه متطهّر فإنّه يعيد</w:t>
      </w:r>
      <w:r>
        <w:rPr>
          <w:rFonts w:eastAsia="Amiri" w:cs="Amiri" w:ascii="Amiri" w:hAnsi="Amiri"/>
          <w:color w:val="111111"/>
          <w:sz w:val="28"/>
          <w:szCs w:val="28"/>
          <w:rtl w:val="true"/>
          <w:lang w:bidi="ar-SA"/>
        </w:rPr>
        <w:t>.</w:t>
      </w:r>
    </w:p>
    <w:p>
      <w:pPr>
        <w:pStyle w:val="Heading5"/>
        <w:numPr>
          <w:ilvl w:val="4"/>
          <w:numId w:val="1"/>
        </w:numPr>
        <w:rPr/>
      </w:pPr>
      <w:bookmarkStart w:id="1284" w:name="__RefHeading___Toc796175_222507752"/>
      <w:bookmarkStart w:id="1285" w:name="_Toc527"/>
      <w:bookmarkEnd w:id="1284"/>
      <w:r>
        <w:rPr>
          <w:rtl w:val="true"/>
        </w:rPr>
        <w:t>مسألة</w:t>
      </w:r>
      <w:r>
        <w:rPr>
          <w:rtl w:val="true"/>
        </w:rPr>
        <w:t>:</w:t>
      </w:r>
      <w:r>
        <w:rPr>
          <w:rtl w:val="true"/>
        </w:rPr>
        <w:t>و غسلها كغسل الحائض سواء في اعتبار النّيّة،و التّرتيب،و مقارنة</w:t>
      </w:r>
      <w:bookmarkEnd w:id="1285"/>
    </w:p>
    <w:p>
      <w:pPr>
        <w:pStyle w:val="BookText"/>
        <w:rPr/>
      </w:pPr>
      <w:r>
        <w:rPr>
          <w:rFonts w:ascii="IRNazanin" w:hAnsi="IRNazanin" w:eastAsia="IRNazanin"/>
          <w:color w:val="111111"/>
          <w:sz w:val="28"/>
          <w:sz w:val="28"/>
          <w:szCs w:val="28"/>
          <w:rtl w:val="true"/>
          <w:lang w:bidi="fa-IR"/>
        </w:rPr>
        <w:t>الوضوء</w:t>
      </w:r>
    </w:p>
    <w:p>
      <w:pPr>
        <w:pStyle w:val="BookText"/>
        <w:rPr/>
      </w:pPr>
      <w:r>
        <w:rPr>
          <w:rFonts w:ascii="Amiri" w:hAnsi="Amiri" w:eastAsia="Amiri" w:cs="Amiri"/>
          <w:color w:val="111111"/>
          <w:sz w:val="28"/>
          <w:sz w:val="28"/>
          <w:szCs w:val="28"/>
          <w:rtl w:val="true"/>
          <w:lang w:bidi="ar-SA"/>
        </w:rPr>
        <w:t>،و غيره من الأحكام،لا نعرف فيه خلافا بين علمائنا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كانت جنبا أو لم تغتسل للحيض كفاها غسل 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البيان كما تقدّم </w:t>
      </w:r>
      <w:r>
        <w:rPr>
          <w:rStyle w:val="FootnoteAnchor"/>
          <w:rtl w:val="true"/>
        </w:rPr>
        <w:footnoteReference w:id="225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86" w:name="__RefHeading___Toc796177_222507752"/>
      <w:bookmarkStart w:id="1287" w:name="_Toc528"/>
      <w:bookmarkEnd w:id="1286"/>
      <w:r>
        <w:rPr>
          <w:rtl w:val="true"/>
        </w:rPr>
        <w:t>مسألة</w:t>
      </w:r>
      <w:r>
        <w:rPr>
          <w:rtl w:val="true"/>
        </w:rPr>
        <w:t>:</w:t>
      </w:r>
      <w:r>
        <w:rPr>
          <w:rtl w:val="true"/>
        </w:rPr>
        <w:t>و لو اغتسلت لكلّ صلاة و توضّأت فهو أبلغ للتّطهير ،</w:t>
      </w:r>
      <w:bookmarkEnd w:id="1287"/>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2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مستحبّا و ليس بواجب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استحبابه،فلأنّه طهر فيسنّ فيه التّكرار،لقوله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الطّهر على الطّهر عشر حسنات</w:t>
      </w:r>
      <w:r>
        <w:rPr>
          <w:rFonts w:eastAsia="Amiri" w:cs="Amiri" w:ascii="Amiri" w:hAnsi="Amiri"/>
          <w:color w:val="111111"/>
          <w:sz w:val="28"/>
          <w:szCs w:val="28"/>
          <w:rtl w:val="true"/>
          <w:lang w:bidi="ar-SA"/>
        </w:rPr>
        <w:t xml:space="preserve">» </w:t>
      </w:r>
      <w:r>
        <w:rPr>
          <w:rStyle w:val="FootnoteAnchor"/>
          <w:rtl w:val="true"/>
        </w:rPr>
        <w:footnoteReference w:id="22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عدم الوجوب،فلما روي من قولهم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تغتسل لكلّ صلاتين </w:t>
      </w:r>
      <w:r>
        <w:rPr>
          <w:rStyle w:val="FootnoteAnchor"/>
          <w:rtl w:val="true"/>
        </w:rPr>
        <w:footnoteReference w:id="225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نعرف في ذلك خلافا بين علمائنا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ذهب بعض الجمهور إلى انّه يجب عليها الغسل لكلّ صلاة </w:t>
      </w:r>
      <w:r>
        <w:rPr>
          <w:rStyle w:val="FootnoteAnchor"/>
          <w:rtl w:val="true"/>
        </w:rPr>
        <w:footnoteReference w:id="2256"/>
      </w:r>
      <w:r>
        <w:rPr>
          <w:rFonts w:ascii="Amiri" w:hAnsi="Amiri" w:eastAsia="Amiri" w:cs="Amiri"/>
          <w:color w:val="111111"/>
          <w:sz w:val="28"/>
          <w:sz w:val="28"/>
          <w:szCs w:val="28"/>
          <w:rtl w:val="true"/>
          <w:lang w:bidi="ar-SA"/>
        </w:rPr>
        <w:t xml:space="preserve">،و رووه،عن عليّ عليه السّلام،و ابن عمر،و ابن عبّاس، و ابن الزّبير </w:t>
      </w:r>
      <w:r>
        <w:rPr>
          <w:rStyle w:val="FootnoteAnchor"/>
          <w:rtl w:val="true"/>
        </w:rPr>
        <w:footnoteReference w:id="2257"/>
      </w:r>
      <w:r>
        <w:rPr>
          <w:rFonts w:ascii="Amiri" w:hAnsi="Amiri" w:eastAsia="Amiri" w:cs="Amiri"/>
          <w:color w:val="111111"/>
          <w:sz w:val="28"/>
          <w:sz w:val="28"/>
          <w:szCs w:val="28"/>
          <w:rtl w:val="true"/>
          <w:lang w:bidi="ar-SA"/>
        </w:rPr>
        <w:t xml:space="preserve">،و هو أحد قولي الشّافعيّ في المتحيّرة </w:t>
      </w:r>
      <w:r>
        <w:rPr>
          <w:rStyle w:val="FootnoteAnchor"/>
          <w:rtl w:val="true"/>
        </w:rPr>
        <w:footnoteReference w:id="225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نحن نذهب إلى ما قاله الشّافعيّ في المتحيّرة،لما تقدّم من الأحاديث </w:t>
      </w:r>
      <w:r>
        <w:rPr>
          <w:rStyle w:val="FootnoteAnchor"/>
          <w:rtl w:val="true"/>
        </w:rPr>
        <w:footnoteReference w:id="225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بعضهم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تغتسل كلّ يوم غسلا </w:t>
      </w:r>
      <w:r>
        <w:rPr>
          <w:rStyle w:val="FootnoteAnchor"/>
          <w:rtl w:val="true"/>
        </w:rPr>
        <w:footnoteReference w:id="22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احتجّ القائلون بوجوب التّكرار عند كلّ 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بأنّ النّبيّ صلّى اللّه عليه و آله أمر أمّ حبيبة لمّا استحيضت بالغسل لكلّ صلاة </w:t>
      </w:r>
      <w:r>
        <w:rPr>
          <w:rStyle w:val="FootnoteAnchor"/>
          <w:rtl w:val="true"/>
        </w:rPr>
        <w:footnoteReference w:id="2261"/>
      </w:r>
      <w:r>
        <w:rPr>
          <w:rFonts w:eastAsia="Times New Roman" w:cs="Times New Roman" w:ascii="Times New Roman" w:hAnsi="Times New Roman"/>
          <w:color w:val="111111"/>
          <w:sz w:val="28"/>
          <w:szCs w:val="28"/>
          <w:rtl w:val="true"/>
          <w:lang w:val="en-US" w:bidi="en-US"/>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معارض بما تقدّم من الأحاديث،و لأنّ الرّاوي عائشة،فيحتمل انّها </w:t>
      </w:r>
      <w:bookmarkStart w:id="1288" w:name="pg12669_113217"/>
    </w:p>
    <w:p>
      <w:pPr>
        <w:pStyle w:val="BookText"/>
        <w:rPr/>
      </w:pPr>
      <w:bookmarkEnd w:id="1288"/>
      <w:r>
        <w:rPr>
          <w:rFonts w:ascii="Amiri" w:hAnsi="Amiri" w:eastAsia="Amiri" w:cs="Amiri"/>
          <w:color w:val="111111"/>
          <w:sz w:val="28"/>
          <w:sz w:val="28"/>
          <w:szCs w:val="28"/>
          <w:rtl w:val="true"/>
          <w:lang w:bidi="ar-SA"/>
        </w:rPr>
        <w:t>توهّمت الأمر فيما ليس أمرا،و لو سلم عن ذلك يحمل على الاستحباب</w:t>
      </w:r>
      <w:r>
        <w:rPr>
          <w:rFonts w:eastAsia="Amiri" w:cs="Amiri" w:ascii="Amiri" w:hAnsi="Amiri"/>
          <w:color w:val="111111"/>
          <w:sz w:val="28"/>
          <w:szCs w:val="28"/>
          <w:rtl w:val="true"/>
          <w:lang w:bidi="ar-SA"/>
        </w:rPr>
        <w:t>.</w:t>
      </w:r>
    </w:p>
    <w:p>
      <w:pPr>
        <w:pStyle w:val="Heading4"/>
        <w:numPr>
          <w:ilvl w:val="3"/>
          <w:numId w:val="1"/>
        </w:numPr>
        <w:rPr/>
      </w:pPr>
      <w:bookmarkStart w:id="1289" w:name="__RefHeading___Toc796179_222507752"/>
      <w:bookmarkStart w:id="1290" w:name="_Toc529"/>
      <w:bookmarkEnd w:id="1289"/>
      <w:r>
        <w:rPr>
          <w:rtl w:val="true"/>
        </w:rPr>
        <w:t>الفصل الرّابع</w:t>
      </w:r>
      <w:r>
        <w:rPr>
          <w:rtl w:val="true"/>
        </w:rPr>
        <w:t>:</w:t>
      </w:r>
      <w:r>
        <w:rPr>
          <w:rtl w:val="true"/>
        </w:rPr>
        <w:t>في النّفاس</w:t>
      </w:r>
      <w:bookmarkEnd w:id="1290"/>
    </w:p>
    <w:p>
      <w:pPr>
        <w:pStyle w:val="Heading5"/>
        <w:numPr>
          <w:ilvl w:val="4"/>
          <w:numId w:val="1"/>
        </w:numPr>
        <w:rPr/>
      </w:pPr>
      <w:bookmarkStart w:id="1291" w:name="__RefHeading___Toc796181_222507752"/>
      <w:bookmarkStart w:id="1292" w:name="_Toc530"/>
      <w:bookmarkEnd w:id="1291"/>
      <w:r>
        <w:rPr>
          <w:rtl w:val="true"/>
        </w:rPr>
        <w:t>اشارة</w:t>
      </w:r>
      <w:bookmarkEnd w:id="1292"/>
    </w:p>
    <w:p>
      <w:pPr>
        <w:pStyle w:val="BookText"/>
        <w:rPr/>
      </w:pPr>
      <w:r>
        <w:rPr>
          <w:rFonts w:ascii="Amiri" w:hAnsi="Amiri" w:eastAsia="Amiri" w:cs="Amiri"/>
          <w:color w:val="111111"/>
          <w:sz w:val="28"/>
          <w:sz w:val="28"/>
          <w:szCs w:val="28"/>
          <w:rtl w:val="true"/>
          <w:lang w:bidi="ar-SA"/>
        </w:rPr>
        <w:t>و هو دم يقذفه الرّحم عقيب الولادة،يقال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نفست المرأة و نفست بضمّ النّون و فتحها و في الحيض بالفتح لا غير،و هو مأخوذ إمّا من النّفس و هي الدّم لغة،أو من تنفّس الرّحم بالدّم</w:t>
      </w:r>
      <w:r>
        <w:rPr>
          <w:rFonts w:eastAsia="Amiri" w:cs="Amiri" w:ascii="Amiri" w:hAnsi="Amiri"/>
          <w:color w:val="111111"/>
          <w:sz w:val="28"/>
          <w:szCs w:val="28"/>
          <w:rtl w:val="true"/>
          <w:lang w:bidi="ar-SA"/>
        </w:rPr>
        <w:t>.</w:t>
      </w:r>
    </w:p>
    <w:p>
      <w:pPr>
        <w:pStyle w:val="Heading5"/>
        <w:numPr>
          <w:ilvl w:val="4"/>
          <w:numId w:val="1"/>
        </w:numPr>
        <w:rPr/>
      </w:pPr>
      <w:bookmarkStart w:id="1293" w:name="__RefHeading___Toc796183_222507752"/>
      <w:bookmarkStart w:id="1294" w:name="_Toc531"/>
      <w:bookmarkEnd w:id="1293"/>
      <w:r>
        <w:rPr>
          <w:rtl w:val="true"/>
        </w:rPr>
        <w:t>مسألة</w:t>
      </w:r>
      <w:r>
        <w:rPr>
          <w:rtl w:val="true"/>
        </w:rPr>
        <w:t>:</w:t>
      </w:r>
      <w:r>
        <w:rPr>
          <w:rtl w:val="true"/>
        </w:rPr>
        <w:t>و لا يكون نفاس إلاّ مع الدّم،</w:t>
      </w:r>
      <w:bookmarkEnd w:id="1294"/>
    </w:p>
    <w:p>
      <w:pPr>
        <w:pStyle w:val="BookText"/>
        <w:rPr/>
      </w:pPr>
      <w:r>
        <w:rPr>
          <w:rFonts w:ascii="Amiri" w:hAnsi="Amiri" w:eastAsia="Amiri" w:cs="Amiri"/>
          <w:color w:val="111111"/>
          <w:sz w:val="28"/>
          <w:sz w:val="28"/>
          <w:szCs w:val="28"/>
          <w:rtl w:val="true"/>
          <w:lang w:bidi="ar-SA"/>
        </w:rPr>
        <w:t>سواء ولدته تامّا أو ناقصا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قول أحمد في إحدى الرّوايتين </w:t>
      </w:r>
      <w:r>
        <w:rPr>
          <w:rStyle w:val="FootnoteAnchor"/>
          <w:rtl w:val="true"/>
        </w:rPr>
        <w:footnoteReference w:id="2262"/>
      </w:r>
      <w:r>
        <w:rPr>
          <w:rFonts w:ascii="Amiri" w:hAnsi="Amiri" w:eastAsia="Amiri" w:cs="Amiri"/>
          <w:color w:val="111111"/>
          <w:sz w:val="28"/>
          <w:sz w:val="28"/>
          <w:szCs w:val="28"/>
          <w:rtl w:val="true"/>
          <w:lang w:bidi="ar-SA"/>
        </w:rPr>
        <w:t>،و أحد قولي الشّافعيّ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القول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يجب عليها الغسل </w:t>
      </w:r>
      <w:r>
        <w:rPr>
          <w:rStyle w:val="FootnoteAnchor"/>
          <w:rtl w:val="true"/>
        </w:rPr>
        <w:footnoteReference w:id="2263"/>
      </w:r>
      <w:r>
        <w:rPr>
          <w:rStyle w:val="FootnoteAnchor"/>
          <w:rtl w:val="true"/>
        </w:rPr>
        <w:footnoteReference w:id="226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قول أحمد في إحدى الرّوايتين </w:t>
      </w:r>
      <w:r>
        <w:rPr>
          <w:rStyle w:val="FootnoteAnchor"/>
          <w:rtl w:val="true"/>
        </w:rPr>
        <w:footnoteReference w:id="2265"/>
      </w:r>
      <w:r>
        <w:rPr>
          <w:rFonts w:ascii="Amiri" w:hAnsi="Amiri" w:eastAsia="Amiri" w:cs="Amiri"/>
          <w:color w:val="111111"/>
          <w:sz w:val="28"/>
          <w:sz w:val="28"/>
          <w:szCs w:val="28"/>
          <w:rtl w:val="true"/>
          <w:lang w:bidi="ar-SA"/>
        </w:rPr>
        <w:t xml:space="preserve">،و ذلك على الاختلاف بين زفر و أبي يوسف في وجوب الاغتسال عليها،فأوجبه أحدهما </w:t>
      </w:r>
      <w:r>
        <w:rPr>
          <w:rStyle w:val="FootnoteAnchor"/>
          <w:rtl w:val="true"/>
        </w:rPr>
        <w:footnoteReference w:id="2266"/>
      </w:r>
      <w:r>
        <w:rPr>
          <w:rFonts w:ascii="IRNazanin" w:hAnsi="IRNazanin" w:eastAsia="IRNazanin"/>
          <w:color w:val="111111"/>
          <w:sz w:val="28"/>
          <w:sz w:val="28"/>
          <w:szCs w:val="28"/>
          <w:rtl w:val="true"/>
          <w:lang w:bidi="fa-IR"/>
        </w:rPr>
        <w:t>دون الآخر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النّفاس هو الدّم المخصوص و لم يوجد،و لأنّ الأصل براءة الذّمّة من وجوب الغسل،و استباحة الأفعال الممنوعة منها النّفساء،و القول بوجوب الغسل إبطال للأصل من غير دليل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لأنّ الوجوب حكم شرعيّ،و لم يرد بالغسل هاهنا النّص و لا معناه،فإنّه ليس بدم و لا منيّ،و إنّما ورد الشّرع بالإيجاب بهذين الشّيئين</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احتجّوا بأنّ الولادة مظنّة النّفاس الموجب،فقامت مقامه في الإيجاب،كالتقاء الختانين،و لأنّ استبراء الرّحم يحصل بها كالحيض،فيثبت فيها حكمه،و لأنّ الولد خلق من المنيّ،و خروج المنيّ يوجب الغسل</w:t>
      </w:r>
      <w:r>
        <w:rPr>
          <w:rFonts w:eastAsia="Amiri" w:cs="Amiri" w:ascii="Amiri" w:hAnsi="Amiri"/>
          <w:color w:val="111111"/>
          <w:sz w:val="28"/>
          <w:szCs w:val="28"/>
          <w:rtl w:val="true"/>
          <w:lang w:bidi="ar-SA"/>
        </w:rPr>
        <w:t xml:space="preserve">. </w:t>
      </w:r>
      <w:bookmarkStart w:id="1295" w:name="pg12669_113218"/>
    </w:p>
    <w:p>
      <w:pPr>
        <w:pStyle w:val="BookText"/>
        <w:rPr/>
      </w:pPr>
      <w:bookmarkEnd w:id="1295"/>
      <w:r>
        <w:rPr>
          <w:rFonts w:ascii="Amiri" w:hAnsi="Amiri" w:eastAsia="Amiri" w:cs="Amiri"/>
          <w:color w:val="111111"/>
          <w:sz w:val="28"/>
          <w:sz w:val="28"/>
          <w:szCs w:val="28"/>
          <w:rtl w:val="true"/>
          <w:lang w:bidi="ar-SA"/>
        </w:rPr>
        <w:t>و الجواب عن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المظنّة إنّما تعتبر بالنّصّ أو الإجماع،و لم يوجدا ها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قياس طرديّ لا معنى تحته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انّ النّفاس و الحيض اختلفا في كثير من الأحكام،فليس شبهه به في هذا الحكم أولى من مخالفته لمخالفة في سائر الأحكام،و يؤيّد ما ذكرناه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 في الصّحيح،عن الحسين بن عليّ بن يقطين،عن أبي الحسن الماضي عليه السّلام عن النّفساء،قال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w:t>
      </w:r>
      <w:r>
        <w:rPr>
          <w:rFonts w:eastAsia="Amiri" w:cs="Amiri" w:ascii="Amiri" w:hAnsi="Amiri"/>
          <w:color w:val="111111"/>
          <w:sz w:val="28"/>
          <w:szCs w:val="28"/>
          <w:rtl w:val="true"/>
          <w:lang w:bidi="ar-SA"/>
        </w:rPr>
        <w:t xml:space="preserve">] </w:t>
      </w:r>
      <w:r>
        <w:rPr>
          <w:rStyle w:val="FootnoteAnchor"/>
          <w:rtl w:val="true"/>
        </w:rPr>
        <w:footnoteReference w:id="2267"/>
      </w:r>
      <w:r>
        <w:rPr>
          <w:rFonts w:ascii="Amiri" w:hAnsi="Amiri" w:eastAsia="Amiri" w:cs="Amiri"/>
          <w:color w:val="111111"/>
          <w:sz w:val="28"/>
          <w:sz w:val="28"/>
          <w:szCs w:val="28"/>
          <w:rtl w:val="true"/>
          <w:lang w:bidi="ar-SA"/>
        </w:rPr>
        <w:t>ما دامت ترى الدّم العبيط</w:t>
      </w:r>
      <w:r>
        <w:rPr>
          <w:rFonts w:eastAsia="Amiri" w:cs="Amiri" w:ascii="Amiri" w:hAnsi="Amiri"/>
          <w:color w:val="111111"/>
          <w:sz w:val="28"/>
          <w:szCs w:val="28"/>
          <w:rtl w:val="true"/>
          <w:lang w:bidi="ar-SA"/>
        </w:rPr>
        <w:t xml:space="preserve">» </w:t>
      </w:r>
      <w:r>
        <w:rPr>
          <w:rStyle w:val="FootnoteAnchor"/>
          <w:rtl w:val="true"/>
        </w:rPr>
        <w:footnoteReference w:id="2268"/>
      </w:r>
      <w:r>
        <w:rPr>
          <w:rFonts w:ascii="Amiri" w:hAnsi="Amiri" w:eastAsia="Amiri" w:cs="Amiri"/>
          <w:color w:val="111111"/>
          <w:sz w:val="28"/>
          <w:sz w:val="28"/>
          <w:szCs w:val="28"/>
          <w:rtl w:val="true"/>
          <w:lang w:bidi="ar-SA"/>
        </w:rPr>
        <w:t xml:space="preserve">و هذا دالّ على المنع من التّرك في وقت عدم الرّؤية للدّم </w:t>
      </w:r>
      <w:r>
        <w:rPr>
          <w:rStyle w:val="FootnoteAnchor"/>
          <w:rtl w:val="true"/>
        </w:rPr>
        <w:footnoteReference w:id="22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الموجب خروج المنيّ،لا ما يتكوّن منه</w:t>
      </w:r>
      <w:r>
        <w:rPr>
          <w:rFonts w:eastAsia="Amiri" w:cs="Amiri" w:ascii="Amiri" w:hAnsi="Amiri"/>
          <w:color w:val="111111"/>
          <w:sz w:val="28"/>
          <w:szCs w:val="28"/>
          <w:rtl w:val="true"/>
          <w:lang w:bidi="ar-SA"/>
        </w:rPr>
        <w:t>.</w:t>
      </w:r>
    </w:p>
    <w:p>
      <w:pPr>
        <w:pStyle w:val="Heading5"/>
        <w:numPr>
          <w:ilvl w:val="4"/>
          <w:numId w:val="1"/>
        </w:numPr>
        <w:rPr/>
      </w:pPr>
      <w:bookmarkStart w:id="1296" w:name="__RefHeading___Toc796185_222507752"/>
      <w:bookmarkStart w:id="1297" w:name="_Toc532"/>
      <w:bookmarkEnd w:id="1296"/>
      <w:r>
        <w:rPr>
          <w:rtl w:val="true"/>
        </w:rPr>
        <w:t>مسألة</w:t>
      </w:r>
      <w:r>
        <w:rPr>
          <w:rtl w:val="true"/>
        </w:rPr>
        <w:t>:</w:t>
      </w:r>
      <w:r>
        <w:rPr>
          <w:rtl w:val="true"/>
        </w:rPr>
        <w:t>و لو خرج الدّم قبل الولادة لم يكن نفاسا</w:t>
      </w:r>
      <w:bookmarkEnd w:id="1297"/>
    </w:p>
    <w:p>
      <w:pPr>
        <w:pStyle w:val="Heading6"/>
        <w:numPr>
          <w:ilvl w:val="5"/>
          <w:numId w:val="1"/>
        </w:numPr>
        <w:rPr/>
      </w:pPr>
      <w:bookmarkStart w:id="1298" w:name="__RefHeading___Toc796187_222507752"/>
      <w:bookmarkStart w:id="1299" w:name="_Toc533"/>
      <w:bookmarkEnd w:id="1298"/>
      <w:r>
        <w:rPr>
          <w:rtl w:val="true"/>
        </w:rPr>
        <w:t>اشارة</w:t>
      </w:r>
      <w:bookmarkEnd w:id="1299"/>
    </w:p>
    <w:p>
      <w:pPr>
        <w:pStyle w:val="BookText"/>
        <w:rPr/>
      </w:pPr>
      <w:r>
        <w:rPr>
          <w:rFonts w:ascii="Amiri" w:hAnsi="Amiri" w:eastAsia="Amiri" w:cs="Amiri"/>
          <w:color w:val="111111"/>
          <w:sz w:val="28"/>
          <w:sz w:val="28"/>
          <w:szCs w:val="28"/>
          <w:rtl w:val="true"/>
          <w:lang w:bidi="ar-SA"/>
        </w:rPr>
        <w:t>إجماعا،كما انّه لو خرج بعد الولادة كان نفاسا إجماعا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ما يخرج مع الولادة فقد صرّح الشّيخ في الخلاف و المبسوط انّه نفاس </w:t>
      </w:r>
      <w:r>
        <w:rPr>
          <w:rStyle w:val="FootnoteAnchor"/>
          <w:rtl w:val="true"/>
        </w:rPr>
        <w:footnoteReference w:id="227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قول أبي إسحاق المروزيّ،و أبي العبّاس بن القاص من أصحاب الشّافعيّ </w:t>
      </w:r>
      <w:r>
        <w:rPr>
          <w:rStyle w:val="FootnoteAnchor"/>
          <w:rtl w:val="true"/>
        </w:rPr>
        <w:footnoteReference w:id="227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السّيّد المرتضى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النّفاس هو الدّم الّذي تراه المرأة عقيب الولادة </w:t>
      </w:r>
      <w:r>
        <w:rPr>
          <w:rStyle w:val="FootnoteAnchor"/>
          <w:rtl w:val="true"/>
        </w:rPr>
        <w:footnoteReference w:id="22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هو اختيار بعض الشّافعيّة </w:t>
      </w:r>
      <w:r>
        <w:rPr>
          <w:rStyle w:val="FootnoteAnchor"/>
          <w:rtl w:val="true"/>
        </w:rPr>
        <w:footnoteReference w:id="2273"/>
      </w:r>
      <w:r>
        <w:rPr>
          <w:rFonts w:ascii="Amiri" w:hAnsi="Amiri" w:eastAsia="Amiri" w:cs="Amiri"/>
          <w:color w:val="111111"/>
          <w:sz w:val="28"/>
          <w:sz w:val="28"/>
          <w:szCs w:val="28"/>
          <w:rtl w:val="true"/>
          <w:lang w:bidi="ar-SA"/>
        </w:rPr>
        <w:t xml:space="preserve">،و مذهب أبي حنيفة </w:t>
      </w:r>
      <w:r>
        <w:rPr>
          <w:rStyle w:val="FootnoteAnchor"/>
          <w:rtl w:val="true"/>
        </w:rPr>
        <w:footnoteReference w:id="2274"/>
      </w:r>
      <w:r>
        <w:rPr>
          <w:rFonts w:eastAsia="Times New Roman" w:cs="Times New Roman" w:ascii="Times New Roman" w:hAnsi="Times New Roman"/>
          <w:color w:val="111111"/>
          <w:sz w:val="28"/>
          <w:szCs w:val="28"/>
          <w:rtl w:val="true"/>
          <w:lang w:val="en-US" w:bidi="en-US"/>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استدلّ الشّيخ في الخلاف،بأنّ اللّفظ يتناوله،فيحمل على عموم ما ورد في هذا </w:t>
      </w:r>
      <w:bookmarkStart w:id="1300" w:name="pg12669_113219"/>
    </w:p>
    <w:p>
      <w:pPr>
        <w:pStyle w:val="BookText"/>
        <w:rPr/>
      </w:pPr>
      <w:bookmarkEnd w:id="1300"/>
      <w:r>
        <w:rPr>
          <w:rFonts w:ascii="IRNazanin" w:hAnsi="IRNazanin" w:eastAsia="IRNazanin"/>
          <w:color w:val="111111"/>
          <w:sz w:val="28"/>
          <w:sz w:val="28"/>
          <w:szCs w:val="28"/>
          <w:rtl w:val="true"/>
          <w:lang w:bidi="fa-IR"/>
        </w:rPr>
        <w:t>الباب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ما تراه مع الطّلق قبل الولادة فليس بنفاس،لما رواه الشّيخ في الموثّق،عن عمّار السّاباطي،عن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المرأة يصيبها الطّلق أيّاما أو يوما أو يومين فترى الصّفرة أو دما؟قال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تصلي ما لم تلد،فإن غلبها الوجع ففاتتها صلاة لم تقدر أن تصلّيها فعليها قضاء تلك الصّلاة</w:t>
      </w:r>
      <w:r>
        <w:rPr>
          <w:rFonts w:eastAsia="Amiri" w:cs="Amiri" w:ascii="Amiri" w:hAnsi="Amiri"/>
          <w:color w:val="111111"/>
          <w:sz w:val="28"/>
          <w:szCs w:val="28"/>
          <w:rtl w:val="true"/>
          <w:lang w:bidi="ar-SA"/>
        </w:rPr>
        <w:t xml:space="preserve">» </w:t>
      </w:r>
      <w:r>
        <w:rPr>
          <w:rStyle w:val="FootnoteAnchor"/>
          <w:rtl w:val="true"/>
        </w:rPr>
        <w:footnoteReference w:id="2275"/>
      </w:r>
      <w:r>
        <w:rPr>
          <w:rFonts w:ascii="Amiri" w:hAnsi="Amiri" w:eastAsia="Amiri" w:cs="Amiri"/>
          <w:color w:val="111111"/>
          <w:sz w:val="28"/>
          <w:sz w:val="28"/>
          <w:szCs w:val="28"/>
          <w:rtl w:val="true"/>
          <w:lang w:bidi="ar-SA"/>
        </w:rPr>
        <w:t>و يؤيّدها الأصل من شغل الذّمّة بالعبادة بعد التّكليف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الشّيخ،عن السّكونيّ،عن جعفر،عن أبيه عليهما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 اللّه ليجعل حيضا مع حبل،يعني إذا رأت المرأة الدّم و هي حامل لا تدع الصّلاة إلاّ أن ترى على رأس الولد إذا ضربها الطّلق و رأت الدّم تركت الصّلاة</w:t>
      </w:r>
      <w:r>
        <w:rPr>
          <w:rFonts w:eastAsia="Amiri" w:cs="Amiri" w:ascii="Amiri" w:hAnsi="Amiri"/>
          <w:color w:val="111111"/>
          <w:sz w:val="28"/>
          <w:szCs w:val="28"/>
          <w:rtl w:val="true"/>
          <w:lang w:bidi="ar-SA"/>
        </w:rPr>
        <w:t xml:space="preserve">» </w:t>
      </w:r>
      <w:r>
        <w:rPr>
          <w:rStyle w:val="FootnoteAnchor"/>
          <w:rtl w:val="true"/>
        </w:rPr>
        <w:footnoteReference w:id="227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301" w:name="__RefHeading___Toc796189_222507752"/>
      <w:bookmarkStart w:id="1302" w:name="_Toc534"/>
      <w:bookmarkEnd w:id="1301"/>
      <w:r>
        <w:rPr>
          <w:rtl w:val="true"/>
        </w:rPr>
        <w:t>فروع</w:t>
      </w:r>
      <w:r>
        <w:rPr>
          <w:rtl w:val="true"/>
        </w:rPr>
        <w:t>:</w:t>
      </w:r>
      <w:bookmarkEnd w:id="1302"/>
    </w:p>
    <w:p>
      <w:pPr>
        <w:pStyle w:val="Heading6"/>
        <w:numPr>
          <w:ilvl w:val="5"/>
          <w:numId w:val="1"/>
        </w:numPr>
        <w:rPr/>
      </w:pPr>
      <w:bookmarkStart w:id="1303" w:name="__RefHeading___Toc796191_222507752"/>
      <w:bookmarkStart w:id="1304" w:name="_Toc535"/>
      <w:bookmarkEnd w:id="1303"/>
      <w:r>
        <w:rPr>
          <w:rtl w:val="true"/>
        </w:rPr>
        <w:t>الأوّل</w:t>
      </w:r>
      <w:r>
        <w:rPr>
          <w:rtl w:val="true"/>
        </w:rPr>
        <w:t>:</w:t>
      </w:r>
      <w:r>
        <w:rPr>
          <w:rtl w:val="true"/>
        </w:rPr>
        <w:t>لو وضعت شيئا تبيّن فيه خلق الإنسان فرأت الدّم فهو نفاس</w:t>
      </w:r>
      <w:bookmarkEnd w:id="1304"/>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إجماعا،و لو كان مضغة فهو كالولد،لأنّه دم جاء عقيب حمل،و لأنّه بدء خلق آدميّ و كان نفاسا، كما لو تبيّن فيها خلق آدميّ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أحد الوجهين عند أحمد،و في الوجه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بنفاس </w:t>
      </w:r>
      <w:r>
        <w:rPr>
          <w:rStyle w:val="FootnoteAnchor"/>
          <w:rtl w:val="true"/>
        </w:rPr>
        <w:footnoteReference w:id="227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اختيار الحنفيّة </w:t>
      </w:r>
      <w:r>
        <w:rPr>
          <w:rStyle w:val="FootnoteAnchor"/>
          <w:rtl w:val="true"/>
        </w:rPr>
        <w:footnoteReference w:id="2278"/>
      </w:r>
      <w:r>
        <w:rPr>
          <w:rFonts w:ascii="Amiri" w:hAnsi="Amiri" w:eastAsia="Amiri" w:cs="Amiri"/>
          <w:color w:val="111111"/>
          <w:sz w:val="28"/>
          <w:sz w:val="28"/>
          <w:szCs w:val="28"/>
          <w:rtl w:val="true"/>
          <w:lang w:bidi="ar-SA"/>
        </w:rPr>
        <w:t xml:space="preserve">،لأنّه لم يتبيّن فيها خلق آدميّ فأشبهت النّطفة، </w:t>
      </w:r>
      <w:bookmarkStart w:id="1305" w:name="pg12669_113220"/>
    </w:p>
    <w:p>
      <w:pPr>
        <w:pStyle w:val="BookText"/>
        <w:rPr/>
      </w:pPr>
      <w:bookmarkEnd w:id="1305"/>
      <w:r>
        <w:rPr>
          <w:rFonts w:ascii="Amiri" w:hAnsi="Amiri" w:eastAsia="Amiri" w:cs="Amiri"/>
          <w:color w:val="111111"/>
          <w:sz w:val="28"/>
          <w:sz w:val="28"/>
          <w:szCs w:val="28"/>
          <w:rtl w:val="true"/>
          <w:lang w:bidi="ar-SA"/>
        </w:rPr>
        <w:t>و لعلّ بين الأمرين فرقا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العلقة و النّطفة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 يتعيّن </w:t>
      </w:r>
      <w:r>
        <w:rPr>
          <w:rStyle w:val="FootnoteAnchor"/>
          <w:rtl w:val="true"/>
        </w:rPr>
        <w:footnoteReference w:id="2279"/>
      </w:r>
      <w:r>
        <w:rPr>
          <w:rFonts w:ascii="Amiri" w:hAnsi="Amiri" w:eastAsia="Amiri" w:cs="Amiri"/>
          <w:color w:val="111111"/>
          <w:sz w:val="28"/>
          <w:sz w:val="28"/>
          <w:szCs w:val="28"/>
          <w:rtl w:val="true"/>
          <w:lang w:bidi="ar-SA"/>
        </w:rPr>
        <w:t>معهما الحمل،فيكون حكم الدّم الحاصل بعدها حكم الدّم الحائل،إمّا حيض أو استحاضة</w:t>
      </w:r>
      <w:r>
        <w:rPr>
          <w:rFonts w:eastAsia="Amiri" w:cs="Amiri" w:ascii="Amiri" w:hAnsi="Amiri"/>
          <w:color w:val="111111"/>
          <w:sz w:val="28"/>
          <w:szCs w:val="28"/>
          <w:rtl w:val="true"/>
          <w:lang w:bidi="ar-SA"/>
        </w:rPr>
        <w:t>.</w:t>
      </w:r>
    </w:p>
    <w:p>
      <w:pPr>
        <w:pStyle w:val="Heading6"/>
        <w:numPr>
          <w:ilvl w:val="5"/>
          <w:numId w:val="1"/>
        </w:numPr>
        <w:rPr/>
      </w:pPr>
      <w:bookmarkStart w:id="1306" w:name="__RefHeading___Toc796193_222507752"/>
      <w:bookmarkStart w:id="1307" w:name="_Toc536"/>
      <w:bookmarkEnd w:id="1306"/>
      <w:r>
        <w:rPr>
          <w:rtl w:val="true"/>
        </w:rPr>
        <w:t>الثّاني</w:t>
      </w:r>
      <w:r>
        <w:rPr>
          <w:rtl w:val="true"/>
        </w:rPr>
        <w:t>:</w:t>
      </w:r>
      <w:r>
        <w:rPr>
          <w:rtl w:val="true"/>
        </w:rPr>
        <w:t>لو خرج بعض الولد كانت نفاسا</w:t>
      </w:r>
      <w:bookmarkEnd w:id="1307"/>
    </w:p>
    <w:p>
      <w:pPr>
        <w:pStyle w:val="BookText"/>
        <w:rPr/>
      </w:pPr>
      <w:r>
        <w:rPr>
          <w:rFonts w:ascii="Amiri" w:hAnsi="Amiri" w:eastAsia="Amiri" w:cs="Amiri"/>
          <w:color w:val="111111"/>
          <w:sz w:val="28"/>
          <w:sz w:val="28"/>
          <w:szCs w:val="28"/>
          <w:rtl w:val="true"/>
          <w:lang w:bidi="ar-SA"/>
        </w:rPr>
        <w:t>عندنا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خلافا لبعض الحنفيّة </w:t>
      </w:r>
      <w:r>
        <w:rPr>
          <w:rStyle w:val="FootnoteAnchor"/>
          <w:rtl w:val="true"/>
        </w:rPr>
        <w:footnoteReference w:id="2280"/>
      </w:r>
      <w:r>
        <w:rPr>
          <w:rFonts w:ascii="Amiri" w:hAnsi="Amiri" w:eastAsia="Amiri" w:cs="Amiri"/>
          <w:color w:val="111111"/>
          <w:sz w:val="28"/>
          <w:sz w:val="28"/>
          <w:szCs w:val="28"/>
          <w:rtl w:val="true"/>
          <w:lang w:bidi="ar-SA"/>
        </w:rPr>
        <w:t>، و الوجه فيه ما تقدّم</w:t>
      </w:r>
      <w:r>
        <w:rPr>
          <w:rFonts w:eastAsia="Amiri" w:cs="Amiri" w:ascii="Amiri" w:hAnsi="Amiri"/>
          <w:color w:val="111111"/>
          <w:sz w:val="28"/>
          <w:szCs w:val="28"/>
          <w:rtl w:val="true"/>
          <w:lang w:bidi="ar-SA"/>
        </w:rPr>
        <w:t>.</w:t>
      </w:r>
    </w:p>
    <w:p>
      <w:pPr>
        <w:pStyle w:val="Heading6"/>
        <w:numPr>
          <w:ilvl w:val="5"/>
          <w:numId w:val="1"/>
        </w:numPr>
        <w:rPr/>
      </w:pPr>
      <w:bookmarkStart w:id="1308" w:name="__RefHeading___Toc796195_222507752"/>
      <w:bookmarkStart w:id="1309" w:name="_Toc537"/>
      <w:bookmarkEnd w:id="1308"/>
      <w:r>
        <w:rPr>
          <w:rtl w:val="true"/>
        </w:rPr>
        <w:t>الثّالث</w:t>
      </w:r>
      <w:r>
        <w:rPr>
          <w:rtl w:val="true"/>
        </w:rPr>
        <w:t>:</w:t>
      </w:r>
      <w:r>
        <w:rPr>
          <w:rtl w:val="true"/>
        </w:rPr>
        <w:t>الدّم الخارج قبل الولادة،قال الشّيخ في الخلاف و المبسوط</w:t>
      </w:r>
      <w:r>
        <w:rPr>
          <w:rtl w:val="true"/>
        </w:rPr>
        <w:t>:</w:t>
      </w:r>
      <w:r>
        <w:rPr>
          <w:rtl w:val="true"/>
        </w:rPr>
        <w:t>ليس</w:t>
      </w:r>
      <w:bookmarkEnd w:id="1309"/>
    </w:p>
    <w:p>
      <w:pPr>
        <w:pStyle w:val="BookText"/>
        <w:rPr/>
      </w:pPr>
      <w:r>
        <w:rPr>
          <w:rFonts w:ascii="Amiri" w:hAnsi="Amiri" w:eastAsia="Amiri" w:cs="Amiri"/>
          <w:color w:val="111111"/>
          <w:sz w:val="28"/>
          <w:sz w:val="28"/>
          <w:szCs w:val="28"/>
          <w:rtl w:val="true"/>
          <w:lang w:bidi="ar-SA"/>
        </w:rPr>
        <w:t>بحيض</w:t>
      </w:r>
    </w:p>
    <w:p>
      <w:pPr>
        <w:pStyle w:val="BookText"/>
        <w:rPr/>
      </w:pPr>
      <w:r>
        <w:rPr>
          <w:rStyle w:val="FootnoteAnchor"/>
          <w:rtl w:val="true"/>
        </w:rPr>
        <w:footnoteReference w:id="22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مأوّلا على الإجماع،على انّ الحامل المستبين حملها لا تحيض،و نحن لمّا نازعنا في ذلك،سقط هذا الكلام عندنا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للشّافعيّ قولان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حيض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استحاضة،لاستحالة تعاقب النّفاس و الحيض من غير طهر بينهما صحيح </w:t>
      </w:r>
      <w:r>
        <w:rPr>
          <w:rStyle w:val="FootnoteAnchor"/>
          <w:rtl w:val="true"/>
        </w:rPr>
        <w:footnoteReference w:id="228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نحن ننازع في هذا</w:t>
      </w:r>
      <w:r>
        <w:rPr>
          <w:rFonts w:eastAsia="Amiri" w:cs="Amiri" w:ascii="Amiri" w:hAnsi="Amiri"/>
          <w:color w:val="111111"/>
          <w:sz w:val="28"/>
          <w:szCs w:val="28"/>
          <w:rtl w:val="true"/>
          <w:lang w:bidi="ar-SA"/>
        </w:rPr>
        <w:t>.</w:t>
      </w:r>
    </w:p>
    <w:p>
      <w:pPr>
        <w:pStyle w:val="Heading6"/>
        <w:numPr>
          <w:ilvl w:val="5"/>
          <w:numId w:val="1"/>
        </w:numPr>
        <w:rPr/>
      </w:pPr>
      <w:bookmarkStart w:id="1310" w:name="__RefHeading___Toc796197_222507752"/>
      <w:bookmarkStart w:id="1311" w:name="_Toc538"/>
      <w:bookmarkEnd w:id="1310"/>
      <w:r>
        <w:rPr>
          <w:rtl w:val="true"/>
        </w:rPr>
        <w:t>الرّابع</w:t>
      </w:r>
      <w:r>
        <w:rPr>
          <w:rtl w:val="true"/>
        </w:rPr>
        <w:t>:</w:t>
      </w:r>
      <w:r>
        <w:rPr>
          <w:rtl w:val="true"/>
        </w:rPr>
        <w:t>الدّم المتخلّل بين الولدين التّوأمين نفاس</w:t>
      </w:r>
      <w:r>
        <w:rPr>
          <w:rtl w:val="true"/>
        </w:rPr>
        <w:t>.</w:t>
      </w:r>
      <w:bookmarkEnd w:id="1311"/>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هو قول مالك </w:t>
      </w:r>
      <w:r>
        <w:rPr>
          <w:rStyle w:val="FootnoteAnchor"/>
          <w:rtl w:val="true"/>
        </w:rPr>
        <w:footnoteReference w:id="2283"/>
      </w:r>
      <w:r>
        <w:rPr>
          <w:rFonts w:ascii="Amiri" w:hAnsi="Amiri" w:eastAsia="Amiri" w:cs="Amiri"/>
          <w:color w:val="111111"/>
          <w:sz w:val="28"/>
          <w:sz w:val="28"/>
          <w:szCs w:val="28"/>
          <w:rtl w:val="true"/>
          <w:lang w:bidi="ar-SA"/>
        </w:rPr>
        <w:t xml:space="preserve">،و أبي حنيفة </w:t>
      </w:r>
      <w:r>
        <w:rPr>
          <w:rStyle w:val="FootnoteAnchor"/>
          <w:rtl w:val="true"/>
        </w:rPr>
        <w:footnoteReference w:id="2284"/>
      </w:r>
      <w:r>
        <w:rPr>
          <w:rFonts w:ascii="Amiri" w:hAnsi="Amiri" w:eastAsia="Amiri" w:cs="Amiri"/>
          <w:color w:val="111111"/>
          <w:sz w:val="28"/>
          <w:sz w:val="28"/>
          <w:szCs w:val="28"/>
          <w:rtl w:val="true"/>
          <w:lang w:bidi="ar-SA"/>
        </w:rPr>
        <w:t xml:space="preserve">،و أبي يوسف </w:t>
      </w:r>
      <w:r>
        <w:rPr>
          <w:rStyle w:val="FootnoteAnchor"/>
          <w:rtl w:val="true"/>
        </w:rPr>
        <w:footnoteReference w:id="2285"/>
      </w:r>
      <w:r>
        <w:rPr>
          <w:rFonts w:ascii="Amiri" w:hAnsi="Amiri" w:eastAsia="Amiri" w:cs="Amiri"/>
          <w:color w:val="111111"/>
          <w:sz w:val="28"/>
          <w:sz w:val="28"/>
          <w:szCs w:val="28"/>
          <w:rtl w:val="true"/>
          <w:lang w:bidi="ar-SA"/>
        </w:rPr>
        <w:t xml:space="preserve">،و أصحّ وجهي الشّافعي </w:t>
      </w:r>
      <w:r>
        <w:rPr>
          <w:rStyle w:val="FootnoteAnchor"/>
          <w:rtl w:val="true"/>
        </w:rPr>
        <w:footnoteReference w:id="2286"/>
      </w:r>
      <w:r>
        <w:rPr>
          <w:rFonts w:ascii="Amiri" w:hAnsi="Amiri" w:eastAsia="Amiri" w:cs="Amiri"/>
          <w:color w:val="111111"/>
          <w:sz w:val="28"/>
          <w:sz w:val="28"/>
          <w:szCs w:val="28"/>
          <w:rtl w:val="true"/>
          <w:lang w:bidi="ar-SA"/>
        </w:rPr>
        <w:t xml:space="preserve">،و قول أبي إسحاق المروزيّ من أصحابه و إحدى الرّوايتين عن أحمد </w:t>
      </w:r>
      <w:r>
        <w:rPr>
          <w:rStyle w:val="FootnoteAnchor"/>
          <w:rtl w:val="true"/>
        </w:rPr>
        <w:footnoteReference w:id="228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بعض الشّافعيّة </w:t>
      </w:r>
      <w:r>
        <w:rPr>
          <w:rStyle w:val="FootnoteAnchor"/>
          <w:rtl w:val="true"/>
        </w:rPr>
        <w:footnoteReference w:id="2288"/>
      </w:r>
      <w:r>
        <w:rPr>
          <w:rFonts w:ascii="Amiri" w:hAnsi="Amiri" w:eastAsia="Amiri" w:cs="Amiri"/>
          <w:color w:val="111111"/>
          <w:sz w:val="28"/>
          <w:sz w:val="28"/>
          <w:szCs w:val="28"/>
          <w:rtl w:val="true"/>
          <w:lang w:bidi="ar-SA"/>
        </w:rPr>
        <w:t xml:space="preserve">،و محمّد </w:t>
      </w:r>
      <w:r>
        <w:rPr>
          <w:rStyle w:val="FootnoteAnchor"/>
          <w:rtl w:val="true"/>
        </w:rPr>
        <w:footnoteReference w:id="2289"/>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زفر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ليس بنفاس </w:t>
      </w:r>
      <w:r>
        <w:rPr>
          <w:rStyle w:val="FootnoteAnchor"/>
          <w:rtl w:val="true"/>
        </w:rPr>
        <w:footnoteReference w:id="229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الوجه الضّعيف للشّافعيّ </w:t>
      </w:r>
      <w:r>
        <w:rPr>
          <w:rStyle w:val="FootnoteAnchor"/>
          <w:rtl w:val="true"/>
        </w:rPr>
        <w:footnoteReference w:id="2291"/>
      </w:r>
      <w:r>
        <w:rPr>
          <w:rFonts w:ascii="Amiri" w:hAnsi="Amiri" w:eastAsia="Amiri" w:cs="Amiri"/>
          <w:color w:val="111111"/>
          <w:sz w:val="28"/>
          <w:sz w:val="28"/>
          <w:szCs w:val="28"/>
          <w:rtl w:val="true"/>
          <w:lang w:bidi="ar-SA"/>
        </w:rPr>
        <w:t xml:space="preserve">و الرّواية الأخرى لأحمد </w:t>
      </w:r>
      <w:r>
        <w:rPr>
          <w:rStyle w:val="FootnoteAnchor"/>
          <w:rtl w:val="true"/>
        </w:rPr>
        <w:footnoteReference w:id="22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النّفاس إمّا أن يكون مشتقّا من تنفّس الرّحم،أو من خروج النّفس الّذي هو الولد،أو من النّفس الّذي هو اسم الدّم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على كلّ تقدير فالدّم الحاصل عقيب الولد الأوّل يصدق عليه المعنى المشتقّ منه،فيصدق عليه اسم </w:t>
      </w:r>
      <w:r>
        <w:rPr>
          <w:rStyle w:val="FootnoteAnchor"/>
          <w:rtl w:val="true"/>
        </w:rPr>
        <w:footnoteReference w:id="2293"/>
      </w:r>
      <w:r>
        <w:rPr>
          <w:rFonts w:ascii="Amiri" w:hAnsi="Amiri" w:eastAsia="Amiri" w:cs="Amiri"/>
          <w:color w:val="111111"/>
          <w:sz w:val="28"/>
          <w:sz w:val="28"/>
          <w:szCs w:val="28"/>
          <w:rtl w:val="true"/>
          <w:lang w:bidi="ar-SA"/>
        </w:rPr>
        <w:t>المشتقّ،لوجوب الاطّراد في الاشتقاق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احتجّ محمّد بأنّ المرأة حامل ما دام في بطنها ولد آخر،و دم الحامل ليس بحيض، فلا يكون نفاسا،لأنّهما في الحكم سواء،و لأنّ العدّة تنقضي بالولد الأخير فكذلك النّفاس،لأنّهما حكمان متعلّقان بالولادة </w:t>
      </w:r>
      <w:r>
        <w:rPr>
          <w:rStyle w:val="FootnoteAnchor"/>
          <w:rtl w:val="true"/>
        </w:rPr>
        <w:footnoteReference w:id="22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الجواب عن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بالمنع من كون الحامل لا تحيض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سلف </w:t>
      </w:r>
      <w:r>
        <w:rPr>
          <w:rStyle w:val="FootnoteAnchor"/>
          <w:rtl w:val="true"/>
        </w:rPr>
        <w:footnoteReference w:id="2295"/>
      </w:r>
      <w:r>
        <w:rPr>
          <w:rFonts w:eastAsia="Times New Roman" w:cs="Times New Roman" w:ascii="Times New Roman" w:hAnsi="Times New Roman"/>
          <w:color w:val="111111"/>
          <w:sz w:val="28"/>
          <w:szCs w:val="28"/>
          <w:rtl w:val="true"/>
          <w:lang w:val="en-US" w:bidi="en-US"/>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سلّمنا،لكنّ الحامل إنّما لم تحض،لانسداد فم الرّحم و كان الخارج غير دم </w:t>
      </w:r>
      <w:bookmarkStart w:id="1312" w:name="pg12669_113222"/>
    </w:p>
    <w:p>
      <w:pPr>
        <w:pStyle w:val="BookText"/>
        <w:rPr/>
      </w:pPr>
      <w:bookmarkEnd w:id="1312"/>
      <w:r>
        <w:rPr>
          <w:rFonts w:ascii="Amiri" w:hAnsi="Amiri" w:eastAsia="Amiri" w:cs="Amiri"/>
          <w:color w:val="111111"/>
          <w:sz w:val="28"/>
          <w:sz w:val="28"/>
          <w:szCs w:val="28"/>
          <w:rtl w:val="true"/>
          <w:lang w:bidi="ar-SA"/>
        </w:rPr>
        <w:t>الرّحم،أمّا هاهنا فبالولد الأوّل انفتح فم الرّحم،فكان الخارج 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بالفرق،فإنّ العدّة تنقضي بوضع الحمل،و الحمل اسم لجميع ما في البطن،على انّا نمنع توقّف الانقضاء على الولد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سيأتي البحث فيه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ظهر ممّا تقدّم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ابتداء النّفاس من الأوّل،و عدد أيّامه من الثّاني،و هو أحد وجوه الشّافعيّ و الوجه الثّاني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المعتبر بأوّل النّفاس و آخره بالأوّل </w:t>
      </w:r>
      <w:r>
        <w:rPr>
          <w:rStyle w:val="FootnoteAnchor"/>
          <w:rtl w:val="true"/>
        </w:rPr>
        <w:footnoteReference w:id="2296"/>
      </w:r>
      <w:r>
        <w:rPr>
          <w:rFonts w:ascii="Amiri" w:hAnsi="Amiri" w:eastAsia="Amiri" w:cs="Amiri"/>
          <w:color w:val="111111"/>
          <w:sz w:val="28"/>
          <w:sz w:val="28"/>
          <w:szCs w:val="28"/>
          <w:rtl w:val="true"/>
          <w:lang w:bidi="ar-SA"/>
        </w:rPr>
        <w:t xml:space="preserve">،و به قال أبو يوسف </w:t>
      </w:r>
      <w:r>
        <w:rPr>
          <w:rStyle w:val="FootnoteAnchor"/>
          <w:rtl w:val="true"/>
        </w:rPr>
        <w:footnoteReference w:id="2297"/>
      </w:r>
      <w:r>
        <w:rPr>
          <w:rFonts w:ascii="Amiri" w:hAnsi="Amiri" w:eastAsia="Amiri" w:cs="Amiri"/>
          <w:color w:val="111111"/>
          <w:sz w:val="28"/>
          <w:sz w:val="28"/>
          <w:szCs w:val="28"/>
          <w:rtl w:val="true"/>
          <w:lang w:bidi="ar-SA"/>
        </w:rPr>
        <w:t xml:space="preserve">و أبو حنيفة أيضا </w:t>
      </w:r>
      <w:r>
        <w:rPr>
          <w:rStyle w:val="FootnoteAnchor"/>
          <w:rtl w:val="true"/>
        </w:rPr>
        <w:footnoteReference w:id="2298"/>
      </w:r>
      <w:r>
        <w:rPr>
          <w:rFonts w:ascii="Amiri" w:hAnsi="Amiri" w:eastAsia="Amiri" w:cs="Amiri"/>
          <w:color w:val="111111"/>
          <w:sz w:val="28"/>
          <w:sz w:val="28"/>
          <w:szCs w:val="28"/>
          <w:rtl w:val="true"/>
          <w:lang w:bidi="ar-SA"/>
        </w:rPr>
        <w:t>،حتّى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كان بين الولدين أكثر مدّة النّفاس و هي أربعون،أو ستّون على الخلاف،لم يكن ما يوجد من الدّم بعد الثّاني نفاسا </w:t>
      </w:r>
      <w:r>
        <w:rPr>
          <w:rStyle w:val="FootnoteAnchor"/>
          <w:rtl w:val="true"/>
        </w:rPr>
        <w:footnoteReference w:id="22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الوجه الثّالث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يعتبر ذلك بالثّاني </w:t>
      </w:r>
      <w:r>
        <w:rPr>
          <w:rStyle w:val="FootnoteAnchor"/>
          <w:rtl w:val="true"/>
        </w:rPr>
        <w:footnoteReference w:id="230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قال محمّد </w:t>
      </w:r>
      <w:r>
        <w:rPr>
          <w:rStyle w:val="FootnoteAnchor"/>
          <w:rtl w:val="true"/>
        </w:rPr>
        <w:footnoteReference w:id="2301"/>
      </w:r>
      <w:r>
        <w:rPr>
          <w:rFonts w:ascii="IRNazanin" w:hAnsi="IRNazanin" w:eastAsia="IRNazanin"/>
          <w:color w:val="111111"/>
          <w:sz w:val="28"/>
          <w:sz w:val="28"/>
          <w:szCs w:val="28"/>
          <w:rtl w:val="true"/>
          <w:lang w:bidi="fa-IR"/>
        </w:rPr>
        <w:t xml:space="preserve">،و زفر </w:t>
      </w:r>
      <w:r>
        <w:rPr>
          <w:rStyle w:val="FootnoteAnchor"/>
          <w:rtl w:val="true"/>
        </w:rPr>
        <w:footnoteReference w:id="23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الحقّ ما قلناه من انّه يعتبر أوّله بالأوّل،و آخره بالثّاني</w:t>
      </w:r>
      <w:r>
        <w:rPr>
          <w:rFonts w:eastAsia="Amiri" w:cs="Amiri" w:ascii="Amiri" w:hAnsi="Amiri"/>
          <w:color w:val="111111"/>
          <w:sz w:val="28"/>
          <w:szCs w:val="28"/>
          <w:rtl w:val="true"/>
          <w:lang w:bidi="ar-SA"/>
        </w:rPr>
        <w:t>.</w:t>
      </w:r>
    </w:p>
    <w:p>
      <w:pPr>
        <w:pStyle w:val="Heading5"/>
        <w:numPr>
          <w:ilvl w:val="4"/>
          <w:numId w:val="1"/>
        </w:numPr>
        <w:rPr/>
      </w:pPr>
      <w:bookmarkStart w:id="1313" w:name="__RefHeading___Toc796199_222507752"/>
      <w:bookmarkStart w:id="1314" w:name="_Toc539"/>
      <w:bookmarkEnd w:id="1313"/>
      <w:r>
        <w:rPr>
          <w:rtl w:val="true"/>
        </w:rPr>
        <w:t>مسألة</w:t>
      </w:r>
      <w:r>
        <w:rPr>
          <w:rtl w:val="true"/>
        </w:rPr>
        <w:t>:</w:t>
      </w:r>
      <w:r>
        <w:rPr>
          <w:rtl w:val="true"/>
        </w:rPr>
        <w:t>و لا حدّ لأقلّ النّفاس</w:t>
      </w:r>
      <w:r>
        <w:rPr>
          <w:rtl w:val="true"/>
        </w:rPr>
        <w:t>.</w:t>
      </w:r>
      <w:bookmarkEnd w:id="1314"/>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هو مذهب علمائنا أجمع،و به قال الشّافعيّ </w:t>
      </w:r>
      <w:r>
        <w:rPr>
          <w:rStyle w:val="FootnoteAnchor"/>
          <w:rtl w:val="true"/>
        </w:rPr>
        <w:footnoteReference w:id="2303"/>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الأوزاعيّ </w:t>
      </w:r>
      <w:r>
        <w:rPr>
          <w:rStyle w:val="FootnoteAnchor"/>
          <w:rtl w:val="true"/>
        </w:rPr>
        <w:footnoteReference w:id="2304"/>
      </w:r>
      <w:r>
        <w:rPr>
          <w:rFonts w:ascii="Amiri" w:hAnsi="Amiri" w:eastAsia="Amiri" w:cs="Amiri"/>
          <w:color w:val="111111"/>
          <w:sz w:val="28"/>
          <w:sz w:val="28"/>
          <w:szCs w:val="28"/>
          <w:rtl w:val="true"/>
          <w:lang w:bidi="ar-SA"/>
        </w:rPr>
        <w:t xml:space="preserve">،و مالك </w:t>
      </w:r>
      <w:r>
        <w:rPr>
          <w:rStyle w:val="FootnoteAnchor"/>
          <w:rtl w:val="true"/>
        </w:rPr>
        <w:footnoteReference w:id="2305"/>
      </w:r>
      <w:r>
        <w:rPr>
          <w:rFonts w:ascii="IRNazanin" w:hAnsi="IRNazanin" w:eastAsia="IRNazanin"/>
          <w:color w:val="111111"/>
          <w:sz w:val="28"/>
          <w:sz w:val="28"/>
          <w:szCs w:val="28"/>
          <w:rtl w:val="true"/>
          <w:lang w:bidi="fa-IR"/>
        </w:rPr>
        <w:t xml:space="preserve">،و أحمد </w:t>
      </w:r>
      <w:r>
        <w:rPr>
          <w:rStyle w:val="FootnoteAnchor"/>
          <w:rtl w:val="true"/>
        </w:rPr>
        <w:footnoteReference w:id="2306"/>
      </w:r>
      <w:r>
        <w:rPr>
          <w:rFonts w:ascii="Amiri" w:hAnsi="Amiri" w:eastAsia="Amiri" w:cs="Amiri"/>
          <w:color w:val="111111"/>
          <w:sz w:val="28"/>
          <w:sz w:val="28"/>
          <w:szCs w:val="28"/>
          <w:rtl w:val="true"/>
          <w:lang w:bidi="ar-SA"/>
        </w:rPr>
        <w:t xml:space="preserve">و أبو حنيفة </w:t>
      </w:r>
      <w:r>
        <w:rPr>
          <w:rStyle w:val="FootnoteAnchor"/>
          <w:rtl w:val="true"/>
        </w:rPr>
        <w:footnoteReference w:id="2307"/>
      </w:r>
      <w:r>
        <w:rPr>
          <w:rFonts w:ascii="Amiri" w:hAnsi="Amiri" w:eastAsia="Amiri" w:cs="Amiri"/>
          <w:color w:val="111111"/>
          <w:sz w:val="28"/>
          <w:sz w:val="28"/>
          <w:szCs w:val="28"/>
          <w:rtl w:val="true"/>
          <w:lang w:bidi="ar-SA"/>
        </w:rPr>
        <w:t xml:space="preserve">،و الثّوري </w:t>
      </w:r>
      <w:r>
        <w:rPr>
          <w:rStyle w:val="FootnoteAnchor"/>
          <w:rtl w:val="true"/>
        </w:rPr>
        <w:footnoteReference w:id="230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محمّد بن الحسن،و أبو ثور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أقلّه ساعة </w:t>
      </w:r>
      <w:r>
        <w:rPr>
          <w:rStyle w:val="FootnoteAnchor"/>
          <w:rtl w:val="true"/>
        </w:rPr>
        <w:footnoteReference w:id="2309"/>
      </w:r>
      <w:r>
        <w:rPr>
          <w:rStyle w:val="FootnoteAnchor"/>
          <w:rtl w:val="true"/>
        </w:rPr>
        <w:footnoteReference w:id="231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أبو عبيد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أقلّه خمسة و عشرون يوما </w:t>
      </w:r>
      <w:r>
        <w:rPr>
          <w:rStyle w:val="FootnoteAnchor"/>
          <w:rtl w:val="true"/>
        </w:rPr>
        <w:footnoteReference w:id="231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أبو يوسف فيما روي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أقلّه أحد عشر يوما </w:t>
      </w:r>
      <w:r>
        <w:rPr>
          <w:rStyle w:val="FootnoteAnchor"/>
          <w:rtl w:val="true"/>
        </w:rPr>
        <w:footnoteReference w:id="231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روي عن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أقلّه يوم </w:t>
      </w:r>
      <w:r>
        <w:rPr>
          <w:rStyle w:val="FootnoteAnchor"/>
          <w:rtl w:val="true"/>
        </w:rPr>
        <w:footnoteReference w:id="23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حكي عن الثّوريّ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أقلّه ثلاثة أيّام،لأنّها أقلّ الحيض </w:t>
      </w:r>
      <w:r>
        <w:rPr>
          <w:rStyle w:val="FootnoteAnchor"/>
          <w:rtl w:val="true"/>
        </w:rPr>
        <w:footnoteReference w:id="231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المزنيّ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أربعة أيّام،و بناه على أصول،منها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أقلّ الحيض يوم و ليلة،و انّ أكثره خمسة عشر يوما، و انّ أكثر النّفاس أربعة أضعاف أكثر الحيض،فيكون أقلّه أربعة أضعاف أقلّ الحيض </w:t>
      </w:r>
      <w:r>
        <w:rPr>
          <w:rStyle w:val="FootnoteAnchor"/>
          <w:rtl w:val="true"/>
        </w:rPr>
        <w:footnoteReference w:id="2315"/>
      </w:r>
      <w:r>
        <w:rPr>
          <w:rFonts w:eastAsia="Times New Roman" w:cs="Times New Roman" w:ascii="Times New Roman" w:hAnsi="Times New Roman"/>
          <w:color w:val="111111"/>
          <w:sz w:val="28"/>
          <w:szCs w:val="28"/>
          <w:rtl w:val="true"/>
          <w:lang w:val="en-US" w:bidi="en-US"/>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الجمهور،عن عليّ عليه السّلام انّه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يحلّ للنّفساء إذا رأت </w:t>
      </w:r>
      <w:bookmarkStart w:id="1315" w:name="pg12669_113224"/>
    </w:p>
    <w:p>
      <w:pPr>
        <w:pStyle w:val="BookText"/>
        <w:rPr/>
      </w:pPr>
      <w:bookmarkEnd w:id="1315"/>
      <w:r>
        <w:rPr>
          <w:rFonts w:ascii="Amiri" w:hAnsi="Amiri" w:eastAsia="Amiri" w:cs="Amiri"/>
          <w:color w:val="111111"/>
          <w:sz w:val="28"/>
          <w:sz w:val="28"/>
          <w:szCs w:val="28"/>
          <w:rtl w:val="true"/>
          <w:lang w:bidi="ar-SA"/>
        </w:rPr>
        <w:t>الطّهر إلاّ أن تصلي</w:t>
      </w:r>
      <w:r>
        <w:rPr>
          <w:rFonts w:eastAsia="Amiri" w:cs="Amiri" w:ascii="Amiri" w:hAnsi="Amiri"/>
          <w:color w:val="111111"/>
          <w:sz w:val="28"/>
          <w:szCs w:val="28"/>
          <w:rtl w:val="true"/>
          <w:lang w:bidi="ar-SA"/>
        </w:rPr>
        <w:t xml:space="preserve">) </w:t>
      </w:r>
      <w:r>
        <w:rPr>
          <w:rStyle w:val="FootnoteAnchor"/>
          <w:rtl w:val="true"/>
        </w:rPr>
        <w:footnoteReference w:id="2316"/>
      </w:r>
      <w:r>
        <w:rPr>
          <w:rFonts w:ascii="Amiri" w:hAnsi="Amiri" w:eastAsia="Amiri" w:cs="Amiri"/>
          <w:color w:val="111111"/>
          <w:sz w:val="28"/>
          <w:sz w:val="28"/>
          <w:szCs w:val="28"/>
          <w:rtl w:val="true"/>
          <w:lang w:bidi="ar-SA"/>
        </w:rPr>
        <w:t xml:space="preserve">و ما رواه انّ امرأة ولدت على عهد رسول اللّه صلّى اللّه عليه و آله فلم تر دما،فسمّيت ذات الجفوف </w:t>
      </w:r>
      <w:r>
        <w:rPr>
          <w:rStyle w:val="FootnoteAnchor"/>
          <w:rtl w:val="true"/>
        </w:rPr>
        <w:footnoteReference w:id="23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طريق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 في الصّحيح،عن الحسين بن عليّ بن يقطين، عن أبي الحسن الماضي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النّفساء كم يجب عليها الصّلاة؟قال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تدع ما دامت ترى الدّم العبيط</w:t>
      </w:r>
      <w:r>
        <w:rPr>
          <w:rFonts w:eastAsia="Amiri" w:cs="Amiri" w:ascii="Amiri" w:hAnsi="Amiri"/>
          <w:color w:val="111111"/>
          <w:sz w:val="28"/>
          <w:szCs w:val="28"/>
          <w:rtl w:val="true"/>
          <w:lang w:bidi="ar-SA"/>
        </w:rPr>
        <w:t xml:space="preserve">» </w:t>
      </w:r>
      <w:r>
        <w:rPr>
          <w:rStyle w:val="FootnoteAnchor"/>
          <w:rtl w:val="true"/>
        </w:rPr>
        <w:footnoteReference w:id="2318"/>
      </w:r>
      <w:r>
        <w:rPr>
          <w:rFonts w:ascii="Amiri" w:hAnsi="Amiri" w:eastAsia="Amiri" w:cs="Amiri"/>
          <w:color w:val="111111"/>
          <w:sz w:val="28"/>
          <w:sz w:val="28"/>
          <w:szCs w:val="28"/>
          <w:rtl w:val="true"/>
          <w:lang w:bidi="ar-SA"/>
        </w:rPr>
        <w:t>و هذا يدلّ على انّ الانقطاع و إن قلّ عدد أوقات الدّم قبله يوجب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لأنّ اليسير دم وجد عقيب سببه و هو الولادة،فيكون نفاسا كالكثير،فعلى هذا لو رأته لحظة،ثمَّ انقطع،حكم لها بالنّفاس تلك اللّحظة</w:t>
      </w:r>
      <w:r>
        <w:rPr>
          <w:rFonts w:eastAsia="Amiri" w:cs="Amiri" w:ascii="Amiri" w:hAnsi="Amiri"/>
          <w:color w:val="111111"/>
          <w:sz w:val="28"/>
          <w:szCs w:val="28"/>
          <w:rtl w:val="true"/>
          <w:lang w:bidi="ar-SA"/>
        </w:rPr>
        <w:t>.</w:t>
      </w:r>
    </w:p>
    <w:p>
      <w:pPr>
        <w:pStyle w:val="Heading5"/>
        <w:numPr>
          <w:ilvl w:val="4"/>
          <w:numId w:val="1"/>
        </w:numPr>
        <w:rPr/>
      </w:pPr>
      <w:bookmarkStart w:id="1316" w:name="__RefHeading___Toc796201_222507752"/>
      <w:bookmarkStart w:id="1317" w:name="_Toc540"/>
      <w:bookmarkEnd w:id="1316"/>
      <w:r>
        <w:rPr>
          <w:rtl w:val="true"/>
        </w:rPr>
        <w:t>مسألة</w:t>
      </w:r>
      <w:r>
        <w:rPr>
          <w:rtl w:val="true"/>
        </w:rPr>
        <w:t>:</w:t>
      </w:r>
      <w:r>
        <w:rPr>
          <w:rtl w:val="true"/>
        </w:rPr>
        <w:t>و في حدّ كثرته خلاف بين علمائنا</w:t>
      </w:r>
      <w:r>
        <w:rPr>
          <w:rtl w:val="true"/>
        </w:rPr>
        <w:t>.</w:t>
      </w:r>
      <w:bookmarkEnd w:id="1317"/>
    </w:p>
    <w:p>
      <w:pPr>
        <w:pStyle w:val="Heading6"/>
        <w:numPr>
          <w:ilvl w:val="5"/>
          <w:numId w:val="1"/>
        </w:numPr>
        <w:rPr/>
      </w:pPr>
      <w:bookmarkStart w:id="1318" w:name="__RefHeading___Toc796203_222507752"/>
      <w:bookmarkStart w:id="1319" w:name="_Toc541"/>
      <w:bookmarkEnd w:id="1318"/>
      <w:r>
        <w:rPr>
          <w:rtl w:val="true"/>
        </w:rPr>
        <w:t>اشارة</w:t>
      </w:r>
      <w:bookmarkEnd w:id="1319"/>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الشّيخ </w:t>
      </w:r>
      <w:r>
        <w:rPr>
          <w:rStyle w:val="FootnoteAnchor"/>
          <w:rtl w:val="true"/>
        </w:rPr>
        <w:footnoteReference w:id="2319"/>
      </w:r>
      <w:r>
        <w:rPr>
          <w:rFonts w:ascii="Amiri" w:hAnsi="Amiri" w:eastAsia="Amiri" w:cs="Amiri"/>
          <w:color w:val="111111"/>
          <w:sz w:val="28"/>
          <w:sz w:val="28"/>
          <w:szCs w:val="28"/>
          <w:rtl w:val="true"/>
          <w:lang w:bidi="ar-SA"/>
        </w:rPr>
        <w:t>و عليّ بن بابويه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لا يزيد عن أكثر الحيض </w:t>
      </w:r>
      <w:r>
        <w:rPr>
          <w:rStyle w:val="FootnoteAnchor"/>
          <w:rtl w:val="true"/>
        </w:rPr>
        <w:footnoteReference w:id="2320"/>
      </w:r>
      <w:r>
        <w:rPr>
          <w:rFonts w:ascii="Amiri" w:hAnsi="Amiri" w:eastAsia="Amiri" w:cs="Amiri"/>
          <w:color w:val="111111"/>
          <w:sz w:val="28"/>
          <w:sz w:val="28"/>
          <w:szCs w:val="28"/>
          <w:rtl w:val="true"/>
          <w:lang w:bidi="ar-SA"/>
        </w:rPr>
        <w:t>،و هو أحد قولي المفيد،و القول الآخر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أكثره ثمانية عشر يوما </w:t>
      </w:r>
      <w:r>
        <w:rPr>
          <w:rStyle w:val="FootnoteAnchor"/>
          <w:rtl w:val="true"/>
        </w:rPr>
        <w:footnoteReference w:id="232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اختيار السيّد المرتضى </w:t>
      </w:r>
      <w:r>
        <w:rPr>
          <w:rStyle w:val="FootnoteAnchor"/>
          <w:rtl w:val="true"/>
        </w:rPr>
        <w:footnoteReference w:id="2322"/>
      </w:r>
      <w:r>
        <w:rPr>
          <w:rFonts w:ascii="Amiri" w:hAnsi="Amiri" w:eastAsia="Amiri" w:cs="Amiri"/>
          <w:color w:val="111111"/>
          <w:sz w:val="28"/>
          <w:sz w:val="28"/>
          <w:szCs w:val="28"/>
          <w:rtl w:val="true"/>
          <w:lang w:bidi="ar-SA"/>
        </w:rPr>
        <w:t xml:space="preserve">،و ابن الجنيد </w:t>
      </w:r>
      <w:r>
        <w:rPr>
          <w:rStyle w:val="FootnoteAnchor"/>
          <w:rtl w:val="true"/>
        </w:rPr>
        <w:footnoteReference w:id="2323"/>
      </w:r>
      <w:r>
        <w:rPr>
          <w:rFonts w:ascii="Amiri" w:hAnsi="Amiri" w:eastAsia="Amiri" w:cs="Amiri"/>
          <w:color w:val="111111"/>
          <w:sz w:val="28"/>
          <w:sz w:val="28"/>
          <w:szCs w:val="28"/>
          <w:rtl w:val="true"/>
          <w:lang w:bidi="ar-SA"/>
        </w:rPr>
        <w:t xml:space="preserve">،و أبي جعفر محمّد بن بابويه </w:t>
      </w:r>
      <w:r>
        <w:rPr>
          <w:rStyle w:val="FootnoteAnchor"/>
          <w:rtl w:val="true"/>
        </w:rPr>
        <w:footnoteReference w:id="2324"/>
      </w:r>
      <w:r>
        <w:rPr>
          <w:rFonts w:ascii="Amiri" w:hAnsi="Amiri" w:eastAsia="Amiri" w:cs="Amiri"/>
          <w:color w:val="111111"/>
          <w:sz w:val="28"/>
          <w:sz w:val="28"/>
          <w:szCs w:val="28"/>
          <w:rtl w:val="true"/>
          <w:lang w:bidi="ar-SA"/>
        </w:rPr>
        <w:t xml:space="preserve">،و سلاّر </w:t>
      </w:r>
      <w:r>
        <w:rPr>
          <w:rStyle w:val="FootnoteAnchor"/>
          <w:rtl w:val="true"/>
        </w:rPr>
        <w:footnoteReference w:id="232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ابن أبي عقيل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أيّامها أيّام حيضها،و أكثره أحد </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عشرون يوما،فإن انقطع دمها في أيّام حيضها،صلّت و صامت،و إن لم ينقطع صبرت ثمانية عشر يوما،ثمَّ استظهرت بيوم أو يومين،فإن كانت كثيرة الدّم صبرت ثلاثة أيّام،ثمَّ اغتسلت و احتشت و استثفرت و صلّت </w:t>
      </w:r>
      <w:r>
        <w:rPr>
          <w:rStyle w:val="FootnoteAnchor"/>
          <w:rtl w:val="true"/>
        </w:rPr>
        <w:footnoteReference w:id="232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الشّافعيّ </w:t>
      </w:r>
      <w:r>
        <w:rPr>
          <w:rStyle w:val="FootnoteAnchor"/>
          <w:rtl w:val="true"/>
        </w:rPr>
        <w:footnoteReference w:id="2327"/>
      </w:r>
      <w:r>
        <w:rPr>
          <w:rFonts w:ascii="Amiri" w:hAnsi="Amiri" w:eastAsia="Amiri" w:cs="Amiri"/>
          <w:color w:val="111111"/>
          <w:sz w:val="28"/>
          <w:sz w:val="28"/>
          <w:szCs w:val="28"/>
          <w:rtl w:val="true"/>
          <w:lang w:bidi="ar-SA"/>
        </w:rPr>
        <w:t xml:space="preserve">،و مالك </w:t>
      </w:r>
      <w:r>
        <w:rPr>
          <w:rStyle w:val="FootnoteAnchor"/>
          <w:rtl w:val="true"/>
        </w:rPr>
        <w:footnoteReference w:id="2328"/>
      </w:r>
      <w:r>
        <w:rPr>
          <w:rFonts w:ascii="Amiri" w:hAnsi="Amiri" w:eastAsia="Amiri" w:cs="Amiri"/>
          <w:color w:val="111111"/>
          <w:sz w:val="28"/>
          <w:sz w:val="28"/>
          <w:szCs w:val="28"/>
          <w:rtl w:val="true"/>
          <w:lang w:bidi="ar-SA"/>
        </w:rPr>
        <w:t>، و أحمد في إحدى الرّوايتين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أكثره ستّون يوما </w:t>
      </w:r>
      <w:r>
        <w:rPr>
          <w:rStyle w:val="FootnoteAnchor"/>
          <w:rtl w:val="true"/>
        </w:rPr>
        <w:footnoteReference w:id="23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قال عطاء </w:t>
      </w:r>
      <w:r>
        <w:rPr>
          <w:rStyle w:val="FootnoteAnchor"/>
          <w:rtl w:val="true"/>
        </w:rPr>
        <w:footnoteReference w:id="2330"/>
      </w:r>
      <w:r>
        <w:rPr>
          <w:rFonts w:ascii="Amiri" w:hAnsi="Amiri" w:eastAsia="Amiri" w:cs="Amiri"/>
          <w:color w:val="111111"/>
          <w:sz w:val="28"/>
          <w:sz w:val="28"/>
          <w:szCs w:val="28"/>
          <w:rtl w:val="true"/>
          <w:lang w:bidi="ar-SA"/>
        </w:rPr>
        <w:t xml:space="preserve">، و الشّعبيّ </w:t>
      </w:r>
      <w:r>
        <w:rPr>
          <w:rStyle w:val="FootnoteAnchor"/>
          <w:rtl w:val="true"/>
        </w:rPr>
        <w:footnoteReference w:id="2331"/>
      </w:r>
      <w:r>
        <w:rPr>
          <w:rFonts w:ascii="IRNazanin" w:hAnsi="IRNazanin" w:eastAsia="IRNazanin"/>
          <w:color w:val="111111"/>
          <w:sz w:val="28"/>
          <w:sz w:val="28"/>
          <w:szCs w:val="28"/>
          <w:rtl w:val="true"/>
          <w:lang w:bidi="fa-IR"/>
        </w:rPr>
        <w:t xml:space="preserve">،و أبو ثور،و داود </w:t>
      </w:r>
      <w:r>
        <w:rPr>
          <w:rStyle w:val="FootnoteAnchor"/>
          <w:rtl w:val="true"/>
        </w:rPr>
        <w:footnoteReference w:id="2332"/>
      </w:r>
      <w:r>
        <w:rPr>
          <w:rFonts w:ascii="Amiri" w:hAnsi="Amiri" w:eastAsia="Amiri" w:cs="Amiri"/>
          <w:color w:val="111111"/>
          <w:sz w:val="28"/>
          <w:sz w:val="28"/>
          <w:szCs w:val="28"/>
          <w:rtl w:val="true"/>
          <w:lang w:bidi="ar-SA"/>
        </w:rPr>
        <w:t>،و حكي عن عبيد اللّه بن الحسن العنبري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الحجّاج بن أرطاة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Style w:val="FootnoteAnchor"/>
          <w:rtl w:val="true"/>
        </w:rPr>
        <w:footnoteReference w:id="233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أبو حنيفة </w:t>
      </w:r>
      <w:r>
        <w:rPr>
          <w:rStyle w:val="FootnoteAnchor"/>
          <w:rtl w:val="true"/>
        </w:rPr>
        <w:footnoteReference w:id="2334"/>
      </w:r>
      <w:r>
        <w:rPr>
          <w:rFonts w:ascii="Amiri" w:hAnsi="Amiri" w:eastAsia="Amiri" w:cs="Amiri"/>
          <w:color w:val="111111"/>
          <w:sz w:val="28"/>
          <w:sz w:val="28"/>
          <w:szCs w:val="28"/>
          <w:rtl w:val="true"/>
          <w:lang w:bidi="ar-SA"/>
        </w:rPr>
        <w:t xml:space="preserve">،و أحمد في الرّواية الأخرى </w:t>
      </w:r>
      <w:r>
        <w:rPr>
          <w:rStyle w:val="FootnoteAnchor"/>
          <w:rtl w:val="true"/>
        </w:rPr>
        <w:footnoteReference w:id="2335"/>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الثّوريّ </w:t>
      </w:r>
      <w:r>
        <w:rPr>
          <w:rStyle w:val="FootnoteAnchor"/>
          <w:rtl w:val="true"/>
        </w:rPr>
        <w:footnoteReference w:id="2336"/>
      </w:r>
      <w:r>
        <w:rPr>
          <w:rFonts w:ascii="IRNazanin" w:hAnsi="IRNazanin" w:eastAsia="IRNazanin"/>
          <w:color w:val="111111"/>
          <w:sz w:val="28"/>
          <w:sz w:val="28"/>
          <w:szCs w:val="28"/>
          <w:rtl w:val="true"/>
          <w:lang w:bidi="fa-IR"/>
        </w:rPr>
        <w:t xml:space="preserve">،و إسحاق </w:t>
      </w:r>
      <w:r>
        <w:rPr>
          <w:rStyle w:val="FootnoteAnchor"/>
          <w:rtl w:val="true"/>
        </w:rPr>
        <w:footnoteReference w:id="2337"/>
      </w:r>
      <w:r>
        <w:rPr>
          <w:rFonts w:ascii="Amiri" w:hAnsi="Amiri" w:eastAsia="Amiri" w:cs="Amiri"/>
          <w:color w:val="111111"/>
          <w:sz w:val="28"/>
          <w:sz w:val="28"/>
          <w:szCs w:val="28"/>
          <w:rtl w:val="true"/>
          <w:lang w:bidi="ar-SA"/>
        </w:rPr>
        <w:t>،و أبو عبيد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أكثره أربعون يوما </w:t>
      </w:r>
      <w:r>
        <w:rPr>
          <w:rStyle w:val="FootnoteAnchor"/>
          <w:rtl w:val="true"/>
        </w:rPr>
        <w:footnoteReference w:id="2338"/>
      </w:r>
      <w:r>
        <w:rPr>
          <w:rFonts w:ascii="Amiri" w:hAnsi="Amiri" w:eastAsia="Amiri" w:cs="Amiri"/>
          <w:color w:val="111111"/>
          <w:sz w:val="28"/>
          <w:sz w:val="28"/>
          <w:szCs w:val="28"/>
          <w:rtl w:val="true"/>
          <w:lang w:bidi="ar-SA"/>
        </w:rPr>
        <w:t xml:space="preserve">،و نقل عن مالك أيضا انّ أكثره سبعون يوما </w:t>
      </w:r>
      <w:r>
        <w:rPr>
          <w:rStyle w:val="FootnoteAnchor"/>
          <w:rtl w:val="true"/>
        </w:rPr>
        <w:footnoteReference w:id="233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حكى ابن المنذر عن الحسن البصريّ انّه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خمسون يوما </w:t>
      </w:r>
      <w:r>
        <w:rPr>
          <w:rStyle w:val="FootnoteAnchor"/>
          <w:rtl w:val="true"/>
        </w:rPr>
        <w:footnoteReference w:id="234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الحقّ عندي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النّفاس دم الحيض في الحقيقة،و قد بيّنّا انّ أكثره عشرة </w:t>
      </w:r>
      <w:r>
        <w:rPr>
          <w:rStyle w:val="FootnoteAnchor"/>
          <w:rtl w:val="true"/>
        </w:rPr>
        <w:footnoteReference w:id="2341"/>
      </w:r>
      <w:r>
        <w:rPr>
          <w:rFonts w:ascii="Amiri" w:hAnsi="Amiri" w:eastAsia="Amiri" w:cs="Amiri"/>
          <w:color w:val="111111"/>
          <w:sz w:val="28"/>
          <w:sz w:val="28"/>
          <w:szCs w:val="28"/>
          <w:rtl w:val="true"/>
          <w:lang w:bidi="ar-SA"/>
        </w:rPr>
        <w:t>،فكذا النّفاس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لأنّ العبادة شاغلة في الذّمّة،ترك العمل بها في العشرة للإجماع،فيبقى الباقي على ذلك 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يؤيّده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 في الصّحيح،عن زرارة،عن أحدهما عليهما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النّفساء تكفّ عن الصّلاة أيّامها الّتي كانت تمكث فيها،ثمَّ تغتسل كما تغتسل المستحاضة</w:t>
      </w:r>
      <w:r>
        <w:rPr>
          <w:rFonts w:eastAsia="Amiri" w:cs="Amiri" w:ascii="Amiri" w:hAnsi="Amiri"/>
          <w:color w:val="111111"/>
          <w:sz w:val="28"/>
          <w:szCs w:val="28"/>
          <w:rtl w:val="true"/>
          <w:lang w:bidi="ar-SA"/>
        </w:rPr>
        <w:t xml:space="preserve">» </w:t>
      </w:r>
      <w:r>
        <w:rPr>
          <w:rStyle w:val="FootnoteAnchor"/>
          <w:rtl w:val="true"/>
        </w:rPr>
        <w:footnoteReference w:id="2342"/>
      </w:r>
      <w:r>
        <w:rPr>
          <w:rFonts w:eastAsia="Times New Roman" w:cs="Times New Roman" w:ascii="Times New Roman" w:hAnsi="Times New Roman"/>
          <w:color w:val="111111"/>
          <w:sz w:val="28"/>
          <w:szCs w:val="28"/>
          <w:rtl w:val="true"/>
          <w:lang w:val="en-US" w:bidi="en-US"/>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رواه في الصّحيح،عن زرارة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النّفساء متى تصلّي؟قال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تقعد قدر حيضها و تستظهر بيومين،فإن انقطع الدّم و إلاّ اغتسلت و احتشت و استثفرت و صلّت</w:t>
      </w:r>
      <w:r>
        <w:rPr>
          <w:rFonts w:eastAsia="Amiri" w:cs="Amiri" w:ascii="Amiri" w:hAnsi="Amiri"/>
          <w:color w:val="111111"/>
          <w:sz w:val="28"/>
          <w:szCs w:val="28"/>
          <w:rtl w:val="true"/>
          <w:lang w:bidi="ar-SA"/>
        </w:rPr>
        <w:t xml:space="preserve">» </w:t>
      </w:r>
      <w:r>
        <w:rPr>
          <w:rStyle w:val="FootnoteAnchor"/>
          <w:rtl w:val="true"/>
        </w:rPr>
        <w:footnoteReference w:id="23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رواه في الحسن،عن الفضيل بن يسار و زرارة،عن أحدهما عليهما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النّفساء تكفّ عن الصّلاة أيّام أقرائها الّتي كانت تمكث فيها،ثمَّ تغتسل و تعمل كما تعمل المستحاضة</w:t>
      </w:r>
      <w:r>
        <w:rPr>
          <w:rFonts w:eastAsia="Amiri" w:cs="Amiri" w:ascii="Amiri" w:hAnsi="Amiri"/>
          <w:color w:val="111111"/>
          <w:sz w:val="28"/>
          <w:szCs w:val="28"/>
          <w:rtl w:val="true"/>
          <w:lang w:bidi="ar-SA"/>
        </w:rPr>
        <w:t xml:space="preserve">» </w:t>
      </w:r>
      <w:r>
        <w:rPr>
          <w:rStyle w:val="FootnoteAnchor"/>
          <w:rtl w:val="true"/>
        </w:rPr>
        <w:footnoteReference w:id="23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رواه في الصّحيح،عن يونس بن يعقوب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النّفساء تجلس أيّام حيضها الّتي كانت تحيض،ثمَّ تستظهر و تغتسل و تصلّي</w:t>
      </w:r>
      <w:r>
        <w:rPr>
          <w:rFonts w:eastAsia="Amiri" w:cs="Amiri" w:ascii="Amiri" w:hAnsi="Amiri"/>
          <w:color w:val="111111"/>
          <w:sz w:val="28"/>
          <w:szCs w:val="28"/>
          <w:rtl w:val="true"/>
          <w:lang w:bidi="ar-SA"/>
        </w:rPr>
        <w:t xml:space="preserve">» </w:t>
      </w:r>
      <w:r>
        <w:rPr>
          <w:rStyle w:val="FootnoteAnchor"/>
          <w:rtl w:val="true"/>
        </w:rPr>
        <w:footnoteReference w:id="23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رواه في الموثّق،عن زرارة،عن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تقعد النّفساء أيّامها الّتي كانت تقعد في الحيض</w:t>
      </w:r>
      <w:r>
        <w:rPr>
          <w:rFonts w:eastAsia="Amiri" w:cs="Amiri" w:ascii="Amiri" w:hAnsi="Amiri"/>
          <w:color w:val="111111"/>
          <w:sz w:val="28"/>
          <w:szCs w:val="28"/>
          <w:rtl w:val="true"/>
          <w:lang w:bidi="ar-SA"/>
        </w:rPr>
        <w:t xml:space="preserve">» </w:t>
      </w:r>
      <w:r>
        <w:rPr>
          <w:rStyle w:val="FootnoteAnchor"/>
          <w:rtl w:val="true"/>
        </w:rPr>
        <w:footnoteReference w:id="2346"/>
      </w:r>
      <w:r>
        <w:rPr>
          <w:rFonts w:eastAsia="Times New Roman" w:cs="Times New Roman" w:ascii="Times New Roman" w:hAnsi="Times New Roman"/>
          <w:color w:val="111111"/>
          <w:sz w:val="28"/>
          <w:szCs w:val="28"/>
          <w:rtl w:val="true"/>
          <w:lang w:val="en-US" w:bidi="en-US"/>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رواه في الحسن،عن يونس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امرأة ولدت فرأت الدّم أكثر ممّا كانت ترى؟قال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فلتقعد أيّام قرئها الّتي كانت تجلس، ثمَّ تستظهر بعشرة أيّام</w:t>
      </w:r>
      <w:r>
        <w:rPr>
          <w:rFonts w:eastAsia="Amiri" w:cs="Amiri" w:ascii="Amiri" w:hAnsi="Amiri"/>
          <w:color w:val="111111"/>
          <w:sz w:val="28"/>
          <w:szCs w:val="28"/>
          <w:rtl w:val="true"/>
          <w:lang w:bidi="ar-SA"/>
        </w:rPr>
        <w:t xml:space="preserve">» </w:t>
      </w:r>
      <w:r>
        <w:rPr>
          <w:rStyle w:val="FootnoteAnchor"/>
          <w:rtl w:val="true"/>
        </w:rPr>
        <w:footnoteReference w:id="2347"/>
      </w: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أراد به إلى عشرة أيّام،لأنّ حروف الصّفات يقوم بعضها مقام بعض </w:t>
      </w:r>
      <w:r>
        <w:rPr>
          <w:rStyle w:val="FootnoteAnchor"/>
          <w:rtl w:val="true"/>
        </w:rPr>
        <w:footnoteReference w:id="234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روى الشّيخ في الصّحيح،عن عبد الرّحمن بن الحجّاج،عن أبي الحسن موسى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امرأة نفست و بقيت ثلاثين ليلة أو أكثر،ثمَّ طهرت و صلّت،ثمَّ رأت دما أو صفرة؟فقال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كانت صفرة فلتغسل و لتصلّ و لا تمسك عن الصّلاة،و إن كان دما ليس بصفرة فلتمسك عن الصّلاة أيّام قرئها،ثمَّ لتغتسل و لتصلّ</w:t>
      </w:r>
      <w:r>
        <w:rPr>
          <w:rFonts w:eastAsia="Amiri" w:cs="Amiri" w:ascii="Amiri" w:hAnsi="Amiri"/>
          <w:color w:val="111111"/>
          <w:sz w:val="28"/>
          <w:szCs w:val="28"/>
          <w:rtl w:val="true"/>
          <w:lang w:bidi="ar-SA"/>
        </w:rPr>
        <w:t xml:space="preserve">» </w:t>
      </w:r>
      <w:r>
        <w:rPr>
          <w:rStyle w:val="FootnoteAnchor"/>
          <w:rtl w:val="true"/>
        </w:rPr>
        <w:footnoteReference w:id="23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في الموثّق،عن مالك بن أعين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جعفر عليه السّلام عن النّفساء يغشاها زوجها و هي في نفاسها من الدّم؟قال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نعم،إذا مضى لها منذ يوم وضعت بقدر أيّام عدّة حيضها،ثمَّ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تستظهر بيوم فلا بأس بعد أن يغشاها زوجها يأمرها فتغتسل،ثمَّ</w:t>
      </w:r>
      <w:r>
        <w:rPr>
          <w:rFonts w:eastAsia="Amiri" w:cs="Amiri" w:ascii="Amiri" w:hAnsi="Amiri"/>
          <w:color w:val="111111"/>
          <w:sz w:val="28"/>
          <w:szCs w:val="28"/>
          <w:rtl w:val="true"/>
          <w:lang w:bidi="ar-SA"/>
        </w:rPr>
        <w:t xml:space="preserve">] </w:t>
      </w:r>
      <w:r>
        <w:rPr>
          <w:rStyle w:val="FootnoteAnchor"/>
          <w:rtl w:val="true"/>
        </w:rPr>
        <w:footnoteReference w:id="2350"/>
      </w:r>
      <w:r>
        <w:rPr>
          <w:rFonts w:ascii="Amiri" w:hAnsi="Amiri" w:eastAsia="Amiri" w:cs="Amiri"/>
          <w:color w:val="111111"/>
          <w:sz w:val="28"/>
          <w:sz w:val="28"/>
          <w:szCs w:val="28"/>
          <w:rtl w:val="true"/>
          <w:lang w:bidi="ar-SA"/>
        </w:rPr>
        <w:t>يغشاها إن أحب</w:t>
      </w:r>
      <w:r>
        <w:rPr>
          <w:rFonts w:eastAsia="Amiri" w:cs="Amiri" w:ascii="Amiri" w:hAnsi="Amiri"/>
          <w:color w:val="111111"/>
          <w:sz w:val="28"/>
          <w:szCs w:val="28"/>
          <w:rtl w:val="true"/>
          <w:lang w:bidi="ar-SA"/>
        </w:rPr>
        <w:t xml:space="preserve">» </w:t>
      </w:r>
      <w:r>
        <w:rPr>
          <w:rStyle w:val="FootnoteAnchor"/>
          <w:rtl w:val="true"/>
        </w:rPr>
        <w:footnoteReference w:id="2351"/>
      </w:r>
      <w:r>
        <w:rPr>
          <w:rFonts w:ascii="Amiri" w:hAnsi="Amiri" w:eastAsia="Amiri" w:cs="Amiri"/>
          <w:color w:val="111111"/>
          <w:sz w:val="28"/>
          <w:sz w:val="28"/>
          <w:szCs w:val="28"/>
          <w:rtl w:val="true"/>
          <w:lang w:bidi="ar-SA"/>
        </w:rPr>
        <w:t>و حلّ الوطء يستلزم الخروج عن حدّ النّفاس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احتجّ السيّد المرتضى </w:t>
      </w:r>
      <w:r>
        <w:rPr>
          <w:rStyle w:val="FootnoteAnchor"/>
          <w:rtl w:val="true"/>
        </w:rPr>
        <w:footnoteReference w:id="2352"/>
      </w:r>
      <w:r>
        <w:rPr>
          <w:rFonts w:ascii="Amiri" w:hAnsi="Amiri" w:eastAsia="Amiri" w:cs="Amiri"/>
          <w:color w:val="111111"/>
          <w:sz w:val="28"/>
          <w:sz w:val="28"/>
          <w:szCs w:val="28"/>
          <w:rtl w:val="true"/>
          <w:lang w:bidi="ar-SA"/>
        </w:rPr>
        <w:t>بما رواه الشّيخ في الصّحيح،عن محمّد بن مسلم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 تقعد النّفساء حتّى تصلّي؟قال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ثمان عشرة، سبع عشرة ثمَّ تغتسل و تحتشي و تصلّي</w:t>
      </w:r>
      <w:r>
        <w:rPr>
          <w:rFonts w:eastAsia="Amiri" w:cs="Amiri" w:ascii="Amiri" w:hAnsi="Amiri"/>
          <w:color w:val="111111"/>
          <w:sz w:val="28"/>
          <w:szCs w:val="28"/>
          <w:rtl w:val="true"/>
          <w:lang w:bidi="ar-SA"/>
        </w:rPr>
        <w:t xml:space="preserve">» </w:t>
      </w:r>
      <w:r>
        <w:rPr>
          <w:rStyle w:val="FootnoteAnchor"/>
          <w:rtl w:val="true"/>
        </w:rPr>
        <w:footnoteReference w:id="23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رواه في الصّحيح،عن محمّد بن مسلم،عن أبي جعفر عليه السّلام،قال</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سألته عن النّفساء كم تقعد؟فقال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أسماء بنت عميس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أمرها رسول اللّه صلّى </w:t>
      </w:r>
    </w:p>
    <w:p>
      <w:pPr>
        <w:pStyle w:val="BookText"/>
        <w:rPr/>
      </w:pPr>
      <w:r>
        <w:rPr>
          <w:rFonts w:ascii="Amiri" w:hAnsi="Amiri" w:eastAsia="Amiri" w:cs="Amiri"/>
          <w:color w:val="111111"/>
          <w:sz w:val="28"/>
          <w:sz w:val="28"/>
          <w:szCs w:val="28"/>
          <w:rtl w:val="true"/>
          <w:lang w:bidi="ar-SA"/>
        </w:rPr>
        <w:t>اللّه عليه و آله أن تغتسل لثمان عشرة،و لا بأس أن تستظهر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بيوم أو</w:t>
      </w:r>
      <w:r>
        <w:rPr>
          <w:rFonts w:eastAsia="Amiri" w:cs="Amiri" w:ascii="Amiri" w:hAnsi="Amiri"/>
          <w:color w:val="111111"/>
          <w:sz w:val="28"/>
          <w:szCs w:val="28"/>
          <w:rtl w:val="true"/>
          <w:lang w:bidi="ar-SA"/>
        </w:rPr>
        <w:t xml:space="preserve">] </w:t>
      </w:r>
      <w:r>
        <w:rPr>
          <w:rStyle w:val="FootnoteAnchor"/>
          <w:rtl w:val="true"/>
        </w:rPr>
        <w:footnoteReference w:id="2354"/>
      </w:r>
      <w:r>
        <w:rPr>
          <w:rFonts w:ascii="Amiri" w:hAnsi="Amiri" w:eastAsia="Amiri" w:cs="Amiri"/>
          <w:color w:val="111111"/>
          <w:sz w:val="28"/>
          <w:sz w:val="28"/>
          <w:szCs w:val="28"/>
          <w:rtl w:val="true"/>
          <w:lang w:bidi="ar-SA"/>
        </w:rPr>
        <w:t>بيومين</w:t>
      </w:r>
      <w:r>
        <w:rPr>
          <w:rFonts w:eastAsia="Amiri" w:cs="Amiri" w:ascii="Amiri" w:hAnsi="Amiri"/>
          <w:color w:val="111111"/>
          <w:sz w:val="28"/>
          <w:szCs w:val="28"/>
          <w:rtl w:val="true"/>
          <w:lang w:bidi="ar-SA"/>
        </w:rPr>
        <w:t xml:space="preserve">» </w:t>
      </w:r>
      <w:r>
        <w:rPr>
          <w:rStyle w:val="FootnoteAnchor"/>
          <w:rtl w:val="true"/>
        </w:rPr>
        <w:footnoteReference w:id="23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الجواب عن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ما رويناه أكثر،و الكثرة دلالة </w:t>
      </w:r>
      <w:r>
        <w:rPr>
          <w:rStyle w:val="FootnoteAnchor"/>
          <w:rtl w:val="true"/>
        </w:rPr>
        <w:footnoteReference w:id="2356"/>
      </w:r>
      <w:r>
        <w:rPr>
          <w:rFonts w:ascii="Amiri" w:hAnsi="Amiri" w:eastAsia="Amiri" w:cs="Amiri"/>
          <w:color w:val="111111"/>
          <w:sz w:val="28"/>
          <w:sz w:val="28"/>
          <w:szCs w:val="28"/>
          <w:rtl w:val="true"/>
          <w:lang w:bidi="ar-SA"/>
        </w:rPr>
        <w:t>على الرّجحان،و لأنّ الأصل لزوم العبادة،فكان الحديث مرجوحا،فلا يعتمد عليه،و بما يأتي من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أسماء إنّما سألته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357"/>
      </w:r>
      <w:r>
        <w:rPr>
          <w:rFonts w:ascii="Amiri" w:hAnsi="Amiri" w:eastAsia="Amiri" w:cs="Amiri"/>
          <w:color w:val="111111"/>
          <w:sz w:val="28"/>
          <w:sz w:val="28"/>
          <w:szCs w:val="28"/>
          <w:rtl w:val="true"/>
          <w:lang w:bidi="ar-SA"/>
        </w:rPr>
        <w:t>بعد مضي ثمانية عشر يوما، و لا شكّ انّه حينئذ يجب عليها الاغتسال،و ليس فيه دلالة على تحديد مدّة النّفاس بذلك العدد</w:t>
      </w:r>
      <w:r>
        <w:rPr>
          <w:rFonts w:eastAsia="Amiri" w:cs="Amiri" w:ascii="Amiri" w:hAnsi="Amiri"/>
          <w:color w:val="111111"/>
          <w:sz w:val="28"/>
          <w:szCs w:val="28"/>
          <w:rtl w:val="true"/>
          <w:lang w:bidi="ar-SA"/>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يدلّ على وقوع السّؤال بعد الانقضاء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الشّيخ،عن عليّ بن إبراهيم،عن أبيه رفعه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امرأة أبا عبد اللّه عليه السّلام 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انّي كنت أقعد في نفاسي عشرين يوما حتّى أفتوني بثمانية عشر يوما،فقال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أفتوك بثمانية عشر يوما؟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الرّجل</w:t>
      </w:r>
      <w:r>
        <w:rPr>
          <w:rFonts w:eastAsia="Amiri" w:cs="Amiri" w:ascii="Amiri" w:hAnsi="Amiri"/>
          <w:color w:val="111111"/>
          <w:sz w:val="28"/>
          <w:szCs w:val="28"/>
          <w:rtl w:val="true"/>
          <w:lang w:bidi="ar-SA"/>
        </w:rPr>
        <w:t xml:space="preserve">) </w:t>
      </w:r>
      <w:r>
        <w:rPr>
          <w:rStyle w:val="FootnoteAnchor"/>
          <w:rtl w:val="true"/>
        </w:rPr>
        <w:footnoteReference w:id="235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للحديث الّذي روي،عن رسول اللّه صلّى اللّه عليه و آله انّه قال لأسماء بنت عميس حين نفست بمحمّد بن أبي بكر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أسماء سألت رسول اللّه صلّى اللّه عليه و آله و قد أتى لها ثمانية عشر يوما،و لو سألته قبل ذلك لأمرها أن تغتسل و تفعل كما تفعل المستحاضة</w:t>
      </w:r>
      <w:r>
        <w:rPr>
          <w:rFonts w:eastAsia="Amiri" w:cs="Amiri" w:ascii="Amiri" w:hAnsi="Amiri"/>
          <w:color w:val="111111"/>
          <w:sz w:val="28"/>
          <w:szCs w:val="28"/>
          <w:rtl w:val="true"/>
          <w:lang w:bidi="ar-SA"/>
        </w:rPr>
        <w:t xml:space="preserve">» </w:t>
      </w:r>
      <w:r>
        <w:rPr>
          <w:rStyle w:val="FootnoteAnchor"/>
          <w:rtl w:val="true"/>
        </w:rPr>
        <w:footnoteReference w:id="235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ما رواه في الصّحيح،عن زرارة،عن أبي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أسماء بنت عميس نفست بمحمّد بن أبي بكر فأمرها رسول اللّه صلّى اللّه عليه و آله حين أرادت الإحرام بذي الحليفة أن تحتشي بالكرسف و الخرق و تهلّ بالحجّ،فلمّا قدموا و نسكوا المناسك فأتت لها ثمانية عشر يوما فأمرها رسول اللّه صلّى اللّه عليه و آله أن تطوف بالبيت و تصلّي و لم ينقطع عنها الدّم،ففعلت ذلك</w:t>
      </w:r>
      <w:r>
        <w:rPr>
          <w:rFonts w:eastAsia="Amiri" w:cs="Amiri" w:ascii="Amiri" w:hAnsi="Amiri"/>
          <w:color w:val="111111"/>
          <w:sz w:val="28"/>
          <w:szCs w:val="28"/>
          <w:rtl w:val="true"/>
          <w:lang w:bidi="ar-SA"/>
        </w:rPr>
        <w:t xml:space="preserve">» </w:t>
      </w:r>
      <w:r>
        <w:rPr>
          <w:rStyle w:val="FootnoteAnchor"/>
          <w:rtl w:val="true"/>
        </w:rPr>
        <w:footnoteReference w:id="23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رواه،عن فضيل و زرارة،عن أبي جعفر عليه السّلام انّ أسماء بنت عميس نفست بمحمّد بن أبي بكر فأمرها رسول اللّه صلّى اللّه عليه و آله و سلّم حين أرادت الإحرام من ذي الحليفة أن تغتسل و تحتشي بالكرسف و تهلّ بالحجّ،فلمّا قدموا و نسكوا المناسك سألت النّبيّ صلّى اللّه عليه و آله عن الطّواف بالبيت و الصّلاة فقال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منذ كم ولدت؟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منذ ثماني عشرة ليلة،فأمرها رسول اللّه صلّى اللّه عليه و آله أن تغتسل و تطوف بالبيت و تصلّي و لم ينقطع عنها الدّم ففعلت مثل ذلك </w:t>
      </w:r>
      <w:r>
        <w:rPr>
          <w:rStyle w:val="FootnoteAnchor"/>
          <w:rtl w:val="true"/>
        </w:rPr>
        <w:footnoteReference w:id="236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فسقط الاحتجاج بذلك</w:t>
      </w:r>
      <w:r>
        <w:rPr>
          <w:rFonts w:eastAsia="Amiri" w:cs="Amiri" w:ascii="Amiri" w:hAnsi="Amiri"/>
          <w:color w:val="111111"/>
          <w:sz w:val="28"/>
          <w:szCs w:val="28"/>
          <w:rtl w:val="true"/>
          <w:lang w:bidi="ar-SA"/>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احتجّ أبو حنيفة </w:t>
      </w:r>
      <w:r>
        <w:rPr>
          <w:rStyle w:val="FootnoteAnchor"/>
          <w:rtl w:val="true"/>
        </w:rPr>
        <w:footnoteReference w:id="2362"/>
      </w:r>
      <w:r>
        <w:rPr>
          <w:rFonts w:ascii="Amiri" w:hAnsi="Amiri" w:eastAsia="Amiri" w:cs="Amiri"/>
          <w:color w:val="111111"/>
          <w:sz w:val="28"/>
          <w:sz w:val="28"/>
          <w:szCs w:val="28"/>
          <w:rtl w:val="true"/>
          <w:lang w:bidi="ar-SA"/>
        </w:rPr>
        <w:t>بما روته أمّ سلمة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كانت النّفساء تجلس على عهد رسول اللّه صلّى اللّه عليه و آله أربعين يوما أو أربعين ليلة </w:t>
      </w:r>
      <w:r>
        <w:rPr>
          <w:rStyle w:val="FootnoteAnchor"/>
          <w:rtl w:val="true"/>
        </w:rPr>
        <w:footnoteReference w:id="236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لأنّ النّفاس دم الحيض و مدّة احتباسه ستّة أشهر،و الغالب انّ الحيض ستّة أو سبعة،فإذا جعل في الشّهرين ستّة </w:t>
      </w:r>
    </w:p>
    <w:p>
      <w:pPr>
        <w:pStyle w:val="BookText"/>
        <w:rPr/>
      </w:pPr>
      <w:r>
        <w:rPr>
          <w:rFonts w:ascii="Amiri" w:hAnsi="Amiri" w:eastAsia="Amiri" w:cs="Amiri"/>
          <w:color w:val="111111"/>
          <w:sz w:val="28"/>
          <w:sz w:val="28"/>
          <w:szCs w:val="28"/>
          <w:rtl w:val="true"/>
          <w:lang w:bidi="ar-SA"/>
        </w:rPr>
        <w:t>و في الأربعة سبعة،كان الجميع أربعين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 عن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هذا الحديث لم يعرف إلاّ من أبي سهل كثير بن زياد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كذا قال التّرمذيّ </w:t>
      </w:r>
      <w:r>
        <w:rPr>
          <w:rStyle w:val="FootnoteAnchor"/>
          <w:rtl w:val="true"/>
        </w:rPr>
        <w:footnoteReference w:id="2364"/>
      </w:r>
      <w:r>
        <w:rPr>
          <w:rFonts w:ascii="Amiri" w:hAnsi="Amiri" w:eastAsia="Amiri" w:cs="Amiri"/>
          <w:color w:val="111111"/>
          <w:sz w:val="28"/>
          <w:sz w:val="28"/>
          <w:szCs w:val="28"/>
          <w:rtl w:val="true"/>
          <w:lang w:bidi="ar-SA"/>
        </w:rPr>
        <w:t>،و ذلك ممّا يوجب تطرّق التّهمة إليه،لأنّ الانفراد مع اشتداد الحاجة إلى الاشتراك يوجب تطرّق التّهمة،على انّ مالكا أنكره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أمّ سلمة لم تروه عن رسول اللّه صلّى اللّه عليه و آله،فلا يكون 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الثّاني انّ الحيض في حال الحمل ينصرف غذاء للولد فلا يحتبس،و عند الولادة يندفع ما كان للتّغذية،فيكون حيضة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روى هذا المقدار الشّيخ،عن حفص بن غياث،عن أبي عبد اللّه عليه السّلام عن أبيه،عن علي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النّفساء تقعد أربعين يوما،فإن طهرت و إلاّ اغتسلت و صلّت و يأتيها زوجها،و كانت بمنزلة المستحاضة تصوم و تصلّي</w:t>
      </w:r>
      <w:r>
        <w:rPr>
          <w:rFonts w:eastAsia="Amiri" w:cs="Amiri" w:ascii="Amiri" w:hAnsi="Amiri"/>
          <w:color w:val="111111"/>
          <w:sz w:val="28"/>
          <w:szCs w:val="28"/>
          <w:rtl w:val="true"/>
          <w:lang w:bidi="ar-SA"/>
        </w:rPr>
        <w:t xml:space="preserve">» </w:t>
      </w:r>
      <w:r>
        <w:rPr>
          <w:rStyle w:val="FootnoteAnchor"/>
          <w:rtl w:val="true"/>
        </w:rPr>
        <w:footnoteReference w:id="23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محمّد بن يحيى الخثعميّ،عن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النّفساء تقعد ما بين الأربعين إلى الخمسين</w:t>
      </w:r>
      <w:r>
        <w:rPr>
          <w:rFonts w:eastAsia="Amiri" w:cs="Amiri" w:ascii="Amiri" w:hAnsi="Amiri"/>
          <w:color w:val="111111"/>
          <w:sz w:val="28"/>
          <w:szCs w:val="28"/>
          <w:rtl w:val="true"/>
          <w:lang w:bidi="ar-SA"/>
        </w:rPr>
        <w:t xml:space="preserve">» </w:t>
      </w:r>
      <w:r>
        <w:rPr>
          <w:rStyle w:val="FootnoteAnchor"/>
          <w:rtl w:val="true"/>
        </w:rPr>
        <w:footnoteReference w:id="2366"/>
      </w:r>
      <w:r>
        <w:rPr>
          <w:rFonts w:eastAsia="Times New Roman" w:cs="Times New Roman" w:ascii="Times New Roman" w:hAnsi="Times New Roman"/>
          <w:color w:val="111111"/>
          <w:sz w:val="28"/>
          <w:szCs w:val="28"/>
          <w:rtl w:val="true"/>
          <w:lang w:val="en-US" w:bidi="en-US"/>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الصّحيح،عن محمّد بن مسلم،عن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تقعد </w:t>
      </w:r>
    </w:p>
    <w:p>
      <w:pPr>
        <w:pStyle w:val="BookText"/>
        <w:rPr/>
      </w:pPr>
      <w:r>
        <w:rPr>
          <w:rFonts w:ascii="Amiri" w:hAnsi="Amiri" w:eastAsia="Amiri" w:cs="Amiri"/>
          <w:color w:val="111111"/>
          <w:sz w:val="28"/>
          <w:sz w:val="28"/>
          <w:szCs w:val="28"/>
          <w:rtl w:val="true"/>
          <w:lang w:bidi="ar-SA"/>
        </w:rPr>
        <w:t>النّفساء إذا لم ينقطع عنها الدّم أربعين يوما إلى الخمسين</w:t>
      </w:r>
      <w:r>
        <w:rPr>
          <w:rFonts w:eastAsia="Amiri" w:cs="Amiri" w:ascii="Amiri" w:hAnsi="Amiri"/>
          <w:color w:val="111111"/>
          <w:sz w:val="28"/>
          <w:szCs w:val="28"/>
          <w:rtl w:val="true"/>
          <w:lang w:bidi="ar-SA"/>
        </w:rPr>
        <w:t xml:space="preserve">» </w:t>
      </w:r>
      <w:r>
        <w:rPr>
          <w:rStyle w:val="FootnoteAnchor"/>
          <w:rtl w:val="true"/>
        </w:rPr>
        <w:footnoteReference w:id="236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لأنّا نجيب عن الأوّلين بالمنع من صحّة سندهما،و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فإنّهما معارضان بما قدّمناه من الأحاديث الصّحيحة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جعفر ابن بابويه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الأحاديث الّتي وردت في قعودها أربعين يوما و ما زاد إلى أن تطهر،معلولة كلّها لا يفتي بها إلاّ أهل الخلاف </w:t>
      </w:r>
      <w:r>
        <w:rPr>
          <w:rStyle w:val="FootnoteAnchor"/>
          <w:rtl w:val="true"/>
        </w:rPr>
        <w:footnoteReference w:id="236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هو الجواب عن الأخير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احتجّ الشّافعيّ بما روي،عن الأوزاعيّ انّه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عندنا امرأة ترى النّفاس شهرين </w:t>
      </w:r>
      <w:r>
        <w:rPr>
          <w:rStyle w:val="FootnoteAnchor"/>
          <w:rtl w:val="true"/>
        </w:rPr>
        <w:footnoteReference w:id="236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روي مثل ذلك عن عطاء انّه وجده،و المرجع في ذلك إلى الوجود </w:t>
      </w:r>
      <w:r>
        <w:rPr>
          <w:rStyle w:val="FootnoteAnchor"/>
          <w:rtl w:val="true"/>
        </w:rPr>
        <w:footnoteReference w:id="23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لأنّ أكثر النّفاس أربعة أمثال أكثر الحيض إجماعا،و قد ذكرنا أنّ أكثره خمسة عشر يوما </w:t>
      </w:r>
      <w:r>
        <w:rPr>
          <w:rStyle w:val="FootnoteAnchor"/>
          <w:rtl w:val="true"/>
        </w:rPr>
        <w:footnoteReference w:id="2371"/>
      </w:r>
      <w:r>
        <w:rPr>
          <w:rFonts w:ascii="Amiri" w:hAnsi="Amiri" w:eastAsia="Amiri" w:cs="Amiri"/>
          <w:color w:val="111111"/>
          <w:sz w:val="28"/>
          <w:sz w:val="28"/>
          <w:szCs w:val="28"/>
          <w:rtl w:val="true"/>
          <w:lang w:bidi="ar-SA"/>
        </w:rPr>
        <w:t>،فيكون النّفاس شهرين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 عن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باحتمال انّ الزّيادة كانت حيضا أو استحاضة،كما لو زاد دمها على الستّين،أو كما لو زاد دم الحيض على خمسة عشر يوما عنده</w:t>
      </w:r>
      <w:r>
        <w:rPr>
          <w:rFonts w:eastAsia="Amiri" w:cs="Amiri" w:ascii="Amiri" w:hAnsi="Amiri"/>
          <w:color w:val="111111"/>
          <w:sz w:val="28"/>
          <w:szCs w:val="28"/>
          <w:rtl w:val="true"/>
          <w:lang w:bidi="ar-SA"/>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لا يعرف بالقياس فأتبعنا النّصّ فيهما جميعا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انّا نمنع الإجماع على انّ أكثره أربعة أمثال أكثر الحيض،و كيف يحكم بالإجماع على ذلك،و مالك </w:t>
      </w:r>
      <w:r>
        <w:rPr>
          <w:rStyle w:val="FootnoteAnchor"/>
          <w:rtl w:val="true"/>
        </w:rPr>
        <w:footnoteReference w:id="2372"/>
      </w:r>
      <w:r>
        <w:rPr>
          <w:rFonts w:ascii="IRNazanin" w:hAnsi="IRNazanin" w:eastAsia="IRNazanin"/>
          <w:color w:val="111111"/>
          <w:sz w:val="28"/>
          <w:sz w:val="28"/>
          <w:szCs w:val="28"/>
          <w:rtl w:val="true"/>
          <w:lang w:bidi="fa-IR"/>
        </w:rPr>
        <w:t xml:space="preserve">و أحمد </w:t>
      </w:r>
      <w:r>
        <w:rPr>
          <w:rStyle w:val="FootnoteAnchor"/>
          <w:rtl w:val="true"/>
        </w:rPr>
        <w:footnoteReference w:id="2373"/>
      </w:r>
      <w:r>
        <w:rPr>
          <w:rFonts w:ascii="Amiri" w:hAnsi="Amiri" w:eastAsia="Amiri" w:cs="Amiri"/>
          <w:color w:val="111111"/>
          <w:sz w:val="28"/>
          <w:sz w:val="28"/>
          <w:szCs w:val="28"/>
          <w:rtl w:val="true"/>
          <w:lang w:bidi="ar-SA"/>
        </w:rPr>
        <w:t xml:space="preserve">و غيرهما من الفقهاء </w:t>
      </w:r>
      <w:r>
        <w:rPr>
          <w:rStyle w:val="FootnoteAnchor"/>
          <w:rtl w:val="true"/>
        </w:rPr>
        <w:footnoteReference w:id="2374"/>
      </w:r>
      <w:r>
        <w:rPr>
          <w:rFonts w:ascii="Amiri" w:hAnsi="Amiri" w:eastAsia="Amiri" w:cs="Amiri"/>
          <w:color w:val="111111"/>
          <w:sz w:val="28"/>
          <w:sz w:val="28"/>
          <w:szCs w:val="28"/>
          <w:rtl w:val="true"/>
          <w:lang w:bidi="ar-SA"/>
        </w:rPr>
        <w:t>،و من الصّحابة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عمر </w:t>
      </w:r>
      <w:r>
        <w:rPr>
          <w:rStyle w:val="FootnoteAnchor"/>
          <w:rtl w:val="true"/>
        </w:rPr>
        <w:footnoteReference w:id="2375"/>
      </w:r>
      <w:r>
        <w:rPr>
          <w:rFonts w:ascii="Amiri" w:hAnsi="Amiri" w:eastAsia="Amiri" w:cs="Amiri"/>
          <w:color w:val="111111"/>
          <w:sz w:val="28"/>
          <w:sz w:val="28"/>
          <w:szCs w:val="28"/>
          <w:rtl w:val="true"/>
          <w:lang w:bidi="ar-SA"/>
        </w:rPr>
        <w:t xml:space="preserve">و ابن عبّاس </w:t>
      </w:r>
      <w:r>
        <w:rPr>
          <w:rStyle w:val="FootnoteAnchor"/>
          <w:rtl w:val="true"/>
        </w:rPr>
        <w:footnoteReference w:id="2376"/>
      </w:r>
      <w:r>
        <w:rPr>
          <w:rFonts w:ascii="Amiri" w:hAnsi="Amiri" w:eastAsia="Amiri" w:cs="Amiri"/>
          <w:color w:val="111111"/>
          <w:sz w:val="28"/>
          <w:sz w:val="28"/>
          <w:szCs w:val="28"/>
          <w:rtl w:val="true"/>
          <w:lang w:bidi="ar-SA"/>
        </w:rPr>
        <w:t xml:space="preserve">،و غيرهما </w:t>
      </w:r>
    </w:p>
    <w:p>
      <w:pPr>
        <w:pStyle w:val="BookText"/>
        <w:rPr/>
      </w:pPr>
      <w:r>
        <w:rPr>
          <w:rFonts w:ascii="Amiri" w:hAnsi="Amiri" w:eastAsia="Amiri" w:cs="Amiri"/>
          <w:color w:val="111111"/>
          <w:sz w:val="28"/>
          <w:sz w:val="28"/>
          <w:szCs w:val="28"/>
          <w:rtl w:val="true"/>
          <w:lang w:bidi="ar-SA"/>
        </w:rPr>
        <w:t>نازعوا في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انّه قال في أحد وجهيه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أكثر الحيض ثلاثة عشر يوما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احتجّ مالك بأنّه قد روي في بعض الأخبار انّه سبعون </w:t>
      </w:r>
      <w:r>
        <w:rPr>
          <w:rStyle w:val="FootnoteAnchor"/>
          <w:rtl w:val="true"/>
        </w:rPr>
        <w:footnoteReference w:id="23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غريب،و المشهور ما قلناه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احتجّ ابن أبي عقيل بما رواه البزنطيّ في جامعة في الصّحيح،عن جميل،عن زرارة و محمّد بن مسلم،عن أبي جعفر عليه السّلام </w:t>
      </w:r>
      <w:r>
        <w:rPr>
          <w:rStyle w:val="FootnoteAnchor"/>
          <w:rtl w:val="true"/>
        </w:rPr>
        <w:footnoteReference w:id="23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بما رواه الشّيخ في الصّحيح،عن ابن سنان،عن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تقعد النّفساء تسع عشرة ليلة،فإن رأت دما صنعت كما تصنع المستحاضة</w:t>
      </w:r>
      <w:r>
        <w:rPr>
          <w:rFonts w:eastAsia="Amiri" w:cs="Amiri" w:ascii="Amiri" w:hAnsi="Amiri"/>
          <w:color w:val="111111"/>
          <w:sz w:val="28"/>
          <w:szCs w:val="28"/>
          <w:rtl w:val="true"/>
          <w:lang w:bidi="ar-SA"/>
        </w:rPr>
        <w:t xml:space="preserve">» </w:t>
      </w:r>
      <w:r>
        <w:rPr>
          <w:rStyle w:val="FootnoteAnchor"/>
          <w:rtl w:val="true"/>
        </w:rPr>
        <w:footnoteReference w:id="23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مع شذوذه مناف للأصل المقتضي لشغل الذّمّة بالعبادة،مع انّ ابن سنان الرّاوي المذكور روى انّ أكثره مقدار الحيض </w:t>
      </w:r>
      <w:r>
        <w:rPr>
          <w:rStyle w:val="FootnoteAnchor"/>
          <w:rtl w:val="true"/>
        </w:rPr>
        <w:footnoteReference w:id="2380"/>
      </w:r>
      <w:r>
        <w:rPr>
          <w:rFonts w:eastAsia="Times New Roman" w:cs="Times New Roman" w:ascii="Times New Roman" w:hAnsi="Times New Roman"/>
          <w:color w:val="111111"/>
          <w:sz w:val="28"/>
          <w:szCs w:val="28"/>
          <w:rtl w:val="true"/>
          <w:lang w:val="en-US" w:bidi="en-US"/>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روى الشّيخ في الصّحيح،عن ابن يقطين،عن أبي الحسن الماضي </w:t>
      </w:r>
      <w:bookmarkStart w:id="1320" w:name="pg12669_113234"/>
    </w:p>
    <w:p>
      <w:pPr>
        <w:pStyle w:val="BookText"/>
        <w:rPr/>
      </w:pPr>
      <w:bookmarkEnd w:id="1320"/>
      <w:r>
        <w:rPr>
          <w:rFonts w:ascii="Amiri" w:hAnsi="Amiri" w:eastAsia="Amiri" w:cs="Amiri"/>
          <w:color w:val="111111"/>
          <w:sz w:val="28"/>
          <w:sz w:val="28"/>
          <w:szCs w:val="28"/>
          <w:rtl w:val="true"/>
          <w:lang w:bidi="ar-SA"/>
        </w:rPr>
        <w:t xml:space="preserve">عليه السّلام انّ أكثره ثلاثون يوما </w:t>
      </w:r>
      <w:r>
        <w:rPr>
          <w:rStyle w:val="FootnoteAnchor"/>
          <w:rtl w:val="true"/>
        </w:rPr>
        <w:footnoteReference w:id="23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هذه رواية شاذّة لم يعمل بها أحد،فلا تكون معارضة للرّوايات المتقدّمة </w:t>
      </w:r>
      <w:r>
        <w:rPr>
          <w:rStyle w:val="FootnoteAnchor"/>
          <w:rtl w:val="true"/>
        </w:rPr>
        <w:footnoteReference w:id="2382"/>
      </w:r>
      <w:r>
        <w:rPr>
          <w:rFonts w:ascii="Amiri" w:hAnsi="Amiri" w:eastAsia="Amiri" w:cs="Amiri"/>
          <w:color w:val="111111"/>
          <w:sz w:val="28"/>
          <w:sz w:val="28"/>
          <w:szCs w:val="28"/>
          <w:rtl w:val="true"/>
          <w:lang w:bidi="ar-SA"/>
        </w:rPr>
        <w:t>،و مع ذلك فهي محتملة للتّأويل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انقطع الدّم لدون العشرة،أدخلت قطنة،فإن خرجت نقيّة اغتسلت و صلّت،و جاز لزوجها أن يقربها،و حلّ عليها جميع ما يحلّ على الطّاهرات،و إن خرجت ملوّثة صبرت إلى النّقاء،أو تمضي مدّة الأكثر و هي عشرة أيّام إن كانت عادتها،و إلاّ صبرت عادتها خاصّة و استظهرت بيوم أو يومين،و كذا البحث لو استمرّ بها الدّم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بعض المتأخّرين غلط ها هنا،فتوهّم انّ مع الاستمرار تصبر عشرة </w:t>
      </w:r>
      <w:r>
        <w:rPr>
          <w:rStyle w:val="FootnoteAnchor"/>
          <w:rtl w:val="true"/>
        </w:rPr>
        <w:footnoteReference w:id="2383"/>
      </w:r>
      <w:r>
        <w:rPr>
          <w:rFonts w:ascii="Amiri" w:hAnsi="Amiri" w:eastAsia="Amiri" w:cs="Amiri"/>
          <w:color w:val="111111"/>
          <w:sz w:val="28"/>
          <w:sz w:val="28"/>
          <w:szCs w:val="28"/>
          <w:rtl w:val="true"/>
          <w:lang w:bidi="ar-SA"/>
        </w:rPr>
        <w:t>،و لا نعرف عليه دليلا سوى ما رواه يونس،عن أبي عبد اللّه عليه السّلام في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تستظهر بعشرة أيّام</w:t>
      </w:r>
      <w:r>
        <w:rPr>
          <w:rFonts w:eastAsia="Amiri" w:cs="Amiri" w:ascii="Amiri" w:hAnsi="Amiri"/>
          <w:color w:val="111111"/>
          <w:sz w:val="28"/>
          <w:szCs w:val="28"/>
          <w:rtl w:val="true"/>
          <w:lang w:bidi="ar-SA"/>
        </w:rPr>
        <w:t xml:space="preserve">» </w:t>
      </w:r>
      <w:r>
        <w:rPr>
          <w:rStyle w:val="FootnoteAnchor"/>
          <w:rtl w:val="true"/>
        </w:rPr>
        <w:footnoteReference w:id="2384"/>
      </w:r>
      <w:r>
        <w:rPr>
          <w:rFonts w:ascii="Amiri" w:hAnsi="Amiri" w:eastAsia="Amiri" w:cs="Amiri"/>
          <w:color w:val="111111"/>
          <w:sz w:val="28"/>
          <w:sz w:val="28"/>
          <w:szCs w:val="28"/>
          <w:rtl w:val="true"/>
          <w:lang w:bidi="ar-SA"/>
        </w:rPr>
        <w:t xml:space="preserve">و ذلك غير دالّ على محلّ النّزاع،إذ من المحتمل أن تكون عادتها ثمانية أيّام أو تسعة أيّام،و يدلّ على ما اخترناه،الأحاديث الّتي قدّمناها </w:t>
      </w:r>
      <w:r>
        <w:rPr>
          <w:rStyle w:val="FootnoteAnchor"/>
          <w:rtl w:val="true"/>
        </w:rPr>
        <w:footnoteReference w:id="2385"/>
      </w:r>
      <w:r>
        <w:rPr>
          <w:rFonts w:ascii="Amiri" w:hAnsi="Amiri" w:eastAsia="Amiri" w:cs="Amiri"/>
          <w:color w:val="111111"/>
          <w:sz w:val="28"/>
          <w:sz w:val="28"/>
          <w:szCs w:val="28"/>
          <w:rtl w:val="true"/>
          <w:lang w:bidi="ar-SA"/>
        </w:rPr>
        <w:t>،فإنّها دالّة على حوالة النّفساء على الحائض في الأيّام و الاستظهار بيوم أو يومين</w:t>
      </w:r>
      <w:r>
        <w:rPr>
          <w:rFonts w:eastAsia="Amiri" w:cs="Amiri" w:ascii="Amiri" w:hAnsi="Amiri"/>
          <w:color w:val="111111"/>
          <w:sz w:val="28"/>
          <w:szCs w:val="28"/>
          <w:rtl w:val="true"/>
          <w:lang w:bidi="ar-SA"/>
        </w:rPr>
        <w:t>.</w:t>
      </w:r>
    </w:p>
    <w:p>
      <w:pPr>
        <w:pStyle w:val="Heading6"/>
        <w:numPr>
          <w:ilvl w:val="5"/>
          <w:numId w:val="1"/>
        </w:numPr>
        <w:rPr/>
      </w:pPr>
      <w:bookmarkStart w:id="1321" w:name="__RefHeading___Toc796205_222507752"/>
      <w:bookmarkStart w:id="1322" w:name="_Toc542"/>
      <w:bookmarkEnd w:id="1321"/>
      <w:r>
        <w:rPr>
          <w:rtl w:val="true"/>
        </w:rPr>
        <w:t>فروع</w:t>
      </w:r>
      <w:r>
        <w:rPr>
          <w:rtl w:val="true"/>
        </w:rPr>
        <w:t>:</w:t>
      </w:r>
      <w:bookmarkEnd w:id="1322"/>
    </w:p>
    <w:p>
      <w:pPr>
        <w:pStyle w:val="Heading6"/>
        <w:numPr>
          <w:ilvl w:val="5"/>
          <w:numId w:val="1"/>
        </w:numPr>
        <w:rPr/>
      </w:pPr>
      <w:bookmarkStart w:id="1323" w:name="__RefHeading___Toc796207_222507752"/>
      <w:bookmarkStart w:id="1324" w:name="_Toc543"/>
      <w:bookmarkEnd w:id="1323"/>
      <w:r>
        <w:rPr>
          <w:rtl w:val="true"/>
        </w:rPr>
        <w:t>الأوّل</w:t>
      </w:r>
      <w:r>
        <w:rPr>
          <w:rtl w:val="true"/>
        </w:rPr>
        <w:t>:</w:t>
      </w:r>
      <w:r>
        <w:rPr>
          <w:rtl w:val="true"/>
        </w:rPr>
        <w:t>لا يرجع إذا تجاوز دمها إلى عادتها في النّفاس،</w:t>
      </w:r>
      <w:bookmarkEnd w:id="1324"/>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 رويناه من الأحاديث الدّالة على الحوالة على أيّام الحيض </w:t>
      </w:r>
      <w:r>
        <w:rPr>
          <w:rStyle w:val="FootnoteAnchor"/>
          <w:rtl w:val="true"/>
        </w:rPr>
        <w:footnoteReference w:id="2386"/>
      </w:r>
      <w:r>
        <w:rPr>
          <w:rFonts w:eastAsia="Times New Roman" w:cs="Times New Roman" w:ascii="Times New Roman" w:hAnsi="Times New Roman"/>
          <w:color w:val="111111"/>
          <w:sz w:val="28"/>
          <w:szCs w:val="28"/>
          <w:rtl w:val="true"/>
          <w:lang w:val="en-US" w:bidi="en-US"/>
        </w:rPr>
        <w:t xml:space="preserve">. </w:t>
      </w:r>
      <w:bookmarkStart w:id="1325" w:name="pg12669_113235"/>
    </w:p>
    <w:p>
      <w:pPr>
        <w:pStyle w:val="BookText"/>
        <w:rPr/>
      </w:pPr>
      <w:bookmarkEnd w:id="1325"/>
      <w:r>
        <w:rPr>
          <w:rFonts w:ascii="Amiri" w:hAnsi="Amiri" w:eastAsia="Amiri" w:cs="Amiri"/>
          <w:color w:val="111111"/>
          <w:sz w:val="28"/>
          <w:sz w:val="28"/>
          <w:szCs w:val="28"/>
          <w:rtl w:val="true"/>
          <w:lang w:bidi="ar-SA"/>
        </w:rPr>
        <w:t>و ما رواه الشّيخ،عن محمّد بن يحيى الخثعميّ،عن أبي عبد اللّه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سألته عن النفساء؟فقال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كانت تكون مع ما مضى من أولادها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تلد فيما مضى؟قال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الأربعين إلى الخمسين</w:t>
      </w:r>
      <w:r>
        <w:rPr>
          <w:rFonts w:eastAsia="Amiri" w:cs="Amiri" w:ascii="Amiri" w:hAnsi="Amiri"/>
          <w:color w:val="111111"/>
          <w:sz w:val="28"/>
          <w:szCs w:val="28"/>
          <w:rtl w:val="true"/>
          <w:lang w:bidi="ar-SA"/>
        </w:rPr>
        <w:t xml:space="preserve">» </w:t>
      </w:r>
      <w:r>
        <w:rPr>
          <w:rStyle w:val="FootnoteAnchor"/>
          <w:rtl w:val="true"/>
        </w:rPr>
        <w:footnoteReference w:id="238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ليست مشهورة مع ضعف سندها و لم يعمل على مضمونها أحد من الأصحاب،و هي معارضة للرّوايات الصّحيحة، فكانت مدفوعة بالكلّيّة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انّه يحتمل انّه أراد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تطابقت أيّامها في النّفاس المتقدّم مع أيّامها في الحيض</w:t>
      </w:r>
      <w:r>
        <w:rPr>
          <w:rFonts w:eastAsia="Amiri" w:cs="Amiri" w:ascii="Amiri" w:hAnsi="Amiri"/>
          <w:color w:val="111111"/>
          <w:sz w:val="28"/>
          <w:szCs w:val="28"/>
          <w:rtl w:val="true"/>
          <w:lang w:bidi="ar-SA"/>
        </w:rPr>
        <w:t>.</w:t>
      </w:r>
    </w:p>
    <w:p>
      <w:pPr>
        <w:pStyle w:val="Heading6"/>
        <w:numPr>
          <w:ilvl w:val="5"/>
          <w:numId w:val="1"/>
        </w:numPr>
        <w:rPr/>
      </w:pPr>
      <w:bookmarkStart w:id="1326" w:name="__RefHeading___Toc796209_222507752"/>
      <w:bookmarkStart w:id="1327" w:name="_Toc544"/>
      <w:bookmarkEnd w:id="1326"/>
      <w:r>
        <w:rPr>
          <w:rtl w:val="true"/>
        </w:rPr>
        <w:t>الثّاني</w:t>
      </w:r>
      <w:r>
        <w:rPr>
          <w:rtl w:val="true"/>
        </w:rPr>
        <w:t>:</w:t>
      </w:r>
      <w:r>
        <w:rPr>
          <w:rtl w:val="true"/>
        </w:rPr>
        <w:t>هل ترجع إلى عادة أمّها و أختها في النّفاس؟لا نعرف فتوى</w:t>
      </w:r>
      <w:bookmarkEnd w:id="1327"/>
    </w:p>
    <w:p>
      <w:pPr>
        <w:pStyle w:val="BookText"/>
        <w:rPr/>
      </w:pPr>
      <w:r>
        <w:rPr>
          <w:rFonts w:ascii="Amiri" w:hAnsi="Amiri" w:eastAsia="Amiri" w:cs="Amiri"/>
          <w:color w:val="111111"/>
          <w:sz w:val="28"/>
          <w:sz w:val="28"/>
          <w:szCs w:val="28"/>
          <w:rtl w:val="true"/>
          <w:lang w:bidi="ar-SA"/>
        </w:rPr>
        <w:t>لأحد ممّن تقدّمنا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روى الشّيخ في الموثّق،عن أبي بصير،عن أبي عبد 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النّفساء إذا ابتليت بأيّام كثيرة مكثت،مثل أيّامها الّتي كانت تجلس قبل ذلك و استظهرت بمثل ثلثي أيّامها،ثمَّ تغتسل و تحتشي و تصنع كما تصنع المستحاضة،و إن كانت لا تعرف أيّام نفاسها فابتليت جلست بمثل أيّام أمّها،أو أختها،أو خالتها و استظهرت بثلثي ذلك،ثمَّ صنعت كما تصنع المستحاضة،تحتشي و تغتسل</w:t>
      </w:r>
      <w:r>
        <w:rPr>
          <w:rFonts w:eastAsia="Amiri" w:cs="Amiri" w:ascii="Amiri" w:hAnsi="Amiri"/>
          <w:color w:val="111111"/>
          <w:sz w:val="28"/>
          <w:szCs w:val="28"/>
          <w:rtl w:val="true"/>
          <w:lang w:bidi="ar-SA"/>
        </w:rPr>
        <w:t xml:space="preserve">» </w:t>
      </w:r>
      <w:r>
        <w:rPr>
          <w:rStyle w:val="FootnoteAnchor"/>
          <w:rtl w:val="true"/>
        </w:rPr>
        <w:footnoteReference w:id="2388"/>
      </w:r>
      <w:r>
        <w:rPr>
          <w:rFonts w:ascii="Amiri" w:hAnsi="Amiri" w:eastAsia="Amiri" w:cs="Amiri"/>
          <w:color w:val="111111"/>
          <w:sz w:val="28"/>
          <w:sz w:val="28"/>
          <w:szCs w:val="28"/>
          <w:rtl w:val="true"/>
          <w:lang w:bidi="ar-SA"/>
        </w:rPr>
        <w:t>و الرّواية شاذّة و في سندها ضعف،و الأقوى الرّجوع إلى أيّام الحيض</w:t>
      </w:r>
      <w:r>
        <w:rPr>
          <w:rFonts w:eastAsia="Amiri" w:cs="Amiri" w:ascii="Amiri" w:hAnsi="Amiri"/>
          <w:color w:val="111111"/>
          <w:sz w:val="28"/>
          <w:szCs w:val="28"/>
          <w:rtl w:val="true"/>
          <w:lang w:bidi="ar-SA"/>
        </w:rPr>
        <w:t>.</w:t>
      </w:r>
    </w:p>
    <w:p>
      <w:pPr>
        <w:pStyle w:val="Heading6"/>
        <w:numPr>
          <w:ilvl w:val="5"/>
          <w:numId w:val="1"/>
        </w:numPr>
        <w:rPr/>
      </w:pPr>
      <w:bookmarkStart w:id="1328" w:name="__RefHeading___Toc796211_222507752"/>
      <w:bookmarkStart w:id="1329" w:name="_Toc545"/>
      <w:bookmarkEnd w:id="1328"/>
      <w:r>
        <w:rPr>
          <w:rtl w:val="true"/>
        </w:rPr>
        <w:t>الثّالث</w:t>
      </w:r>
      <w:r>
        <w:rPr>
          <w:rtl w:val="true"/>
        </w:rPr>
        <w:t>:</w:t>
      </w:r>
      <w:r>
        <w:rPr>
          <w:rtl w:val="true"/>
        </w:rPr>
        <w:t>لو كانت مبتدئة،أو مضطربة،أو ذات عادة منسيّة فإن انقطع الدّم</w:t>
      </w:r>
      <w:bookmarkEnd w:id="1329"/>
    </w:p>
    <w:p>
      <w:pPr>
        <w:pStyle w:val="BookText"/>
        <w:rPr/>
      </w:pPr>
      <w:r>
        <w:rPr>
          <w:rFonts w:ascii="Amiri" w:hAnsi="Amiri" w:eastAsia="Amiri" w:cs="Amiri"/>
          <w:color w:val="111111"/>
          <w:sz w:val="28"/>
          <w:sz w:val="28"/>
          <w:szCs w:val="28"/>
          <w:rtl w:val="true"/>
          <w:lang w:bidi="ar-SA"/>
        </w:rPr>
        <w:t>لعشرة فما دون فهو نفاس</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قطعا،و لو تجاوز ففي قدر أيّامها حينئذ نظر،فإنّه يمكن أن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انّها تجلس ستّة أيّام،أو سبعة،لأنّ الحائض تقعد ذلك فكذلك النّفساء،لأنّه حيض في الحقيقة،و لأنّ 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تجلس أيّام حيضها الّتي كانت </w:t>
      </w:r>
      <w:bookmarkStart w:id="1330" w:name="pg12669_113236"/>
    </w:p>
    <w:p>
      <w:pPr>
        <w:pStyle w:val="BookText"/>
        <w:rPr/>
      </w:pPr>
      <w:bookmarkEnd w:id="1330"/>
      <w:r>
        <w:rPr>
          <w:rFonts w:ascii="Amiri" w:hAnsi="Amiri" w:eastAsia="Amiri" w:cs="Amiri"/>
          <w:color w:val="111111"/>
          <w:sz w:val="28"/>
          <w:sz w:val="28"/>
          <w:szCs w:val="28"/>
          <w:rtl w:val="true"/>
          <w:lang w:bidi="ar-SA"/>
        </w:rPr>
        <w:t>تحيض</w:t>
      </w:r>
      <w:r>
        <w:rPr>
          <w:rFonts w:eastAsia="Amiri" w:cs="Amiri" w:ascii="Amiri" w:hAnsi="Amiri"/>
          <w:color w:val="111111"/>
          <w:sz w:val="28"/>
          <w:szCs w:val="28"/>
          <w:rtl w:val="true"/>
          <w:lang w:bidi="ar-SA"/>
        </w:rPr>
        <w:t xml:space="preserve">» </w:t>
      </w:r>
      <w:r>
        <w:rPr>
          <w:rStyle w:val="FootnoteAnchor"/>
          <w:rtl w:val="true"/>
        </w:rPr>
        <w:footnoteReference w:id="2389"/>
      </w:r>
      <w:r>
        <w:rPr>
          <w:rFonts w:ascii="Amiri" w:hAnsi="Amiri" w:eastAsia="Amiri" w:cs="Amiri"/>
          <w:color w:val="111111"/>
          <w:sz w:val="28"/>
          <w:sz w:val="28"/>
          <w:szCs w:val="28"/>
          <w:rtl w:val="true"/>
          <w:lang w:bidi="ar-SA"/>
        </w:rPr>
        <w:t>كما يتناول الماضي يتناول المستقبل،و فيه ضعف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يمكن أن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انّها تجلس عشرة أيّام،لأنّه حيض في الحقيقة فلا يزيد على أيّامه،و لرواية يونس،و لأنّ العشرة،أيّام الحيض فتنفّست بها،و لأنّ النّفاس قد ثبت بيقين،فلا يزول إلاّ بيقين و هو بلوغ العشرة بخلاف الحيض،لأنّه لم يثبت من الابتداء بيقين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أن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تجلس ثمانية عشر،لرواية محمّد بن مسلم الصّحيحة،عن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 تقعد النّفساء حتّى تصلّي؟قال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ثمان عشرة،سبع عشرة</w:t>
      </w:r>
      <w:r>
        <w:rPr>
          <w:rFonts w:eastAsia="Amiri" w:cs="Amiri" w:ascii="Amiri" w:hAnsi="Amiri"/>
          <w:color w:val="111111"/>
          <w:sz w:val="28"/>
          <w:szCs w:val="28"/>
          <w:rtl w:val="true"/>
          <w:lang w:bidi="ar-SA"/>
        </w:rPr>
        <w:t xml:space="preserve">» </w:t>
      </w:r>
      <w:r>
        <w:rPr>
          <w:rStyle w:val="FootnoteAnchor"/>
          <w:rtl w:val="true"/>
        </w:rPr>
        <w:footnoteReference w:id="23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للرّواية الصّحيحة،عن أبي جعفر عليه السّلام بمثله </w:t>
      </w:r>
      <w:r>
        <w:rPr>
          <w:rStyle w:val="FootnoteAnchor"/>
          <w:rtl w:val="true"/>
        </w:rPr>
        <w:footnoteReference w:id="2391"/>
      </w:r>
      <w:r>
        <w:rPr>
          <w:rFonts w:ascii="Amiri" w:hAnsi="Amiri" w:eastAsia="Amiri" w:cs="Amiri"/>
          <w:color w:val="111111"/>
          <w:sz w:val="28"/>
          <w:sz w:val="28"/>
          <w:szCs w:val="28"/>
          <w:rtl w:val="true"/>
          <w:lang w:bidi="ar-SA"/>
        </w:rPr>
        <w:t>و تحمل هذه النّفساء على المبتدئة جمعا بين الأخبار،فإنّ هذه مطلقة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الأحاديث المتقدّمة دالّة على سبق عادة للمرأة فتعمل بتلك في موضعها،و تحمل هذه الرّواية المطلقة على المبتدئة،و هذا الأخير كأنّه أقرب إلى الصّواب،و للشّافعيّ قولان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يرد إلى لحظة،و في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أربعين </w:t>
      </w:r>
      <w:r>
        <w:rPr>
          <w:rStyle w:val="FootnoteAnchor"/>
          <w:rtl w:val="true"/>
        </w:rPr>
        <w:footnoteReference w:id="239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331" w:name="__RefHeading___Toc796213_222507752"/>
      <w:bookmarkStart w:id="1332" w:name="_Toc546"/>
      <w:bookmarkEnd w:id="1331"/>
      <w:r>
        <w:rPr>
          <w:rtl w:val="true"/>
        </w:rPr>
        <w:t>الرّابع</w:t>
      </w:r>
      <w:r>
        <w:rPr>
          <w:rtl w:val="true"/>
        </w:rPr>
        <w:t>:</w:t>
      </w:r>
      <w:r>
        <w:rPr>
          <w:rtl w:val="true"/>
        </w:rPr>
        <w:t>الأقرب انّ الاستظهار بيوم أو يومين لذات العادة ليس بواجب،</w:t>
      </w:r>
      <w:bookmarkEnd w:id="1332"/>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رواه الشّيخ،عن زرارة و فضيل في الصّحيح،عن أحدهما عليهما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تكفّ عن الصّلاة أيّامها،ثمَّ تغتسل</w:t>
      </w:r>
      <w:r>
        <w:rPr>
          <w:rFonts w:eastAsia="Amiri" w:cs="Amiri" w:ascii="Amiri" w:hAnsi="Amiri"/>
          <w:color w:val="111111"/>
          <w:sz w:val="28"/>
          <w:szCs w:val="28"/>
          <w:rtl w:val="true"/>
          <w:lang w:bidi="ar-SA"/>
        </w:rPr>
        <w:t xml:space="preserve">» </w:t>
      </w:r>
      <w:r>
        <w:rPr>
          <w:rStyle w:val="FootnoteAnchor"/>
          <w:rtl w:val="true"/>
        </w:rPr>
        <w:footnoteReference w:id="2393"/>
      </w:r>
      <w:r>
        <w:rPr>
          <w:rFonts w:ascii="Amiri" w:hAnsi="Amiri" w:eastAsia="Amiri" w:cs="Amiri"/>
          <w:color w:val="111111"/>
          <w:sz w:val="28"/>
          <w:sz w:val="28"/>
          <w:szCs w:val="28"/>
          <w:rtl w:val="true"/>
          <w:lang w:bidi="ar-SA"/>
        </w:rPr>
        <w:t xml:space="preserve">فترك الاستظهار بترك العبادة عقيب السّؤال دالّ على </w:t>
      </w:r>
      <w:bookmarkStart w:id="1333" w:name="pg12669_113237"/>
    </w:p>
    <w:p>
      <w:pPr>
        <w:pStyle w:val="BookText"/>
        <w:rPr/>
      </w:pPr>
      <w:bookmarkEnd w:id="1333"/>
      <w:r>
        <w:rPr>
          <w:rFonts w:ascii="IRNazanin" w:hAnsi="IRNazanin" w:eastAsia="IRNazanin"/>
          <w:color w:val="111111"/>
          <w:sz w:val="28"/>
          <w:sz w:val="28"/>
          <w:szCs w:val="28"/>
          <w:rtl w:val="true"/>
          <w:lang w:bidi="fa-IR"/>
        </w:rPr>
        <w:t>عدم الوجوب</w:t>
      </w:r>
      <w:r>
        <w:rPr>
          <w:rFonts w:eastAsia="IRNazanin" w:cs="IRNazanin"/>
          <w:color w:val="111111"/>
          <w:sz w:val="28"/>
          <w:szCs w:val="28"/>
          <w:rtl w:val="true"/>
          <w:lang w:bidi="fa-IR"/>
        </w:rPr>
        <w:t>.</w:t>
      </w:r>
    </w:p>
    <w:p>
      <w:pPr>
        <w:pStyle w:val="Heading6"/>
        <w:numPr>
          <w:ilvl w:val="5"/>
          <w:numId w:val="1"/>
        </w:numPr>
        <w:rPr/>
      </w:pPr>
      <w:bookmarkStart w:id="1334" w:name="__RefHeading___Toc796215_222507752"/>
      <w:bookmarkStart w:id="1335" w:name="_Toc547"/>
      <w:bookmarkEnd w:id="1334"/>
      <w:r>
        <w:rPr>
          <w:rtl w:val="true"/>
        </w:rPr>
        <w:t>الخامس</w:t>
      </w:r>
      <w:r>
        <w:rPr>
          <w:rtl w:val="true"/>
        </w:rPr>
        <w:t>:</w:t>
      </w:r>
      <w:r>
        <w:rPr>
          <w:rtl w:val="true"/>
        </w:rPr>
        <w:t>إذا تجاوز الدّم أكثر أيّام النّفاس فهو استحاضة،</w:t>
      </w:r>
      <w:bookmarkEnd w:id="1335"/>
    </w:p>
    <w:p>
      <w:pPr>
        <w:pStyle w:val="BookText"/>
        <w:rPr/>
      </w:pPr>
      <w:r>
        <w:rPr>
          <w:rFonts w:ascii="Amiri" w:hAnsi="Amiri" w:eastAsia="Amiri" w:cs="Amiri"/>
          <w:color w:val="111111"/>
          <w:sz w:val="28"/>
          <w:sz w:val="28"/>
          <w:szCs w:val="28"/>
          <w:rtl w:val="true"/>
          <w:lang w:bidi="ar-SA"/>
        </w:rPr>
        <w:t>سواء صادف أيّام العادة في الحيض أو لم يصادف،خلافا لأحمد،فإنّه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صادف أيّام العادة فهو حيض،و إلاّ فهو استحاضة </w:t>
      </w:r>
      <w:r>
        <w:rPr>
          <w:rStyle w:val="FootnoteAnchor"/>
          <w:rtl w:val="true"/>
        </w:rPr>
        <w:footnoteReference w:id="23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دم حيض قد احتبس فلا يتعقّبه حيض ما لم يفصل الطّهر بينهما،و بين هذا الدّم،و الموجود قبل الوضع فرق ما</w:t>
      </w:r>
      <w:r>
        <w:rPr>
          <w:rFonts w:eastAsia="Amiri" w:cs="Amiri" w:ascii="Amiri" w:hAnsi="Amiri"/>
          <w:color w:val="111111"/>
          <w:sz w:val="28"/>
          <w:szCs w:val="28"/>
          <w:rtl w:val="true"/>
          <w:lang w:bidi="ar-SA"/>
        </w:rPr>
        <w:t>.</w:t>
      </w:r>
    </w:p>
    <w:p>
      <w:pPr>
        <w:pStyle w:val="Heading6"/>
        <w:numPr>
          <w:ilvl w:val="5"/>
          <w:numId w:val="1"/>
        </w:numPr>
        <w:rPr/>
      </w:pPr>
      <w:bookmarkStart w:id="1336" w:name="__RefHeading___Toc796217_222507752"/>
      <w:bookmarkStart w:id="1337" w:name="_Toc548"/>
      <w:bookmarkEnd w:id="1336"/>
      <w:r>
        <w:rPr>
          <w:rtl w:val="true"/>
        </w:rPr>
        <w:t>السّادس</w:t>
      </w:r>
      <w:r>
        <w:rPr>
          <w:rtl w:val="true"/>
        </w:rPr>
        <w:t>:</w:t>
      </w:r>
      <w:r>
        <w:rPr>
          <w:rtl w:val="true"/>
        </w:rPr>
        <w:t>لو تخلّل النّقاء بين الدّمين و لم يتجاوز أكثر النّفاس فالجميع نفاس</w:t>
      </w:r>
      <w:bookmarkEnd w:id="1337"/>
    </w:p>
    <w:p>
      <w:pPr>
        <w:pStyle w:val="BookText"/>
        <w:rPr/>
      </w:pPr>
      <w:r>
        <w:rPr>
          <w:rFonts w:ascii="Amiri" w:hAnsi="Amiri" w:eastAsia="Amiri" w:cs="Amiri"/>
          <w:color w:val="111111"/>
          <w:sz w:val="28"/>
          <w:sz w:val="28"/>
          <w:szCs w:val="28"/>
          <w:rtl w:val="true"/>
          <w:lang w:bidi="ar-SA"/>
        </w:rPr>
        <w:t>تقضي الصّوم الّذي فعلته عند الانقطاع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قول أبي </w:t>
      </w:r>
      <w:r>
        <w:rPr>
          <w:rStyle w:val="FootnoteAnchor"/>
          <w:rtl w:val="true"/>
        </w:rPr>
        <w:footnoteReference w:id="2395"/>
      </w:r>
      <w:r>
        <w:rPr>
          <w:rFonts w:ascii="Amiri" w:hAnsi="Amiri" w:eastAsia="Amiri" w:cs="Amiri"/>
          <w:color w:val="111111"/>
          <w:sz w:val="28"/>
          <w:sz w:val="28"/>
          <w:szCs w:val="28"/>
          <w:rtl w:val="true"/>
          <w:lang w:bidi="ar-SA"/>
        </w:rPr>
        <w:t>حنيفة،و للشافعيّ فيما إذا رأت الدّم العائد يوما و ليلة بعد طهر خمسة عشر يوما قولان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حيض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قول أبي يوسف </w:t>
      </w:r>
      <w:r>
        <w:rPr>
          <w:rStyle w:val="FootnoteAnchor"/>
          <w:rtl w:val="true"/>
        </w:rPr>
        <w:footnoteReference w:id="2396"/>
      </w:r>
      <w:r>
        <w:rPr>
          <w:rFonts w:ascii="Amiri" w:hAnsi="Amiri" w:eastAsia="Amiri" w:cs="Amiri"/>
          <w:color w:val="111111"/>
          <w:sz w:val="28"/>
          <w:sz w:val="28"/>
          <w:szCs w:val="28"/>
          <w:rtl w:val="true"/>
          <w:lang w:bidi="ar-SA"/>
        </w:rPr>
        <w:t xml:space="preserve">،و محمّد </w:t>
      </w:r>
      <w:r>
        <w:rPr>
          <w:rStyle w:val="FootnoteAnchor"/>
          <w:rtl w:val="true"/>
        </w:rPr>
        <w:footnoteReference w:id="2397"/>
      </w:r>
      <w:r>
        <w:rPr>
          <w:rFonts w:ascii="Amiri" w:hAnsi="Amiri" w:eastAsia="Amiri" w:cs="Amiri"/>
          <w:color w:val="111111"/>
          <w:sz w:val="28"/>
          <w:sz w:val="28"/>
          <w:szCs w:val="28"/>
          <w:rtl w:val="true"/>
          <w:lang w:bidi="ar-SA"/>
        </w:rPr>
        <w:t>،لأنّ الدّم فصل بينهما طهر صحيح،فلم يضمّ أحدهما إلى الآخر</w:t>
      </w:r>
      <w:r>
        <w:rPr>
          <w:rFonts w:eastAsia="Amiri" w:cs="Amiri" w:ascii="Amiri" w:hAnsi="Amiri"/>
          <w:color w:val="111111"/>
          <w:sz w:val="28"/>
          <w:szCs w:val="28"/>
          <w:rtl w:val="true"/>
          <w:lang w:bidi="ar-SA"/>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نفاس </w:t>
      </w:r>
      <w:r>
        <w:rPr>
          <w:rStyle w:val="FootnoteAnchor"/>
          <w:rtl w:val="true"/>
        </w:rPr>
        <w:footnoteReference w:id="239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به قال أبو حنيفة،و هو إحدى الرّوايتين عن أحمد </w:t>
      </w:r>
      <w:r>
        <w:rPr>
          <w:rStyle w:val="FootnoteAnchor"/>
          <w:rtl w:val="true"/>
        </w:rPr>
        <w:footnoteReference w:id="2399"/>
      </w:r>
      <w:r>
        <w:rPr>
          <w:rFonts w:ascii="IRNazanin" w:hAnsi="IRNazanin" w:eastAsia="IRNazanin"/>
          <w:color w:val="111111"/>
          <w:sz w:val="28"/>
          <w:sz w:val="28"/>
          <w:szCs w:val="28"/>
          <w:rtl w:val="true"/>
          <w:lang w:bidi="fa-IR"/>
        </w:rPr>
        <w:t xml:space="preserve">، و هو قول </w:t>
      </w:r>
      <w:r>
        <w:rPr>
          <w:rStyle w:val="FootnoteAnchor"/>
          <w:rtl w:val="true"/>
        </w:rPr>
        <w:footnoteReference w:id="2400"/>
      </w:r>
      <w:r>
        <w:rPr>
          <w:rFonts w:ascii="Amiri" w:hAnsi="Amiri" w:eastAsia="Amiri" w:cs="Amiri"/>
          <w:color w:val="111111"/>
          <w:sz w:val="28"/>
          <w:sz w:val="28"/>
          <w:szCs w:val="28"/>
          <w:rtl w:val="true"/>
          <w:lang w:bidi="ar-SA"/>
        </w:rPr>
        <w:t xml:space="preserve">عطاء و الشّعبيّ </w:t>
      </w:r>
      <w:r>
        <w:rPr>
          <w:rStyle w:val="FootnoteAnchor"/>
          <w:rtl w:val="true"/>
        </w:rPr>
        <w:footnoteReference w:id="2401"/>
      </w:r>
      <w:r>
        <w:rPr>
          <w:rFonts w:ascii="Amiri" w:hAnsi="Amiri" w:eastAsia="Amiri" w:cs="Amiri"/>
          <w:color w:val="111111"/>
          <w:sz w:val="28"/>
          <w:sz w:val="28"/>
          <w:szCs w:val="28"/>
          <w:rtl w:val="true"/>
          <w:lang w:bidi="ar-SA"/>
        </w:rPr>
        <w:t xml:space="preserve">،لأنّهما دمان في زمان </w:t>
      </w:r>
      <w:r>
        <w:rPr>
          <w:rStyle w:val="FootnoteAnchor"/>
          <w:rtl w:val="true"/>
        </w:rPr>
        <w:footnoteReference w:id="2402"/>
      </w:r>
      <w:r>
        <w:rPr>
          <w:rFonts w:ascii="Amiri" w:hAnsi="Amiri" w:eastAsia="Amiri" w:cs="Amiri"/>
          <w:color w:val="111111"/>
          <w:sz w:val="28"/>
          <w:sz w:val="28"/>
          <w:szCs w:val="28"/>
          <w:rtl w:val="true"/>
          <w:lang w:bidi="ar-SA"/>
        </w:rPr>
        <w:t xml:space="preserve">أيّام النّفاس،فكانا نفاسا، </w:t>
      </w:r>
      <w:bookmarkStart w:id="1338" w:name="pg12669_113238"/>
    </w:p>
    <w:p>
      <w:pPr>
        <w:pStyle w:val="BookText"/>
        <w:rPr/>
      </w:pPr>
      <w:bookmarkEnd w:id="1338"/>
      <w:r>
        <w:rPr>
          <w:rFonts w:ascii="Amiri" w:hAnsi="Amiri" w:eastAsia="Amiri" w:cs="Amiri"/>
          <w:color w:val="111111"/>
          <w:sz w:val="28"/>
          <w:sz w:val="28"/>
          <w:szCs w:val="28"/>
          <w:rtl w:val="true"/>
          <w:lang w:bidi="ar-SA"/>
        </w:rPr>
        <w:t>كما لو تخلّل بينهما أقلّ من خمسة عشر يوما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الرّواية الأخرى عن أحمد </w:t>
      </w:r>
      <w:r>
        <w:rPr>
          <w:rStyle w:val="FootnoteAnchor"/>
          <w:rtl w:val="true"/>
        </w:rPr>
        <w:footnoteReference w:id="2403"/>
      </w:r>
      <w:r>
        <w:rPr>
          <w:rFonts w:ascii="Amiri" w:hAnsi="Amiri" w:eastAsia="Amiri" w:cs="Amiri"/>
          <w:color w:val="111111"/>
          <w:sz w:val="28"/>
          <w:sz w:val="28"/>
          <w:szCs w:val="28"/>
          <w:rtl w:val="true"/>
          <w:lang w:bidi="ar-SA"/>
        </w:rPr>
        <w:t xml:space="preserve">انّه مشكوك فيه،فتصوم فيه و تصلّي و تقضي الصّوم،أمّا ما صامته في زمن الطّهر فقد نصّ أحمد </w:t>
      </w:r>
      <w:r>
        <w:rPr>
          <w:rStyle w:val="FootnoteAnchor"/>
          <w:rtl w:val="true"/>
        </w:rPr>
        <w:footnoteReference w:id="2404"/>
      </w:r>
      <w:r>
        <w:rPr>
          <w:rFonts w:ascii="Amiri" w:hAnsi="Amiri" w:eastAsia="Amiri" w:cs="Amiri"/>
          <w:color w:val="111111"/>
          <w:sz w:val="28"/>
          <w:sz w:val="28"/>
          <w:szCs w:val="28"/>
          <w:rtl w:val="true"/>
          <w:lang w:bidi="ar-SA"/>
        </w:rPr>
        <w:t>على انّه صحيح لا قضاء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دم في زمن النّفاس،فكان نفاسا كالأوّل،و كما لو اتّصل،و مع ثبوت انّه نفاس كانت أيّام النّقاء كذلك،لأنّها لا تفصل ما لم تكمل أقلّ الطّهر و هو عشرة</w:t>
      </w:r>
      <w:r>
        <w:rPr>
          <w:rFonts w:eastAsia="Amiri" w:cs="Amiri" w:ascii="Amiri" w:hAnsi="Amiri"/>
          <w:color w:val="111111"/>
          <w:sz w:val="28"/>
          <w:szCs w:val="28"/>
          <w:rtl w:val="true"/>
          <w:lang w:bidi="ar-SA"/>
        </w:rPr>
        <w:t>.</w:t>
      </w:r>
    </w:p>
    <w:p>
      <w:pPr>
        <w:pStyle w:val="Heading6"/>
        <w:numPr>
          <w:ilvl w:val="5"/>
          <w:numId w:val="1"/>
        </w:numPr>
        <w:rPr/>
      </w:pPr>
      <w:bookmarkStart w:id="1339" w:name="__RefHeading___Toc796219_222507752"/>
      <w:bookmarkStart w:id="1340" w:name="_Toc549"/>
      <w:bookmarkEnd w:id="1339"/>
      <w:r>
        <w:rPr>
          <w:rtl w:val="true"/>
        </w:rPr>
        <w:t>السّابع</w:t>
      </w:r>
      <w:r>
        <w:rPr>
          <w:rtl w:val="true"/>
        </w:rPr>
        <w:t>:</w:t>
      </w:r>
      <w:r>
        <w:rPr>
          <w:rtl w:val="true"/>
        </w:rPr>
        <w:t>لو لم يعد إلاّ بعد العاشر،اختصّ النّفاس بأيّام الدّم و كانت أيّام النّقاء</w:t>
      </w:r>
      <w:bookmarkEnd w:id="1340"/>
    </w:p>
    <w:p>
      <w:pPr>
        <w:pStyle w:val="BookText"/>
        <w:rPr/>
      </w:pPr>
      <w:r>
        <w:rPr>
          <w:rFonts w:ascii="IRNazanin" w:hAnsi="IRNazanin" w:eastAsia="IRNazanin"/>
          <w:color w:val="111111"/>
          <w:sz w:val="28"/>
          <w:sz w:val="28"/>
          <w:szCs w:val="28"/>
          <w:rtl w:val="true"/>
          <w:lang w:bidi="fa-IR"/>
        </w:rPr>
        <w:t>طهرا</w:t>
      </w:r>
    </w:p>
    <w:p>
      <w:pPr>
        <w:pStyle w:val="BookText"/>
        <w:rPr/>
      </w:pPr>
      <w:r>
        <w:rPr>
          <w:rFonts w:ascii="Amiri" w:hAnsi="Amiri" w:eastAsia="Amiri" w:cs="Amiri"/>
          <w:color w:val="111111"/>
          <w:sz w:val="28"/>
          <w:sz w:val="28"/>
          <w:szCs w:val="28"/>
          <w:rtl w:val="true"/>
          <w:lang w:bidi="ar-SA"/>
        </w:rPr>
        <w:t>،لأنّ النّفاس هو الدّم،و لم يوجد صورة و لا حكما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القائلون من أصحابنا بأنّ أكثر النّفاس ثمانية عشر </w:t>
      </w:r>
      <w:r>
        <w:rPr>
          <w:rStyle w:val="FootnoteAnchor"/>
          <w:rtl w:val="true"/>
        </w:rPr>
        <w:footnoteReference w:id="2405"/>
      </w:r>
      <w:r>
        <w:rPr>
          <w:rFonts w:ascii="Amiri" w:hAnsi="Amiri" w:eastAsia="Amiri" w:cs="Amiri"/>
          <w:color w:val="111111"/>
          <w:sz w:val="28"/>
          <w:sz w:val="28"/>
          <w:szCs w:val="28"/>
          <w:rtl w:val="true"/>
          <w:lang w:bidi="ar-SA"/>
        </w:rPr>
        <w:t xml:space="preserve">،لو رأت ساعة بعد الولادة،ثمَّ انقطع عشرة أيّام،ثمَّ رأته ثلاثة أيّام،فإنّه يحتمل أن يكون حيضا،لأنّه بعدد أيّامه بعد طهر كامل،و أن يكون نفاسا،لأنّه في وقت إمكانه </w:t>
      </w:r>
      <w:r>
        <w:rPr>
          <w:rStyle w:val="FootnoteAnchor"/>
          <w:rtl w:val="true"/>
        </w:rPr>
        <w:footnoteReference w:id="240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فعلى الأوّل لو رأته أقلّ من ثلاثة،كان دم فساد لأنّه أقلّ من عدد الحيض بعد طهر كامل،فكان فسادا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الثّاني يكون نفاسا،و لم نقف لهم على نصّ في ذلك</w:t>
      </w:r>
      <w:r>
        <w:rPr>
          <w:rFonts w:eastAsia="Amiri" w:cs="Amiri" w:ascii="Amiri" w:hAnsi="Amiri"/>
          <w:color w:val="111111"/>
          <w:sz w:val="28"/>
          <w:szCs w:val="28"/>
          <w:rtl w:val="true"/>
          <w:lang w:bidi="ar-SA"/>
        </w:rPr>
        <w:t>.</w:t>
      </w:r>
    </w:p>
    <w:p>
      <w:pPr>
        <w:pStyle w:val="Heading6"/>
        <w:numPr>
          <w:ilvl w:val="5"/>
          <w:numId w:val="1"/>
        </w:numPr>
        <w:rPr/>
      </w:pPr>
      <w:bookmarkStart w:id="1341" w:name="__RefHeading___Toc796221_222507752"/>
      <w:bookmarkStart w:id="1342" w:name="_Toc550"/>
      <w:bookmarkEnd w:id="1341"/>
      <w:r>
        <w:rPr>
          <w:rtl w:val="true"/>
        </w:rPr>
        <w:t>الثّامن</w:t>
      </w:r>
      <w:r>
        <w:rPr>
          <w:rtl w:val="true"/>
        </w:rPr>
        <w:t>:</w:t>
      </w:r>
      <w:r>
        <w:rPr>
          <w:rtl w:val="true"/>
        </w:rPr>
        <w:t>لو ولدت و لم تر دما إلاّ يوم العاشر فهو النّفاس خاصّة،</w:t>
      </w:r>
      <w:bookmarkEnd w:id="1342"/>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قبله طهر و ما بعده استحاضة،لما قلناه من انّ النّفاس هو الدّم،و إنّ حدّه عشرة أيّام،و لو لم تر في العشرة دما،ثمَّ رأت بعدها،فإنّ استمرّ ثلاثة فهو حيض،و لا نفاس لها،لأنّ أيّامه قد انقضت بغير دم،و إن كان أقلّ فهو استحاضة إلاّ أن يعود قبل انقضاء العشرة الثّانية </w:t>
      </w:r>
      <w:bookmarkStart w:id="1343" w:name="pg12669_113239"/>
    </w:p>
    <w:p>
      <w:pPr>
        <w:pStyle w:val="BookText"/>
        <w:rPr/>
      </w:pPr>
      <w:bookmarkEnd w:id="1343"/>
      <w:r>
        <w:rPr>
          <w:rFonts w:ascii="Amiri" w:hAnsi="Amiri" w:eastAsia="Amiri" w:cs="Amiri"/>
          <w:color w:val="111111"/>
          <w:sz w:val="28"/>
          <w:sz w:val="28"/>
          <w:szCs w:val="28"/>
          <w:rtl w:val="true"/>
          <w:lang w:bidi="ar-SA"/>
        </w:rPr>
        <w:t>و يكمل ثلاثة فإنّه يكون حيضا عند القائلين بالتّلفيق</w:t>
      </w:r>
      <w:r>
        <w:rPr>
          <w:rFonts w:eastAsia="Amiri" w:cs="Amiri" w:ascii="Amiri" w:hAnsi="Amiri"/>
          <w:color w:val="111111"/>
          <w:sz w:val="28"/>
          <w:szCs w:val="28"/>
          <w:rtl w:val="true"/>
          <w:lang w:bidi="ar-SA"/>
        </w:rPr>
        <w:t>.</w:t>
      </w:r>
    </w:p>
    <w:p>
      <w:pPr>
        <w:pStyle w:val="Heading6"/>
        <w:numPr>
          <w:ilvl w:val="5"/>
          <w:numId w:val="1"/>
        </w:numPr>
        <w:rPr/>
      </w:pPr>
      <w:bookmarkStart w:id="1344" w:name="__RefHeading___Toc796223_222507752"/>
      <w:bookmarkStart w:id="1345" w:name="_Toc551"/>
      <w:bookmarkEnd w:id="1344"/>
      <w:r>
        <w:rPr>
          <w:rtl w:val="true"/>
        </w:rPr>
        <w:t>التّاسع</w:t>
      </w:r>
      <w:r>
        <w:rPr>
          <w:rtl w:val="true"/>
        </w:rPr>
        <w:t>:</w:t>
      </w:r>
      <w:r>
        <w:rPr>
          <w:rtl w:val="true"/>
        </w:rPr>
        <w:t>المعتادة في الحيض لو كانت ذات جفاف،ثمَّ ولدت و استحيضت،</w:t>
      </w:r>
      <w:bookmarkEnd w:id="1345"/>
    </w:p>
    <w:p>
      <w:pPr>
        <w:pStyle w:val="BookText"/>
        <w:rPr/>
      </w:pPr>
      <w:r>
        <w:rPr>
          <w:rFonts w:ascii="IRNazanin" w:hAnsi="IRNazanin" w:eastAsia="IRNazanin"/>
          <w:color w:val="111111"/>
          <w:sz w:val="28"/>
          <w:sz w:val="28"/>
          <w:szCs w:val="28"/>
          <w:rtl w:val="true"/>
          <w:lang w:bidi="fa-IR"/>
        </w:rPr>
        <w:t>جرت على عادتها،</w:t>
      </w:r>
    </w:p>
    <w:p>
      <w:pPr>
        <w:pStyle w:val="BookText"/>
        <w:rPr/>
      </w:pPr>
      <w:r>
        <w:rPr>
          <w:rFonts w:ascii="Amiri" w:hAnsi="Amiri" w:eastAsia="Amiri" w:cs="Amiri"/>
          <w:color w:val="111111"/>
          <w:sz w:val="28"/>
          <w:sz w:val="28"/>
          <w:szCs w:val="28"/>
          <w:rtl w:val="true"/>
          <w:lang w:bidi="ar-SA"/>
        </w:rPr>
        <w:t>فلو كانت عادتها في الحيض خمسة من كلّ شهر و نفست عشرا،ثمَّ طهرت شهرا مرّتين أو مرارا،ثمَّ استحيضت،رجعت إلى عادتها في الحيض و لم تنتقل بتغيّر الطّهر</w:t>
      </w:r>
      <w:r>
        <w:rPr>
          <w:rFonts w:eastAsia="Amiri" w:cs="Amiri" w:ascii="Amiri" w:hAnsi="Amiri"/>
          <w:color w:val="111111"/>
          <w:sz w:val="28"/>
          <w:szCs w:val="28"/>
          <w:rtl w:val="true"/>
          <w:lang w:bidi="ar-SA"/>
        </w:rPr>
        <w:t>.</w:t>
      </w:r>
    </w:p>
    <w:p>
      <w:pPr>
        <w:pStyle w:val="Heading6"/>
        <w:numPr>
          <w:ilvl w:val="5"/>
          <w:numId w:val="1"/>
        </w:numPr>
        <w:rPr/>
      </w:pPr>
      <w:bookmarkStart w:id="1346" w:name="__RefHeading___Toc796225_222507752"/>
      <w:bookmarkStart w:id="1347" w:name="_Toc552"/>
      <w:bookmarkEnd w:id="1346"/>
      <w:r>
        <w:rPr>
          <w:rtl w:val="true"/>
        </w:rPr>
        <w:t>العاشر</w:t>
      </w:r>
      <w:r>
        <w:rPr>
          <w:rtl w:val="true"/>
        </w:rPr>
        <w:t>:</w:t>
      </w:r>
      <w:r>
        <w:rPr>
          <w:rtl w:val="true"/>
        </w:rPr>
        <w:t>لو ولدت و لم تر الدّم إلى خمسة عشر يوما،ثمَّ رأته،فعندنا ليس بنفاس</w:t>
      </w:r>
      <w:bookmarkEnd w:id="1347"/>
    </w:p>
    <w:p>
      <w:pPr>
        <w:pStyle w:val="BookText"/>
        <w:rPr/>
      </w:pPr>
      <w:r>
        <w:rPr>
          <w:rFonts w:ascii="Amiri" w:hAnsi="Amiri" w:eastAsia="Amiri" w:cs="Amiri"/>
          <w:color w:val="111111"/>
          <w:sz w:val="28"/>
          <w:sz w:val="28"/>
          <w:szCs w:val="28"/>
          <w:rtl w:val="true"/>
          <w:lang w:bidi="ar-SA"/>
        </w:rPr>
        <w:t>إذ النّفاس قد خرج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عند القائلين بأنّ أكثره ثمانية عشر يوما يكون نفاسا،و للشّافعيّ فيه وجهان </w:t>
      </w:r>
      <w:r>
        <w:rPr>
          <w:rStyle w:val="FootnoteAnchor"/>
          <w:rtl w:val="true"/>
        </w:rPr>
        <w:footnoteReference w:id="240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348" w:name="__RefHeading___Toc796227_222507752"/>
      <w:bookmarkStart w:id="1349" w:name="_Toc553"/>
      <w:bookmarkEnd w:id="1348"/>
      <w:r>
        <w:rPr>
          <w:rtl w:val="true"/>
        </w:rPr>
        <w:t>الحادي عشر</w:t>
      </w:r>
      <w:r>
        <w:rPr>
          <w:rtl w:val="true"/>
        </w:rPr>
        <w:t>:</w:t>
      </w:r>
      <w:r>
        <w:rPr>
          <w:rtl w:val="true"/>
        </w:rPr>
        <w:t>لا اعتبار بعادتها في النّفاس عندنا</w:t>
      </w:r>
      <w:bookmarkEnd w:id="1349"/>
    </w:p>
    <w:p>
      <w:pPr>
        <w:pStyle w:val="BookText"/>
        <w:rPr/>
      </w:pPr>
      <w:r>
        <w:rPr>
          <w:rFonts w:ascii="Amiri" w:hAnsi="Amiri" w:eastAsia="Amiri" w:cs="Amiri"/>
          <w:color w:val="111111"/>
          <w:sz w:val="28"/>
          <w:sz w:val="28"/>
          <w:szCs w:val="28"/>
          <w:rtl w:val="true"/>
          <w:lang w:bidi="ar-SA"/>
        </w:rPr>
        <w:t xml:space="preserve">،لما بيّنّاه،خلافا لأكثر الجمهور </w:t>
      </w:r>
      <w:r>
        <w:rPr>
          <w:rStyle w:val="FootnoteAnchor"/>
          <w:rtl w:val="true"/>
        </w:rPr>
        <w:footnoteReference w:id="2408"/>
      </w:r>
      <w:r>
        <w:rPr>
          <w:rFonts w:ascii="Amiri" w:hAnsi="Amiri" w:eastAsia="Amiri" w:cs="Amiri"/>
          <w:color w:val="111111"/>
          <w:sz w:val="28"/>
          <w:sz w:val="28"/>
          <w:szCs w:val="28"/>
          <w:rtl w:val="true"/>
          <w:lang w:bidi="ar-SA"/>
        </w:rPr>
        <w:t xml:space="preserve">،فعلى قولهم لو كانت عادتها في النّفاس ثلاثين،فولدت فرأت الدّم عشرين و رأت الطّهر عشرة أيّام من عادتها،ثمَّ رأت الدّم حتّى جاوز الأربعين في قول من يجعل الأربعين حدّ الأكثر </w:t>
      </w:r>
      <w:r>
        <w:rPr>
          <w:rStyle w:val="FootnoteAnchor"/>
          <w:rtl w:val="true"/>
        </w:rPr>
        <w:footnoteReference w:id="2409"/>
      </w:r>
      <w:r>
        <w:rPr>
          <w:rFonts w:ascii="Amiri" w:hAnsi="Amiri" w:eastAsia="Amiri" w:cs="Amiri"/>
          <w:color w:val="111111"/>
          <w:sz w:val="28"/>
          <w:sz w:val="28"/>
          <w:szCs w:val="28"/>
          <w:rtl w:val="true"/>
          <w:lang w:bidi="ar-SA"/>
        </w:rPr>
        <w:t>،قال أبو يوسف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يكون نفاسها ثلاثين </w:t>
      </w:r>
      <w:r>
        <w:rPr>
          <w:rStyle w:val="FootnoteAnchor"/>
          <w:rtl w:val="true"/>
        </w:rPr>
        <w:footnoteReference w:id="241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محمّد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نفاسها عشرون </w:t>
      </w:r>
      <w:r>
        <w:rPr>
          <w:rStyle w:val="FootnoteAnchor"/>
          <w:rtl w:val="true"/>
        </w:rPr>
        <w:footnoteReference w:id="2411"/>
      </w:r>
      <w:r>
        <w:rPr>
          <w:rFonts w:ascii="Amiri" w:hAnsi="Amiri" w:eastAsia="Amiri" w:cs="Amiri"/>
          <w:color w:val="111111"/>
          <w:sz w:val="28"/>
          <w:sz w:val="28"/>
          <w:szCs w:val="28"/>
          <w:rtl w:val="true"/>
          <w:lang w:bidi="ar-SA"/>
        </w:rPr>
        <w:t>،لأنّ أبا يوسف يختم النّفاس بالطّهر،خلافا لمحمّد</w:t>
      </w:r>
      <w:r>
        <w:rPr>
          <w:rFonts w:eastAsia="Amiri" w:cs="Amiri" w:ascii="Amiri" w:hAnsi="Amiri"/>
          <w:color w:val="111111"/>
          <w:sz w:val="28"/>
          <w:szCs w:val="28"/>
          <w:rtl w:val="true"/>
          <w:lang w:bidi="ar-SA"/>
        </w:rPr>
        <w:t>.</w:t>
      </w:r>
    </w:p>
    <w:p>
      <w:pPr>
        <w:pStyle w:val="Heading6"/>
        <w:numPr>
          <w:ilvl w:val="5"/>
          <w:numId w:val="1"/>
        </w:numPr>
        <w:rPr/>
      </w:pPr>
      <w:bookmarkStart w:id="1350" w:name="__RefHeading___Toc796229_222507752"/>
      <w:bookmarkStart w:id="1351" w:name="_Toc554"/>
      <w:bookmarkEnd w:id="1350"/>
      <w:r>
        <w:rPr>
          <w:rtl w:val="true"/>
        </w:rPr>
        <w:t>الثّاني عشر</w:t>
      </w:r>
      <w:r>
        <w:rPr>
          <w:rtl w:val="true"/>
        </w:rPr>
        <w:t>:</w:t>
      </w:r>
      <w:r>
        <w:rPr>
          <w:rtl w:val="true"/>
        </w:rPr>
        <w:t>القائلون باعتبار العادة فيه،اختلفوا فيما يزيد عليها،</w:t>
      </w:r>
      <w:bookmarkEnd w:id="1351"/>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فعند الشّافعيّ إن كانت معتادة يرد إليها،ثمَّ يحكم بالطّهر بعد العادة على قدر عادتها،ثمَّ يبتدئ </w:t>
      </w:r>
      <w:bookmarkStart w:id="1352" w:name="pg12669_113240"/>
    </w:p>
    <w:p>
      <w:pPr>
        <w:pStyle w:val="BookText"/>
        <w:rPr/>
      </w:pPr>
      <w:bookmarkEnd w:id="1352"/>
      <w:r>
        <w:rPr>
          <w:rFonts w:ascii="Amiri" w:hAnsi="Amiri" w:eastAsia="Amiri" w:cs="Amiri"/>
          <w:color w:val="111111"/>
          <w:sz w:val="28"/>
          <w:sz w:val="28"/>
          <w:szCs w:val="28"/>
          <w:rtl w:val="true"/>
          <w:lang w:bidi="ar-SA"/>
        </w:rPr>
        <w:t>حيضها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ولدت مرارا و هي ذات جفاف،ثمَّ ولدت و استحيضت،فهي كالمبتدئة و عدم النّفاس لا يثبت لها عادة،كما انّها لو حاضت خمسا و طهرت سنة و هكذا مرارا،ثمَّ استحيضت فلا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الدّور سنة،بل أقصى ما يرتقي إليه الدّور تسعون يوما،و هو ما تنقضي به عدّة الآئسة و ما فوقه لا يؤثّر فيه العادة </w:t>
      </w:r>
      <w:r>
        <w:rPr>
          <w:rStyle w:val="FootnoteAnchor"/>
          <w:rtl w:val="true"/>
        </w:rPr>
        <w:footnoteReference w:id="241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المبتدئة قولان تقدّما </w:t>
      </w:r>
      <w:r>
        <w:rPr>
          <w:rStyle w:val="FootnoteAnchor"/>
          <w:rtl w:val="true"/>
        </w:rPr>
        <w:footnoteReference w:id="24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المميّزة حكمها حكم الحائض في شروط التّمييز إلاّ انّ السّتّين هاهنا بمنزلة خمسة عشر،و في المتحيّرة قولان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تردّ إلى الاحتياط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المبتدئة </w:t>
      </w:r>
      <w:r>
        <w:rPr>
          <w:rStyle w:val="FootnoteAnchor"/>
          <w:rtl w:val="true"/>
        </w:rPr>
        <w:footnoteReference w:id="241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353" w:name="__RefHeading___Toc796231_222507752"/>
      <w:bookmarkStart w:id="1354" w:name="_Toc555"/>
      <w:bookmarkEnd w:id="1353"/>
      <w:r>
        <w:rPr>
          <w:rtl w:val="true"/>
        </w:rPr>
        <w:t>الثّالث عشر</w:t>
      </w:r>
      <w:r>
        <w:rPr>
          <w:rtl w:val="true"/>
        </w:rPr>
        <w:t>:</w:t>
      </w:r>
      <w:r>
        <w:rPr>
          <w:rtl w:val="true"/>
        </w:rPr>
        <w:t>لو ولدت توأمين فما بعد الثّاني نفاس قطعا،</w:t>
      </w:r>
      <w:bookmarkEnd w:id="1354"/>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لكنّهم اختلفوا، فذهب علماؤنا إلى أنّ أوّله من الأوّل،و آخره من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به قال أبو إسحاق المروزيّ من أصحاب الشّافعيّ،و أبو الطيّب الطّبري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بعض الحنابلة </w:t>
      </w:r>
      <w:r>
        <w:rPr>
          <w:rStyle w:val="FootnoteAnchor"/>
          <w:rtl w:val="true"/>
        </w:rPr>
        <w:footnoteReference w:id="241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فعلى هذا لو رأت الدّم بعد الأوّل عشرة كان نفاسا،فلو ولدت بعد العشرة بلا فصل حتّى جاوز دمها إلى العشرة كان نفاسها عشرين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أبو حنيفة </w:t>
      </w:r>
      <w:r>
        <w:rPr>
          <w:rStyle w:val="FootnoteAnchor"/>
          <w:rtl w:val="true"/>
        </w:rPr>
        <w:footnoteReference w:id="2416"/>
      </w:r>
      <w:r>
        <w:rPr>
          <w:rFonts w:ascii="Amiri" w:hAnsi="Amiri" w:eastAsia="Amiri" w:cs="Amiri"/>
          <w:color w:val="111111"/>
          <w:sz w:val="28"/>
          <w:sz w:val="28"/>
          <w:szCs w:val="28"/>
          <w:rtl w:val="true"/>
          <w:lang w:bidi="ar-SA"/>
        </w:rPr>
        <w:t xml:space="preserve">،و مالك </w:t>
      </w:r>
      <w:r>
        <w:rPr>
          <w:rStyle w:val="FootnoteAnchor"/>
          <w:rtl w:val="true"/>
        </w:rPr>
        <w:footnoteReference w:id="2417"/>
      </w:r>
      <w:r>
        <w:rPr>
          <w:rFonts w:ascii="Amiri" w:hAnsi="Amiri" w:eastAsia="Amiri" w:cs="Amiri"/>
          <w:color w:val="111111"/>
          <w:sz w:val="28"/>
          <w:sz w:val="28"/>
          <w:szCs w:val="28"/>
          <w:rtl w:val="true"/>
          <w:lang w:bidi="ar-SA"/>
        </w:rPr>
        <w:t>،و أحمد في إحدى الرّوايتين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النّفاس كلّه من الأوّل،أوّله و آخره </w:t>
      </w:r>
      <w:r>
        <w:rPr>
          <w:rStyle w:val="FootnoteAnchor"/>
          <w:rtl w:val="true"/>
        </w:rPr>
        <w:footnoteReference w:id="241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فعلى هذا لو ولدت الثّاني عقيب </w:t>
      </w:r>
      <w:bookmarkStart w:id="1355" w:name="pg12669_113241"/>
    </w:p>
    <w:p>
      <w:pPr>
        <w:pStyle w:val="BookText"/>
        <w:rPr/>
      </w:pPr>
      <w:bookmarkEnd w:id="1355"/>
      <w:r>
        <w:rPr>
          <w:rFonts w:ascii="Amiri" w:hAnsi="Amiri" w:eastAsia="Amiri" w:cs="Amiri"/>
          <w:color w:val="111111"/>
          <w:sz w:val="28"/>
          <w:sz w:val="28"/>
          <w:szCs w:val="28"/>
          <w:rtl w:val="true"/>
          <w:lang w:bidi="ar-SA"/>
        </w:rPr>
        <w:t>مضي أكثر النّفاس لم يكن الثّاني نفاسا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زفر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ابتداءها و انتهاءها من الثّاني، فلم تجعل ما قبل الولادة الثّانية نفاسا </w:t>
      </w:r>
      <w:r>
        <w:rPr>
          <w:rStyle w:val="FootnoteAnchor"/>
          <w:rtl w:val="true"/>
        </w:rPr>
        <w:footnoteReference w:id="24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الثّاني دم يعقب ولادة،فلا ينتهي قبل انتهاء مدّة النّفاس كالمنفرد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احتجّ أبو حنيفة بأنّ أوّله من الولد الأوّل </w:t>
      </w:r>
      <w:r>
        <w:rPr>
          <w:rStyle w:val="FootnoteAnchor"/>
          <w:rtl w:val="true"/>
        </w:rPr>
        <w:footnoteReference w:id="2420"/>
      </w:r>
      <w:r>
        <w:rPr>
          <w:rFonts w:ascii="Amiri" w:hAnsi="Amiri" w:eastAsia="Amiri" w:cs="Amiri"/>
          <w:color w:val="111111"/>
          <w:sz w:val="28"/>
          <w:sz w:val="28"/>
          <w:szCs w:val="28"/>
          <w:rtl w:val="true"/>
          <w:lang w:bidi="ar-SA"/>
        </w:rPr>
        <w:t xml:space="preserve">،لما بيّنّاه فيما سلف </w:t>
      </w:r>
      <w:r>
        <w:rPr>
          <w:rStyle w:val="FootnoteAnchor"/>
          <w:rtl w:val="true"/>
        </w:rPr>
        <w:footnoteReference w:id="2421"/>
      </w:r>
      <w:r>
        <w:rPr>
          <w:rFonts w:ascii="Amiri" w:hAnsi="Amiri" w:eastAsia="Amiri" w:cs="Amiri"/>
          <w:color w:val="111111"/>
          <w:sz w:val="28"/>
          <w:sz w:val="28"/>
          <w:szCs w:val="28"/>
          <w:rtl w:val="true"/>
          <w:lang w:bidi="ar-SA"/>
        </w:rPr>
        <w:t>،فآخره منه كالمنفرد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الفرق ظاهر لتكثّر الولادة الموجبة لتعدّد أيّام النّفاس في الصّورة الثّانية دون الاولى،و احتجاج زفر،و الجواب عنه قد مضى </w:t>
      </w:r>
      <w:r>
        <w:rPr>
          <w:rStyle w:val="FootnoteAnchor"/>
          <w:rtl w:val="true"/>
        </w:rPr>
        <w:footnoteReference w:id="242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56" w:name="__RefHeading___Toc796233_222507752"/>
      <w:bookmarkStart w:id="1357" w:name="_Toc556"/>
      <w:bookmarkEnd w:id="1356"/>
      <w:r>
        <w:rPr>
          <w:rtl w:val="true"/>
        </w:rPr>
        <w:t>مسألة</w:t>
      </w:r>
      <w:r>
        <w:rPr>
          <w:rtl w:val="true"/>
        </w:rPr>
        <w:t>:</w:t>
      </w:r>
      <w:r>
        <w:rPr>
          <w:rtl w:val="true"/>
        </w:rPr>
        <w:t>و حكم النّفساء حكم الحائض</w:t>
      </w:r>
      <w:bookmarkEnd w:id="1357"/>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جميع ما يحرم عليها و يكره و يباح، و يسقط عنها من الواجبات و يستحبّ،و تحريم وطئها،و جواز الاستمتاع بما دون الفرج لا نعلم فيه خلافا بين أهل العلم،و إنّما يتفارقان في أقلّ أيّامه فلا حدّ له ها هنا،و في أكثره على رأي </w:t>
      </w:r>
      <w:r>
        <w:rPr>
          <w:rStyle w:val="FootnoteAnchor"/>
          <w:rtl w:val="true"/>
        </w:rPr>
        <w:footnoteReference w:id="2423"/>
      </w:r>
      <w:r>
        <w:rPr>
          <w:rFonts w:ascii="Amiri" w:hAnsi="Amiri" w:eastAsia="Amiri" w:cs="Amiri"/>
          <w:color w:val="111111"/>
          <w:sz w:val="28"/>
          <w:sz w:val="28"/>
          <w:szCs w:val="28"/>
          <w:rtl w:val="true"/>
          <w:lang w:bidi="ar-SA"/>
        </w:rPr>
        <w:t>،و بانقضاء العدّة فإنّ الحيض علّة فيه بخلاف النّفاس،إذ المقتضي للخروج من العدّة إنّما هو الوضع،و بالدّلالة على البلوغ،فإنّه يحصل بالحيض دونه، لحصوله بالحمل قبله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خالفت الحنفيّة في انقضاء العدّة به،فجعلوه علّة،فعلى هذا إذا طلّقها بعد الولادة،ثمَّ قالت بعد ذلك انقضت عدّتي،قال أبو حنيفة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تصدّق في أقلّ </w:t>
      </w:r>
    </w:p>
    <w:p>
      <w:pPr>
        <w:pStyle w:val="BookText"/>
        <w:rPr/>
      </w:pPr>
      <w:r>
        <w:rPr>
          <w:rFonts w:ascii="Amiri" w:hAnsi="Amiri" w:eastAsia="Amiri" w:cs="Amiri"/>
          <w:color w:val="111111"/>
          <w:sz w:val="28"/>
          <w:sz w:val="28"/>
          <w:szCs w:val="28"/>
          <w:rtl w:val="true"/>
          <w:lang w:bidi="ar-SA"/>
        </w:rPr>
        <w:t>من خمسة و ثمانين يوما،و في رواية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تصدّق في أقلّ من مائة يوم،و في 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تصدّق في أقلّ من مائة و خمسة عشر يوما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أبو يوسف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تصدّق في أقلّ من خمسة و ستّين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قول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تصدّق في أقلّ من أربعة و خمسين يوما و ساعة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هذه المسألة تبنى عندهم على انّ الدّمين إذا استدارا في الأربعين كان ذلك كلّه نفاسا في قول أبي حنيفة،و في قول صاحبيه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الطّهر أقلّ من خمسة عشر يوما لم يفصل،و إلاّ 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المعتدّة لا تصدّق في الإخبار عن انقضاء العدّة في أقلّ من شهرين في قول أبي حنيفة،و عندهما لا تصدّق في أقلّ من تسعة و ثلاثين يوما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اختلفت الرّوايات عنه في تخريج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فروى محمّد انّه يبدأ بالطّهر خمسة عشر،ثمَّ الحيض خمسة،ثلاثة أدوار، فيكون ستّين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روى عنه الحسن بن زياد انّه يبدأ بالحيض عشرة،ثمَّ الطّهر خمسة عشر، ثلاثة أدوار،فطهران،و ثلاث حيض،فيكون المجموع ستّين يوما </w:t>
      </w:r>
      <w:r>
        <w:rPr>
          <w:rStyle w:val="FootnoteAnchor"/>
          <w:rtl w:val="true"/>
        </w:rPr>
        <w:footnoteReference w:id="24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عرفت هذا،فنقول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ظهر على قول أبي حنيفة على الرّواية الاولى،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w:t>
      </w:r>
      <w:r>
        <w:rPr>
          <w:rFonts w:eastAsia="Amiri" w:cs="Amiri" w:ascii="Amiri" w:hAnsi="Amiri"/>
          <w:color w:val="111111"/>
          <w:sz w:val="28"/>
          <w:szCs w:val="28"/>
          <w:rtl w:val="true"/>
          <w:lang w:bidi="ar-SA"/>
        </w:rPr>
        <w:t xml:space="preserve">] </w:t>
      </w:r>
      <w:r>
        <w:rPr>
          <w:rStyle w:val="FootnoteAnchor"/>
          <w:rtl w:val="true"/>
        </w:rPr>
        <w:footnoteReference w:id="2425"/>
      </w:r>
      <w:r>
        <w:rPr>
          <w:rFonts w:ascii="Amiri" w:hAnsi="Amiri" w:eastAsia="Amiri" w:cs="Amiri"/>
          <w:color w:val="111111"/>
          <w:sz w:val="28"/>
          <w:sz w:val="28"/>
          <w:szCs w:val="28"/>
          <w:rtl w:val="true"/>
          <w:lang w:bidi="ar-SA"/>
        </w:rPr>
        <w:t>يجعل النّفاس خمسة و عشرين يوما،و خمسة عشر طهرا لتأمن عليها الانتقاض،ثمَّ يضمّ خمسة و عشرين النّفاس إلى شهرين،فتصير خمسة و ثمانين يوما،الحيض خمسة،ثمَّ الطّهر خمسة عشر يوما،ثمَّ الحيض خمسة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الرّواية 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يجعل الحيض عشرة،و محمّد يجعل الحيض خمسة،فإن زاد ثلاث مرّات خمسة،فعلى هذا صارت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الرّواية الّتي يجعل مائة و خمسة عشر يجعل النّفاس أربعين و يضمّ خمسة عشر إلى مائة</w:t>
      </w:r>
      <w:r>
        <w:rPr>
          <w:rFonts w:eastAsia="Amiri" w:cs="Amiri" w:ascii="Amiri" w:hAnsi="Amiri"/>
          <w:color w:val="111111"/>
          <w:sz w:val="28"/>
          <w:szCs w:val="28"/>
          <w:rtl w:val="true"/>
          <w:lang w:bidi="ar-SA"/>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أبو يوسف،فإنّه يجعل النّفاس أحد عشر و الطّهر بعده خمسة عشر،ثمَّ يضمّ إلى ذلك تسعة و ثلاثين على مذهبه في المعتدّة فتصير خمسة و ستّين يوما،و إنّما جعل النّفاس </w:t>
      </w:r>
      <w:bookmarkStart w:id="1358" w:name="pg12669_113243"/>
    </w:p>
    <w:p>
      <w:pPr>
        <w:pStyle w:val="BookText"/>
        <w:rPr/>
      </w:pPr>
      <w:bookmarkEnd w:id="1358"/>
      <w:r>
        <w:rPr>
          <w:rFonts w:ascii="Amiri" w:hAnsi="Amiri" w:eastAsia="Amiri" w:cs="Amiri"/>
          <w:color w:val="111111"/>
          <w:sz w:val="28"/>
          <w:sz w:val="28"/>
          <w:szCs w:val="28"/>
          <w:rtl w:val="true"/>
          <w:lang w:bidi="ar-SA"/>
        </w:rPr>
        <w:t xml:space="preserve">أحد عشر،لأنّ النّفاس غالبا يزيد على أكثر الحيض،و السّاعات لا تضبط </w:t>
      </w:r>
      <w:r>
        <w:rPr>
          <w:rStyle w:val="FootnoteAnchor"/>
          <w:rtl w:val="true"/>
        </w:rPr>
        <w:footnoteReference w:id="2426"/>
      </w:r>
      <w:r>
        <w:rPr>
          <w:rFonts w:ascii="Amiri" w:hAnsi="Amiri" w:eastAsia="Amiri" w:cs="Amiri"/>
          <w:color w:val="111111"/>
          <w:sz w:val="28"/>
          <w:sz w:val="28"/>
          <w:szCs w:val="28"/>
          <w:rtl w:val="true"/>
          <w:lang w:bidi="ar-SA"/>
        </w:rPr>
        <w:t>فانتقل عنها إلى الأيّام،و أقلّ الأيّام يوم،فاقتصر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محمّد فإنّه يصدّقها في أقلّ النّفاس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ساعة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أقلّ الحيض،ثمَّ بعدها طهر خمسة عشر،ثمَّ يضمّ ذلك إلى تسعة و ثلاثين فتصير أربعة و خمسين يوما و ساعة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الفرع ساقط عندنا،لأنّه مبنيّ على أصول ذهب فساد بعضها،و سيأتي إبطال الباقي إن شاء اللّه</w:t>
      </w:r>
      <w:r>
        <w:rPr>
          <w:rFonts w:eastAsia="Amiri" w:cs="Amiri" w:ascii="Amiri" w:hAnsi="Amiri"/>
          <w:color w:val="111111"/>
          <w:sz w:val="28"/>
          <w:szCs w:val="28"/>
          <w:rtl w:val="true"/>
          <w:lang w:bidi="ar-SA"/>
        </w:rPr>
        <w:t>.</w:t>
      </w:r>
    </w:p>
    <w:p>
      <w:pPr>
        <w:pStyle w:val="Heading5"/>
        <w:numPr>
          <w:ilvl w:val="4"/>
          <w:numId w:val="1"/>
        </w:numPr>
        <w:rPr/>
      </w:pPr>
      <w:bookmarkStart w:id="1359" w:name="__RefHeading___Toc796235_222507752"/>
      <w:bookmarkStart w:id="1360" w:name="_Toc557"/>
      <w:bookmarkEnd w:id="1359"/>
      <w:r>
        <w:rPr>
          <w:rtl w:val="true"/>
        </w:rPr>
        <w:t>مسألة</w:t>
      </w:r>
      <w:r>
        <w:rPr>
          <w:rtl w:val="true"/>
        </w:rPr>
        <w:t>:</w:t>
      </w:r>
      <w:r>
        <w:rPr>
          <w:rtl w:val="true"/>
        </w:rPr>
        <w:t>و غسلها واجب،</w:t>
      </w:r>
      <w:bookmarkEnd w:id="1360"/>
    </w:p>
    <w:p>
      <w:pPr>
        <w:pStyle w:val="Heading6"/>
        <w:numPr>
          <w:ilvl w:val="5"/>
          <w:numId w:val="1"/>
        </w:numPr>
        <w:rPr/>
      </w:pPr>
      <w:bookmarkStart w:id="1361" w:name="__RefHeading___Toc796237_222507752"/>
      <w:bookmarkStart w:id="1362" w:name="_Toc558"/>
      <w:bookmarkEnd w:id="1361"/>
      <w:r>
        <w:rPr>
          <w:rtl w:val="true"/>
        </w:rPr>
        <w:t>اشارة</w:t>
      </w:r>
      <w:bookmarkEnd w:id="1362"/>
    </w:p>
    <w:p>
      <w:pPr>
        <w:pStyle w:val="BookText"/>
        <w:rPr/>
      </w:pPr>
      <w:r>
        <w:rPr>
          <w:rFonts w:ascii="Amiri" w:hAnsi="Amiri" w:eastAsia="Amiri" w:cs="Amiri"/>
          <w:color w:val="111111"/>
          <w:sz w:val="28"/>
          <w:sz w:val="28"/>
          <w:szCs w:val="28"/>
          <w:rtl w:val="true"/>
          <w:lang w:bidi="ar-SA"/>
        </w:rPr>
        <w:t>لا نعرف فيه مخالفا من أهل القبلة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كيفيّته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كغسل الحيض،و لا بدّ معه من الوضوء على الخلاف </w:t>
      </w:r>
      <w:r>
        <w:rPr>
          <w:rStyle w:val="FootnoteAnchor"/>
          <w:rtl w:val="true"/>
        </w:rPr>
        <w:footnoteReference w:id="2427"/>
      </w:r>
      <w:r>
        <w:rPr>
          <w:rFonts w:ascii="Amiri" w:hAnsi="Amiri" w:eastAsia="Amiri" w:cs="Amiri"/>
          <w:color w:val="111111"/>
          <w:sz w:val="28"/>
          <w:sz w:val="28"/>
          <w:szCs w:val="28"/>
          <w:rtl w:val="true"/>
          <w:lang w:bidi="ar-SA"/>
        </w:rPr>
        <w:t>،و يجوز تقديم الوضوء و تأخيره،و تقديمه أفضل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نصّ عليه الشّيخ في المبسوط </w:t>
      </w:r>
      <w:r>
        <w:rPr>
          <w:rStyle w:val="FootnoteAnchor"/>
          <w:rtl w:val="true"/>
        </w:rPr>
        <w:footnoteReference w:id="2428"/>
      </w:r>
      <w:r>
        <w:rPr>
          <w:rFonts w:ascii="Amiri" w:hAnsi="Amiri" w:eastAsia="Amiri" w:cs="Amiri"/>
          <w:color w:val="111111"/>
          <w:sz w:val="28"/>
          <w:sz w:val="28"/>
          <w:szCs w:val="28"/>
          <w:rtl w:val="true"/>
          <w:lang w:bidi="ar-SA"/>
        </w:rPr>
        <w:t xml:space="preserve">،و قال في الجمل بوجوب تقديم الوضوء عليها و على الحائض </w:t>
      </w:r>
      <w:r>
        <w:rPr>
          <w:rStyle w:val="FootnoteAnchor"/>
          <w:rtl w:val="true"/>
        </w:rPr>
        <w:footnoteReference w:id="24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الأقرب عدم الوجوب،إذ الأصل عدمه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روى الشّيخ في الحسن،عن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كلّ غسل وضوء إلاّ الجنابة</w:t>
      </w:r>
      <w:r>
        <w:rPr>
          <w:rFonts w:eastAsia="Amiri" w:cs="Amiri" w:ascii="Amiri" w:hAnsi="Amiri"/>
          <w:color w:val="111111"/>
          <w:sz w:val="28"/>
          <w:szCs w:val="28"/>
          <w:rtl w:val="true"/>
          <w:lang w:bidi="ar-SA"/>
        </w:rPr>
        <w:t xml:space="preserve">» </w:t>
      </w:r>
      <w:r>
        <w:rPr>
          <w:rStyle w:val="FootnoteAnchor"/>
          <w:rtl w:val="true"/>
        </w:rPr>
        <w:footnoteReference w:id="24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المعيّة الحقيقيّة غير مرادها هنا لتعذّره،فيحمل على المقارنة </w:t>
      </w:r>
      <w:r>
        <w:rPr>
          <w:rStyle w:val="FootnoteAnchor"/>
          <w:rtl w:val="true"/>
        </w:rPr>
        <w:footnoteReference w:id="2431"/>
      </w:r>
      <w:r>
        <w:rPr>
          <w:rFonts w:ascii="Amiri" w:hAnsi="Amiri" w:eastAsia="Amiri" w:cs="Amiri"/>
          <w:color w:val="111111"/>
          <w:sz w:val="28"/>
          <w:sz w:val="28"/>
          <w:szCs w:val="28"/>
          <w:rtl w:val="true"/>
          <w:lang w:bidi="ar-SA"/>
        </w:rPr>
        <w:t>الممكنة بالتّقدّم اليسير أو التّأخّر</w:t>
      </w:r>
      <w:r>
        <w:rPr>
          <w:rFonts w:eastAsia="Amiri" w:cs="Amiri" w:ascii="Amiri" w:hAnsi="Amiri"/>
          <w:color w:val="111111"/>
          <w:sz w:val="28"/>
          <w:szCs w:val="28"/>
          <w:rtl w:val="true"/>
          <w:lang w:bidi="ar-SA"/>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روى الشّيخ في الصّحيح،عن ابن أبي عمير،عن رجل،عن أبي </w:t>
      </w:r>
      <w:bookmarkStart w:id="1363" w:name="pg12669_113244"/>
    </w:p>
    <w:p>
      <w:pPr>
        <w:pStyle w:val="BookText"/>
        <w:rPr/>
      </w:pPr>
      <w:bookmarkEnd w:id="1363"/>
      <w:r>
        <w:rPr>
          <w:rFonts w:ascii="Amiri" w:hAnsi="Amiri" w:eastAsia="Amiri" w:cs="Amiri"/>
          <w:color w:val="111111"/>
          <w:sz w:val="28"/>
          <w:sz w:val="28"/>
          <w:szCs w:val="28"/>
          <w:rtl w:val="true"/>
          <w:lang w:bidi="ar-SA"/>
        </w:rPr>
        <w:t>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غسل قبله وضوء إلاّ غسل الجنابة</w:t>
      </w:r>
      <w:r>
        <w:rPr>
          <w:rFonts w:eastAsia="Amiri" w:cs="Amiri" w:ascii="Amiri" w:hAnsi="Amiri"/>
          <w:color w:val="111111"/>
          <w:sz w:val="28"/>
          <w:szCs w:val="28"/>
          <w:rtl w:val="true"/>
          <w:lang w:bidi="ar-SA"/>
        </w:rPr>
        <w:t xml:space="preserve">» </w:t>
      </w:r>
      <w:r>
        <w:rPr>
          <w:rStyle w:val="FootnoteAnchor"/>
          <w:rtl w:val="true"/>
        </w:rPr>
        <w:footnoteReference w:id="24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صيغة إخبار،و هو غير مراد،فلا بدّ من إضمار شيء أو صرفه إلى الأمر،فيخرج عن الدّلالة الظّاهرة،فلا يبقى حجّة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نعم،الأولويّة ثابتة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روى الشّيخ في الصّحيح،عن معاوية بن عمّار،عن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على النّفساء غسل في السّفر</w:t>
      </w:r>
      <w:r>
        <w:rPr>
          <w:rFonts w:eastAsia="Amiri" w:cs="Amiri" w:ascii="Amiri" w:hAnsi="Amiri"/>
          <w:color w:val="111111"/>
          <w:sz w:val="28"/>
          <w:szCs w:val="28"/>
          <w:rtl w:val="true"/>
          <w:lang w:bidi="ar-SA"/>
        </w:rPr>
        <w:t xml:space="preserve">» </w:t>
      </w:r>
      <w:r>
        <w:rPr>
          <w:rStyle w:val="FootnoteAnchor"/>
          <w:rtl w:val="true"/>
        </w:rPr>
        <w:footnoteReference w:id="24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الحديث متروك الظّاهر بالإجماع،فلا بدّ من تأويله بالمحتمل،و هو ما إذا تعذّر استعمال الماء إمّا للحاجة إليه،أو لتعذّره،أو لغيرهما من الموانع بقرينة السّفر الّذي هو مظنّة الأعذار</w:t>
      </w:r>
      <w:r>
        <w:rPr>
          <w:rFonts w:eastAsia="Amiri" w:cs="Amiri" w:ascii="Amiri" w:hAnsi="Amiri"/>
          <w:color w:val="111111"/>
          <w:sz w:val="28"/>
          <w:szCs w:val="28"/>
          <w:rtl w:val="true"/>
          <w:lang w:bidi="ar-SA"/>
        </w:rPr>
        <w:t>.</w:t>
      </w:r>
    </w:p>
    <w:p>
      <w:pPr>
        <w:pStyle w:val="Heading6"/>
        <w:numPr>
          <w:ilvl w:val="5"/>
          <w:numId w:val="1"/>
        </w:numPr>
        <w:rPr/>
      </w:pPr>
      <w:bookmarkStart w:id="1364" w:name="__RefHeading___Toc796239_222507752"/>
      <w:bookmarkStart w:id="1365" w:name="_Toc559"/>
      <w:bookmarkEnd w:id="1364"/>
      <w:r>
        <w:rPr>
          <w:rtl w:val="true"/>
        </w:rPr>
        <w:t>تذنيب</w:t>
      </w:r>
      <w:r>
        <w:rPr>
          <w:rtl w:val="true"/>
        </w:rPr>
        <w:t>:</w:t>
      </w:r>
      <w:r>
        <w:rPr>
          <w:rtl w:val="true"/>
        </w:rPr>
        <w:t>لو طهرت،ثمَّ ولدت و لم تر دما لم تنتقض طهارتها،</w:t>
      </w:r>
      <w:bookmarkEnd w:id="1365"/>
    </w:p>
    <w:p>
      <w:pPr>
        <w:pStyle w:val="BookText"/>
        <w:rPr/>
      </w:pPr>
      <w:r>
        <w:rPr>
          <w:rFonts w:ascii="Amiri" w:hAnsi="Amiri" w:eastAsia="Amiri" w:cs="Amiri"/>
          <w:color w:val="111111"/>
          <w:sz w:val="28"/>
          <w:sz w:val="28"/>
          <w:szCs w:val="28"/>
          <w:rtl w:val="true"/>
          <w:lang w:bidi="ar-SA"/>
        </w:rPr>
        <w:t>لأنّ الولادة بمجرّدها ليست ناقضة</w:t>
      </w:r>
      <w:r>
        <w:rPr>
          <w:rFonts w:eastAsia="Amiri" w:cs="Amiri" w:ascii="Amiri" w:hAnsi="Amiri"/>
          <w:color w:val="111111"/>
          <w:sz w:val="28"/>
          <w:szCs w:val="28"/>
          <w:rtl w:val="true"/>
          <w:lang w:bidi="ar-SA"/>
        </w:rPr>
        <w:t>.</w:t>
      </w:r>
    </w:p>
    <w:p>
      <w:pPr>
        <w:pStyle w:val="Heading4"/>
        <w:numPr>
          <w:ilvl w:val="3"/>
          <w:numId w:val="1"/>
        </w:numPr>
        <w:rPr/>
      </w:pPr>
      <w:bookmarkStart w:id="1366" w:name="__RefHeading___Toc796241_222507752"/>
      <w:bookmarkStart w:id="1367" w:name="_Toc560"/>
      <w:bookmarkEnd w:id="1366"/>
      <w:r>
        <w:rPr>
          <w:rtl w:val="true"/>
        </w:rPr>
        <w:t>الفصل الخامس</w:t>
      </w:r>
      <w:r>
        <w:rPr>
          <w:rtl w:val="true"/>
        </w:rPr>
        <w:t>:</w:t>
      </w:r>
      <w:r>
        <w:rPr>
          <w:rtl w:val="true"/>
        </w:rPr>
        <w:t>في غسل مسّ الأموات</w:t>
      </w:r>
      <w:bookmarkEnd w:id="1367"/>
    </w:p>
    <w:p>
      <w:pPr>
        <w:pStyle w:val="Heading5"/>
        <w:numPr>
          <w:ilvl w:val="4"/>
          <w:numId w:val="1"/>
        </w:numPr>
        <w:rPr/>
      </w:pPr>
      <w:bookmarkStart w:id="1368" w:name="__RefHeading___Toc796243_222507752"/>
      <w:bookmarkStart w:id="1369" w:name="_Toc561"/>
      <w:bookmarkEnd w:id="1368"/>
      <w:r>
        <w:rPr>
          <w:rtl w:val="true"/>
        </w:rPr>
        <w:t>مسألة</w:t>
      </w:r>
      <w:r>
        <w:rPr>
          <w:rtl w:val="true"/>
        </w:rPr>
        <w:t>:</w:t>
      </w:r>
      <w:r>
        <w:rPr>
          <w:rtl w:val="true"/>
        </w:rPr>
        <w:t>و يجب الغسل على من مسّ ميّتا</w:t>
      </w:r>
      <w:bookmarkEnd w:id="1369"/>
    </w:p>
    <w:p>
      <w:pPr>
        <w:pStyle w:val="Heading6"/>
        <w:numPr>
          <w:ilvl w:val="5"/>
          <w:numId w:val="1"/>
        </w:numPr>
        <w:rPr/>
      </w:pPr>
      <w:bookmarkStart w:id="1370" w:name="__RefHeading___Toc796245_222507752"/>
      <w:bookmarkStart w:id="1371" w:name="_Toc562"/>
      <w:bookmarkEnd w:id="1370"/>
      <w:r>
        <w:rPr>
          <w:rtl w:val="true"/>
        </w:rPr>
        <w:t>اشارة</w:t>
      </w:r>
      <w:bookmarkEnd w:id="1371"/>
    </w:p>
    <w:p>
      <w:pPr>
        <w:pStyle w:val="BookText"/>
        <w:rPr/>
      </w:pPr>
      <w:r>
        <w:rPr>
          <w:rFonts w:ascii="Amiri" w:hAnsi="Amiri" w:eastAsia="Amiri" w:cs="Amiri"/>
          <w:color w:val="111111"/>
          <w:sz w:val="28"/>
          <w:sz w:val="28"/>
          <w:szCs w:val="28"/>
          <w:rtl w:val="true"/>
          <w:lang w:bidi="ar-SA"/>
        </w:rPr>
        <w:t>من النّاس بعد برده بالموت و قبل تطهيره بالغسل</w:t>
      </w:r>
      <w:r>
        <w:rPr>
          <w:rFonts w:eastAsia="Amiri" w:cs="Amiri" w:ascii="Amiri" w:hAnsi="Amiri"/>
          <w:color w:val="111111"/>
          <w:sz w:val="28"/>
          <w:szCs w:val="28"/>
          <w:rtl w:val="true"/>
          <w:lang w:bidi="ar-SA"/>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هو قول أكثر علمائنا </w:t>
      </w:r>
      <w:r>
        <w:rPr>
          <w:rStyle w:val="FootnoteAnchor"/>
          <w:rtl w:val="true"/>
        </w:rPr>
        <w:footnoteReference w:id="2434"/>
      </w:r>
      <w:r>
        <w:rPr>
          <w:rFonts w:ascii="Amiri" w:hAnsi="Amiri" w:eastAsia="Amiri" w:cs="Amiri"/>
          <w:color w:val="111111"/>
          <w:sz w:val="28"/>
          <w:sz w:val="28"/>
          <w:szCs w:val="28"/>
          <w:rtl w:val="true"/>
          <w:lang w:bidi="ar-SA"/>
        </w:rPr>
        <w:t xml:space="preserve">،و رواه الجمهور،عن عليّ عليه السّلام،و أبي هريرة،و سعيد بن المسيّب،و ابن سيرين،و الزّهريّ،و أبي سعيد الجوزجانيّ </w:t>
      </w:r>
      <w:r>
        <w:rPr>
          <w:rStyle w:val="FootnoteAnchor"/>
          <w:rtl w:val="true"/>
        </w:rPr>
        <w:footnoteReference w:id="2435"/>
      </w:r>
      <w:r>
        <w:rPr>
          <w:rStyle w:val="FootnoteAnchor"/>
          <w:rtl w:val="true"/>
        </w:rPr>
        <w:footnoteReference w:id="2436"/>
      </w:r>
      <w:r>
        <w:rPr>
          <w:rFonts w:ascii="Amiri" w:hAnsi="Amiri" w:eastAsia="Amiri" w:cs="Amiri"/>
          <w:color w:val="111111"/>
          <w:sz w:val="28"/>
          <w:sz w:val="28"/>
          <w:szCs w:val="28"/>
          <w:rtl w:val="true"/>
          <w:lang w:bidi="ar-SA"/>
        </w:rPr>
        <w:t xml:space="preserve">،و الشّافعيّ في </w:t>
      </w:r>
    </w:p>
    <w:p>
      <w:pPr>
        <w:pStyle w:val="BookText"/>
        <w:rPr/>
      </w:pPr>
      <w:r>
        <w:rPr>
          <w:rFonts w:ascii="Amiri" w:hAnsi="Amiri" w:eastAsia="Amiri" w:cs="Amiri"/>
          <w:color w:val="111111"/>
          <w:sz w:val="28"/>
          <w:sz w:val="28"/>
          <w:szCs w:val="28"/>
          <w:rtl w:val="true"/>
          <w:lang w:bidi="ar-SA"/>
        </w:rPr>
        <w:t>البويطيّ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Style w:val="FootnoteAnchor"/>
          <w:rtl w:val="true"/>
        </w:rPr>
        <w:footnoteReference w:id="2437"/>
      </w:r>
      <w:r>
        <w:rPr>
          <w:rFonts w:ascii="Amiri" w:hAnsi="Amiri" w:eastAsia="Amiri" w:cs="Amiri"/>
          <w:color w:val="111111"/>
          <w:sz w:val="28"/>
          <w:sz w:val="28"/>
          <w:szCs w:val="28"/>
          <w:rtl w:val="true"/>
          <w:lang w:bidi="ar-SA"/>
        </w:rPr>
        <w:t xml:space="preserve">،و به قال أحمد في الكافر خاصّة </w:t>
      </w:r>
      <w:r>
        <w:rPr>
          <w:rStyle w:val="FootnoteAnchor"/>
          <w:rtl w:val="true"/>
        </w:rPr>
        <w:footnoteReference w:id="24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السّيّد المرتضى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مستحبّ و ليس بواجب </w:t>
      </w:r>
      <w:r>
        <w:rPr>
          <w:rStyle w:val="FootnoteAnchor"/>
          <w:rtl w:val="true"/>
        </w:rPr>
        <w:footnoteReference w:id="243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مذهب الشّافعيّ </w:t>
      </w:r>
      <w:r>
        <w:rPr>
          <w:rStyle w:val="FootnoteAnchor"/>
          <w:rtl w:val="true"/>
        </w:rPr>
        <w:footnoteReference w:id="2440"/>
      </w:r>
      <w:r>
        <w:rPr>
          <w:rFonts w:ascii="Amiri" w:hAnsi="Amiri" w:eastAsia="Amiri" w:cs="Amiri"/>
          <w:color w:val="111111"/>
          <w:sz w:val="28"/>
          <w:sz w:val="28"/>
          <w:szCs w:val="28"/>
          <w:rtl w:val="true"/>
          <w:lang w:bidi="ar-SA"/>
        </w:rPr>
        <w:t xml:space="preserve">، و أبي حنيفة </w:t>
      </w:r>
      <w:r>
        <w:rPr>
          <w:rStyle w:val="FootnoteAnchor"/>
          <w:rtl w:val="true"/>
        </w:rPr>
        <w:footnoteReference w:id="2441"/>
      </w:r>
      <w:r>
        <w:rPr>
          <w:rFonts w:ascii="Amiri" w:hAnsi="Amiri" w:eastAsia="Amiri" w:cs="Amiri"/>
          <w:color w:val="111111"/>
          <w:sz w:val="28"/>
          <w:sz w:val="28"/>
          <w:szCs w:val="28"/>
          <w:rtl w:val="true"/>
          <w:lang w:bidi="ar-SA"/>
        </w:rPr>
        <w:t xml:space="preserve">،و أبي ثور </w:t>
      </w:r>
      <w:r>
        <w:rPr>
          <w:rStyle w:val="FootnoteAnchor"/>
          <w:rtl w:val="true"/>
        </w:rPr>
        <w:footnoteReference w:id="2442"/>
      </w:r>
      <w:r>
        <w:rPr>
          <w:rFonts w:ascii="Amiri" w:hAnsi="Amiri" w:eastAsia="Amiri" w:cs="Amiri"/>
          <w:color w:val="111111"/>
          <w:sz w:val="28"/>
          <w:sz w:val="28"/>
          <w:szCs w:val="28"/>
          <w:rtl w:val="true"/>
          <w:lang w:bidi="ar-SA"/>
        </w:rPr>
        <w:t xml:space="preserve">،و نقل عن ابن عبّاس،و ابن عمر،و عائشة و الحسن، و النّخعيّ،و إسحاق </w:t>
      </w:r>
      <w:r>
        <w:rPr>
          <w:rStyle w:val="FootnoteAnchor"/>
          <w:rtl w:val="true"/>
        </w:rPr>
        <w:footnoteReference w:id="24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الجمهور،عن أبي هريرة،عن النّبيّ صلّى اللّه عليه و آله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غسل ميّتا فليغتسل</w:t>
      </w:r>
      <w:r>
        <w:rPr>
          <w:rFonts w:eastAsia="Amiri" w:cs="Amiri" w:ascii="Amiri" w:hAnsi="Amiri"/>
          <w:color w:val="111111"/>
          <w:sz w:val="28"/>
          <w:szCs w:val="28"/>
          <w:rtl w:val="true"/>
          <w:lang w:bidi="ar-SA"/>
        </w:rPr>
        <w:t xml:space="preserve">) </w:t>
      </w:r>
      <w:r>
        <w:rPr>
          <w:rStyle w:val="FootnoteAnchor"/>
          <w:rtl w:val="true"/>
        </w:rPr>
        <w:footnoteReference w:id="2444"/>
      </w:r>
      <w:r>
        <w:rPr>
          <w:rFonts w:ascii="Amiri" w:hAnsi="Amiri" w:eastAsia="Amiri" w:cs="Amiri"/>
          <w:color w:val="111111"/>
          <w:sz w:val="28"/>
          <w:sz w:val="28"/>
          <w:szCs w:val="28"/>
          <w:rtl w:val="true"/>
          <w:lang w:bidi="ar-SA"/>
        </w:rPr>
        <w:t>قال التّرمذيّ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حديث 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رووه،عن النّبيّ صلّى اللّه عليه و آله انّه أمر عليّا عليه السّلام أن يغتسل لمّا غسل أباه </w:t>
      </w:r>
      <w:r>
        <w:rPr>
          <w:rStyle w:val="FootnoteAnchor"/>
          <w:rtl w:val="true"/>
        </w:rPr>
        <w:footnoteReference w:id="2445"/>
      </w:r>
      <w:r>
        <w:rPr>
          <w:rFonts w:eastAsia="Times New Roman" w:cs="Times New Roman" w:ascii="Times New Roman" w:hAnsi="Times New Roman"/>
          <w:color w:val="111111"/>
          <w:sz w:val="28"/>
          <w:szCs w:val="28"/>
          <w:rtl w:val="true"/>
          <w:lang w:val="en-US" w:bidi="en-US"/>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طريق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رواه الشّيخ،عن سماعة،عن أبي عبد اللّه عليه السّلام،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غسل من غسل ميّتا واجب</w:t>
      </w:r>
      <w:r>
        <w:rPr>
          <w:rFonts w:eastAsia="Amiri" w:cs="Amiri" w:ascii="Amiri" w:hAnsi="Amiri"/>
          <w:color w:val="111111"/>
          <w:sz w:val="28"/>
          <w:szCs w:val="28"/>
          <w:rtl w:val="true"/>
          <w:lang w:bidi="ar-SA"/>
        </w:rPr>
        <w:t xml:space="preserve">» </w:t>
      </w:r>
      <w:r>
        <w:rPr>
          <w:rStyle w:val="FootnoteAnchor"/>
          <w:rtl w:val="true"/>
        </w:rPr>
        <w:footnoteReference w:id="24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رواه،عن يونس،عن رجاله،عن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غسل من غسل ميّتا</w:t>
      </w:r>
      <w:r>
        <w:rPr>
          <w:rFonts w:eastAsia="Amiri" w:cs="Amiri" w:ascii="Amiri" w:hAnsi="Amiri"/>
          <w:color w:val="111111"/>
          <w:sz w:val="28"/>
          <w:szCs w:val="28"/>
          <w:rtl w:val="true"/>
          <w:lang w:bidi="ar-SA"/>
        </w:rPr>
        <w:t xml:space="preserve">» </w:t>
      </w:r>
      <w:r>
        <w:rPr>
          <w:rStyle w:val="FootnoteAnchor"/>
          <w:rtl w:val="true"/>
        </w:rPr>
        <w:footnoteReference w:id="2447"/>
      </w:r>
      <w:r>
        <w:rPr>
          <w:rFonts w:ascii="Amiri" w:hAnsi="Amiri" w:eastAsia="Amiri" w:cs="Amiri"/>
          <w:color w:val="111111"/>
          <w:sz w:val="28"/>
          <w:sz w:val="28"/>
          <w:szCs w:val="28"/>
          <w:rtl w:val="true"/>
          <w:lang w:bidi="ar-SA"/>
        </w:rPr>
        <w:t>و عدّه في الفروض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رواه في الصّحيح،عن الحلبيّ،عن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اغتسل إذا غسلت ميّتا</w:t>
      </w:r>
      <w:r>
        <w:rPr>
          <w:rFonts w:eastAsia="Amiri" w:cs="Amiri" w:ascii="Amiri" w:hAnsi="Amiri"/>
          <w:color w:val="111111"/>
          <w:sz w:val="28"/>
          <w:szCs w:val="28"/>
          <w:rtl w:val="true"/>
          <w:lang w:bidi="ar-SA"/>
        </w:rPr>
        <w:t xml:space="preserve">» </w:t>
      </w:r>
      <w:r>
        <w:rPr>
          <w:rStyle w:val="FootnoteAnchor"/>
          <w:rtl w:val="true"/>
        </w:rPr>
        <w:footnoteReference w:id="24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رواه في الحسن،عن حريز،عن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غسل ميّتا فليغتسل</w:t>
      </w:r>
      <w:r>
        <w:rPr>
          <w:rFonts w:eastAsia="Amiri" w:cs="Amiri" w:ascii="Amiri" w:hAnsi="Amiri"/>
          <w:color w:val="111111"/>
          <w:sz w:val="28"/>
          <w:szCs w:val="28"/>
          <w:rtl w:val="true"/>
          <w:lang w:bidi="ar-SA"/>
        </w:rPr>
        <w:t xml:space="preserve">» </w:t>
      </w:r>
      <w:r>
        <w:rPr>
          <w:rStyle w:val="FootnoteAnchor"/>
          <w:rtl w:val="true"/>
        </w:rPr>
        <w:footnoteReference w:id="24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رواه،عن عبد اللّه بن سنان،عن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يغتسل الّذي غسل الميّت</w:t>
      </w:r>
      <w:r>
        <w:rPr>
          <w:rFonts w:eastAsia="Amiri" w:cs="Amiri" w:ascii="Amiri" w:hAnsi="Amiri"/>
          <w:color w:val="111111"/>
          <w:sz w:val="28"/>
          <w:szCs w:val="28"/>
          <w:rtl w:val="true"/>
          <w:lang w:bidi="ar-SA"/>
        </w:rPr>
        <w:t xml:space="preserve">» </w:t>
      </w:r>
      <w:r>
        <w:rPr>
          <w:rStyle w:val="FootnoteAnchor"/>
          <w:rtl w:val="true"/>
        </w:rPr>
        <w:footnoteReference w:id="24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رواه في الصّحيح،عن محمّد بن مسلم،عن أحدهما عليهما السّلام،قال</w:t>
      </w:r>
      <w:r>
        <w:rPr>
          <w:rFonts w:eastAsia="Amiri" w:cs="Amiri" w:ascii="Amiri" w:hAnsi="Amiri"/>
          <w:color w:val="111111"/>
          <w:sz w:val="28"/>
          <w:szCs w:val="28"/>
          <w:rtl w:val="true"/>
          <w:lang w:bidi="ar-SA"/>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الغسل في سبعة عشر موطنا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غسلت ميّتا و كفّنته أو مسسته بعد ما يبرد</w:t>
      </w:r>
      <w:r>
        <w:rPr>
          <w:rFonts w:eastAsia="Amiri" w:cs="Amiri" w:ascii="Amiri" w:hAnsi="Amiri"/>
          <w:color w:val="111111"/>
          <w:sz w:val="28"/>
          <w:szCs w:val="28"/>
          <w:rtl w:val="true"/>
          <w:lang w:bidi="ar-SA"/>
        </w:rPr>
        <w:t xml:space="preserve">» </w:t>
      </w:r>
      <w:r>
        <w:rPr>
          <w:rStyle w:val="FootnoteAnchor"/>
          <w:rtl w:val="true"/>
        </w:rPr>
        <w:footnoteReference w:id="245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احتجّ المخالف </w:t>
      </w:r>
      <w:r>
        <w:rPr>
          <w:rStyle w:val="FootnoteAnchor"/>
          <w:rtl w:val="true"/>
        </w:rPr>
        <w:footnoteReference w:id="2452"/>
      </w:r>
      <w:r>
        <w:rPr>
          <w:rFonts w:ascii="Amiri" w:hAnsi="Amiri" w:eastAsia="Amiri" w:cs="Amiri"/>
          <w:color w:val="111111"/>
          <w:sz w:val="28"/>
          <w:sz w:val="28"/>
          <w:szCs w:val="28"/>
          <w:rtl w:val="true"/>
          <w:lang w:bidi="ar-SA"/>
        </w:rPr>
        <w:t>بما رووه،عن صفوان بن عسّال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أمرنا رسول اللّه صلّى اللّه عليه و آله أن لا ننزع خفافنا ثلاثة أيّام إلاّ من جنابة </w:t>
      </w:r>
      <w:r>
        <w:rPr>
          <w:rStyle w:val="FootnoteAnchor"/>
          <w:rtl w:val="true"/>
        </w:rPr>
        <w:footnoteReference w:id="245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لأنّه غسل آدميّ فلم يوجب الغسل كغسل الحيّ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الجواب عن الأوّل،من وجوه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الطّعن في الحديث،فإنّ مالك بن أنس لم يعمل به،و لو كان صحيحا لما 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أمرنا رسول اللّه صلّى اللّه عليه و آله،ليس نصّا في الباب،لجواز أن يكون توهّم ما ليس بأمر أمرا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أنّهم تارة ينقلون عن صفوان و اخرى عن عوف بن مالك الأشجعي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Style w:val="FootnoteAnchor"/>
          <w:rtl w:val="true"/>
        </w:rPr>
        <w:footnoteReference w:id="2454"/>
      </w:r>
      <w:r>
        <w:rPr>
          <w:rFonts w:ascii="Amiri" w:hAnsi="Amiri" w:eastAsia="Amiri" w:cs="Amiri"/>
          <w:color w:val="111111"/>
          <w:sz w:val="28"/>
          <w:sz w:val="28"/>
          <w:szCs w:val="28"/>
          <w:rtl w:val="true"/>
          <w:lang w:bidi="ar-SA"/>
        </w:rPr>
        <w:t>،و ذلك دليل الاضطراب و تطرّق التّهمة</w:t>
      </w:r>
      <w:r>
        <w:rPr>
          <w:rFonts w:eastAsia="Amiri" w:cs="Amiri" w:ascii="Amiri" w:hAnsi="Amiri"/>
          <w:color w:val="111111"/>
          <w:sz w:val="28"/>
          <w:szCs w:val="28"/>
          <w:rtl w:val="true"/>
          <w:lang w:bidi="ar-SA"/>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انّهم نقلوه عن النّبيّ صلّى اللّه عليه و آله في غزاة تبوك،و لو قلنا بموجبة،لما كان نقضا،لأنّ الغالب في أحوال </w:t>
      </w:r>
      <w:r>
        <w:rPr>
          <w:rStyle w:val="FootnoteAnchor"/>
          <w:rtl w:val="true"/>
        </w:rPr>
        <w:footnoteReference w:id="2455"/>
      </w:r>
      <w:r>
        <w:rPr>
          <w:rFonts w:ascii="Amiri" w:hAnsi="Amiri" w:eastAsia="Amiri" w:cs="Amiri"/>
          <w:color w:val="111111"/>
          <w:sz w:val="28"/>
          <w:sz w:val="28"/>
          <w:szCs w:val="28"/>
          <w:rtl w:val="true"/>
          <w:lang w:bidi="ar-SA"/>
        </w:rPr>
        <w:t>الحرب استناد الموت إلى القتل،و نحن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لا يجب على من مسّه،الغسل حينئذ</w:t>
      </w:r>
      <w:r>
        <w:rPr>
          <w:rFonts w:eastAsia="Amiri" w:cs="Amiri" w:ascii="Amiri" w:hAnsi="Amiri"/>
          <w:color w:val="111111"/>
          <w:sz w:val="28"/>
          <w:szCs w:val="28"/>
          <w:rtl w:val="true"/>
          <w:lang w:bidi="ar-SA"/>
        </w:rPr>
        <w:t xml:space="preserve">. </w:t>
      </w:r>
      <w:bookmarkStart w:id="1372" w:name="pg12669_113248"/>
    </w:p>
    <w:p>
      <w:pPr>
        <w:pStyle w:val="BookText"/>
        <w:rPr/>
      </w:pPr>
      <w:bookmarkEnd w:id="1372"/>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عليه السّلام إنّما أمرهم بذلك بناء على الغالب،فلا يكون دالاّ على النّفي عن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بالفرق،فإنّ الميّت نجس عندنا،لما يأتي بخلاف الحيّ</w:t>
      </w:r>
      <w:r>
        <w:rPr>
          <w:rFonts w:eastAsia="Amiri" w:cs="Amiri" w:ascii="Amiri" w:hAnsi="Amiri"/>
          <w:color w:val="111111"/>
          <w:sz w:val="28"/>
          <w:szCs w:val="28"/>
          <w:rtl w:val="true"/>
          <w:lang w:bidi="ar-SA"/>
        </w:rPr>
        <w:t>.</w:t>
      </w:r>
    </w:p>
    <w:p>
      <w:pPr>
        <w:pStyle w:val="Heading6"/>
        <w:numPr>
          <w:ilvl w:val="5"/>
          <w:numId w:val="1"/>
        </w:numPr>
        <w:rPr/>
      </w:pPr>
      <w:bookmarkStart w:id="1373" w:name="__RefHeading___Toc796247_222507752"/>
      <w:bookmarkStart w:id="1374" w:name="_Toc563"/>
      <w:bookmarkEnd w:id="1373"/>
      <w:r>
        <w:rPr>
          <w:rtl w:val="true"/>
        </w:rPr>
        <w:t>فروع</w:t>
      </w:r>
      <w:r>
        <w:rPr>
          <w:rtl w:val="true"/>
        </w:rPr>
        <w:t>:</w:t>
      </w:r>
      <w:bookmarkEnd w:id="1374"/>
    </w:p>
    <w:p>
      <w:pPr>
        <w:pStyle w:val="Heading6"/>
        <w:numPr>
          <w:ilvl w:val="5"/>
          <w:numId w:val="1"/>
        </w:numPr>
        <w:rPr/>
      </w:pPr>
      <w:bookmarkStart w:id="1375" w:name="__RefHeading___Toc796249_222507752"/>
      <w:bookmarkStart w:id="1376" w:name="_Toc564"/>
      <w:bookmarkEnd w:id="1375"/>
      <w:r>
        <w:rPr>
          <w:rtl w:val="true"/>
        </w:rPr>
        <w:t>الأوّل</w:t>
      </w:r>
      <w:r>
        <w:rPr>
          <w:rtl w:val="true"/>
        </w:rPr>
        <w:t>:</w:t>
      </w:r>
      <w:r>
        <w:rPr>
          <w:rtl w:val="true"/>
        </w:rPr>
        <w:t>يجب الغسل على الغاسل و من مسّه بغير الغسل،</w:t>
      </w:r>
      <w:bookmarkEnd w:id="1376"/>
    </w:p>
    <w:p>
      <w:pPr>
        <w:pStyle w:val="BookText"/>
        <w:rPr/>
      </w:pPr>
      <w:r>
        <w:rPr>
          <w:rFonts w:ascii="Amiri" w:hAnsi="Amiri" w:eastAsia="Amiri" w:cs="Amiri"/>
          <w:color w:val="111111"/>
          <w:sz w:val="28"/>
          <w:sz w:val="28"/>
          <w:szCs w:val="28"/>
          <w:rtl w:val="true"/>
          <w:lang w:bidi="ar-SA"/>
        </w:rPr>
        <w:t>لرواية محمّد بن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تقدّمت </w:t>
      </w:r>
      <w:r>
        <w:rPr>
          <w:rStyle w:val="FootnoteAnchor"/>
          <w:rtl w:val="true"/>
        </w:rPr>
        <w:footnoteReference w:id="245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377" w:name="__RefHeading___Toc796251_222507752"/>
      <w:bookmarkStart w:id="1378" w:name="_Toc565"/>
      <w:bookmarkEnd w:id="1377"/>
      <w:r>
        <w:rPr>
          <w:rtl w:val="true"/>
        </w:rPr>
        <w:t>الثّاني</w:t>
      </w:r>
      <w:r>
        <w:rPr>
          <w:rtl w:val="true"/>
        </w:rPr>
        <w:t>:</w:t>
      </w:r>
      <w:r>
        <w:rPr>
          <w:rtl w:val="true"/>
        </w:rPr>
        <w:t>لا فرق في اللّمس بين أن يكون أحدهما رطبا أو كلاهما يابسين</w:t>
      </w:r>
      <w:bookmarkEnd w:id="1378"/>
    </w:p>
    <w:p>
      <w:pPr>
        <w:pStyle w:val="BookText"/>
        <w:rPr/>
      </w:pPr>
      <w:r>
        <w:rPr>
          <w:rStyle w:val="FootnoteAnchor"/>
          <w:rtl w:val="true"/>
        </w:rPr>
        <w:footnoteReference w:id="24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عملا بالعموم</w:t>
      </w:r>
      <w:r>
        <w:rPr>
          <w:rFonts w:eastAsia="IRNazanin" w:cs="IRNazanin"/>
          <w:color w:val="111111"/>
          <w:sz w:val="28"/>
          <w:szCs w:val="28"/>
          <w:rtl w:val="true"/>
          <w:lang w:bidi="fa-IR"/>
        </w:rPr>
        <w:t>.</w:t>
      </w:r>
    </w:p>
    <w:p>
      <w:pPr>
        <w:pStyle w:val="Heading6"/>
        <w:numPr>
          <w:ilvl w:val="5"/>
          <w:numId w:val="1"/>
        </w:numPr>
        <w:rPr/>
      </w:pPr>
      <w:bookmarkStart w:id="1379" w:name="__RefHeading___Toc796253_222507752"/>
      <w:bookmarkStart w:id="1380" w:name="_Toc566"/>
      <w:bookmarkEnd w:id="1379"/>
      <w:r>
        <w:rPr>
          <w:rtl w:val="true"/>
        </w:rPr>
        <w:t>الثّالث</w:t>
      </w:r>
      <w:r>
        <w:rPr>
          <w:rtl w:val="true"/>
        </w:rPr>
        <w:t>:</w:t>
      </w:r>
      <w:r>
        <w:rPr>
          <w:rtl w:val="true"/>
        </w:rPr>
        <w:t>لو مسّه رطبا ينجس نجاسة عينيّة،</w:t>
      </w:r>
      <w:bookmarkEnd w:id="1380"/>
    </w:p>
    <w:p>
      <w:pPr>
        <w:pStyle w:val="BookText"/>
        <w:rPr/>
      </w:pPr>
      <w:r>
        <w:rPr>
          <w:rFonts w:ascii="Amiri" w:hAnsi="Amiri" w:eastAsia="Amiri" w:cs="Amiri"/>
          <w:color w:val="111111"/>
          <w:sz w:val="28"/>
          <w:sz w:val="28"/>
          <w:szCs w:val="28"/>
          <w:rtl w:val="true"/>
          <w:lang w:bidi="ar-SA"/>
        </w:rPr>
        <w:t>لما يأتي من انّ الميّت نجس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مسّه يابسا فالوجه انّ النّجاسة حكميّة،فلو لاقى ببدنه </w:t>
      </w:r>
      <w:r>
        <w:rPr>
          <w:rStyle w:val="FootnoteAnchor"/>
          <w:rtl w:val="true"/>
        </w:rPr>
        <w:footnoteReference w:id="2458"/>
      </w:r>
      <w:r>
        <w:rPr>
          <w:rFonts w:ascii="Amiri" w:hAnsi="Amiri" w:eastAsia="Amiri" w:cs="Amiri"/>
          <w:color w:val="111111"/>
          <w:sz w:val="28"/>
          <w:sz w:val="28"/>
          <w:szCs w:val="28"/>
          <w:rtl w:val="true"/>
          <w:lang w:bidi="ar-SA"/>
        </w:rPr>
        <w:t>بعد ملاقاته للميّت رطبا لم يؤثّر في تنجيسه،لعدم دليل التّنجيس و ثبوت الأصل الدّالّ على الطّهارة</w:t>
      </w:r>
      <w:r>
        <w:rPr>
          <w:rFonts w:eastAsia="Amiri" w:cs="Amiri" w:ascii="Amiri" w:hAnsi="Amiri"/>
          <w:color w:val="111111"/>
          <w:sz w:val="28"/>
          <w:szCs w:val="28"/>
          <w:rtl w:val="true"/>
          <w:lang w:bidi="ar-SA"/>
        </w:rPr>
        <w:t>.</w:t>
      </w:r>
    </w:p>
    <w:p>
      <w:pPr>
        <w:pStyle w:val="Heading5"/>
        <w:numPr>
          <w:ilvl w:val="4"/>
          <w:numId w:val="1"/>
        </w:numPr>
        <w:rPr/>
      </w:pPr>
      <w:bookmarkStart w:id="1381" w:name="__RefHeading___Toc796255_222507752"/>
      <w:bookmarkStart w:id="1382" w:name="_Toc567"/>
      <w:bookmarkEnd w:id="1381"/>
      <w:r>
        <w:rPr>
          <w:rtl w:val="true"/>
        </w:rPr>
        <w:t>مسألة</w:t>
      </w:r>
      <w:r>
        <w:rPr>
          <w:rtl w:val="true"/>
        </w:rPr>
        <w:t>:</w:t>
      </w:r>
      <w:r>
        <w:rPr>
          <w:rtl w:val="true"/>
        </w:rPr>
        <w:t>و لا يجب الغسل لو مسّه بعد تطهيره بالغسل و لا قبل برده بالموت،</w:t>
      </w:r>
      <w:bookmarkEnd w:id="1382"/>
    </w:p>
    <w:p>
      <w:pPr>
        <w:pStyle w:val="Heading6"/>
        <w:numPr>
          <w:ilvl w:val="5"/>
          <w:numId w:val="1"/>
        </w:numPr>
        <w:rPr/>
      </w:pPr>
      <w:bookmarkStart w:id="1383" w:name="__RefHeading___Toc796257_222507752"/>
      <w:bookmarkStart w:id="1384" w:name="_Toc568"/>
      <w:bookmarkEnd w:id="1383"/>
      <w:r>
        <w:rPr>
          <w:rtl w:val="true"/>
        </w:rPr>
        <w:t>اشارة</w:t>
      </w:r>
      <w:bookmarkEnd w:id="1384"/>
    </w:p>
    <w:p>
      <w:pPr>
        <w:pStyle w:val="BookText"/>
        <w:rPr/>
      </w:pPr>
      <w:r>
        <w:rPr>
          <w:rFonts w:ascii="Amiri" w:hAnsi="Amiri" w:eastAsia="Amiri" w:cs="Amiri"/>
          <w:color w:val="111111"/>
          <w:sz w:val="28"/>
          <w:sz w:val="28"/>
          <w:szCs w:val="28"/>
          <w:rtl w:val="true"/>
          <w:lang w:bidi="ar-SA"/>
        </w:rPr>
        <w:t>و هو مذهب علماء الأمصار،لأنّه بعد التّطهير طاهر،فلا يؤثّر في التّنجيس العيني و الحكميّ، و قبل البرد طاهر،لعدم انتقال الرّوح بالكلّيّة،فلا يؤثّر في التّنجيس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يؤيّده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 في الصّحيح،عن الحلبيّ،عن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تغتسل من مسّه إذا أدخلته القبر و لا إذا حملته</w:t>
      </w:r>
      <w:r>
        <w:rPr>
          <w:rFonts w:eastAsia="Amiri" w:cs="Amiri" w:ascii="Amiri" w:hAnsi="Amiri"/>
          <w:color w:val="111111"/>
          <w:sz w:val="28"/>
          <w:szCs w:val="28"/>
          <w:rtl w:val="true"/>
          <w:lang w:bidi="ar-SA"/>
        </w:rPr>
        <w:t xml:space="preserve">» </w:t>
      </w:r>
      <w:r>
        <w:rPr>
          <w:rStyle w:val="FootnoteAnchor"/>
          <w:rtl w:val="true"/>
        </w:rPr>
        <w:footnoteReference w:id="2459"/>
      </w:r>
      <w:r>
        <w:rPr>
          <w:rFonts w:eastAsia="Times New Roman" w:cs="Times New Roman" w:ascii="Times New Roman" w:hAnsi="Times New Roman"/>
          <w:color w:val="111111"/>
          <w:sz w:val="28"/>
          <w:szCs w:val="28"/>
          <w:rtl w:val="true"/>
          <w:lang w:val="en-US" w:bidi="en-US"/>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في الحسن،عن حريز،عن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مسّه ما </w:t>
      </w:r>
      <w:bookmarkStart w:id="1385" w:name="pg12669_113249"/>
    </w:p>
    <w:p>
      <w:pPr>
        <w:pStyle w:val="BookText"/>
        <w:rPr/>
      </w:pPr>
      <w:bookmarkEnd w:id="1385"/>
      <w:r>
        <w:rPr>
          <w:rFonts w:ascii="Amiri" w:hAnsi="Amiri" w:eastAsia="Amiri" w:cs="Amiri"/>
          <w:color w:val="111111"/>
          <w:sz w:val="28"/>
          <w:sz w:val="28"/>
          <w:szCs w:val="28"/>
          <w:rtl w:val="true"/>
          <w:lang w:bidi="ar-SA"/>
        </w:rPr>
        <w:t>دام حارّا فلا غسل عليه</w:t>
      </w:r>
      <w:r>
        <w:rPr>
          <w:rFonts w:eastAsia="Amiri" w:cs="Amiri" w:ascii="Amiri" w:hAnsi="Amiri"/>
          <w:color w:val="111111"/>
          <w:sz w:val="28"/>
          <w:szCs w:val="28"/>
          <w:rtl w:val="true"/>
          <w:lang w:bidi="ar-SA"/>
        </w:rPr>
        <w:t xml:space="preserve">» </w:t>
      </w:r>
      <w:r>
        <w:rPr>
          <w:rStyle w:val="FootnoteAnchor"/>
          <w:rtl w:val="true"/>
        </w:rPr>
        <w:footnoteReference w:id="24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ابن سنان عنه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قبّل الميّت بعد موته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فليس عليه غسل،و لكن إذا مسّه و قبّله و قد برد فعليه الغسل،و لا بأس بمسّه بعد الغسل و تقبيله</w:t>
      </w:r>
      <w:r>
        <w:rPr>
          <w:rFonts w:eastAsia="Amiri" w:cs="Amiri" w:ascii="Amiri" w:hAnsi="Amiri"/>
          <w:color w:val="111111"/>
          <w:sz w:val="28"/>
          <w:szCs w:val="28"/>
          <w:rtl w:val="true"/>
          <w:lang w:bidi="ar-SA"/>
        </w:rPr>
        <w:t xml:space="preserve">» </w:t>
      </w:r>
      <w:r>
        <w:rPr>
          <w:rStyle w:val="FootnoteAnchor"/>
          <w:rtl w:val="true"/>
        </w:rPr>
        <w:footnoteReference w:id="246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386" w:name="__RefHeading___Toc796259_222507752"/>
      <w:bookmarkStart w:id="1387" w:name="_Toc569"/>
      <w:bookmarkEnd w:id="1386"/>
      <w:r>
        <w:rPr>
          <w:rtl w:val="true"/>
        </w:rPr>
        <w:t>فروع</w:t>
      </w:r>
      <w:r>
        <w:rPr>
          <w:rtl w:val="true"/>
        </w:rPr>
        <w:t>:</w:t>
      </w:r>
      <w:bookmarkEnd w:id="1387"/>
    </w:p>
    <w:p>
      <w:pPr>
        <w:pStyle w:val="Heading6"/>
        <w:numPr>
          <w:ilvl w:val="5"/>
          <w:numId w:val="1"/>
        </w:numPr>
        <w:rPr/>
      </w:pPr>
      <w:bookmarkStart w:id="1388" w:name="__RefHeading___Toc796261_222507752"/>
      <w:bookmarkStart w:id="1389" w:name="_Toc570"/>
      <w:bookmarkEnd w:id="1388"/>
      <w:r>
        <w:rPr>
          <w:rtl w:val="true"/>
        </w:rPr>
        <w:t>الأوّل</w:t>
      </w:r>
      <w:r>
        <w:rPr>
          <w:rtl w:val="true"/>
        </w:rPr>
        <w:t>:</w:t>
      </w:r>
      <w:r>
        <w:rPr>
          <w:rtl w:val="true"/>
        </w:rPr>
        <w:t>قال الشّيخ في المبسوط</w:t>
      </w:r>
      <w:r>
        <w:rPr>
          <w:rtl w:val="true"/>
        </w:rPr>
        <w:t>:</w:t>
      </w:r>
      <w:r>
        <w:rPr>
          <w:rtl w:val="true"/>
        </w:rPr>
        <w:t>لو مسّه قبل برده لم يجب الغسل</w:t>
      </w:r>
      <w:bookmarkEnd w:id="1389"/>
    </w:p>
    <w:p>
      <w:pPr>
        <w:pStyle w:val="BookText"/>
        <w:rPr/>
      </w:pPr>
      <w:r>
        <w:rPr>
          <w:rFonts w:ascii="Amiri" w:hAnsi="Amiri" w:eastAsia="Amiri" w:cs="Amiri"/>
          <w:color w:val="111111"/>
          <w:sz w:val="28"/>
          <w:sz w:val="28"/>
          <w:szCs w:val="28"/>
          <w:rtl w:val="true"/>
          <w:lang w:bidi="ar-SA"/>
        </w:rPr>
        <w:t xml:space="preserve">و يغسل يده </w:t>
      </w:r>
      <w:r>
        <w:rPr>
          <w:rStyle w:val="FootnoteAnchor"/>
          <w:rtl w:val="true"/>
        </w:rPr>
        <w:footnoteReference w:id="246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وجوب غسل اليد عندي نظر</w:t>
      </w:r>
      <w:r>
        <w:rPr>
          <w:rFonts w:eastAsia="Amiri" w:cs="Amiri" w:ascii="Amiri" w:hAnsi="Amiri"/>
          <w:color w:val="111111"/>
          <w:sz w:val="28"/>
          <w:szCs w:val="28"/>
          <w:rtl w:val="true"/>
          <w:lang w:bidi="ar-SA"/>
        </w:rPr>
        <w:t>.</w:t>
      </w:r>
    </w:p>
    <w:p>
      <w:pPr>
        <w:pStyle w:val="Heading6"/>
        <w:numPr>
          <w:ilvl w:val="5"/>
          <w:numId w:val="1"/>
        </w:numPr>
        <w:rPr/>
      </w:pPr>
      <w:bookmarkStart w:id="1390" w:name="__RefHeading___Toc796263_222507752"/>
      <w:bookmarkStart w:id="1391" w:name="_Toc571"/>
      <w:bookmarkEnd w:id="1390"/>
      <w:r>
        <w:rPr>
          <w:rtl w:val="true"/>
        </w:rPr>
        <w:t>الثّاني</w:t>
      </w:r>
      <w:r>
        <w:rPr>
          <w:rtl w:val="true"/>
        </w:rPr>
        <w:t>:</w:t>
      </w:r>
      <w:r>
        <w:rPr>
          <w:rtl w:val="true"/>
        </w:rPr>
        <w:t>الأقرب في الشّهيد انّه لا يجب الغسل بمسّه،</w:t>
      </w:r>
      <w:bookmarkEnd w:id="1391"/>
    </w:p>
    <w:p>
      <w:pPr>
        <w:pStyle w:val="BookText"/>
        <w:rPr/>
      </w:pPr>
      <w:r>
        <w:rPr>
          <w:rFonts w:ascii="Amiri" w:hAnsi="Amiri" w:eastAsia="Amiri" w:cs="Amiri"/>
          <w:color w:val="111111"/>
          <w:sz w:val="28"/>
          <w:sz w:val="28"/>
          <w:szCs w:val="28"/>
          <w:rtl w:val="true"/>
          <w:lang w:bidi="ar-SA"/>
        </w:rPr>
        <w:t>لأنّ الرّواية تدلّ بمفهومها على انّ الغسل إنّما يجب في الصّورة الّتي يجب فيها تغسيل الميّت قبل غسله</w:t>
      </w:r>
      <w:r>
        <w:rPr>
          <w:rFonts w:eastAsia="Amiri" w:cs="Amiri" w:ascii="Amiri" w:hAnsi="Amiri"/>
          <w:color w:val="111111"/>
          <w:sz w:val="28"/>
          <w:szCs w:val="28"/>
          <w:rtl w:val="true"/>
          <w:lang w:bidi="ar-SA"/>
        </w:rPr>
        <w:t>.</w:t>
      </w:r>
    </w:p>
    <w:p>
      <w:pPr>
        <w:pStyle w:val="Heading6"/>
        <w:numPr>
          <w:ilvl w:val="5"/>
          <w:numId w:val="1"/>
        </w:numPr>
        <w:rPr/>
      </w:pPr>
      <w:bookmarkStart w:id="1392" w:name="__RefHeading___Toc796265_222507752"/>
      <w:bookmarkStart w:id="1393" w:name="_Toc572"/>
      <w:bookmarkEnd w:id="1392"/>
      <w:r>
        <w:rPr>
          <w:rtl w:val="true"/>
        </w:rPr>
        <w:t>الثّالث</w:t>
      </w:r>
      <w:r>
        <w:rPr>
          <w:rtl w:val="true"/>
        </w:rPr>
        <w:t>:</w:t>
      </w:r>
      <w:r>
        <w:rPr>
          <w:rtl w:val="true"/>
        </w:rPr>
        <w:t>المقتول قودا،أو مرجوما،أو حدّا،إذا فعل ما أمر به من الغسل،هل</w:t>
      </w:r>
      <w:bookmarkEnd w:id="1393"/>
    </w:p>
    <w:p>
      <w:pPr>
        <w:pStyle w:val="BookText"/>
        <w:rPr/>
      </w:pPr>
      <w:r>
        <w:rPr>
          <w:rFonts w:ascii="Amiri" w:hAnsi="Amiri" w:eastAsia="Amiri" w:cs="Amiri"/>
          <w:color w:val="111111"/>
          <w:sz w:val="28"/>
          <w:sz w:val="28"/>
          <w:szCs w:val="28"/>
          <w:rtl w:val="true"/>
          <w:lang w:bidi="ar-SA"/>
        </w:rPr>
        <w:t>يجب الغسل بمسّه بعد برده بالموت؟فيه نظر</w:t>
      </w:r>
    </w:p>
    <w:p>
      <w:pPr>
        <w:pStyle w:val="BookText"/>
        <w:rPr/>
      </w:pPr>
      <w:r>
        <w:rPr>
          <w:rFonts w:ascii="Amiri" w:hAnsi="Amiri" w:eastAsia="Amiri" w:cs="Amiri"/>
          <w:color w:val="111111"/>
          <w:sz w:val="28"/>
          <w:sz w:val="28"/>
          <w:szCs w:val="28"/>
          <w:rtl w:val="true"/>
          <w:lang w:bidi="ar-SA"/>
        </w:rPr>
        <w:t xml:space="preserve">من حيث انّه قد أمر بالتّطهير أوّلا،و أوجب ابن إدريس الغسل به </w:t>
      </w:r>
      <w:r>
        <w:rPr>
          <w:rStyle w:val="FootnoteAnchor"/>
          <w:rtl w:val="true"/>
        </w:rPr>
        <w:footnoteReference w:id="246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مات حتف أنفه بعد الغسل قبل القتل وجب إعادة الغسل عليه،و يجب على من مسّه الغسل</w:t>
      </w:r>
      <w:r>
        <w:rPr>
          <w:rFonts w:eastAsia="Amiri" w:cs="Amiri" w:ascii="Amiri" w:hAnsi="Amiri"/>
          <w:color w:val="111111"/>
          <w:sz w:val="28"/>
          <w:szCs w:val="28"/>
          <w:rtl w:val="true"/>
          <w:lang w:bidi="ar-SA"/>
        </w:rPr>
        <w:t>.</w:t>
      </w:r>
    </w:p>
    <w:p>
      <w:pPr>
        <w:pStyle w:val="Heading6"/>
        <w:numPr>
          <w:ilvl w:val="5"/>
          <w:numId w:val="1"/>
        </w:numPr>
        <w:rPr/>
      </w:pPr>
      <w:bookmarkStart w:id="1394" w:name="__RefHeading___Toc796267_222507752"/>
      <w:bookmarkStart w:id="1395" w:name="_Toc573"/>
      <w:bookmarkEnd w:id="1394"/>
      <w:r>
        <w:rPr>
          <w:rtl w:val="true"/>
        </w:rPr>
        <w:t>الرّابع</w:t>
      </w:r>
      <w:r>
        <w:rPr>
          <w:rtl w:val="true"/>
        </w:rPr>
        <w:t>:</w:t>
      </w:r>
      <w:r>
        <w:rPr>
          <w:rtl w:val="true"/>
        </w:rPr>
        <w:t>السّقط الّذي لدون أربعة أشهر لا يجب بمسّه الغسل</w:t>
      </w:r>
      <w:r>
        <w:rPr>
          <w:rtl w:val="true"/>
        </w:rPr>
        <w:t>.</w:t>
      </w:r>
      <w:bookmarkEnd w:id="1395"/>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قاله المفيد رحمه اللّه </w:t>
      </w:r>
      <w:r>
        <w:rPr>
          <w:rStyle w:val="FootnoteAnchor"/>
          <w:rtl w:val="true"/>
        </w:rPr>
        <w:footnoteReference w:id="2464"/>
      </w:r>
      <w:r>
        <w:rPr>
          <w:rFonts w:ascii="Amiri" w:hAnsi="Amiri" w:eastAsia="Amiri" w:cs="Amiri"/>
          <w:color w:val="111111"/>
          <w:sz w:val="28"/>
          <w:sz w:val="28"/>
          <w:szCs w:val="28"/>
          <w:rtl w:val="true"/>
          <w:lang w:bidi="ar-SA"/>
        </w:rPr>
        <w:t xml:space="preserve">و هو قويّ لما ذكرنا في المقتول،و لأنّه لا يسمّى ميّتا،إذ الموت إنّما يكون بعد </w:t>
      </w:r>
      <w:bookmarkStart w:id="1396" w:name="pg12669_113250"/>
    </w:p>
    <w:p>
      <w:pPr>
        <w:pStyle w:val="BookText"/>
        <w:rPr/>
      </w:pPr>
      <w:bookmarkEnd w:id="1396"/>
      <w:r>
        <w:rPr>
          <w:rFonts w:ascii="Amiri" w:hAnsi="Amiri" w:eastAsia="Amiri" w:cs="Amiri"/>
          <w:color w:val="111111"/>
          <w:sz w:val="28"/>
          <w:sz w:val="28"/>
          <w:szCs w:val="28"/>
          <w:rtl w:val="true"/>
          <w:lang w:bidi="ar-SA"/>
        </w:rPr>
        <w:t>حياة سابقة،و هو إنّما يتمّ في أربعة أشهر،نعم،يجب غسل اليد</w:t>
      </w:r>
      <w:r>
        <w:rPr>
          <w:rFonts w:eastAsia="Amiri" w:cs="Amiri" w:ascii="Amiri" w:hAnsi="Amiri"/>
          <w:color w:val="111111"/>
          <w:sz w:val="28"/>
          <w:szCs w:val="28"/>
          <w:rtl w:val="true"/>
          <w:lang w:bidi="ar-SA"/>
        </w:rPr>
        <w:t>.</w:t>
      </w:r>
    </w:p>
    <w:p>
      <w:pPr>
        <w:pStyle w:val="Heading6"/>
        <w:numPr>
          <w:ilvl w:val="5"/>
          <w:numId w:val="1"/>
        </w:numPr>
        <w:rPr/>
      </w:pPr>
      <w:bookmarkStart w:id="1397" w:name="__RefHeading___Toc796269_222507752"/>
      <w:bookmarkStart w:id="1398" w:name="_Toc574"/>
      <w:bookmarkEnd w:id="1397"/>
      <w:r>
        <w:rPr>
          <w:rtl w:val="true"/>
        </w:rPr>
        <w:t>الخامس</w:t>
      </w:r>
      <w:r>
        <w:rPr>
          <w:rtl w:val="true"/>
        </w:rPr>
        <w:t>:</w:t>
      </w:r>
      <w:r>
        <w:rPr>
          <w:rtl w:val="true"/>
        </w:rPr>
        <w:t>الأقرب انّ الغسل يجب بمسّ الكافر،</w:t>
      </w:r>
      <w:bookmarkEnd w:id="1398"/>
    </w:p>
    <w:p>
      <w:pPr>
        <w:pStyle w:val="BookText"/>
        <w:rPr/>
      </w:pPr>
      <w:r>
        <w:rPr>
          <w:rFonts w:ascii="Amiri" w:hAnsi="Amiri" w:eastAsia="Amiri" w:cs="Amiri"/>
          <w:color w:val="111111"/>
          <w:sz w:val="28"/>
          <w:sz w:val="28"/>
          <w:szCs w:val="28"/>
          <w:rtl w:val="true"/>
          <w:lang w:bidi="ar-SA"/>
        </w:rPr>
        <w:t>لأنّه في حياته نجس و بالموت لا يزول عنه ذلك الحكم،و يحتمل العدم،لأنّ قولهم قبل تطهيره بالغسل،إنّما يتحقّق في ميّت يقبل التّطهير</w:t>
      </w:r>
      <w:r>
        <w:rPr>
          <w:rFonts w:eastAsia="Amiri" w:cs="Amiri" w:ascii="Amiri" w:hAnsi="Amiri"/>
          <w:color w:val="111111"/>
          <w:sz w:val="28"/>
          <w:szCs w:val="28"/>
          <w:rtl w:val="true"/>
          <w:lang w:bidi="ar-SA"/>
        </w:rPr>
        <w:t>.</w:t>
      </w:r>
    </w:p>
    <w:p>
      <w:pPr>
        <w:pStyle w:val="Heading6"/>
        <w:numPr>
          <w:ilvl w:val="5"/>
          <w:numId w:val="1"/>
        </w:numPr>
        <w:rPr/>
      </w:pPr>
      <w:bookmarkStart w:id="1399" w:name="__RefHeading___Toc796271_222507752"/>
      <w:bookmarkStart w:id="1400" w:name="_Toc575"/>
      <w:bookmarkEnd w:id="1399"/>
      <w:r>
        <w:rPr>
          <w:rtl w:val="true"/>
        </w:rPr>
        <w:t>السّادس</w:t>
      </w:r>
      <w:r>
        <w:rPr>
          <w:rtl w:val="true"/>
        </w:rPr>
        <w:t>:</w:t>
      </w:r>
      <w:r>
        <w:rPr>
          <w:rtl w:val="true"/>
        </w:rPr>
        <w:t>لو تعذّر الماء فيمّم الميّت وجب على من مسّه بعده الغسل،</w:t>
      </w:r>
      <w:bookmarkEnd w:id="1400"/>
    </w:p>
    <w:p>
      <w:pPr>
        <w:pStyle w:val="BookText"/>
        <w:rPr/>
      </w:pPr>
      <w:r>
        <w:rPr>
          <w:rFonts w:ascii="Amiri" w:hAnsi="Amiri" w:eastAsia="Amiri" w:cs="Amiri"/>
          <w:color w:val="111111"/>
          <w:sz w:val="28"/>
          <w:sz w:val="28"/>
          <w:szCs w:val="28"/>
          <w:rtl w:val="true"/>
          <w:lang w:bidi="ar-SA"/>
        </w:rPr>
        <w:t>لأنّ النّصّ قيّد فيه التّطهير بالغسل</w:t>
      </w:r>
      <w:r>
        <w:rPr>
          <w:rFonts w:eastAsia="Amiri" w:cs="Amiri" w:ascii="Amiri" w:hAnsi="Amiri"/>
          <w:color w:val="111111"/>
          <w:sz w:val="28"/>
          <w:szCs w:val="28"/>
          <w:rtl w:val="true"/>
          <w:lang w:bidi="ar-SA"/>
        </w:rPr>
        <w:t>.</w:t>
      </w:r>
    </w:p>
    <w:p>
      <w:pPr>
        <w:pStyle w:val="Heading5"/>
        <w:numPr>
          <w:ilvl w:val="4"/>
          <w:numId w:val="1"/>
        </w:numPr>
        <w:rPr/>
      </w:pPr>
      <w:bookmarkStart w:id="1401" w:name="__RefHeading___Toc796273_222507752"/>
      <w:bookmarkStart w:id="1402" w:name="_Toc576"/>
      <w:bookmarkEnd w:id="1401"/>
      <w:r>
        <w:rPr>
          <w:rtl w:val="true"/>
        </w:rPr>
        <w:t>مسألة</w:t>
      </w:r>
      <w:r>
        <w:rPr>
          <w:rtl w:val="true"/>
        </w:rPr>
        <w:t>:</w:t>
      </w:r>
      <w:r>
        <w:rPr>
          <w:rtl w:val="true"/>
        </w:rPr>
        <w:t>و يجب الغسل بمسّ قطعة من الميّت ذات عظم</w:t>
      </w:r>
      <w:bookmarkEnd w:id="1402"/>
    </w:p>
    <w:p>
      <w:pPr>
        <w:pStyle w:val="BookText"/>
        <w:rPr/>
      </w:pPr>
      <w:r>
        <w:rPr>
          <w:rFonts w:ascii="Amiri" w:hAnsi="Amiri" w:eastAsia="Amiri" w:cs="Amiri"/>
          <w:color w:val="111111"/>
          <w:sz w:val="28"/>
          <w:sz w:val="28"/>
          <w:szCs w:val="28"/>
          <w:rtl w:val="true"/>
          <w:lang w:bidi="ar-SA"/>
        </w:rPr>
        <w:t>لأنّها بعضه،فيجب فيها ما يجب فيه،و لأنّ المسّ المعلّق عليه الوجوب يصدق بمسّ الجزء،و ليس الكلّ مقصودا، و الانفصال لا يغيّر حكما،أمّا لو كانت خالية من العظم لم يجب الغسل بمسّها،بل يجب غسل ما مسّها به خاصّة،نصّ عليه الأصحاب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الحكم لو قطعت من حيّ يجب بمسّها الغسل إن كانت ذات عظم،و إلاّ فلا</w:t>
      </w:r>
      <w:r>
        <w:rPr>
          <w:rFonts w:eastAsia="Amiri" w:cs="Amiri" w:ascii="Amiri" w:hAnsi="Amiri"/>
          <w:color w:val="111111"/>
          <w:sz w:val="28"/>
          <w:szCs w:val="28"/>
          <w:rtl w:val="true"/>
          <w:lang w:bidi="ar-SA"/>
        </w:rPr>
        <w:t>.</w:t>
      </w:r>
    </w:p>
    <w:p>
      <w:pPr>
        <w:pStyle w:val="Heading5"/>
        <w:numPr>
          <w:ilvl w:val="4"/>
          <w:numId w:val="1"/>
        </w:numPr>
        <w:rPr/>
      </w:pPr>
      <w:bookmarkStart w:id="1403" w:name="__RefHeading___Toc796275_222507752"/>
      <w:bookmarkStart w:id="1404" w:name="_Toc577"/>
      <w:bookmarkEnd w:id="1403"/>
      <w:r>
        <w:rPr>
          <w:rtl w:val="true"/>
        </w:rPr>
        <w:t>مسألة</w:t>
      </w:r>
      <w:r>
        <w:rPr>
          <w:rtl w:val="true"/>
        </w:rPr>
        <w:t>:</w:t>
      </w:r>
      <w:r>
        <w:rPr>
          <w:rtl w:val="true"/>
        </w:rPr>
        <w:t>و لو مسّ ميّتا من غير النّاس لم يجب الغسل</w:t>
      </w:r>
      <w:bookmarkEnd w:id="1404"/>
    </w:p>
    <w:p>
      <w:pPr>
        <w:pStyle w:val="Heading6"/>
        <w:numPr>
          <w:ilvl w:val="5"/>
          <w:numId w:val="1"/>
        </w:numPr>
        <w:rPr/>
      </w:pPr>
      <w:bookmarkStart w:id="1405" w:name="__RefHeading___Toc796277_222507752"/>
      <w:bookmarkStart w:id="1406" w:name="_Toc578"/>
      <w:bookmarkEnd w:id="1405"/>
      <w:r>
        <w:rPr>
          <w:rtl w:val="true"/>
        </w:rPr>
        <w:t>اشارة</w:t>
      </w:r>
      <w:bookmarkEnd w:id="1406"/>
    </w:p>
    <w:p>
      <w:pPr>
        <w:pStyle w:val="BookText"/>
        <w:rPr/>
      </w:pPr>
      <w:r>
        <w:rPr>
          <w:rFonts w:ascii="Amiri" w:hAnsi="Amiri" w:eastAsia="Amiri" w:cs="Amiri"/>
          <w:color w:val="111111"/>
          <w:sz w:val="28"/>
          <w:sz w:val="28"/>
          <w:szCs w:val="28"/>
          <w:rtl w:val="true"/>
          <w:lang w:bidi="ar-SA"/>
        </w:rPr>
        <w:t>و إنّما يجب غسل ما مسّه به، و لا أعرف في عدم وجوب الغسل خلافا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الشّيخ،عن يونس بن عبد الرّحمن،عن بعض أصحابه،عن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هل يجوز أن يمسّ الثّعلب و الأرنب أو شيئا من السّباع حيّا أو ميّتا؟قال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يضرّه،و لكن يغسل يده</w:t>
      </w:r>
      <w:r>
        <w:rPr>
          <w:rFonts w:eastAsia="Amiri" w:cs="Amiri" w:ascii="Amiri" w:hAnsi="Amiri"/>
          <w:color w:val="111111"/>
          <w:sz w:val="28"/>
          <w:szCs w:val="28"/>
          <w:rtl w:val="true"/>
          <w:lang w:bidi="ar-SA"/>
        </w:rPr>
        <w:t xml:space="preserve">» </w:t>
      </w:r>
      <w:r>
        <w:rPr>
          <w:rStyle w:val="FootnoteAnchor"/>
          <w:rtl w:val="true"/>
        </w:rPr>
        <w:footnoteReference w:id="246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407" w:name="__RefHeading___Toc796279_222507752"/>
      <w:bookmarkStart w:id="1408" w:name="_Toc579"/>
      <w:bookmarkEnd w:id="1407"/>
      <w:r>
        <w:rPr>
          <w:rtl w:val="true"/>
        </w:rPr>
        <w:t>فروع</w:t>
      </w:r>
      <w:r>
        <w:rPr>
          <w:rtl w:val="true"/>
        </w:rPr>
        <w:t>:</w:t>
      </w:r>
      <w:bookmarkEnd w:id="1408"/>
    </w:p>
    <w:p>
      <w:pPr>
        <w:pStyle w:val="Heading6"/>
        <w:numPr>
          <w:ilvl w:val="5"/>
          <w:numId w:val="1"/>
        </w:numPr>
        <w:rPr/>
      </w:pPr>
      <w:bookmarkStart w:id="1409" w:name="__RefHeading___Toc796281_222507752"/>
      <w:bookmarkStart w:id="1410" w:name="_Toc580"/>
      <w:bookmarkEnd w:id="1409"/>
      <w:r>
        <w:rPr>
          <w:rtl w:val="true"/>
        </w:rPr>
        <w:t>الأوّل</w:t>
      </w:r>
      <w:r>
        <w:rPr>
          <w:rtl w:val="true"/>
        </w:rPr>
        <w:t>:</w:t>
      </w:r>
      <w:r>
        <w:rPr>
          <w:rtl w:val="true"/>
        </w:rPr>
        <w:t>لو كانت الميتة غير ذات نفس سائلة لم تنجس بالموت</w:t>
      </w:r>
      <w:bookmarkEnd w:id="1410"/>
    </w:p>
    <w:p>
      <w:pPr>
        <w:pStyle w:val="BookText"/>
        <w:rPr/>
      </w:pPr>
      <w:r>
        <w:rPr>
          <w:rFonts w:ascii="Amiri" w:hAnsi="Amiri" w:eastAsia="Amiri" w:cs="Amiri"/>
          <w:color w:val="111111"/>
          <w:sz w:val="28"/>
          <w:sz w:val="28"/>
          <w:szCs w:val="28"/>
          <w:rtl w:val="true"/>
          <w:lang w:bidi="ar-SA"/>
        </w:rPr>
        <w:t>لما يأتي،فلا تؤثّر في التّنجيس</w:t>
      </w:r>
      <w:r>
        <w:rPr>
          <w:rFonts w:eastAsia="Amiri" w:cs="Amiri" w:ascii="Amiri" w:hAnsi="Amiri"/>
          <w:color w:val="111111"/>
          <w:sz w:val="28"/>
          <w:szCs w:val="28"/>
          <w:rtl w:val="true"/>
          <w:lang w:bidi="ar-SA"/>
        </w:rPr>
        <w:t>.</w:t>
      </w:r>
    </w:p>
    <w:p>
      <w:pPr>
        <w:pStyle w:val="Heading6"/>
        <w:numPr>
          <w:ilvl w:val="5"/>
          <w:numId w:val="1"/>
        </w:numPr>
        <w:rPr/>
      </w:pPr>
      <w:bookmarkStart w:id="1411" w:name="__RefHeading___Toc796283_222507752"/>
      <w:bookmarkStart w:id="1412" w:name="_Toc581"/>
      <w:bookmarkEnd w:id="1411"/>
      <w:r>
        <w:rPr>
          <w:rtl w:val="true"/>
        </w:rPr>
        <w:t>الثّاني</w:t>
      </w:r>
      <w:r>
        <w:rPr>
          <w:rtl w:val="true"/>
        </w:rPr>
        <w:t>:</w:t>
      </w:r>
      <w:r>
        <w:rPr>
          <w:rtl w:val="true"/>
        </w:rPr>
        <w:t>لا فرق بين أن يمسّ الميتة برطوبة أو لا في إيجاب غسل اليد خاصّة،</w:t>
      </w:r>
      <w:bookmarkEnd w:id="1412"/>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لا </w:t>
      </w:r>
      <w:bookmarkStart w:id="1413" w:name="pg12669_113251"/>
    </w:p>
    <w:p>
      <w:pPr>
        <w:pStyle w:val="BookText"/>
        <w:rPr/>
      </w:pPr>
      <w:bookmarkEnd w:id="1413"/>
      <w:r>
        <w:rPr>
          <w:rFonts w:ascii="Amiri" w:hAnsi="Amiri" w:eastAsia="Amiri" w:cs="Amiri"/>
          <w:color w:val="111111"/>
          <w:sz w:val="28"/>
          <w:sz w:val="28"/>
          <w:szCs w:val="28"/>
          <w:rtl w:val="true"/>
          <w:lang w:bidi="ar-SA"/>
        </w:rPr>
        <w:t>فرق بين كون الميتة مأكولة اللّحم أولا</w:t>
      </w:r>
      <w:r>
        <w:rPr>
          <w:rFonts w:eastAsia="Amiri" w:cs="Amiri" w:ascii="Amiri" w:hAnsi="Amiri"/>
          <w:color w:val="111111"/>
          <w:sz w:val="28"/>
          <w:szCs w:val="28"/>
          <w:rtl w:val="true"/>
          <w:lang w:bidi="ar-SA"/>
        </w:rPr>
        <w:t>.</w:t>
      </w:r>
    </w:p>
    <w:p>
      <w:pPr>
        <w:pStyle w:val="Heading6"/>
        <w:numPr>
          <w:ilvl w:val="5"/>
          <w:numId w:val="1"/>
        </w:numPr>
        <w:rPr/>
      </w:pPr>
      <w:bookmarkStart w:id="1414" w:name="__RefHeading___Toc796285_222507752"/>
      <w:bookmarkStart w:id="1415" w:name="_Toc582"/>
      <w:bookmarkEnd w:id="1414"/>
      <w:r>
        <w:rPr>
          <w:rtl w:val="true"/>
        </w:rPr>
        <w:t>الثّالث</w:t>
      </w:r>
      <w:r>
        <w:rPr>
          <w:rtl w:val="true"/>
        </w:rPr>
        <w:t>:</w:t>
      </w:r>
      <w:r>
        <w:rPr>
          <w:rtl w:val="true"/>
        </w:rPr>
        <w:t>لو مسّ الصّوف المتّصل بها،أو الشّعر،أو الوبر ففي إيجاب غسل اليد</w:t>
      </w:r>
      <w:bookmarkEnd w:id="1415"/>
    </w:p>
    <w:p>
      <w:pPr>
        <w:pStyle w:val="BookText"/>
        <w:rPr/>
      </w:pPr>
      <w:r>
        <w:rPr>
          <w:rFonts w:ascii="IRNazanin" w:hAnsi="IRNazanin" w:eastAsia="IRNazanin"/>
          <w:color w:val="111111"/>
          <w:sz w:val="28"/>
          <w:sz w:val="28"/>
          <w:szCs w:val="28"/>
          <w:rtl w:val="true"/>
          <w:lang w:bidi="fa-IR"/>
        </w:rPr>
        <w:t>نظر</w:t>
      </w:r>
    </w:p>
    <w:p>
      <w:pPr>
        <w:pStyle w:val="BookText"/>
        <w:rPr/>
      </w:pPr>
      <w:r>
        <w:rPr>
          <w:rFonts w:ascii="Amiri" w:hAnsi="Amiri" w:eastAsia="Amiri" w:cs="Amiri"/>
          <w:color w:val="111111"/>
          <w:sz w:val="28"/>
          <w:sz w:val="28"/>
          <w:szCs w:val="28"/>
          <w:rtl w:val="true"/>
          <w:lang w:bidi="ar-SA"/>
        </w:rPr>
        <w:t xml:space="preserve">ينشأ من صدق اسم مسّ الميتة،و من كون الممسوس لو كان طاهرا فلا يؤثّر اتّصاله نجاسة </w:t>
      </w:r>
      <w:r>
        <w:rPr>
          <w:rStyle w:val="FootnoteAnchor"/>
          <w:rtl w:val="true"/>
        </w:rPr>
        <w:footnoteReference w:id="2466"/>
      </w:r>
      <w:r>
        <w:rPr>
          <w:rFonts w:ascii="Amiri" w:hAnsi="Amiri" w:eastAsia="Amiri" w:cs="Amiri"/>
          <w:color w:val="111111"/>
          <w:sz w:val="28"/>
          <w:sz w:val="28"/>
          <w:szCs w:val="28"/>
          <w:rtl w:val="true"/>
          <w:lang w:bidi="ar-SA"/>
        </w:rPr>
        <w:t>المماسّ</w:t>
      </w:r>
      <w:r>
        <w:rPr>
          <w:rFonts w:eastAsia="Amiri" w:cs="Amiri" w:ascii="Amiri" w:hAnsi="Amiri"/>
          <w:color w:val="111111"/>
          <w:sz w:val="28"/>
          <w:szCs w:val="28"/>
          <w:rtl w:val="true"/>
          <w:lang w:bidi="ar-SA"/>
        </w:rPr>
        <w:t>.</w:t>
      </w:r>
    </w:p>
    <w:p>
      <w:pPr>
        <w:pStyle w:val="Heading6"/>
        <w:numPr>
          <w:ilvl w:val="5"/>
          <w:numId w:val="1"/>
        </w:numPr>
        <w:rPr/>
      </w:pPr>
      <w:bookmarkStart w:id="1416" w:name="__RefHeading___Toc796287_222507752"/>
      <w:bookmarkStart w:id="1417" w:name="_Toc583"/>
      <w:bookmarkEnd w:id="1416"/>
      <w:r>
        <w:rPr>
          <w:rtl w:val="true"/>
        </w:rPr>
        <w:t>الرّابع</w:t>
      </w:r>
      <w:r>
        <w:rPr>
          <w:rtl w:val="true"/>
        </w:rPr>
        <w:t>:</w:t>
      </w:r>
      <w:r>
        <w:rPr>
          <w:rtl w:val="true"/>
        </w:rPr>
        <w:t>هل تنجس اليد لو كانت الميتة يابسة؟فيه نظر</w:t>
      </w:r>
      <w:bookmarkEnd w:id="1417"/>
    </w:p>
    <w:p>
      <w:pPr>
        <w:pStyle w:val="BookText"/>
        <w:rPr/>
      </w:pPr>
      <w:r>
        <w:rPr>
          <w:rFonts w:ascii="Amiri" w:hAnsi="Amiri" w:eastAsia="Amiri" w:cs="Amiri"/>
          <w:color w:val="111111"/>
          <w:sz w:val="28"/>
          <w:sz w:val="28"/>
          <w:szCs w:val="28"/>
          <w:rtl w:val="true"/>
          <w:lang w:bidi="ar-SA"/>
        </w:rPr>
        <w:t>ينشأ من كون النّجاسات العينيّة اليابسة غير مؤثّرة في الملاقي،و من عموم وجوب الغسل،و إنّما يكون مع التّنجيس،و حينئذ تكون نجاستها عينيّة أو حكميّة؟الأقرب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الثّاني،فلو لامس رطبا قبل غسل يده لم يحكم بنجاسته على إشكال،و ينجس لو لامس الرّطبة من الميتة نجاسة عينيّة</w:t>
      </w:r>
      <w:r>
        <w:rPr>
          <w:rFonts w:eastAsia="Amiri" w:cs="Amiri" w:ascii="Amiri" w:hAnsi="Amiri"/>
          <w:color w:val="111111"/>
          <w:sz w:val="28"/>
          <w:szCs w:val="28"/>
          <w:rtl w:val="true"/>
          <w:lang w:bidi="ar-SA"/>
        </w:rPr>
        <w:t>.</w:t>
      </w:r>
    </w:p>
    <w:p>
      <w:pPr>
        <w:pStyle w:val="Heading5"/>
        <w:numPr>
          <w:ilvl w:val="4"/>
          <w:numId w:val="1"/>
        </w:numPr>
        <w:rPr/>
      </w:pPr>
      <w:bookmarkStart w:id="1418" w:name="__RefHeading___Toc796289_222507752"/>
      <w:bookmarkStart w:id="1419" w:name="_Toc584"/>
      <w:bookmarkEnd w:id="1418"/>
      <w:r>
        <w:rPr>
          <w:rtl w:val="true"/>
        </w:rPr>
        <w:t>مسألة</w:t>
      </w:r>
      <w:r>
        <w:rPr>
          <w:rtl w:val="true"/>
        </w:rPr>
        <w:t>:</w:t>
      </w:r>
      <w:r>
        <w:rPr>
          <w:rtl w:val="true"/>
        </w:rPr>
        <w:t>قال بعض الجمهور</w:t>
      </w:r>
      <w:r>
        <w:rPr>
          <w:rtl w:val="true"/>
        </w:rPr>
        <w:t>:</w:t>
      </w:r>
      <w:r>
        <w:rPr>
          <w:rtl w:val="true"/>
        </w:rPr>
        <w:t>يجب الغسل على من غسل الكافر الحيّ ،</w:t>
      </w:r>
      <w:bookmarkEnd w:id="1419"/>
    </w:p>
    <w:p>
      <w:pPr>
        <w:pStyle w:val="BookText"/>
        <w:rPr/>
      </w:pPr>
      <w:r>
        <w:rPr>
          <w:rStyle w:val="FootnoteAnchor"/>
          <w:rtl w:val="true"/>
        </w:rPr>
        <w:footnoteReference w:id="24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نعلم له حجّة بوجه أصلا،مع انّ أهل العلم كافّة على خلافه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كيفيّة غسل الأموات فسيأتي في باب الجنائز إن شاء اللّه تعالى</w:t>
      </w:r>
      <w:r>
        <w:rPr>
          <w:rFonts w:eastAsia="Amiri" w:cs="Amiri" w:ascii="Amiri" w:hAnsi="Amiri"/>
          <w:color w:val="111111"/>
          <w:sz w:val="28"/>
          <w:szCs w:val="28"/>
          <w:rtl w:val="true"/>
          <w:lang w:bidi="ar-SA"/>
        </w:rPr>
        <w:t>.</w:t>
      </w:r>
    </w:p>
    <w:p>
      <w:pPr>
        <w:pStyle w:val="Heading4"/>
        <w:numPr>
          <w:ilvl w:val="3"/>
          <w:numId w:val="1"/>
        </w:numPr>
        <w:rPr/>
      </w:pPr>
      <w:bookmarkStart w:id="1420" w:name="__RefHeading___Toc796291_222507752"/>
      <w:bookmarkStart w:id="1421" w:name="_Toc585"/>
      <w:bookmarkEnd w:id="1420"/>
      <w:r>
        <w:rPr>
          <w:rtl w:val="true"/>
        </w:rPr>
        <w:t>الفصل السّادس</w:t>
      </w:r>
      <w:r>
        <w:rPr>
          <w:rtl w:val="true"/>
        </w:rPr>
        <w:t>:</w:t>
      </w:r>
      <w:r>
        <w:rPr>
          <w:rtl w:val="true"/>
        </w:rPr>
        <w:t>في الأغسال المندوبة</w:t>
      </w:r>
      <w:bookmarkEnd w:id="1421"/>
    </w:p>
    <w:p>
      <w:pPr>
        <w:pStyle w:val="Heading5"/>
        <w:numPr>
          <w:ilvl w:val="4"/>
          <w:numId w:val="1"/>
        </w:numPr>
        <w:rPr/>
      </w:pPr>
      <w:bookmarkStart w:id="1422" w:name="__RefHeading___Toc796293_222507752"/>
      <w:bookmarkStart w:id="1423" w:name="_Toc586"/>
      <w:bookmarkEnd w:id="1422"/>
      <w:r>
        <w:rPr>
          <w:rtl w:val="true"/>
        </w:rPr>
        <w:t>و هي إمّا أن تستحبّ للوقت،</w:t>
      </w:r>
      <w:bookmarkEnd w:id="1423"/>
    </w:p>
    <w:p>
      <w:pPr>
        <w:pStyle w:val="Heading6"/>
        <w:numPr>
          <w:ilvl w:val="5"/>
          <w:numId w:val="1"/>
        </w:numPr>
        <w:rPr/>
      </w:pPr>
      <w:bookmarkStart w:id="1424" w:name="__RefHeading___Toc796295_222507752"/>
      <w:bookmarkStart w:id="1425" w:name="_Toc587"/>
      <w:bookmarkEnd w:id="1424"/>
      <w:r>
        <w:rPr>
          <w:rtl w:val="true"/>
        </w:rPr>
        <w:t>اشارة</w:t>
      </w:r>
      <w:bookmarkEnd w:id="1425"/>
    </w:p>
    <w:p>
      <w:pPr>
        <w:pStyle w:val="BookText"/>
        <w:rPr/>
      </w:pPr>
      <w:r>
        <w:rPr>
          <w:rFonts w:ascii="Amiri" w:hAnsi="Amiri" w:eastAsia="Amiri" w:cs="Amiri"/>
          <w:color w:val="111111"/>
          <w:sz w:val="28"/>
          <w:sz w:val="28"/>
          <w:szCs w:val="28"/>
          <w:rtl w:val="true"/>
          <w:lang w:bidi="ar-SA"/>
        </w:rPr>
        <w:t>أو للمكان،أو للفعل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للأوّل أقسام</w:t>
      </w:r>
      <w:r>
        <w:rPr>
          <w:rFonts w:eastAsia="Amiri" w:cs="Amiri" w:ascii="Amiri" w:hAnsi="Amiri"/>
          <w:color w:val="111111"/>
          <w:sz w:val="28"/>
          <w:szCs w:val="28"/>
          <w:rtl w:val="true"/>
          <w:lang w:bidi="ar-SA"/>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غسل الجمعة،و هو مستحبّ عند أكثر علمائنا </w:t>
      </w:r>
      <w:r>
        <w:rPr>
          <w:rStyle w:val="FootnoteAnchor"/>
          <w:rtl w:val="true"/>
        </w:rPr>
        <w:footnoteReference w:id="2468"/>
      </w:r>
      <w:r>
        <w:rPr>
          <w:rFonts w:ascii="Amiri" w:hAnsi="Amiri" w:eastAsia="Amiri" w:cs="Amiri"/>
          <w:color w:val="111111"/>
          <w:sz w:val="28"/>
          <w:sz w:val="28"/>
          <w:szCs w:val="28"/>
          <w:rtl w:val="true"/>
          <w:lang w:bidi="ar-SA"/>
        </w:rPr>
        <w:t xml:space="preserve">،و أكثر أهل العلم </w:t>
      </w:r>
      <w:r>
        <w:rPr>
          <w:rStyle w:val="FootnoteAnchor"/>
          <w:rtl w:val="true"/>
        </w:rPr>
        <w:footnoteReference w:id="2469"/>
      </w:r>
      <w:r>
        <w:rPr>
          <w:rFonts w:ascii="Amiri" w:hAnsi="Amiri" w:eastAsia="Amiri" w:cs="Amiri"/>
          <w:color w:val="111111"/>
          <w:sz w:val="28"/>
          <w:sz w:val="28"/>
          <w:szCs w:val="28"/>
          <w:rtl w:val="true"/>
          <w:lang w:bidi="ar-SA"/>
        </w:rPr>
        <w:t xml:space="preserve">، و هو قول الأوزاعيّ،و الثّوريّ </w:t>
      </w:r>
      <w:r>
        <w:rPr>
          <w:rStyle w:val="FootnoteAnchor"/>
          <w:rtl w:val="true"/>
        </w:rPr>
        <w:footnoteReference w:id="2470"/>
      </w:r>
      <w:r>
        <w:rPr>
          <w:rFonts w:ascii="Amiri" w:hAnsi="Amiri" w:eastAsia="Amiri" w:cs="Amiri"/>
          <w:color w:val="111111"/>
          <w:sz w:val="28"/>
          <w:sz w:val="28"/>
          <w:szCs w:val="28"/>
          <w:rtl w:val="true"/>
          <w:lang w:bidi="ar-SA"/>
        </w:rPr>
        <w:t xml:space="preserve">،و مالك </w:t>
      </w:r>
      <w:r>
        <w:rPr>
          <w:rStyle w:val="FootnoteAnchor"/>
          <w:rtl w:val="true"/>
        </w:rPr>
        <w:footnoteReference w:id="2471"/>
      </w:r>
      <w:r>
        <w:rPr>
          <w:rFonts w:ascii="Amiri" w:hAnsi="Amiri" w:eastAsia="Amiri" w:cs="Amiri"/>
          <w:color w:val="111111"/>
          <w:sz w:val="28"/>
          <w:sz w:val="28"/>
          <w:szCs w:val="28"/>
          <w:rtl w:val="true"/>
          <w:lang w:bidi="ar-SA"/>
        </w:rPr>
        <w:t xml:space="preserve">،و الشّافعيّ </w:t>
      </w:r>
      <w:r>
        <w:rPr>
          <w:rStyle w:val="FootnoteAnchor"/>
          <w:rtl w:val="true"/>
        </w:rPr>
        <w:footnoteReference w:id="2472"/>
      </w:r>
      <w:r>
        <w:rPr>
          <w:rFonts w:ascii="Amiri" w:hAnsi="Amiri" w:eastAsia="Amiri" w:cs="Amiri"/>
          <w:color w:val="111111"/>
          <w:sz w:val="28"/>
          <w:sz w:val="28"/>
          <w:szCs w:val="28"/>
          <w:rtl w:val="true"/>
          <w:lang w:bidi="ar-SA"/>
        </w:rPr>
        <w:t xml:space="preserve">،و أبي حنيفة </w:t>
      </w:r>
      <w:r>
        <w:rPr>
          <w:rStyle w:val="FootnoteAnchor"/>
          <w:rtl w:val="true"/>
        </w:rPr>
        <w:footnoteReference w:id="2473"/>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أحمد </w:t>
      </w:r>
      <w:r>
        <w:rPr>
          <w:rStyle w:val="FootnoteAnchor"/>
          <w:rtl w:val="true"/>
        </w:rPr>
        <w:footnoteReference w:id="24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روي،عن مالك انّه واجب </w:t>
      </w:r>
      <w:r>
        <w:rPr>
          <w:rStyle w:val="FootnoteAnchor"/>
          <w:rtl w:val="true"/>
        </w:rPr>
        <w:footnoteReference w:id="247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كذا روي،عن أحمد أيضا </w:t>
      </w:r>
      <w:r>
        <w:rPr>
          <w:rStyle w:val="FootnoteAnchor"/>
          <w:rtl w:val="true"/>
        </w:rPr>
        <w:footnoteReference w:id="2476"/>
      </w:r>
      <w:r>
        <w:rPr>
          <w:rFonts w:ascii="Amiri" w:hAnsi="Amiri" w:eastAsia="Amiri" w:cs="Amiri"/>
          <w:color w:val="111111"/>
          <w:sz w:val="28"/>
          <w:sz w:val="28"/>
          <w:szCs w:val="28"/>
          <w:rtl w:val="true"/>
          <w:lang w:bidi="ar-SA"/>
        </w:rPr>
        <w:t xml:space="preserve">،و عن أبي هريرة </w:t>
      </w:r>
      <w:r>
        <w:rPr>
          <w:rStyle w:val="FootnoteAnchor"/>
          <w:rtl w:val="true"/>
        </w:rPr>
        <w:footnoteReference w:id="2477"/>
      </w:r>
      <w:r>
        <w:rPr>
          <w:rFonts w:ascii="Amiri" w:hAnsi="Amiri" w:eastAsia="Amiri" w:cs="Amiri"/>
          <w:color w:val="111111"/>
          <w:sz w:val="28"/>
          <w:sz w:val="28"/>
          <w:szCs w:val="28"/>
          <w:rtl w:val="true"/>
          <w:lang w:bidi="ar-SA"/>
        </w:rPr>
        <w:t xml:space="preserve">،و هو قول عليّ بن بابويه من أصحابنا و ولده أبي جعفر </w:t>
      </w:r>
      <w:r>
        <w:rPr>
          <w:rStyle w:val="FootnoteAnchor"/>
          <w:rtl w:val="true"/>
        </w:rPr>
        <w:footnoteReference w:id="24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الجمهور،عن سمرة بن جندب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توضّأ يوم الجمعة فبها و نعمت،و من اغتسل فالغسل أفضل</w:t>
      </w:r>
      <w:r>
        <w:rPr>
          <w:rFonts w:eastAsia="Amiri" w:cs="Amiri" w:ascii="Amiri" w:hAnsi="Amiri"/>
          <w:color w:val="111111"/>
          <w:sz w:val="28"/>
          <w:szCs w:val="28"/>
          <w:rtl w:val="true"/>
          <w:lang w:bidi="ar-SA"/>
        </w:rPr>
        <w:t xml:space="preserve">) </w:t>
      </w:r>
      <w:r>
        <w:rPr>
          <w:rStyle w:val="FootnoteAnchor"/>
          <w:rtl w:val="true"/>
        </w:rPr>
        <w:footnoteReference w:id="2479"/>
      </w:r>
      <w:r>
        <w:rPr>
          <w:rFonts w:eastAsia="Times New Roman" w:cs="Times New Roman" w:ascii="Times New Roman" w:hAnsi="Times New Roman"/>
          <w:color w:val="111111"/>
          <w:sz w:val="28"/>
          <w:szCs w:val="28"/>
          <w:rtl w:val="true"/>
          <w:lang w:val="en-US" w:bidi="en-US"/>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أبي هريرة،عن النّبيّ صلّى اللّه عليه و آله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توضّأ فأحسن الوضوء ثمَّ أتى الجمعة فاستمع و أنصت غفر له ما بينه و بين الجمعة و زيادة ثلاثة أيّام</w:t>
      </w:r>
      <w:r>
        <w:rPr>
          <w:rFonts w:eastAsia="Amiri" w:cs="Amiri" w:ascii="Amiri" w:hAnsi="Amiri"/>
          <w:color w:val="111111"/>
          <w:sz w:val="28"/>
          <w:szCs w:val="28"/>
          <w:rtl w:val="true"/>
          <w:lang w:bidi="ar-SA"/>
        </w:rPr>
        <w:t xml:space="preserve">) </w:t>
      </w:r>
      <w:r>
        <w:rPr>
          <w:rStyle w:val="FootnoteAnchor"/>
          <w:rtl w:val="true"/>
        </w:rPr>
        <w:footnoteReference w:id="2480"/>
      </w:r>
      <w:r>
        <w:rPr>
          <w:rFonts w:ascii="IRNazanin" w:hAnsi="IRNazanin" w:eastAsia="IRNazanin"/>
          <w:color w:val="111111"/>
          <w:sz w:val="28"/>
          <w:sz w:val="28"/>
          <w:szCs w:val="28"/>
          <w:rtl w:val="true"/>
          <w:lang w:bidi="fa-IR"/>
        </w:rPr>
        <w:t xml:space="preserve">و لو </w:t>
      </w:r>
    </w:p>
    <w:p>
      <w:pPr>
        <w:pStyle w:val="BookText"/>
        <w:rPr/>
      </w:pPr>
      <w:r>
        <w:rPr>
          <w:rFonts w:ascii="Amiri" w:hAnsi="Amiri" w:eastAsia="Amiri" w:cs="Amiri"/>
          <w:color w:val="111111"/>
          <w:sz w:val="28"/>
          <w:sz w:val="28"/>
          <w:szCs w:val="28"/>
          <w:rtl w:val="true"/>
          <w:lang w:bidi="ar-SA"/>
        </w:rPr>
        <w:t>كان واجبا لبيّنة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طريق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 في الحسن،عن عليّ بن يقطين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الحسن عليه السّلام عن الغسل في الجمعة و الأضحى و الفطر؟قال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 و ليس بفريضة</w:t>
      </w:r>
      <w:r>
        <w:rPr>
          <w:rFonts w:eastAsia="Amiri" w:cs="Amiri" w:ascii="Amiri" w:hAnsi="Amiri"/>
          <w:color w:val="111111"/>
          <w:sz w:val="28"/>
          <w:szCs w:val="28"/>
          <w:rtl w:val="true"/>
          <w:lang w:bidi="ar-SA"/>
        </w:rPr>
        <w:t xml:space="preserve">» </w:t>
      </w:r>
      <w:r>
        <w:rPr>
          <w:rStyle w:val="FootnoteAnchor"/>
          <w:rtl w:val="true"/>
        </w:rPr>
        <w:footnoteReference w:id="24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رواه في الصّحيح،عن زرارة،عن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غسل الجمعة،فقال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 في السّفر و الحضر إلاّ أن يخاف المسافر على نفسه القرّ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Style w:val="FootnoteAnchor"/>
          <w:rtl w:val="true"/>
        </w:rPr>
        <w:footnoteReference w:id="24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رواه،عن أحمد بن محمّد،عن القاسم،عن عليّ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غسل العيدين أ واجب هو؟فقال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فالجمعة؟قال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سنّة</w:t>
      </w:r>
      <w:r>
        <w:rPr>
          <w:rFonts w:eastAsia="Amiri" w:cs="Amiri" w:ascii="Amiri" w:hAnsi="Amiri"/>
          <w:color w:val="111111"/>
          <w:sz w:val="28"/>
          <w:szCs w:val="28"/>
          <w:rtl w:val="true"/>
          <w:lang w:bidi="ar-SA"/>
        </w:rPr>
        <w:t xml:space="preserve">» </w:t>
      </w:r>
      <w:r>
        <w:rPr>
          <w:rStyle w:val="FootnoteAnchor"/>
          <w:rtl w:val="true"/>
        </w:rPr>
        <w:footnoteReference w:id="24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لأنّ الأصل براءة الذّمّة،فشغلها يحتاج إلى دليل،و قد وقع الإجماع على التّرجيح فيبقى الزّائد منفيّا بالأصل</w:t>
      </w:r>
      <w:r>
        <w:rPr>
          <w:rFonts w:eastAsia="Amiri" w:cs="Amiri" w:ascii="Amiri" w:hAnsi="Amiri"/>
          <w:color w:val="111111"/>
          <w:sz w:val="28"/>
          <w:szCs w:val="28"/>
          <w:rtl w:val="true"/>
          <w:lang w:bidi="ar-SA"/>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المخالف </w:t>
      </w:r>
      <w:r>
        <w:rPr>
          <w:rStyle w:val="FootnoteAnchor"/>
          <w:rtl w:val="true"/>
        </w:rPr>
        <w:footnoteReference w:id="2484"/>
      </w:r>
      <w:r>
        <w:rPr>
          <w:rFonts w:ascii="Amiri" w:hAnsi="Amiri" w:eastAsia="Amiri" w:cs="Amiri"/>
          <w:color w:val="111111"/>
          <w:sz w:val="28"/>
          <w:sz w:val="28"/>
          <w:szCs w:val="28"/>
          <w:rtl w:val="true"/>
          <w:lang w:bidi="ar-SA"/>
        </w:rPr>
        <w:t>بما روي،عن النّبيّ صلّى اللّه عليه و آله انّه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غسل </w:t>
      </w:r>
    </w:p>
    <w:p>
      <w:pPr>
        <w:pStyle w:val="BookText"/>
        <w:rPr/>
      </w:pPr>
      <w:r>
        <w:rPr>
          <w:rFonts w:ascii="Amiri" w:hAnsi="Amiri" w:eastAsia="Amiri" w:cs="Amiri"/>
          <w:color w:val="111111"/>
          <w:sz w:val="28"/>
          <w:sz w:val="28"/>
          <w:szCs w:val="28"/>
          <w:rtl w:val="true"/>
          <w:lang w:bidi="ar-SA"/>
        </w:rPr>
        <w:t>الجمعة واجب على كلّ محتلم</w:t>
      </w:r>
      <w:r>
        <w:rPr>
          <w:rFonts w:eastAsia="Amiri" w:cs="Amiri" w:ascii="Amiri" w:hAnsi="Amiri"/>
          <w:color w:val="111111"/>
          <w:sz w:val="28"/>
          <w:szCs w:val="28"/>
          <w:rtl w:val="true"/>
          <w:lang w:bidi="ar-SA"/>
        </w:rPr>
        <w:t xml:space="preserve">) </w:t>
      </w:r>
      <w:r>
        <w:rPr>
          <w:rStyle w:val="FootnoteAnchor"/>
          <w:rtl w:val="true"/>
        </w:rPr>
        <w:footnoteReference w:id="2485"/>
      </w:r>
      <w:r>
        <w:rPr>
          <w:rFonts w:ascii="Amiri" w:hAnsi="Amiri" w:eastAsia="Amiri" w:cs="Amiri"/>
          <w:color w:val="111111"/>
          <w:sz w:val="28"/>
          <w:sz w:val="28"/>
          <w:szCs w:val="28"/>
          <w:rtl w:val="true"/>
          <w:lang w:bidi="ar-SA"/>
        </w:rPr>
        <w:t>و 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أتى منكم الجمعة فليغتسل</w:t>
      </w:r>
      <w:r>
        <w:rPr>
          <w:rFonts w:eastAsia="Amiri" w:cs="Amiri" w:ascii="Amiri" w:hAnsi="Amiri"/>
          <w:color w:val="111111"/>
          <w:sz w:val="28"/>
          <w:szCs w:val="28"/>
          <w:rtl w:val="true"/>
          <w:lang w:bidi="ar-SA"/>
        </w:rPr>
        <w:t xml:space="preserve">) </w:t>
      </w:r>
      <w:r>
        <w:rPr>
          <w:rStyle w:val="FootnoteAnchor"/>
          <w:rtl w:val="true"/>
        </w:rPr>
        <w:footnoteReference w:id="2486"/>
      </w:r>
      <w:r>
        <w:rPr>
          <w:rFonts w:ascii="IRNazanin" w:hAnsi="IRNazanin" w:eastAsia="IRNazanin"/>
          <w:color w:val="111111"/>
          <w:sz w:val="28"/>
          <w:sz w:val="28"/>
          <w:szCs w:val="28"/>
          <w:rtl w:val="true"/>
          <w:lang w:bidi="fa-IR"/>
        </w:rPr>
        <w:t>و الأمر للوجوب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عن أبي هريرة عنه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 على كلّ مسلم أن يغتسل في كلّ سبعة أيّام يوما و يغسل رأسه و جسده</w:t>
      </w:r>
      <w:r>
        <w:rPr>
          <w:rFonts w:eastAsia="Amiri" w:cs="Amiri" w:ascii="Amiri" w:hAnsi="Amiri"/>
          <w:color w:val="111111"/>
          <w:sz w:val="28"/>
          <w:szCs w:val="28"/>
          <w:rtl w:val="true"/>
          <w:lang w:bidi="ar-SA"/>
        </w:rPr>
        <w:t xml:space="preserve">) </w:t>
      </w:r>
      <w:r>
        <w:rPr>
          <w:rStyle w:val="FootnoteAnchor"/>
          <w:rtl w:val="true"/>
        </w:rPr>
        <w:footnoteReference w:id="24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احتجّ ابنا بابويه </w:t>
      </w:r>
      <w:r>
        <w:rPr>
          <w:rStyle w:val="FootnoteAnchor"/>
          <w:rtl w:val="true"/>
        </w:rPr>
        <w:footnoteReference w:id="2488"/>
      </w:r>
      <w:r>
        <w:rPr>
          <w:rFonts w:ascii="Amiri" w:hAnsi="Amiri" w:eastAsia="Amiri" w:cs="Amiri"/>
          <w:color w:val="111111"/>
          <w:sz w:val="28"/>
          <w:sz w:val="28"/>
          <w:szCs w:val="28"/>
          <w:rtl w:val="true"/>
          <w:lang w:bidi="ar-SA"/>
        </w:rPr>
        <w:t>بما رواه الشّيخ،عن سماعة،عن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غسل الجمعة واجب في السّفر و الحضر إلاّ انّه رخّص للنّساء في السّفر لقلّة الماء</w:t>
      </w:r>
      <w:r>
        <w:rPr>
          <w:rFonts w:eastAsia="Amiri" w:cs="Amiri" w:ascii="Amiri" w:hAnsi="Amiri"/>
          <w:color w:val="111111"/>
          <w:sz w:val="28"/>
          <w:szCs w:val="28"/>
          <w:rtl w:val="true"/>
          <w:lang w:bidi="ar-SA"/>
        </w:rPr>
        <w:t xml:space="preserve">» </w:t>
      </w:r>
      <w:r>
        <w:rPr>
          <w:rStyle w:val="FootnoteAnchor"/>
          <w:rtl w:val="true"/>
        </w:rPr>
        <w:footnoteReference w:id="24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رواه في الصّحيح،عن الحلبيّ،عن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اغتسل يوم الفطر و الأضحى و الجمعة و إذا غسلت ميّتا</w:t>
      </w:r>
      <w:r>
        <w:rPr>
          <w:rFonts w:eastAsia="Amiri" w:cs="Amiri" w:ascii="Amiri" w:hAnsi="Amiri"/>
          <w:color w:val="111111"/>
          <w:sz w:val="28"/>
          <w:szCs w:val="28"/>
          <w:rtl w:val="true"/>
          <w:lang w:bidi="ar-SA"/>
        </w:rPr>
        <w:t xml:space="preserve">» </w:t>
      </w:r>
      <w:r>
        <w:rPr>
          <w:rStyle w:val="FootnoteAnchor"/>
          <w:rtl w:val="true"/>
        </w:rPr>
        <w:footnoteReference w:id="2490"/>
      </w:r>
      <w:r>
        <w:rPr>
          <w:rFonts w:ascii="IRNazanin" w:hAnsi="IRNazanin" w:eastAsia="IRNazanin"/>
          <w:color w:val="111111"/>
          <w:sz w:val="28"/>
          <w:sz w:val="28"/>
          <w:szCs w:val="28"/>
          <w:rtl w:val="true"/>
          <w:lang w:bidi="fa-IR"/>
        </w:rPr>
        <w:t>و الأمر للوجوب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رواه في الصّحيح،عن ابن سنان،عن أبي عبد اللّه عليه السّلام قال</w:t>
      </w:r>
      <w:r>
        <w:rPr>
          <w:rFonts w:eastAsia="Amiri" w:cs="Amiri" w:ascii="Amiri" w:hAnsi="Amiri"/>
          <w:color w:val="111111"/>
          <w:sz w:val="28"/>
          <w:szCs w:val="28"/>
          <w:rtl w:val="true"/>
          <w:lang w:bidi="ar-SA"/>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الغسل من الجنابة و يوم الجمعة</w:t>
      </w:r>
      <w:r>
        <w:rPr>
          <w:rFonts w:eastAsia="Amiri" w:cs="Amiri" w:ascii="Amiri" w:hAnsi="Amiri"/>
          <w:color w:val="111111"/>
          <w:sz w:val="28"/>
          <w:szCs w:val="28"/>
          <w:rtl w:val="true"/>
          <w:lang w:bidi="ar-SA"/>
        </w:rPr>
        <w:t xml:space="preserve">» </w:t>
      </w:r>
      <w:r>
        <w:rPr>
          <w:rStyle w:val="FootnoteAnchor"/>
          <w:rtl w:val="true"/>
        </w:rPr>
        <w:footnoteReference w:id="2491"/>
      </w:r>
      <w:r>
        <w:rPr>
          <w:rFonts w:ascii="Amiri" w:hAnsi="Amiri" w:eastAsia="Amiri" w:cs="Amiri"/>
          <w:color w:val="111111"/>
          <w:sz w:val="28"/>
          <w:sz w:val="28"/>
          <w:szCs w:val="28"/>
          <w:rtl w:val="true"/>
          <w:lang w:bidi="ar-SA"/>
        </w:rPr>
        <w:t xml:space="preserve">و لا ريب انّ الأوّل واجب،فكذا الثّاني،لأنّ حرف الصّلة لا بدّ له من متعلّق عامل فيه،و لا يصحّ تعلّقه بغير الوجوب،و العطف </w:t>
      </w:r>
    </w:p>
    <w:p>
      <w:pPr>
        <w:pStyle w:val="BookText"/>
        <w:rPr/>
      </w:pPr>
      <w:r>
        <w:rPr>
          <w:rFonts w:ascii="Amiri" w:hAnsi="Amiri" w:eastAsia="Amiri" w:cs="Amiri"/>
          <w:color w:val="111111"/>
          <w:sz w:val="28"/>
          <w:sz w:val="28"/>
          <w:szCs w:val="28"/>
          <w:rtl w:val="true"/>
          <w:lang w:bidi="ar-SA"/>
        </w:rPr>
        <w:t>يقتضي التّشريك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رواه في الحسن،عن عبد اللّه بن المغيرة،عن الرّضا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غسل الجمعة،فقال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واجب على كلّ ذكر و أنثى من عبد أو حرّ</w:t>
      </w:r>
      <w:r>
        <w:rPr>
          <w:rFonts w:eastAsia="Amiri" w:cs="Amiri" w:ascii="Amiri" w:hAnsi="Amiri"/>
          <w:color w:val="111111"/>
          <w:sz w:val="28"/>
          <w:szCs w:val="28"/>
          <w:rtl w:val="true"/>
          <w:lang w:bidi="ar-SA"/>
        </w:rPr>
        <w:t xml:space="preserve">» </w:t>
      </w:r>
      <w:r>
        <w:rPr>
          <w:rStyle w:val="FootnoteAnchor"/>
          <w:rtl w:val="true"/>
        </w:rPr>
        <w:footnoteReference w:id="24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ما رواه في الصّحيح،عن محمّد بن عبيد اللّه </w:t>
      </w:r>
      <w:r>
        <w:rPr>
          <w:rStyle w:val="FootnoteAnchor"/>
          <w:rtl w:val="true"/>
        </w:rPr>
        <w:footnoteReference w:id="249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الرّضا عليه السّلام عن غسل يوم الجمعة،فقال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واجب على كلّ ذكر و أنثى من عبد أو حرّ</w:t>
      </w:r>
      <w:r>
        <w:rPr>
          <w:rFonts w:eastAsia="Amiri" w:cs="Amiri" w:ascii="Amiri" w:hAnsi="Amiri"/>
          <w:color w:val="111111"/>
          <w:sz w:val="28"/>
          <w:szCs w:val="28"/>
          <w:rtl w:val="true"/>
          <w:lang w:bidi="ar-SA"/>
        </w:rPr>
        <w:t xml:space="preserve">» </w:t>
      </w:r>
      <w:r>
        <w:rPr>
          <w:rStyle w:val="FootnoteAnchor"/>
          <w:rtl w:val="true"/>
        </w:rPr>
        <w:footnoteReference w:id="24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الجواب عن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انّها دالّة على تأكّد الاستحباب لا الإيجاب لما بيّنّاه،جمعا بين الأدلّة،و لأنّه ذكر في سياقه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السّواك،و أن يمسّ طيبا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كذا رواه مسلم </w:t>
      </w:r>
      <w:r>
        <w:rPr>
          <w:rStyle w:val="FootnoteAnchor"/>
          <w:rtl w:val="true"/>
        </w:rPr>
        <w:footnoteReference w:id="2495"/>
      </w:r>
      <w:r>
        <w:rPr>
          <w:rFonts w:ascii="Amiri" w:hAnsi="Amiri" w:eastAsia="Amiri" w:cs="Amiri"/>
          <w:color w:val="111111"/>
          <w:sz w:val="28"/>
          <w:sz w:val="28"/>
          <w:szCs w:val="28"/>
          <w:rtl w:val="true"/>
          <w:lang w:bidi="ar-SA"/>
        </w:rPr>
        <w:t>، و السّواك و مسّ الطّيب ليسا بواجبين،فكذا 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الرّواية الاولى من أحاديث ابني بابويه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انّها ضعيفة السّند،فإنّ سماعة </w:t>
      </w:r>
      <w:r>
        <w:rPr>
          <w:rStyle w:val="FootnoteAnchor"/>
          <w:rtl w:val="true"/>
        </w:rPr>
        <w:footnoteReference w:id="2496"/>
      </w:r>
      <w:r>
        <w:rPr>
          <w:rFonts w:ascii="Amiri" w:hAnsi="Amiri" w:eastAsia="Amiri" w:cs="Amiri"/>
          <w:color w:val="111111"/>
          <w:sz w:val="28"/>
          <w:sz w:val="28"/>
          <w:szCs w:val="28"/>
          <w:rtl w:val="true"/>
          <w:lang w:bidi="ar-SA"/>
        </w:rPr>
        <w:t xml:space="preserve">و عثمان بن عيسى </w:t>
      </w:r>
      <w:r>
        <w:rPr>
          <w:rStyle w:val="FootnoteAnchor"/>
          <w:rtl w:val="true"/>
        </w:rPr>
        <w:footnoteReference w:id="2497"/>
      </w:r>
      <w:r>
        <w:rPr>
          <w:rFonts w:ascii="Amiri" w:hAnsi="Amiri" w:eastAsia="Amiri" w:cs="Amiri"/>
          <w:color w:val="111111"/>
          <w:sz w:val="28"/>
          <w:sz w:val="28"/>
          <w:szCs w:val="28"/>
          <w:rtl w:val="true"/>
          <w:lang w:bidi="ar-SA"/>
        </w:rPr>
        <w:t>و الرّاوي عنه واقفيّان فلا تعويل على هذه الرّواية،و يحتمل انّه أراد بالوجوب شدّة الاستحباب لما بيّنّاه من الأحاديث،و هو الجواب عن باقي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الأمر للوجوب،مسلّم،إلاّ انّه غير مراد هنا،لما بيّنّاه من الدّليل، و لأنّه لو كان للوجوب لكانت الأغسال الّتي عدّدها واجبة،و ليس كذلك</w:t>
      </w:r>
      <w:r>
        <w:rPr>
          <w:rFonts w:eastAsia="Amiri" w:cs="Amiri" w:ascii="Amiri" w:hAnsi="Amiri"/>
          <w:color w:val="111111"/>
          <w:sz w:val="28"/>
          <w:szCs w:val="28"/>
          <w:rtl w:val="true"/>
          <w:lang w:bidi="ar-SA"/>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حرف الصّلة لا بدّ له من عامل يتعلّق به،و لا يصحّ تعلّقه بغير الوجوب </w:t>
      </w:r>
      <w:bookmarkStart w:id="1426" w:name="pg12669_113256"/>
    </w:p>
    <w:p>
      <w:pPr>
        <w:pStyle w:val="BookText"/>
        <w:rPr/>
      </w:pPr>
      <w:bookmarkEnd w:id="1426"/>
      <w:r>
        <w:rPr>
          <w:rFonts w:ascii="Amiri" w:hAnsi="Amiri" w:eastAsia="Amiri" w:cs="Amiri"/>
          <w:color w:val="111111"/>
          <w:sz w:val="28"/>
          <w:sz w:val="28"/>
          <w:szCs w:val="28"/>
          <w:rtl w:val="true"/>
          <w:lang w:bidi="ar-SA"/>
        </w:rPr>
        <w:t xml:space="preserve">ممنوع،بل يتعلّق </w:t>
      </w:r>
      <w:r>
        <w:rPr>
          <w:rStyle w:val="FootnoteAnchor"/>
          <w:rtl w:val="true"/>
        </w:rPr>
        <w:footnoteReference w:id="2498"/>
      </w:r>
      <w:r>
        <w:rPr>
          <w:rFonts w:ascii="Amiri" w:hAnsi="Amiri" w:eastAsia="Amiri" w:cs="Amiri"/>
          <w:color w:val="111111"/>
          <w:sz w:val="28"/>
          <w:sz w:val="28"/>
          <w:szCs w:val="28"/>
          <w:rtl w:val="true"/>
          <w:lang w:bidi="ar-SA"/>
        </w:rPr>
        <w:t>بما تدلّ عليه قرينة الحال،و هو عموم الثّبوت و الاستقرار،و هذا لا ينافي الوجوب لدليل زائد</w:t>
      </w:r>
      <w:r>
        <w:rPr>
          <w:rFonts w:eastAsia="Amiri" w:cs="Amiri" w:ascii="Amiri" w:hAnsi="Amiri"/>
          <w:color w:val="111111"/>
          <w:sz w:val="28"/>
          <w:szCs w:val="28"/>
          <w:rtl w:val="true"/>
          <w:lang w:bidi="ar-SA"/>
        </w:rPr>
        <w:t>.</w:t>
      </w:r>
    </w:p>
    <w:p>
      <w:pPr>
        <w:pStyle w:val="Heading6"/>
        <w:numPr>
          <w:ilvl w:val="5"/>
          <w:numId w:val="1"/>
        </w:numPr>
        <w:rPr/>
      </w:pPr>
      <w:bookmarkStart w:id="1427" w:name="__RefHeading___Toc796297_222507752"/>
      <w:bookmarkStart w:id="1428" w:name="_Toc588"/>
      <w:bookmarkEnd w:id="1427"/>
      <w:r>
        <w:rPr>
          <w:rtl w:val="true"/>
        </w:rPr>
        <w:t>فروع</w:t>
      </w:r>
      <w:r>
        <w:rPr>
          <w:rtl w:val="true"/>
        </w:rPr>
        <w:t>:</w:t>
      </w:r>
      <w:bookmarkEnd w:id="1428"/>
    </w:p>
    <w:p>
      <w:pPr>
        <w:pStyle w:val="Heading6"/>
        <w:numPr>
          <w:ilvl w:val="5"/>
          <w:numId w:val="1"/>
        </w:numPr>
        <w:rPr/>
      </w:pPr>
      <w:bookmarkStart w:id="1429" w:name="__RefHeading___Toc796299_222507752"/>
      <w:bookmarkStart w:id="1430" w:name="_Toc589"/>
      <w:bookmarkEnd w:id="1429"/>
      <w:r>
        <w:rPr>
          <w:rtl w:val="true"/>
        </w:rPr>
        <w:t>الأوّل</w:t>
      </w:r>
      <w:r>
        <w:rPr>
          <w:rtl w:val="true"/>
        </w:rPr>
        <w:t>:</w:t>
      </w:r>
      <w:r>
        <w:rPr>
          <w:rtl w:val="true"/>
        </w:rPr>
        <w:t>وقته للمختار من طلوع الفجر إلى الزّوال،</w:t>
      </w:r>
      <w:bookmarkEnd w:id="1430"/>
    </w:p>
    <w:p>
      <w:pPr>
        <w:pStyle w:val="BookText"/>
        <w:rPr/>
      </w:pPr>
      <w:r>
        <w:rPr>
          <w:rStyle w:val="FootnoteAnchor"/>
          <w:rtl w:val="true"/>
        </w:rPr>
        <w:footnoteReference w:id="24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قول مجاهد،و الحسن، و النّخعيّ،و الثّوريّ،و الشّافعيّ و إسحاق </w:t>
      </w:r>
      <w:r>
        <w:rPr>
          <w:rStyle w:val="FootnoteAnchor"/>
          <w:rtl w:val="true"/>
        </w:rPr>
        <w:footnoteReference w:id="250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الأوزاعيّ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يجزيه قبل الفجر </w:t>
      </w:r>
      <w:r>
        <w:rPr>
          <w:rStyle w:val="FootnoteAnchor"/>
          <w:rtl w:val="true"/>
        </w:rPr>
        <w:footnoteReference w:id="25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مالك انّه لا يجزيه الغسل إلاّ أن يتعقّبه الرّواح </w:t>
      </w:r>
      <w:r>
        <w:rPr>
          <w:rStyle w:val="FootnoteAnchor"/>
          <w:rtl w:val="true"/>
        </w:rPr>
        <w:footnoteReference w:id="25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النّبيّ صلّى اللّه عليه و آله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اغتسل يوم الجمعة</w:t>
      </w:r>
      <w:r>
        <w:rPr>
          <w:rFonts w:eastAsia="Amiri" w:cs="Amiri" w:ascii="Amiri" w:hAnsi="Amiri"/>
          <w:color w:val="111111"/>
          <w:sz w:val="28"/>
          <w:szCs w:val="28"/>
          <w:rtl w:val="true"/>
          <w:lang w:bidi="ar-SA"/>
        </w:rPr>
        <w:t xml:space="preserve">) </w:t>
      </w:r>
      <w:r>
        <w:rPr>
          <w:rStyle w:val="FootnoteAnchor"/>
          <w:rtl w:val="true"/>
        </w:rPr>
        <w:footnoteReference w:id="2503"/>
      </w:r>
      <w:r>
        <w:rPr>
          <w:rFonts w:ascii="Amiri" w:hAnsi="Amiri" w:eastAsia="Amiri" w:cs="Amiri"/>
          <w:color w:val="111111"/>
          <w:sz w:val="28"/>
          <w:sz w:val="28"/>
          <w:szCs w:val="28"/>
          <w:rtl w:val="true"/>
          <w:lang w:bidi="ar-SA"/>
        </w:rPr>
        <w:t>و اليوم من طلوع الفجر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من طريق الخاصّة قول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اغتسل يوم الجمعة</w:t>
      </w:r>
      <w:r>
        <w:rPr>
          <w:rFonts w:eastAsia="Amiri" w:cs="Amiri" w:ascii="Amiri" w:hAnsi="Amiri"/>
          <w:color w:val="111111"/>
          <w:sz w:val="28"/>
          <w:szCs w:val="28"/>
          <w:rtl w:val="true"/>
          <w:lang w:bidi="ar-SA"/>
        </w:rPr>
        <w:t xml:space="preserve">» </w:t>
      </w:r>
      <w:r>
        <w:rPr>
          <w:rStyle w:val="FootnoteAnchor"/>
          <w:rtl w:val="true"/>
        </w:rPr>
        <w:footnoteReference w:id="2504"/>
      </w:r>
      <w:r>
        <w:rPr>
          <w:rFonts w:eastAsia="Times New Roman" w:cs="Times New Roman" w:ascii="Times New Roman" w:hAnsi="Times New Roman"/>
          <w:color w:val="111111"/>
          <w:sz w:val="28"/>
          <w:szCs w:val="28"/>
          <w:rtl w:val="true"/>
          <w:lang w:val="en-US" w:bidi="en-US"/>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انّ انتهاء وقته الزّوال،فلأنّ العلّة إنّما هي حضور المسجد للصّلاة،لما رواه الجمهور،عن عائشة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النّاس يروحون إلى الجمعة بهيئتهم فتظهر لم رائحة، فقيل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اغتسلتم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رواه مسلم </w:t>
      </w:r>
      <w:r>
        <w:rPr>
          <w:rStyle w:val="FootnoteAnchor"/>
          <w:rtl w:val="true"/>
        </w:rPr>
        <w:footnoteReference w:id="2505"/>
      </w:r>
      <w:r>
        <w:rPr>
          <w:rFonts w:eastAsia="Times New Roman" w:cs="Times New Roman" w:ascii="Times New Roman" w:hAnsi="Times New Roman"/>
          <w:color w:val="111111"/>
          <w:sz w:val="28"/>
          <w:szCs w:val="28"/>
          <w:rtl w:val="true"/>
          <w:lang w:val="en-US" w:bidi="en-US"/>
        </w:rPr>
        <w:t xml:space="preserve">. </w:t>
      </w:r>
      <w:bookmarkStart w:id="1431" w:name="pg12669_113257"/>
    </w:p>
    <w:p>
      <w:pPr>
        <w:pStyle w:val="BookText"/>
        <w:rPr/>
      </w:pPr>
      <w:bookmarkEnd w:id="1431"/>
      <w:r>
        <w:rPr>
          <w:rFonts w:ascii="Amiri" w:hAnsi="Amiri" w:eastAsia="Amiri" w:cs="Amiri"/>
          <w:color w:val="111111"/>
          <w:sz w:val="28"/>
          <w:sz w:val="28"/>
          <w:szCs w:val="28"/>
          <w:rtl w:val="true"/>
          <w:lang w:bidi="ar-SA"/>
        </w:rPr>
        <w:t>و من طريق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الشّيخ،عن محمّد بن عبد اللّه،عن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 الأنصار تعمل في نواضحها و أموالها،فإذا كان يوم الجمعة جاؤا فتأذّى النّاس بأرواح آباطهم و أجسادهم،فأمرهم رسول اللّه صلّى اللّه عليه و آله بالغسل يوم الجمعة فجرت بذلك السّنّة</w:t>
      </w:r>
      <w:r>
        <w:rPr>
          <w:rFonts w:eastAsia="Amiri" w:cs="Amiri" w:ascii="Amiri" w:hAnsi="Amiri"/>
          <w:color w:val="111111"/>
          <w:sz w:val="28"/>
          <w:szCs w:val="28"/>
          <w:rtl w:val="true"/>
          <w:lang w:bidi="ar-SA"/>
        </w:rPr>
        <w:t xml:space="preserve">» </w:t>
      </w:r>
      <w:r>
        <w:rPr>
          <w:rStyle w:val="FootnoteAnchor"/>
          <w:rtl w:val="true"/>
        </w:rPr>
        <w:footnoteReference w:id="25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روى،عن سماعة بن مهران،عن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الرّجل لا يغتسل يوم الجمعة في أوّل النّهار،قال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يقضيه في آخر النّهار فإن لم يجد فيقضيه يوم السّبت</w:t>
      </w:r>
      <w:r>
        <w:rPr>
          <w:rFonts w:eastAsia="Amiri" w:cs="Amiri" w:ascii="Amiri" w:hAnsi="Amiri"/>
          <w:color w:val="111111"/>
          <w:sz w:val="28"/>
          <w:szCs w:val="28"/>
          <w:rtl w:val="true"/>
          <w:lang w:bidi="ar-SA"/>
        </w:rPr>
        <w:t xml:space="preserve">» </w:t>
      </w:r>
      <w:r>
        <w:rPr>
          <w:rStyle w:val="FootnoteAnchor"/>
          <w:rtl w:val="true"/>
        </w:rPr>
        <w:footnoteReference w:id="2507"/>
      </w:r>
      <w:r>
        <w:rPr>
          <w:rFonts w:ascii="Amiri" w:hAnsi="Amiri" w:eastAsia="Amiri" w:cs="Amiri"/>
          <w:color w:val="111111"/>
          <w:sz w:val="28"/>
          <w:sz w:val="28"/>
          <w:szCs w:val="28"/>
          <w:rtl w:val="true"/>
          <w:lang w:bidi="ar-SA"/>
        </w:rPr>
        <w:t>و القضاء إنّما يكون بعد فوات الوقت</w:t>
      </w:r>
      <w:r>
        <w:rPr>
          <w:rFonts w:eastAsia="Amiri" w:cs="Amiri" w:ascii="Amiri" w:hAnsi="Amiri"/>
          <w:color w:val="111111"/>
          <w:sz w:val="28"/>
          <w:szCs w:val="28"/>
          <w:rtl w:val="true"/>
          <w:lang w:bidi="ar-SA"/>
        </w:rPr>
        <w:t>.</w:t>
      </w:r>
    </w:p>
    <w:p>
      <w:pPr>
        <w:pStyle w:val="Heading6"/>
        <w:numPr>
          <w:ilvl w:val="5"/>
          <w:numId w:val="1"/>
        </w:numPr>
        <w:rPr/>
      </w:pPr>
      <w:bookmarkStart w:id="1432" w:name="__RefHeading___Toc796301_222507752"/>
      <w:bookmarkStart w:id="1433" w:name="_Toc590"/>
      <w:bookmarkEnd w:id="1432"/>
      <w:r>
        <w:rPr>
          <w:rtl w:val="true"/>
        </w:rPr>
        <w:t>الثّاني</w:t>
      </w:r>
      <w:r>
        <w:rPr>
          <w:rtl w:val="true"/>
        </w:rPr>
        <w:t>:</w:t>
      </w:r>
      <w:r>
        <w:rPr>
          <w:rtl w:val="true"/>
        </w:rPr>
        <w:t>و الغسل مستحبّ لليوم،</w:t>
      </w:r>
      <w:bookmarkEnd w:id="1433"/>
    </w:p>
    <w:p>
      <w:pPr>
        <w:pStyle w:val="BookText"/>
        <w:rPr/>
      </w:pPr>
      <w:r>
        <w:rPr>
          <w:rFonts w:ascii="Amiri" w:hAnsi="Amiri" w:eastAsia="Amiri" w:cs="Amiri"/>
          <w:color w:val="111111"/>
          <w:sz w:val="28"/>
          <w:sz w:val="28"/>
          <w:szCs w:val="28"/>
          <w:rtl w:val="true"/>
          <w:lang w:bidi="ar-SA"/>
        </w:rPr>
        <w:t xml:space="preserve">خلافا لأبي يوسف </w:t>
      </w:r>
      <w:r>
        <w:rPr>
          <w:rStyle w:val="FootnoteAnchor"/>
          <w:rtl w:val="true"/>
        </w:rPr>
        <w:footnoteReference w:id="2508"/>
      </w:r>
      <w:r>
        <w:rPr>
          <w:rFonts w:ascii="Amiri" w:hAnsi="Amiri" w:eastAsia="Amiri" w:cs="Amiri"/>
          <w:color w:val="111111"/>
          <w:sz w:val="28"/>
          <w:sz w:val="28"/>
          <w:szCs w:val="28"/>
          <w:rtl w:val="true"/>
          <w:lang w:bidi="ar-SA"/>
        </w:rPr>
        <w:t>،فلو أحدث بعد الغسل لم يبطل غسله و كفاه الوضوء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قول مجاهد،و الحسن،و مالك،و الأوزاعيّ، و الشّافعيّ </w:t>
      </w:r>
      <w:r>
        <w:rPr>
          <w:rStyle w:val="FootnoteAnchor"/>
          <w:rtl w:val="true"/>
        </w:rPr>
        <w:footnoteReference w:id="2509"/>
      </w:r>
      <w:r>
        <w:rPr>
          <w:rFonts w:ascii="Amiri" w:hAnsi="Amiri" w:eastAsia="Amiri" w:cs="Amiri"/>
          <w:color w:val="111111"/>
          <w:sz w:val="28"/>
          <w:sz w:val="28"/>
          <w:szCs w:val="28"/>
          <w:rtl w:val="true"/>
          <w:lang w:bidi="ar-SA"/>
        </w:rPr>
        <w:t xml:space="preserve">،و استحبّ طاوس،و الثّوريّ،و قتادة،و يحيى بن أبي كثير </w:t>
      </w:r>
      <w:r>
        <w:rPr>
          <w:rStyle w:val="FootnoteAnchor"/>
          <w:rtl w:val="true"/>
        </w:rPr>
        <w:footnoteReference w:id="2510"/>
      </w:r>
      <w:r>
        <w:rPr>
          <w:rFonts w:ascii="Amiri" w:hAnsi="Amiri" w:eastAsia="Amiri" w:cs="Amiri"/>
          <w:color w:val="111111"/>
          <w:sz w:val="28"/>
          <w:sz w:val="28"/>
          <w:szCs w:val="28"/>
          <w:rtl w:val="true"/>
          <w:lang w:bidi="ar-SA"/>
        </w:rPr>
        <w:t>إعادة الغسل</w:t>
      </w:r>
      <w:r>
        <w:rPr>
          <w:rFonts w:eastAsia="Amiri" w:cs="Amiri" w:ascii="Amiri" w:hAnsi="Amiri"/>
          <w:color w:val="111111"/>
          <w:sz w:val="28"/>
          <w:szCs w:val="28"/>
          <w:rtl w:val="true"/>
          <w:lang w:bidi="ar-SA"/>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اغتسل يوم الجمعة فأتى بالمجزي،و الأمر لا يقتضي التّكرار،و لأنّ الغسل للتّنظيف،و قد حصل،و الحدث لا يضادّه،و لأنّه غسل،فلا يؤثّر الحدث في إبطاله كالجنابة،و يؤيّده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الشّيخ،عن بكير بن أعين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في أيّ اللّيالي أغتسل في شهر رمضان؟قال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تسع عشرة،و في إحدى </w:t>
      </w:r>
      <w:bookmarkStart w:id="1434" w:name="pg12669_113258"/>
    </w:p>
    <w:p>
      <w:pPr>
        <w:pStyle w:val="BookText"/>
        <w:rPr/>
      </w:pPr>
      <w:bookmarkEnd w:id="1434"/>
      <w:r>
        <w:rPr>
          <w:rFonts w:ascii="Amiri" w:hAnsi="Amiri" w:eastAsia="Amiri" w:cs="Amiri"/>
          <w:color w:val="111111"/>
          <w:sz w:val="28"/>
          <w:sz w:val="28"/>
          <w:szCs w:val="28"/>
          <w:rtl w:val="true"/>
          <w:lang w:bidi="ar-SA"/>
        </w:rPr>
        <w:t>و عشرين،و في ثلاث و عشرين،و الغسل أوّل اللّيل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نام بعد </w:t>
      </w:r>
      <w:r>
        <w:rPr>
          <w:rStyle w:val="FootnoteAnchor"/>
          <w:rtl w:val="true"/>
        </w:rPr>
        <w:footnoteReference w:id="2511"/>
      </w:r>
      <w:r>
        <w:rPr>
          <w:rFonts w:ascii="Amiri" w:hAnsi="Amiri" w:eastAsia="Amiri" w:cs="Amiri"/>
          <w:color w:val="111111"/>
          <w:sz w:val="28"/>
          <w:sz w:val="28"/>
          <w:szCs w:val="28"/>
          <w:rtl w:val="true"/>
          <w:lang w:bidi="ar-SA"/>
        </w:rPr>
        <w:t>الغسل؟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مثل غسل الجمعة إذا اغتسلت بعد الفجر أجزأك</w:t>
      </w:r>
      <w:r>
        <w:rPr>
          <w:rFonts w:eastAsia="Amiri" w:cs="Amiri" w:ascii="Amiri" w:hAnsi="Amiri"/>
          <w:color w:val="111111"/>
          <w:sz w:val="28"/>
          <w:szCs w:val="28"/>
          <w:rtl w:val="true"/>
          <w:lang w:bidi="ar-SA"/>
        </w:rPr>
        <w:t xml:space="preserve">» </w:t>
      </w:r>
      <w:r>
        <w:rPr>
          <w:rStyle w:val="FootnoteAnchor"/>
          <w:rtl w:val="true"/>
        </w:rPr>
        <w:footnoteReference w:id="251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435" w:name="__RefHeading___Toc796303_222507752"/>
      <w:bookmarkStart w:id="1436" w:name="_Toc591"/>
      <w:bookmarkEnd w:id="1435"/>
      <w:r>
        <w:rPr>
          <w:rtl w:val="true"/>
        </w:rPr>
        <w:t>الثّالث</w:t>
      </w:r>
      <w:r>
        <w:rPr>
          <w:rtl w:val="true"/>
        </w:rPr>
        <w:t>:</w:t>
      </w:r>
      <w:r>
        <w:rPr>
          <w:rtl w:val="true"/>
        </w:rPr>
        <w:t>لو فاته يوم الجمعة قبل الزّوال قضاه بعده،</w:t>
      </w:r>
      <w:bookmarkEnd w:id="1436"/>
    </w:p>
    <w:p>
      <w:pPr>
        <w:pStyle w:val="BookText"/>
        <w:rPr/>
      </w:pPr>
      <w:r>
        <w:rPr>
          <w:rFonts w:ascii="Amiri" w:hAnsi="Amiri" w:eastAsia="Amiri" w:cs="Amiri"/>
          <w:color w:val="111111"/>
          <w:sz w:val="28"/>
          <w:sz w:val="28"/>
          <w:szCs w:val="28"/>
          <w:rtl w:val="true"/>
          <w:lang w:bidi="ar-SA"/>
        </w:rPr>
        <w:t>و لو فاته يوم الجمعة أصلا قضاه يوم السّبت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عبادة مؤقّتة فات وقتها،فاستحبّ قضاؤها كغيرها من مؤقّتات العبادات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يؤيّده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رواية سماعة بن مهران،و قد تقدّمت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رواه الشّيخ في الموثّق،عن عبد اللّه بن بكير،عن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رجل فاته الغسل يوم الجمعة،قال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يغتسل ما بينه و بين اللّيل،فإن فاته اغتسل يوم السّبت</w:t>
      </w:r>
      <w:r>
        <w:rPr>
          <w:rFonts w:eastAsia="Amiri" w:cs="Amiri" w:ascii="Amiri" w:hAnsi="Amiri"/>
          <w:color w:val="111111"/>
          <w:sz w:val="28"/>
          <w:szCs w:val="28"/>
          <w:rtl w:val="true"/>
          <w:lang w:bidi="ar-SA"/>
        </w:rPr>
        <w:t xml:space="preserve">» </w:t>
      </w:r>
      <w:r>
        <w:rPr>
          <w:rStyle w:val="FootnoteAnchor"/>
          <w:rtl w:val="true"/>
        </w:rPr>
        <w:footnoteReference w:id="25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لو فاته يوم السّبت لم يستحبّ قضاؤه،لأنّ الأصل عدمه،و قد سلم عن معارضة النّصّ الدّالّ على خلافه بخلاف السّبت</w:t>
      </w:r>
      <w:r>
        <w:rPr>
          <w:rFonts w:eastAsia="Amiri" w:cs="Amiri" w:ascii="Amiri" w:hAnsi="Amiri"/>
          <w:color w:val="111111"/>
          <w:sz w:val="28"/>
          <w:szCs w:val="28"/>
          <w:rtl w:val="true"/>
          <w:lang w:bidi="ar-SA"/>
        </w:rPr>
        <w:t>.</w:t>
      </w:r>
    </w:p>
    <w:p>
      <w:pPr>
        <w:pStyle w:val="Heading6"/>
        <w:numPr>
          <w:ilvl w:val="5"/>
          <w:numId w:val="1"/>
        </w:numPr>
        <w:rPr/>
      </w:pPr>
      <w:bookmarkStart w:id="1437" w:name="__RefHeading___Toc796305_222507752"/>
      <w:bookmarkStart w:id="1438" w:name="_Toc592"/>
      <w:bookmarkEnd w:id="1437"/>
      <w:r>
        <w:rPr>
          <w:rtl w:val="true"/>
        </w:rPr>
        <w:t>الرّابع</w:t>
      </w:r>
      <w:r>
        <w:rPr>
          <w:rtl w:val="true"/>
        </w:rPr>
        <w:t>:</w:t>
      </w:r>
      <w:r>
        <w:rPr>
          <w:rtl w:val="true"/>
        </w:rPr>
        <w:t>لو غلب على ظنّه يوم الخميس فقدان الماء في الجمعة استحبّ له تقديمه يوم</w:t>
      </w:r>
      <w:bookmarkEnd w:id="1438"/>
    </w:p>
    <w:p>
      <w:pPr>
        <w:pStyle w:val="BookText"/>
        <w:rPr/>
      </w:pPr>
      <w:r>
        <w:rPr>
          <w:rFonts w:ascii="Amiri" w:hAnsi="Amiri" w:eastAsia="Amiri" w:cs="Amiri"/>
          <w:color w:val="111111"/>
          <w:sz w:val="28"/>
          <w:sz w:val="28"/>
          <w:szCs w:val="28"/>
          <w:rtl w:val="true"/>
          <w:lang w:bidi="ar-SA"/>
        </w:rPr>
        <w:t>الخميس،</w:t>
      </w:r>
    </w:p>
    <w:p>
      <w:pPr>
        <w:pStyle w:val="BookText"/>
        <w:rPr/>
      </w:pPr>
      <w:r>
        <w:rPr>
          <w:rFonts w:ascii="Amiri" w:hAnsi="Amiri" w:eastAsia="Amiri" w:cs="Amiri"/>
          <w:color w:val="111111"/>
          <w:sz w:val="28"/>
          <w:sz w:val="28"/>
          <w:szCs w:val="28"/>
          <w:rtl w:val="true"/>
          <w:lang w:bidi="ar-SA"/>
        </w:rPr>
        <w:t>لأنّه طاعة في نفسه،فلا يؤثّر فيها الوقت،و لما رواه الشّيخ،عن محمّد بن الحسين،عن بعض أصحابه،عن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لأصحابه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إنّكم تأتون غدا منزلا ليس فيه ماء فاغتسلوا اليوم لغد،فاغتسلنا يوم الخميس للجمعة</w:t>
      </w:r>
      <w:r>
        <w:rPr>
          <w:rFonts w:eastAsia="Amiri" w:cs="Amiri" w:ascii="Amiri" w:hAnsi="Amiri"/>
          <w:color w:val="111111"/>
          <w:sz w:val="28"/>
          <w:szCs w:val="28"/>
          <w:rtl w:val="true"/>
          <w:lang w:bidi="ar-SA"/>
        </w:rPr>
        <w:t xml:space="preserve">» </w:t>
      </w:r>
      <w:r>
        <w:rPr>
          <w:rStyle w:val="FootnoteAnchor"/>
          <w:rtl w:val="true"/>
        </w:rPr>
        <w:footnoteReference w:id="2514"/>
      </w:r>
      <w:r>
        <w:rPr>
          <w:rFonts w:eastAsia="Times New Roman" w:cs="Times New Roman" w:ascii="Times New Roman" w:hAnsi="Times New Roman"/>
          <w:color w:val="111111"/>
          <w:sz w:val="28"/>
          <w:szCs w:val="28"/>
          <w:rtl w:val="true"/>
          <w:lang w:val="en-US" w:bidi="en-US"/>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رواه،عن أحمد بن محمّد،عن الحسين </w:t>
      </w:r>
      <w:r>
        <w:rPr>
          <w:rStyle w:val="FootnoteAnchor"/>
          <w:rtl w:val="true"/>
        </w:rPr>
        <w:footnoteReference w:id="2515"/>
      </w:r>
      <w:r>
        <w:rPr>
          <w:rFonts w:ascii="IRNazanin" w:hAnsi="IRNazanin" w:eastAsia="IRNazanin"/>
          <w:color w:val="111111"/>
          <w:sz w:val="28"/>
          <w:sz w:val="28"/>
          <w:szCs w:val="28"/>
          <w:rtl w:val="true"/>
          <w:lang w:bidi="fa-IR"/>
        </w:rPr>
        <w:t xml:space="preserve">بن موسى بن جعفر،عن امّه و أمّ </w:t>
      </w:r>
      <w:bookmarkStart w:id="1439" w:name="pg12669_113259"/>
    </w:p>
    <w:p>
      <w:pPr>
        <w:pStyle w:val="BookText"/>
        <w:rPr/>
      </w:pPr>
      <w:bookmarkEnd w:id="1439"/>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موسى بن جعفر عليه السّلام قالتا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 مع أبي الحسن عليه السّلام بالبادية و نحن نريد بغداد فقال لنا يوم الخميس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اغتسلا اليوم لغد يوم الجمعة</w:t>
      </w:r>
      <w:r>
        <w:rPr>
          <w:rFonts w:eastAsia="Amiri" w:cs="Amiri" w:ascii="Amiri" w:hAnsi="Amiri"/>
          <w:color w:val="111111"/>
          <w:sz w:val="28"/>
          <w:szCs w:val="28"/>
          <w:rtl w:val="true"/>
          <w:lang w:bidi="ar-SA"/>
        </w:rPr>
        <w:t xml:space="preserve">» </w:t>
      </w:r>
      <w:r>
        <w:rPr>
          <w:rStyle w:val="FootnoteAnchor"/>
          <w:rtl w:val="true"/>
        </w:rPr>
        <w:footnoteReference w:id="251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440" w:name="__RefHeading___Toc796307_222507752"/>
      <w:bookmarkStart w:id="1441" w:name="_Toc593"/>
      <w:bookmarkEnd w:id="1440"/>
      <w:r>
        <w:rPr>
          <w:rtl w:val="true"/>
        </w:rPr>
        <w:t>تذنيب</w:t>
      </w:r>
      <w:r>
        <w:rPr>
          <w:rtl w:val="true"/>
        </w:rPr>
        <w:t>:</w:t>
      </w:r>
      <w:r>
        <w:rPr>
          <w:rtl w:val="true"/>
        </w:rPr>
        <w:t>لو اغتسل يوم الخميس لخوف الإعواز،ثمَّ وجد الماء يوم الجمعة،استحبّ له</w:t>
      </w:r>
      <w:bookmarkEnd w:id="1441"/>
    </w:p>
    <w:p>
      <w:pPr>
        <w:pStyle w:val="BookText"/>
        <w:rPr/>
      </w:pPr>
      <w:r>
        <w:rPr>
          <w:rFonts w:ascii="Amiri" w:hAnsi="Amiri" w:eastAsia="Amiri" w:cs="Amiri"/>
          <w:color w:val="111111"/>
          <w:sz w:val="28"/>
          <w:sz w:val="28"/>
          <w:szCs w:val="28"/>
          <w:rtl w:val="true"/>
          <w:lang w:bidi="ar-SA"/>
        </w:rPr>
        <w:t>الإعادة،</w:t>
      </w:r>
    </w:p>
    <w:p>
      <w:pPr>
        <w:pStyle w:val="BookText"/>
        <w:rPr/>
      </w:pPr>
      <w:r>
        <w:rPr>
          <w:rFonts w:ascii="Amiri" w:hAnsi="Amiri" w:eastAsia="Amiri" w:cs="Amiri"/>
          <w:color w:val="111111"/>
          <w:sz w:val="28"/>
          <w:sz w:val="28"/>
          <w:szCs w:val="28"/>
          <w:rtl w:val="true"/>
          <w:lang w:bidi="ar-SA"/>
        </w:rPr>
        <w:t xml:space="preserve">لأنّ البدل إنّما يجزي مع تعذّر المبدل،و غسل الخميس هنا بدل،أمّا لو وجده بعد الزّوال فالأقرب </w:t>
      </w:r>
      <w:r>
        <w:rPr>
          <w:rStyle w:val="FootnoteAnchor"/>
          <w:rtl w:val="true"/>
        </w:rPr>
        <w:footnoteReference w:id="2517"/>
      </w:r>
      <w:r>
        <w:rPr>
          <w:rFonts w:ascii="Amiri" w:hAnsi="Amiri" w:eastAsia="Amiri" w:cs="Amiri"/>
          <w:color w:val="111111"/>
          <w:sz w:val="28"/>
          <w:sz w:val="28"/>
          <w:szCs w:val="28"/>
          <w:rtl w:val="true"/>
          <w:lang w:bidi="ar-SA"/>
        </w:rPr>
        <w:t>عدم الإعادة لفوات الوقت،و القضاء كالتّقديم في البدليّة</w:t>
      </w:r>
      <w:r>
        <w:rPr>
          <w:rFonts w:eastAsia="Amiri" w:cs="Amiri" w:ascii="Amiri" w:hAnsi="Amiri"/>
          <w:color w:val="111111"/>
          <w:sz w:val="28"/>
          <w:szCs w:val="28"/>
          <w:rtl w:val="true"/>
          <w:lang w:bidi="ar-SA"/>
        </w:rPr>
        <w:t>.</w:t>
      </w:r>
    </w:p>
    <w:p>
      <w:pPr>
        <w:pStyle w:val="Heading6"/>
        <w:numPr>
          <w:ilvl w:val="5"/>
          <w:numId w:val="1"/>
        </w:numPr>
        <w:rPr/>
      </w:pPr>
      <w:bookmarkStart w:id="1442" w:name="__RefHeading___Toc796309_222507752"/>
      <w:bookmarkStart w:id="1443" w:name="_Toc594"/>
      <w:bookmarkEnd w:id="1442"/>
      <w:r>
        <w:rPr>
          <w:rtl w:val="true"/>
        </w:rPr>
        <w:t>آخر</w:t>
      </w:r>
      <w:r>
        <w:rPr>
          <w:rtl w:val="true"/>
        </w:rPr>
        <w:t>:</w:t>
      </w:r>
      <w:r>
        <w:rPr>
          <w:rtl w:val="true"/>
        </w:rPr>
        <w:t>لو خاف الفوات يوم الجمعة دون السّبت احتمل استحباب التّقديم</w:t>
      </w:r>
      <w:bookmarkEnd w:id="1443"/>
    </w:p>
    <w:p>
      <w:pPr>
        <w:pStyle w:val="BookText"/>
        <w:rPr/>
      </w:pPr>
      <w:r>
        <w:rPr>
          <w:rFonts w:ascii="Amiri" w:hAnsi="Amiri" w:eastAsia="Amiri" w:cs="Amiri"/>
          <w:color w:val="111111"/>
          <w:sz w:val="28"/>
          <w:sz w:val="28"/>
          <w:szCs w:val="28"/>
          <w:rtl w:val="true"/>
          <w:lang w:bidi="ar-SA"/>
        </w:rPr>
        <w:t>للعموم، و لأنّ فيه مسارعة إلى فعل الطّاعة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عدمه،لأنّ القضاء أولى من التّقديم كما في صلاة اللّيل للشّاب و المسافر</w:t>
      </w:r>
      <w:r>
        <w:rPr>
          <w:rFonts w:eastAsia="Amiri" w:cs="Amiri" w:ascii="Amiri" w:hAnsi="Amiri"/>
          <w:color w:val="111111"/>
          <w:sz w:val="28"/>
          <w:szCs w:val="28"/>
          <w:rtl w:val="true"/>
          <w:lang w:bidi="ar-SA"/>
        </w:rPr>
        <w:t>.</w:t>
      </w:r>
    </w:p>
    <w:p>
      <w:pPr>
        <w:pStyle w:val="Heading6"/>
        <w:numPr>
          <w:ilvl w:val="5"/>
          <w:numId w:val="1"/>
        </w:numPr>
        <w:rPr/>
      </w:pPr>
      <w:bookmarkStart w:id="1444" w:name="__RefHeading___Toc796311_222507752"/>
      <w:bookmarkStart w:id="1445" w:name="_Toc595"/>
      <w:bookmarkEnd w:id="1444"/>
      <w:r>
        <w:rPr>
          <w:rtl w:val="true"/>
        </w:rPr>
        <w:t>الخامس</w:t>
      </w:r>
      <w:r>
        <w:rPr>
          <w:rtl w:val="true"/>
        </w:rPr>
        <w:t>:</w:t>
      </w:r>
      <w:r>
        <w:rPr>
          <w:rtl w:val="true"/>
        </w:rPr>
        <w:t>لا بدّ فيه من النّيّة،</w:t>
      </w:r>
      <w:bookmarkEnd w:id="1445"/>
    </w:p>
    <w:p>
      <w:pPr>
        <w:pStyle w:val="BookText"/>
        <w:rPr/>
      </w:pPr>
      <w:r>
        <w:rPr>
          <w:rFonts w:ascii="Amiri" w:hAnsi="Amiri" w:eastAsia="Amiri" w:cs="Amiri"/>
          <w:color w:val="111111"/>
          <w:sz w:val="28"/>
          <w:sz w:val="28"/>
          <w:szCs w:val="28"/>
          <w:rtl w:val="true"/>
          <w:lang w:bidi="ar-SA"/>
        </w:rPr>
        <w:t>لأنّه عبادة محضة فافتقرت إلى النّيّة كتجديد الوضوء،و الأقرب انّه لا بدّ من ذكر السّبب و نيّة النّدب و التّقرّب</w:t>
      </w:r>
      <w:r>
        <w:rPr>
          <w:rFonts w:eastAsia="Amiri" w:cs="Amiri" w:ascii="Amiri" w:hAnsi="Amiri"/>
          <w:color w:val="111111"/>
          <w:sz w:val="28"/>
          <w:szCs w:val="28"/>
          <w:rtl w:val="true"/>
          <w:lang w:bidi="ar-SA"/>
        </w:rPr>
        <w:t>.</w:t>
      </w:r>
    </w:p>
    <w:p>
      <w:pPr>
        <w:pStyle w:val="Heading6"/>
        <w:numPr>
          <w:ilvl w:val="5"/>
          <w:numId w:val="1"/>
        </w:numPr>
        <w:rPr/>
      </w:pPr>
      <w:bookmarkStart w:id="1446" w:name="__RefHeading___Toc796313_222507752"/>
      <w:bookmarkStart w:id="1447" w:name="_Toc596"/>
      <w:bookmarkEnd w:id="1446"/>
      <w:r>
        <w:rPr>
          <w:rtl w:val="true"/>
        </w:rPr>
        <w:t>السّادس</w:t>
      </w:r>
      <w:r>
        <w:rPr>
          <w:rtl w:val="true"/>
        </w:rPr>
        <w:t>:</w:t>
      </w:r>
      <w:r>
        <w:rPr>
          <w:rtl w:val="true"/>
        </w:rPr>
        <w:t>يستحبّ فيه الدّعاء،</w:t>
      </w:r>
      <w:bookmarkEnd w:id="1447"/>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رواه عمّار السّاباطيّ،عن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اغتسلت للجمعة فقل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طهّر قلبي من كلّ آفة تمحق به ديني و تبطل به عملي،اللّهم اجعلني من التّوّابين و اجعلني من المتطهّرين</w:t>
      </w:r>
      <w:r>
        <w:rPr>
          <w:rFonts w:eastAsia="Amiri" w:cs="Amiri" w:ascii="Amiri" w:hAnsi="Amiri"/>
          <w:color w:val="111111"/>
          <w:sz w:val="28"/>
          <w:szCs w:val="28"/>
          <w:rtl w:val="true"/>
          <w:lang w:bidi="ar-SA"/>
        </w:rPr>
        <w:t xml:space="preserve">» </w:t>
      </w:r>
      <w:r>
        <w:rPr>
          <w:rStyle w:val="FootnoteAnchor"/>
          <w:rtl w:val="true"/>
        </w:rPr>
        <w:footnoteReference w:id="2518"/>
      </w:r>
      <w:r>
        <w:rPr>
          <w:rFonts w:eastAsia="Times New Roman" w:cs="Times New Roman" w:ascii="Times New Roman" w:hAnsi="Times New Roman"/>
          <w:color w:val="111111"/>
          <w:sz w:val="28"/>
          <w:szCs w:val="28"/>
          <w:rtl w:val="true"/>
          <w:lang w:val="en-US" w:bidi="en-US"/>
        </w:rPr>
        <w:t xml:space="preserve">. </w:t>
      </w:r>
      <w:bookmarkStart w:id="1448" w:name="pg12669_113260"/>
    </w:p>
    <w:p>
      <w:pPr>
        <w:pStyle w:val="Heading6"/>
        <w:numPr>
          <w:ilvl w:val="5"/>
          <w:numId w:val="1"/>
        </w:numPr>
        <w:rPr/>
      </w:pPr>
      <w:bookmarkStart w:id="1449" w:name="__RefHeading___Toc796315_222507752"/>
      <w:bookmarkStart w:id="1450" w:name="_Toc597"/>
      <w:bookmarkEnd w:id="1448"/>
      <w:bookmarkEnd w:id="1449"/>
      <w:r>
        <w:rPr>
          <w:rtl w:val="true"/>
        </w:rPr>
        <w:t>السّابع</w:t>
      </w:r>
      <w:r>
        <w:rPr>
          <w:rtl w:val="true"/>
        </w:rPr>
        <w:t>:</w:t>
      </w:r>
      <w:r>
        <w:rPr>
          <w:rtl w:val="true"/>
        </w:rPr>
        <w:t>هو مستحبّ للرجال و النّساء،الحاضرين و المسافرين</w:t>
      </w:r>
      <w:bookmarkEnd w:id="1450"/>
    </w:p>
    <w:p>
      <w:pPr>
        <w:pStyle w:val="BookText"/>
        <w:rPr/>
      </w:pPr>
      <w:r>
        <w:rPr>
          <w:rFonts w:ascii="Amiri" w:hAnsi="Amiri" w:eastAsia="Amiri" w:cs="Amiri"/>
          <w:color w:val="111111"/>
          <w:sz w:val="28"/>
          <w:sz w:val="28"/>
          <w:szCs w:val="28"/>
          <w:rtl w:val="true"/>
          <w:lang w:bidi="ar-SA"/>
        </w:rPr>
        <w:t>و العبيد و الأحرار سواء في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يستحبّ لمن لا يأتي الجمعة،فليس على النّساء غسل، و على قياسهنّ الصّبيان،و المسافر،و المريض </w:t>
      </w:r>
      <w:r>
        <w:rPr>
          <w:rStyle w:val="FootnoteAnchor"/>
          <w:rtl w:val="true"/>
        </w:rPr>
        <w:footnoteReference w:id="2519"/>
      </w:r>
      <w:r>
        <w:rPr>
          <w:rFonts w:ascii="Amiri" w:hAnsi="Amiri" w:eastAsia="Amiri" w:cs="Amiri"/>
          <w:color w:val="111111"/>
          <w:sz w:val="28"/>
          <w:sz w:val="28"/>
          <w:szCs w:val="28"/>
          <w:rtl w:val="true"/>
          <w:lang w:bidi="ar-SA"/>
        </w:rPr>
        <w:t xml:space="preserve">،و كان ابن عمر،و علقمة </w:t>
      </w:r>
      <w:r>
        <w:rPr>
          <w:rStyle w:val="FootnoteAnchor"/>
          <w:rtl w:val="true"/>
        </w:rPr>
        <w:footnoteReference w:id="2520"/>
      </w:r>
      <w:r>
        <w:rPr>
          <w:rStyle w:val="FootnoteAnchor"/>
          <w:rtl w:val="true"/>
        </w:rPr>
        <w:footnoteReference w:id="2521"/>
      </w:r>
      <w:r>
        <w:rPr>
          <w:rFonts w:ascii="Amiri" w:hAnsi="Amiri" w:eastAsia="Amiri" w:cs="Amiri"/>
          <w:color w:val="111111"/>
          <w:sz w:val="28"/>
          <w:sz w:val="28"/>
          <w:szCs w:val="28"/>
          <w:rtl w:val="true"/>
          <w:lang w:bidi="ar-SA"/>
        </w:rPr>
        <w:t xml:space="preserve">لا يغتسلان للسّفر </w:t>
      </w:r>
      <w:r>
        <w:rPr>
          <w:rStyle w:val="FootnoteAnchor"/>
          <w:rtl w:val="true"/>
        </w:rPr>
        <w:footnoteReference w:id="2522"/>
      </w:r>
      <w:r>
        <w:rPr>
          <w:rFonts w:ascii="Amiri" w:hAnsi="Amiri" w:eastAsia="Amiri" w:cs="Amiri"/>
          <w:color w:val="111111"/>
          <w:sz w:val="28"/>
          <w:sz w:val="28"/>
          <w:szCs w:val="28"/>
          <w:rtl w:val="true"/>
          <w:lang w:bidi="ar-SA"/>
        </w:rPr>
        <w:t xml:space="preserve">،و كان طلحة </w:t>
      </w:r>
      <w:r>
        <w:rPr>
          <w:rStyle w:val="FootnoteAnchor"/>
          <w:rtl w:val="true"/>
        </w:rPr>
        <w:footnoteReference w:id="2523"/>
      </w:r>
      <w:r>
        <w:rPr>
          <w:rFonts w:ascii="Amiri" w:hAnsi="Amiri" w:eastAsia="Amiri" w:cs="Amiri"/>
          <w:color w:val="111111"/>
          <w:sz w:val="28"/>
          <w:sz w:val="28"/>
          <w:szCs w:val="28"/>
          <w:rtl w:val="true"/>
          <w:lang w:bidi="ar-SA"/>
        </w:rPr>
        <w:t xml:space="preserve">يغتسل </w:t>
      </w:r>
      <w:r>
        <w:rPr>
          <w:rStyle w:val="FootnoteAnchor"/>
          <w:rtl w:val="true"/>
        </w:rPr>
        <w:footnoteReference w:id="252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بالاغتسال في السّفر قال مجاهد و طاوس </w:t>
      </w:r>
      <w:r>
        <w:rPr>
          <w:rStyle w:val="FootnoteAnchor"/>
          <w:rtl w:val="true"/>
        </w:rPr>
        <w:footnoteReference w:id="2525"/>
      </w:r>
      <w:r>
        <w:rPr>
          <w:rFonts w:eastAsia="Times New Roman" w:cs="Times New Roman" w:ascii="Times New Roman" w:hAnsi="Times New Roman"/>
          <w:color w:val="111111"/>
          <w:sz w:val="28"/>
          <w:szCs w:val="28"/>
          <w:rtl w:val="true"/>
          <w:lang w:val="en-US" w:bidi="en-US"/>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الجمهور،عن النّبيّ صلّى اللّه عليه و آله انّه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غسل الجمعة واجب على كلّ محتلم </w:t>
      </w:r>
      <w:r>
        <w:rPr>
          <w:rStyle w:val="FootnoteAnchor"/>
          <w:rtl w:val="true"/>
        </w:rPr>
        <w:footnoteReference w:id="2526"/>
      </w:r>
      <w:r>
        <w:rPr>
          <w:rFonts w:ascii="Amiri" w:hAnsi="Amiri" w:eastAsia="Amiri" w:cs="Amiri"/>
          <w:color w:val="111111"/>
          <w:sz w:val="28"/>
          <w:sz w:val="28"/>
          <w:szCs w:val="28"/>
          <w:rtl w:val="true"/>
          <w:lang w:bidi="ar-SA"/>
        </w:rPr>
        <w:t>،و قد بيّنّا انّ الوجوب المعنيّ به ها هنا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الاستحباب المؤكّد </w:t>
      </w:r>
      <w:r>
        <w:rPr>
          <w:rStyle w:val="FootnoteAnchor"/>
          <w:rtl w:val="true"/>
        </w:rPr>
        <w:footnoteReference w:id="2527"/>
      </w:r>
      <w:r>
        <w:rPr>
          <w:rFonts w:ascii="Amiri" w:hAnsi="Amiri" w:eastAsia="Amiri" w:cs="Amiri"/>
          <w:color w:val="111111"/>
          <w:sz w:val="28"/>
          <w:sz w:val="28"/>
          <w:szCs w:val="28"/>
          <w:rtl w:val="true"/>
          <w:lang w:bidi="ar-SA"/>
        </w:rPr>
        <w:t>،و هو عام في الذّكور و الإناث،العبيد و الأحرار،المسافرين و الحضّار</w:t>
      </w:r>
      <w:r>
        <w:rPr>
          <w:rFonts w:eastAsia="Amiri" w:cs="Amiri" w:ascii="Amiri" w:hAnsi="Amiri"/>
          <w:color w:val="111111"/>
          <w:sz w:val="28"/>
          <w:szCs w:val="28"/>
          <w:rtl w:val="true"/>
          <w:lang w:bidi="ar-SA"/>
        </w:rPr>
        <w:t xml:space="preserve">. </w:t>
      </w:r>
      <w:bookmarkStart w:id="1451" w:name="pg12669_113261"/>
    </w:p>
    <w:p>
      <w:pPr>
        <w:pStyle w:val="BookText"/>
        <w:rPr/>
      </w:pPr>
      <w:bookmarkEnd w:id="1451"/>
      <w:r>
        <w:rPr>
          <w:rFonts w:ascii="Amiri" w:hAnsi="Amiri" w:eastAsia="Amiri" w:cs="Amiri"/>
          <w:color w:val="111111"/>
          <w:sz w:val="28"/>
          <w:sz w:val="28"/>
          <w:szCs w:val="28"/>
          <w:rtl w:val="true"/>
          <w:lang w:bidi="ar-SA"/>
        </w:rPr>
        <w:t>و من طريق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تقدّم من الأحاديث الدّالّة على العموم </w:t>
      </w:r>
      <w:r>
        <w:rPr>
          <w:rStyle w:val="FootnoteAnchor"/>
          <w:rtl w:val="true"/>
        </w:rPr>
        <w:footnoteReference w:id="2528"/>
      </w:r>
      <w:r>
        <w:rPr>
          <w:rFonts w:ascii="Amiri" w:hAnsi="Amiri" w:eastAsia="Amiri" w:cs="Amiri"/>
          <w:color w:val="111111"/>
          <w:sz w:val="28"/>
          <w:sz w:val="28"/>
          <w:szCs w:val="28"/>
          <w:rtl w:val="true"/>
          <w:lang w:bidi="ar-SA"/>
        </w:rPr>
        <w:t xml:space="preserve">،سفرا و حضرا،للنّساء و الرّجال،عبيدا </w:t>
      </w:r>
      <w:r>
        <w:rPr>
          <w:rStyle w:val="FootnoteAnchor"/>
          <w:rtl w:val="true"/>
        </w:rPr>
        <w:footnoteReference w:id="2529"/>
      </w:r>
      <w:r>
        <w:rPr>
          <w:rFonts w:ascii="IRNazanin" w:hAnsi="IRNazanin" w:eastAsia="IRNazanin"/>
          <w:color w:val="111111"/>
          <w:sz w:val="28"/>
          <w:sz w:val="28"/>
          <w:szCs w:val="28"/>
          <w:rtl w:val="true"/>
          <w:lang w:bidi="fa-IR"/>
        </w:rPr>
        <w:t>و أحرارا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روى الشّيخ في الحسن،عن عليّ بن يقطين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الحسن عليه السّلام عن النّساء أ عليهنّ غسل الجمعة؟قال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Style w:val="FootnoteAnchor"/>
          <w:rtl w:val="true"/>
        </w:rPr>
        <w:footnoteReference w:id="25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احتجّوا بقوله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أتى الجمعة فليغتسل</w:t>
      </w:r>
      <w:r>
        <w:rPr>
          <w:rFonts w:eastAsia="Amiri" w:cs="Amiri" w:ascii="Amiri" w:hAnsi="Amiri"/>
          <w:color w:val="111111"/>
          <w:sz w:val="28"/>
          <w:szCs w:val="28"/>
          <w:rtl w:val="true"/>
          <w:lang w:bidi="ar-SA"/>
        </w:rPr>
        <w:t xml:space="preserve">) </w:t>
      </w:r>
      <w:r>
        <w:rPr>
          <w:rStyle w:val="FootnoteAnchor"/>
          <w:rtl w:val="true"/>
        </w:rPr>
        <w:footnoteReference w:id="2531"/>
      </w:r>
      <w:r>
        <w:rPr>
          <w:rFonts w:ascii="Amiri" w:hAnsi="Amiri" w:eastAsia="Amiri" w:cs="Amiri"/>
          <w:color w:val="111111"/>
          <w:sz w:val="28"/>
          <w:sz w:val="28"/>
          <w:szCs w:val="28"/>
          <w:rtl w:val="true"/>
          <w:lang w:bidi="ar-SA"/>
        </w:rPr>
        <w:t>و لأنّ المقصود التّنظيف و قطع الرّائحة،و هذا يختصّ بالآتي إلى المسجد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 عن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يدلّ على استحبابه للآتي،لا على نفيه عن غيره،و دليل الخطاب ليس بحجّة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المقصود و إن كان ذلك،لكنّ التّعليل به غير جائز،إذ الأمور الخفيّة غير صالحة للتّعليل،بل إنّما تعتبر مظانّها،كالسّفر للمشقّة</w:t>
      </w:r>
      <w:r>
        <w:rPr>
          <w:rFonts w:eastAsia="Amiri" w:cs="Amiri" w:ascii="Amiri" w:hAnsi="Amiri"/>
          <w:color w:val="111111"/>
          <w:sz w:val="28"/>
          <w:szCs w:val="28"/>
          <w:rtl w:val="true"/>
          <w:lang w:bidi="ar-SA"/>
        </w:rPr>
        <w:t>.</w:t>
      </w:r>
    </w:p>
    <w:p>
      <w:pPr>
        <w:pStyle w:val="Heading6"/>
        <w:numPr>
          <w:ilvl w:val="5"/>
          <w:numId w:val="1"/>
        </w:numPr>
        <w:rPr/>
      </w:pPr>
      <w:bookmarkStart w:id="1452" w:name="__RefHeading___Toc796317_222507752"/>
      <w:bookmarkStart w:id="1453" w:name="_Toc598"/>
      <w:bookmarkEnd w:id="1452"/>
      <w:r>
        <w:rPr>
          <w:rtl w:val="true"/>
        </w:rPr>
        <w:t>الثّامن</w:t>
      </w:r>
      <w:r>
        <w:rPr>
          <w:rtl w:val="true"/>
        </w:rPr>
        <w:t>:</w:t>
      </w:r>
      <w:r>
        <w:rPr>
          <w:rtl w:val="true"/>
        </w:rPr>
        <w:t>لو حضر الجمعة من لا تجب عليه،استحبّ الغسل له إجماعا،</w:t>
      </w:r>
      <w:bookmarkEnd w:id="1453"/>
    </w:p>
    <w:p>
      <w:pPr>
        <w:pStyle w:val="BookText"/>
        <w:rPr/>
      </w:pPr>
      <w:r>
        <w:rPr>
          <w:rFonts w:ascii="Amiri" w:hAnsi="Amiri" w:eastAsia="Amiri" w:cs="Amiri"/>
          <w:color w:val="111111"/>
          <w:sz w:val="28"/>
          <w:sz w:val="28"/>
          <w:szCs w:val="28"/>
          <w:rtl w:val="true"/>
          <w:lang w:bidi="ar-SA"/>
        </w:rPr>
        <w:t xml:space="preserve">أمّا عندنا فلما بيّنّاه،و أمّا عند المخصّصين </w:t>
      </w:r>
      <w:r>
        <w:rPr>
          <w:rStyle w:val="FootnoteAnchor"/>
          <w:rtl w:val="true"/>
        </w:rPr>
        <w:footnoteReference w:id="2532"/>
      </w:r>
      <w:r>
        <w:rPr>
          <w:rFonts w:ascii="Amiri" w:hAnsi="Amiri" w:eastAsia="Amiri" w:cs="Amiri"/>
          <w:color w:val="111111"/>
          <w:sz w:val="28"/>
          <w:sz w:val="28"/>
          <w:szCs w:val="28"/>
          <w:rtl w:val="true"/>
          <w:lang w:bidi="ar-SA"/>
        </w:rPr>
        <w:t>بالحاضر فلوجود المعنى الموجب للاستحباب، و الغسل لم يستحبّ للصّلاة الواجبة،بل للحضور و الصّلاة مطلقا،و هما حاصلان في حقّ الحاضر على جهة الاستحباب</w:t>
      </w:r>
      <w:r>
        <w:rPr>
          <w:rFonts w:eastAsia="Amiri" w:cs="Amiri" w:ascii="Amiri" w:hAnsi="Amiri"/>
          <w:color w:val="111111"/>
          <w:sz w:val="28"/>
          <w:szCs w:val="28"/>
          <w:rtl w:val="true"/>
          <w:lang w:bidi="ar-SA"/>
        </w:rPr>
        <w:t>.</w:t>
      </w:r>
    </w:p>
    <w:p>
      <w:pPr>
        <w:pStyle w:val="Heading6"/>
        <w:numPr>
          <w:ilvl w:val="5"/>
          <w:numId w:val="1"/>
        </w:numPr>
        <w:rPr/>
      </w:pPr>
      <w:bookmarkStart w:id="1454" w:name="__RefHeading___Toc796319_222507752"/>
      <w:bookmarkStart w:id="1455" w:name="_Toc599"/>
      <w:bookmarkEnd w:id="1454"/>
      <w:r>
        <w:rPr>
          <w:rtl w:val="true"/>
        </w:rPr>
        <w:t>التّاسع</w:t>
      </w:r>
      <w:r>
        <w:rPr>
          <w:rtl w:val="true"/>
        </w:rPr>
        <w:t>:</w:t>
      </w:r>
      <w:r>
        <w:rPr>
          <w:rtl w:val="true"/>
        </w:rPr>
        <w:t>كلّما قرب فعله من الزّوال كان أفضل،</w:t>
      </w:r>
      <w:bookmarkEnd w:id="1455"/>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غالبا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يستحبّ </w:t>
      </w:r>
      <w:bookmarkStart w:id="1456" w:name="pg12669_113262"/>
    </w:p>
    <w:p>
      <w:pPr>
        <w:pStyle w:val="BookText"/>
        <w:rPr/>
      </w:pPr>
      <w:bookmarkEnd w:id="1456"/>
      <w:r>
        <w:rPr>
          <w:rFonts w:ascii="Amiri" w:hAnsi="Amiri" w:eastAsia="Amiri" w:cs="Amiri"/>
          <w:color w:val="111111"/>
          <w:sz w:val="28"/>
          <w:sz w:val="28"/>
          <w:szCs w:val="28"/>
          <w:rtl w:val="true"/>
          <w:lang w:bidi="ar-SA"/>
        </w:rPr>
        <w:t xml:space="preserve">للحضور،فالمقاربة </w:t>
      </w:r>
      <w:r>
        <w:rPr>
          <w:rStyle w:val="FootnoteAnchor"/>
          <w:rtl w:val="true"/>
        </w:rPr>
        <w:footnoteReference w:id="2533"/>
      </w:r>
      <w:r>
        <w:rPr>
          <w:rFonts w:ascii="Amiri" w:hAnsi="Amiri" w:eastAsia="Amiri" w:cs="Amiri"/>
          <w:color w:val="111111"/>
          <w:sz w:val="28"/>
          <w:sz w:val="28"/>
          <w:szCs w:val="28"/>
          <w:rtl w:val="true"/>
          <w:lang w:bidi="ar-SA"/>
        </w:rPr>
        <w:t>أولى،و يتفاوت الاستحباب بتفاوت القرب منها و البعد</w:t>
      </w:r>
      <w:r>
        <w:rPr>
          <w:rFonts w:eastAsia="Amiri" w:cs="Amiri" w:ascii="Amiri" w:hAnsi="Amiri"/>
          <w:color w:val="111111"/>
          <w:sz w:val="28"/>
          <w:szCs w:val="28"/>
          <w:rtl w:val="true"/>
          <w:lang w:bidi="ar-SA"/>
        </w:rPr>
        <w:t>.</w:t>
      </w:r>
    </w:p>
    <w:p>
      <w:pPr>
        <w:pStyle w:val="Heading6"/>
        <w:numPr>
          <w:ilvl w:val="5"/>
          <w:numId w:val="1"/>
        </w:numPr>
        <w:rPr/>
      </w:pPr>
      <w:bookmarkStart w:id="1457" w:name="__RefHeading___Toc796321_222507752"/>
      <w:bookmarkStart w:id="1458" w:name="_Toc600"/>
      <w:bookmarkEnd w:id="1457"/>
      <w:r>
        <w:rPr>
          <w:rtl w:val="true"/>
        </w:rPr>
        <w:t>مسألة</w:t>
      </w:r>
      <w:r>
        <w:rPr>
          <w:rtl w:val="true"/>
        </w:rPr>
        <w:t>:</w:t>
      </w:r>
      <w:r>
        <w:rPr>
          <w:rtl w:val="true"/>
        </w:rPr>
        <w:t>و يستحبّ الغسل في يومي</w:t>
      </w:r>
      <w:r>
        <w:rPr>
          <w:rtl w:val="true"/>
        </w:rPr>
        <w:t>:</w:t>
      </w:r>
      <w:r>
        <w:rPr>
          <w:rtl w:val="true"/>
        </w:rPr>
        <w:t>الفطر و الأضحى</w:t>
      </w:r>
      <w:r>
        <w:rPr>
          <w:rtl w:val="true"/>
        </w:rPr>
        <w:t>.</w:t>
      </w:r>
      <w:bookmarkEnd w:id="1458"/>
    </w:p>
    <w:p>
      <w:pPr>
        <w:pStyle w:val="BookText"/>
        <w:rPr/>
      </w:pPr>
      <w:r>
        <w:rPr>
          <w:rFonts w:ascii="Amiri" w:hAnsi="Amiri" w:eastAsia="Amiri" w:cs="Amiri"/>
          <w:color w:val="111111"/>
          <w:sz w:val="28"/>
          <w:sz w:val="28"/>
          <w:szCs w:val="28"/>
          <w:rtl w:val="true"/>
          <w:lang w:bidi="ar-SA"/>
        </w:rPr>
        <w:t xml:space="preserve">و به قال عليّ عليه السّلام،و ذهب إليه علقمة،و عروة،و عطاء،و النّخعيّ،و الشّعبيّ،و قتادة،و أبو الزّناد </w:t>
      </w:r>
      <w:r>
        <w:rPr>
          <w:rStyle w:val="FootnoteAnchor"/>
          <w:rtl w:val="true"/>
        </w:rPr>
        <w:footnoteReference w:id="2534"/>
      </w:r>
      <w:r>
        <w:rPr>
          <w:rFonts w:ascii="Amiri" w:hAnsi="Amiri" w:eastAsia="Amiri" w:cs="Amiri"/>
          <w:color w:val="111111"/>
          <w:sz w:val="28"/>
          <w:sz w:val="28"/>
          <w:szCs w:val="28"/>
          <w:rtl w:val="true"/>
          <w:lang w:bidi="ar-SA"/>
        </w:rPr>
        <w:t xml:space="preserve">،و مالك </w:t>
      </w:r>
      <w:r>
        <w:rPr>
          <w:rStyle w:val="FootnoteAnchor"/>
          <w:rtl w:val="true"/>
        </w:rPr>
        <w:footnoteReference w:id="2535"/>
      </w:r>
      <w:r>
        <w:rPr>
          <w:rFonts w:ascii="Amiri" w:hAnsi="Amiri" w:eastAsia="Amiri" w:cs="Amiri"/>
          <w:color w:val="111111"/>
          <w:sz w:val="28"/>
          <w:sz w:val="28"/>
          <w:szCs w:val="28"/>
          <w:rtl w:val="true"/>
          <w:lang w:bidi="ar-SA"/>
        </w:rPr>
        <w:t xml:space="preserve">،و الشّافعيّ </w:t>
      </w:r>
      <w:r>
        <w:rPr>
          <w:rStyle w:val="FootnoteAnchor"/>
          <w:rtl w:val="true"/>
        </w:rPr>
        <w:footnoteReference w:id="2536"/>
      </w:r>
      <w:r>
        <w:rPr>
          <w:rFonts w:ascii="Amiri" w:hAnsi="Amiri" w:eastAsia="Amiri" w:cs="Amiri"/>
          <w:color w:val="111111"/>
          <w:sz w:val="28"/>
          <w:sz w:val="28"/>
          <w:szCs w:val="28"/>
          <w:rtl w:val="true"/>
          <w:lang w:bidi="ar-SA"/>
        </w:rPr>
        <w:t xml:space="preserve">،لما رواه ابن عباس،عن رسول اللّه صلّى اللّه عليه و آله كان يغتسل يوم الفطر و الأضحى </w:t>
      </w:r>
      <w:r>
        <w:rPr>
          <w:rStyle w:val="FootnoteAnchor"/>
          <w:rtl w:val="true"/>
        </w:rPr>
        <w:footnoteReference w:id="25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عنه عليه السّلام انّه قال في جمعة من الجمع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يوم جعله اللّه عيدا للمسلمين فاغتسلوا،و من كان عنده طيب فلا يضرّه أن يمسّ منه و عليكم بالسّواك</w:t>
      </w:r>
      <w:r>
        <w:rPr>
          <w:rFonts w:eastAsia="Amiri" w:cs="Amiri" w:ascii="Amiri" w:hAnsi="Amiri"/>
          <w:color w:val="111111"/>
          <w:sz w:val="28"/>
          <w:szCs w:val="28"/>
          <w:rtl w:val="true"/>
          <w:lang w:bidi="ar-SA"/>
        </w:rPr>
        <w:t xml:space="preserve">) </w:t>
      </w:r>
      <w:r>
        <w:rPr>
          <w:rStyle w:val="FootnoteAnchor"/>
          <w:rtl w:val="true"/>
        </w:rPr>
        <w:footnoteReference w:id="2538"/>
      </w:r>
      <w:r>
        <w:rPr>
          <w:rFonts w:ascii="Amiri" w:hAnsi="Amiri" w:eastAsia="Amiri" w:cs="Amiri"/>
          <w:color w:val="111111"/>
          <w:sz w:val="28"/>
          <w:sz w:val="28"/>
          <w:szCs w:val="28"/>
          <w:rtl w:val="true"/>
          <w:lang w:bidi="ar-SA"/>
        </w:rPr>
        <w:t>علّل هذه الأشياء بكون الجمعة عيدا،فيثبت الحكم في الأصل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طريق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الشّيخ،عن سماعة،عن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غسل يوم الفطر و غسل يوم الأضحى سنّة لا أحبّ تركها</w:t>
      </w:r>
      <w:r>
        <w:rPr>
          <w:rFonts w:eastAsia="Amiri" w:cs="Amiri" w:ascii="Amiri" w:hAnsi="Amiri"/>
          <w:color w:val="111111"/>
          <w:sz w:val="28"/>
          <w:szCs w:val="28"/>
          <w:rtl w:val="true"/>
          <w:lang w:bidi="ar-SA"/>
        </w:rPr>
        <w:t xml:space="preserve">» </w:t>
      </w:r>
      <w:r>
        <w:rPr>
          <w:rStyle w:val="FootnoteAnchor"/>
          <w:rtl w:val="true"/>
        </w:rPr>
        <w:footnoteReference w:id="25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رواه،عن محمّد بن مسلم،عن أبي جعفر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الغسل من الجنابة و غسل الجمعة و العيدين</w:t>
      </w:r>
      <w:r>
        <w:rPr>
          <w:rFonts w:eastAsia="Amiri" w:cs="Amiri" w:ascii="Amiri" w:hAnsi="Amiri"/>
          <w:color w:val="111111"/>
          <w:sz w:val="28"/>
          <w:szCs w:val="28"/>
          <w:rtl w:val="true"/>
          <w:lang w:bidi="ar-SA"/>
        </w:rPr>
        <w:t xml:space="preserve">» </w:t>
      </w:r>
      <w:r>
        <w:rPr>
          <w:rStyle w:val="FootnoteAnchor"/>
          <w:rtl w:val="true"/>
        </w:rPr>
        <w:footnoteReference w:id="2540"/>
      </w:r>
      <w:r>
        <w:rPr>
          <w:rFonts w:eastAsia="Times New Roman" w:cs="Times New Roman" w:ascii="Times New Roman" w:hAnsi="Times New Roman"/>
          <w:color w:val="111111"/>
          <w:sz w:val="28"/>
          <w:szCs w:val="28"/>
          <w:rtl w:val="true"/>
          <w:lang w:val="en-US" w:bidi="en-US"/>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رواه في الصّحيح،عن الحلبيّ،عن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اغتسل يوم الأضحى و الفطر</w:t>
      </w:r>
      <w:r>
        <w:rPr>
          <w:rFonts w:eastAsia="Amiri" w:cs="Amiri" w:ascii="Amiri" w:hAnsi="Amiri"/>
          <w:color w:val="111111"/>
          <w:sz w:val="28"/>
          <w:szCs w:val="28"/>
          <w:rtl w:val="true"/>
          <w:lang w:bidi="ar-SA"/>
        </w:rPr>
        <w:t xml:space="preserve">» </w:t>
      </w:r>
      <w:r>
        <w:rPr>
          <w:rStyle w:val="FootnoteAnchor"/>
          <w:rtl w:val="true"/>
        </w:rPr>
        <w:footnoteReference w:id="2541"/>
      </w:r>
      <w:r>
        <w:rPr>
          <w:rFonts w:ascii="Amiri" w:hAnsi="Amiri" w:eastAsia="Amiri" w:cs="Amiri"/>
          <w:color w:val="111111"/>
          <w:sz w:val="28"/>
          <w:sz w:val="28"/>
          <w:szCs w:val="28"/>
          <w:rtl w:val="true"/>
          <w:lang w:bidi="ar-SA"/>
        </w:rPr>
        <w:t xml:space="preserve">و ليس الأمر هاهنا للإيجاب فيبقى الرّجحان المطلق مرادا و هو </w:t>
      </w:r>
      <w:bookmarkStart w:id="1459" w:name="pg12669_113263"/>
    </w:p>
    <w:p>
      <w:pPr>
        <w:pStyle w:val="BookText"/>
        <w:rPr/>
      </w:pPr>
      <w:bookmarkEnd w:id="1459"/>
      <w:r>
        <w:rPr>
          <w:rFonts w:ascii="Amiri" w:hAnsi="Amiri" w:eastAsia="Amiri" w:cs="Amiri"/>
          <w:color w:val="111111"/>
          <w:sz w:val="28"/>
          <w:sz w:val="28"/>
          <w:szCs w:val="28"/>
          <w:rtl w:val="true"/>
          <w:lang w:bidi="ar-SA"/>
        </w:rPr>
        <w:t>دالّ على النّدبيّة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رواه في الصّحيح،عن محمّد بن مسلم،عن أحدهما عليهما السّلام،قال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الغسل في سبعة عشر موطنا</w:t>
      </w:r>
      <w:r>
        <w:rPr>
          <w:rFonts w:eastAsia="Amiri" w:cs="Amiri" w:ascii="Amiri" w:hAnsi="Amiri"/>
          <w:color w:val="111111"/>
          <w:sz w:val="28"/>
          <w:szCs w:val="28"/>
          <w:rtl w:val="true"/>
          <w:lang w:bidi="ar-SA"/>
        </w:rPr>
        <w:t xml:space="preserve">» </w:t>
      </w:r>
      <w:r>
        <w:rPr>
          <w:rStyle w:val="FootnoteAnchor"/>
          <w:rtl w:val="true"/>
        </w:rPr>
        <w:footnoteReference w:id="2542"/>
      </w:r>
      <w:r>
        <w:rPr>
          <w:rFonts w:ascii="Amiri" w:hAnsi="Amiri" w:eastAsia="Amiri" w:cs="Amiri"/>
          <w:color w:val="111111"/>
          <w:sz w:val="28"/>
          <w:sz w:val="28"/>
          <w:szCs w:val="28"/>
          <w:rtl w:val="true"/>
          <w:lang w:bidi="ar-SA"/>
        </w:rPr>
        <w:t>و عدّ منها يوم العيدين</w:t>
      </w:r>
      <w:r>
        <w:rPr>
          <w:rFonts w:eastAsia="Amiri" w:cs="Amiri" w:ascii="Amiri" w:hAnsi="Amiri"/>
          <w:color w:val="111111"/>
          <w:sz w:val="28"/>
          <w:szCs w:val="28"/>
          <w:rtl w:val="true"/>
          <w:lang w:bidi="ar-SA"/>
        </w:rPr>
        <w:t>.</w:t>
      </w:r>
    </w:p>
    <w:p>
      <w:pPr>
        <w:pStyle w:val="Heading6"/>
        <w:numPr>
          <w:ilvl w:val="5"/>
          <w:numId w:val="1"/>
        </w:numPr>
        <w:rPr/>
      </w:pPr>
      <w:bookmarkStart w:id="1460" w:name="__RefHeading___Toc796323_222507752"/>
      <w:bookmarkStart w:id="1461" w:name="_Toc601"/>
      <w:bookmarkEnd w:id="1460"/>
      <w:r>
        <w:rPr>
          <w:rtl w:val="true"/>
        </w:rPr>
        <w:t>فروع</w:t>
      </w:r>
      <w:r>
        <w:rPr>
          <w:rtl w:val="true"/>
        </w:rPr>
        <w:t>:</w:t>
      </w:r>
      <w:bookmarkEnd w:id="1461"/>
    </w:p>
    <w:p>
      <w:pPr>
        <w:pStyle w:val="Heading6"/>
        <w:numPr>
          <w:ilvl w:val="5"/>
          <w:numId w:val="1"/>
        </w:numPr>
        <w:rPr/>
      </w:pPr>
      <w:bookmarkStart w:id="1462" w:name="__RefHeading___Toc796325_222507752"/>
      <w:bookmarkStart w:id="1463" w:name="_Toc602"/>
      <w:bookmarkEnd w:id="1462"/>
      <w:r>
        <w:rPr>
          <w:rtl w:val="true"/>
        </w:rPr>
        <w:t>الأوّل</w:t>
      </w:r>
      <w:r>
        <w:rPr>
          <w:rtl w:val="true"/>
        </w:rPr>
        <w:t>:</w:t>
      </w:r>
      <w:r>
        <w:rPr>
          <w:rtl w:val="true"/>
        </w:rPr>
        <w:t>وقت الغسل بعد طلوع الفجر</w:t>
      </w:r>
      <w:r>
        <w:rPr>
          <w:rtl w:val="true"/>
        </w:rPr>
        <w:t>.</w:t>
      </w:r>
      <w:bookmarkEnd w:id="1463"/>
    </w:p>
    <w:p>
      <w:pPr>
        <w:pStyle w:val="BookText"/>
        <w:rPr/>
      </w:pPr>
      <w:r>
        <w:rPr>
          <w:rFonts w:ascii="Amiri" w:hAnsi="Amiri" w:eastAsia="Amiri" w:cs="Amiri"/>
          <w:color w:val="111111"/>
          <w:sz w:val="28"/>
          <w:sz w:val="28"/>
          <w:szCs w:val="28"/>
          <w:rtl w:val="true"/>
          <w:lang w:bidi="ar-SA"/>
        </w:rPr>
        <w:t xml:space="preserve">خلافا لأحمد في أحد قوليه </w:t>
      </w:r>
      <w:r>
        <w:rPr>
          <w:rStyle w:val="FootnoteAnchor"/>
          <w:rtl w:val="true"/>
        </w:rPr>
        <w:footnoteReference w:id="25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اليوم إنّما يطلق على ما بعد الفجر،فلم يجز قبله كغسل الجمعة،و لأنّه أبلغ في التّنظيف</w:t>
      </w:r>
      <w:r>
        <w:rPr>
          <w:rFonts w:eastAsia="Amiri" w:cs="Amiri" w:ascii="Amiri" w:hAnsi="Amiri"/>
          <w:color w:val="111111"/>
          <w:sz w:val="28"/>
          <w:szCs w:val="28"/>
          <w:rtl w:val="true"/>
          <w:lang w:bidi="ar-SA"/>
        </w:rPr>
        <w:t>.</w:t>
      </w:r>
    </w:p>
    <w:p>
      <w:pPr>
        <w:pStyle w:val="Heading6"/>
        <w:numPr>
          <w:ilvl w:val="5"/>
          <w:numId w:val="1"/>
        </w:numPr>
        <w:rPr/>
      </w:pPr>
      <w:bookmarkStart w:id="1464" w:name="__RefHeading___Toc796327_222507752"/>
      <w:bookmarkStart w:id="1465" w:name="_Toc603"/>
      <w:bookmarkEnd w:id="1464"/>
      <w:r>
        <w:rPr>
          <w:rtl w:val="true"/>
        </w:rPr>
        <w:t>الثّاني</w:t>
      </w:r>
      <w:r>
        <w:rPr>
          <w:rtl w:val="true"/>
        </w:rPr>
        <w:t>:</w:t>
      </w:r>
      <w:r>
        <w:rPr>
          <w:rtl w:val="true"/>
        </w:rPr>
        <w:t>هل يمتدّ وقته بامتداد اليوم،الأقرب أنّه مضيّق عند الصّلاة،</w:t>
      </w:r>
      <w:bookmarkEnd w:id="1465"/>
    </w:p>
    <w:p>
      <w:pPr>
        <w:pStyle w:val="BookText"/>
        <w:rPr/>
      </w:pPr>
      <w:r>
        <w:rPr>
          <w:rFonts w:ascii="Amiri" w:hAnsi="Amiri" w:eastAsia="Amiri" w:cs="Amiri"/>
          <w:color w:val="111111"/>
          <w:sz w:val="28"/>
          <w:sz w:val="28"/>
          <w:szCs w:val="28"/>
          <w:rtl w:val="true"/>
          <w:lang w:bidi="ar-SA"/>
        </w:rPr>
        <w:t>لأنّ المقصود منه التّنظيف للاجتماع في الصّلاة،و إن كان اللّفظ الوارد دالاّ على امتداد وقته</w:t>
      </w:r>
      <w:r>
        <w:rPr>
          <w:rFonts w:eastAsia="Amiri" w:cs="Amiri" w:ascii="Amiri" w:hAnsi="Amiri"/>
          <w:color w:val="111111"/>
          <w:sz w:val="28"/>
          <w:szCs w:val="28"/>
          <w:rtl w:val="true"/>
          <w:lang w:bidi="ar-SA"/>
        </w:rPr>
        <w:t>.</w:t>
      </w:r>
    </w:p>
    <w:p>
      <w:pPr>
        <w:pStyle w:val="Heading6"/>
        <w:numPr>
          <w:ilvl w:val="5"/>
          <w:numId w:val="1"/>
        </w:numPr>
        <w:rPr/>
      </w:pPr>
      <w:bookmarkStart w:id="1466" w:name="__RefHeading___Toc796329_222507752"/>
      <w:bookmarkStart w:id="1467" w:name="_Toc604"/>
      <w:bookmarkEnd w:id="1466"/>
      <w:r>
        <w:rPr>
          <w:rtl w:val="true"/>
        </w:rPr>
        <w:t>الثّالث</w:t>
      </w:r>
      <w:r>
        <w:rPr>
          <w:rtl w:val="true"/>
        </w:rPr>
        <w:t>:</w:t>
      </w:r>
      <w:r>
        <w:rPr>
          <w:rtl w:val="true"/>
        </w:rPr>
        <w:t>لو فات لم يستحبّ قضاؤه،</w:t>
      </w:r>
      <w:bookmarkEnd w:id="1467"/>
    </w:p>
    <w:p>
      <w:pPr>
        <w:pStyle w:val="BookText"/>
        <w:rPr/>
      </w:pPr>
      <w:r>
        <w:rPr>
          <w:rFonts w:ascii="Amiri" w:hAnsi="Amiri" w:eastAsia="Amiri" w:cs="Amiri"/>
          <w:color w:val="111111"/>
          <w:sz w:val="28"/>
          <w:sz w:val="28"/>
          <w:szCs w:val="28"/>
          <w:rtl w:val="true"/>
          <w:lang w:bidi="ar-SA"/>
        </w:rPr>
        <w:t>لأنّ الأمر تعلّق بنفس اليوم،فلا يتعدّى إلى غيره،و لأنّ المقصود الاجتماع،و هو قد فات</w:t>
      </w:r>
      <w:r>
        <w:rPr>
          <w:rFonts w:eastAsia="Amiri" w:cs="Amiri" w:ascii="Amiri" w:hAnsi="Amiri"/>
          <w:color w:val="111111"/>
          <w:sz w:val="28"/>
          <w:szCs w:val="28"/>
          <w:rtl w:val="true"/>
          <w:lang w:bidi="ar-SA"/>
        </w:rPr>
        <w:t>.</w:t>
      </w:r>
    </w:p>
    <w:p>
      <w:pPr>
        <w:pStyle w:val="Heading6"/>
        <w:numPr>
          <w:ilvl w:val="5"/>
          <w:numId w:val="1"/>
        </w:numPr>
        <w:rPr/>
      </w:pPr>
      <w:bookmarkStart w:id="1468" w:name="__RefHeading___Toc796331_222507752"/>
      <w:bookmarkStart w:id="1469" w:name="_Toc605"/>
      <w:bookmarkEnd w:id="1468"/>
      <w:r>
        <w:rPr>
          <w:rtl w:val="true"/>
        </w:rPr>
        <w:t>الرّابع</w:t>
      </w:r>
      <w:r>
        <w:rPr>
          <w:rtl w:val="true"/>
        </w:rPr>
        <w:t>:</w:t>
      </w:r>
      <w:r>
        <w:rPr>
          <w:rtl w:val="true"/>
        </w:rPr>
        <w:t>الأقرب استحبابه على النّساء و من لا يحضر العيد</w:t>
      </w:r>
      <w:bookmarkEnd w:id="1469"/>
    </w:p>
    <w:p>
      <w:pPr>
        <w:pStyle w:val="BookText"/>
        <w:rPr/>
      </w:pPr>
      <w:r>
        <w:rPr>
          <w:rFonts w:ascii="Amiri" w:hAnsi="Amiri" w:eastAsia="Amiri" w:cs="Amiri"/>
          <w:color w:val="111111"/>
          <w:sz w:val="28"/>
          <w:sz w:val="28"/>
          <w:szCs w:val="28"/>
          <w:rtl w:val="true"/>
          <w:lang w:bidi="ar-SA"/>
        </w:rPr>
        <w:t>كالجمعة،و إن كان اللّفظ لم يدلّ بالنّصّ على ذلك إلاّ في رواية زرارة،عن أحدهما عليهما السّلام،قال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المرأة يجزيها غسل واحد لجنابتها و إحرامها و جمعتها و غسلها من حيضها و عيدها</w:t>
      </w:r>
      <w:r>
        <w:rPr>
          <w:rFonts w:eastAsia="Amiri" w:cs="Amiri" w:ascii="Amiri" w:hAnsi="Amiri"/>
          <w:color w:val="111111"/>
          <w:sz w:val="28"/>
          <w:szCs w:val="28"/>
          <w:rtl w:val="true"/>
          <w:lang w:bidi="ar-SA"/>
        </w:rPr>
        <w:t xml:space="preserve">» </w:t>
      </w:r>
      <w:r>
        <w:rPr>
          <w:rStyle w:val="FootnoteAnchor"/>
          <w:rtl w:val="true"/>
        </w:rPr>
        <w:footnoteReference w:id="2544"/>
      </w:r>
      <w:r>
        <w:rPr>
          <w:rFonts w:eastAsia="Times New Roman" w:cs="Times New Roman" w:ascii="Times New Roman" w:hAnsi="Times New Roman"/>
          <w:color w:val="111111"/>
          <w:sz w:val="28"/>
          <w:szCs w:val="28"/>
          <w:rtl w:val="true"/>
          <w:lang w:val="en-US" w:bidi="en-US"/>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هل يستحبّ للصّبيان؟قالت الشّافعيّة به،لأنّ المراد هاهنا التّنظيف للتّجمّل و الزّينة،بخلاف الجمعة،لأنّ القصد فيه زوال الرّائحة </w:t>
      </w:r>
      <w:r>
        <w:rPr>
          <w:rStyle w:val="FootnoteAnchor"/>
          <w:rtl w:val="true"/>
        </w:rPr>
        <w:footnoteReference w:id="2545"/>
      </w:r>
      <w:r>
        <w:rPr>
          <w:rFonts w:ascii="Amiri" w:hAnsi="Amiri" w:eastAsia="Amiri" w:cs="Amiri"/>
          <w:color w:val="111111"/>
          <w:sz w:val="28"/>
          <w:sz w:val="28"/>
          <w:szCs w:val="28"/>
          <w:rtl w:val="true"/>
          <w:lang w:bidi="ar-SA"/>
        </w:rPr>
        <w:t>،و عندي في ذلك نظر</w:t>
      </w:r>
      <w:r>
        <w:rPr>
          <w:rFonts w:eastAsia="Amiri" w:cs="Amiri" w:ascii="Amiri" w:hAnsi="Amiri"/>
          <w:color w:val="111111"/>
          <w:sz w:val="28"/>
          <w:szCs w:val="28"/>
          <w:rtl w:val="true"/>
          <w:lang w:bidi="ar-SA"/>
        </w:rPr>
        <w:t xml:space="preserve">. </w:t>
      </w:r>
      <w:bookmarkStart w:id="1470" w:name="pg12669_113264"/>
    </w:p>
    <w:p>
      <w:pPr>
        <w:pStyle w:val="Heading6"/>
        <w:numPr>
          <w:ilvl w:val="5"/>
          <w:numId w:val="1"/>
        </w:numPr>
        <w:rPr/>
      </w:pPr>
      <w:bookmarkStart w:id="1471" w:name="__RefHeading___Toc796333_222507752"/>
      <w:bookmarkStart w:id="1472" w:name="_Toc606"/>
      <w:bookmarkEnd w:id="1470"/>
      <w:bookmarkEnd w:id="1471"/>
      <w:r>
        <w:rPr>
          <w:rtl w:val="true"/>
        </w:rPr>
        <w:t>الخامس</w:t>
      </w:r>
      <w:r>
        <w:rPr>
          <w:rtl w:val="true"/>
        </w:rPr>
        <w:t>:</w:t>
      </w:r>
      <w:r>
        <w:rPr>
          <w:rtl w:val="true"/>
        </w:rPr>
        <w:t>لا بدّ فيه من النّيّة،</w:t>
      </w:r>
      <w:bookmarkEnd w:id="1472"/>
    </w:p>
    <w:p>
      <w:pPr>
        <w:pStyle w:val="BookText"/>
        <w:rPr/>
      </w:pPr>
      <w:r>
        <w:rPr>
          <w:rFonts w:ascii="Amiri" w:hAnsi="Amiri" w:eastAsia="Amiri" w:cs="Amiri"/>
          <w:color w:val="111111"/>
          <w:sz w:val="28"/>
          <w:sz w:val="28"/>
          <w:szCs w:val="28"/>
          <w:rtl w:val="true"/>
          <w:lang w:bidi="ar-SA"/>
        </w:rPr>
        <w:t xml:space="preserve">لما قلناه في الجمعة </w:t>
      </w:r>
      <w:r>
        <w:rPr>
          <w:rStyle w:val="FootnoteAnchor"/>
          <w:rtl w:val="true"/>
        </w:rPr>
        <w:footnoteReference w:id="254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أحدث بعد الغسل أجزأه،لما بيّنّاه </w:t>
      </w:r>
      <w:r>
        <w:rPr>
          <w:rStyle w:val="FootnoteAnchor"/>
          <w:rtl w:val="true"/>
        </w:rPr>
        <w:footnoteReference w:id="2547"/>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w:t>
      </w:r>
    </w:p>
    <w:p>
      <w:pPr>
        <w:pStyle w:val="Heading6"/>
        <w:numPr>
          <w:ilvl w:val="5"/>
          <w:numId w:val="1"/>
        </w:numPr>
        <w:rPr/>
      </w:pPr>
      <w:bookmarkStart w:id="1473" w:name="__RefHeading___Toc796335_222507752"/>
      <w:bookmarkStart w:id="1474" w:name="_Toc607"/>
      <w:bookmarkEnd w:id="1473"/>
      <w:r>
        <w:rPr>
          <w:rtl w:val="true"/>
        </w:rPr>
        <w:t>مسألة</w:t>
      </w:r>
      <w:r>
        <w:rPr>
          <w:rtl w:val="true"/>
        </w:rPr>
        <w:t>:</w:t>
      </w:r>
      <w:r>
        <w:rPr>
          <w:rtl w:val="true"/>
        </w:rPr>
        <w:t>و يستحبّ الغسل</w:t>
      </w:r>
      <w:bookmarkEnd w:id="1474"/>
    </w:p>
    <w:p>
      <w:pPr>
        <w:pStyle w:val="BookText"/>
        <w:rPr/>
      </w:pPr>
      <w:r>
        <w:rPr>
          <w:rFonts w:ascii="Amiri" w:hAnsi="Amiri" w:eastAsia="Amiri" w:cs="Amiri"/>
          <w:color w:val="111111"/>
          <w:sz w:val="28"/>
          <w:sz w:val="28"/>
          <w:szCs w:val="28"/>
          <w:rtl w:val="true"/>
          <w:lang w:bidi="ar-SA"/>
        </w:rPr>
        <w:t>ليلة الفطر،و أوّل ليلة من شهر رمضان،و ليلة النّصف منه،و سبع عشرة،و تسع عشرة،و إحدى و عشرين،و ثلاث و عشرين،و ليلة النّصف من رجب،و يوم السّابع و العشرين منه،و ليلة النّصف من شعبان،و يوم الغدير،و يوم المباهلة،و يوم عرفة،و يوم التّروية،و يوم نيروز الفرس،لما رواه الشّيخ في الصّحيح، عن محمّد بن مسلم،عن أحدهما عليهما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الغسل في سبعة عشر موطنا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ليلة سبع عشرة من رمضان و هي ليلة التقى الجمعان،و ليلة تسع عشرة و فيها يكتب الوفد وفد 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ليلة إحدى و عشرين و هي اللّيلة الّتي أصيب فيها أوصياء الأنبياء و فيها رفع عيسى بن مريم و قبض موسى عليه السّلام،و ليلة ثلاث و عشرين يرجى فيها ليلة القدر،و يوم العيدين،و إذا دخلت الحرمين،و يوم تحرم،و يوم الزّيارة،و يوم تدخل البيت،و يوم التّروية،و يوم عرفة،و إذا غسّلت ميّتا،و كفّنته،أو مسسته بعد ما يبرد، و يوم الجمعة،و غسل الجنابة فريضة،و غسل الكسوف إذا احترق القرص كلّه فاغتسل</w:t>
      </w:r>
      <w:r>
        <w:rPr>
          <w:rFonts w:eastAsia="Amiri" w:cs="Amiri" w:ascii="Amiri" w:hAnsi="Amiri"/>
          <w:color w:val="111111"/>
          <w:sz w:val="28"/>
          <w:szCs w:val="28"/>
          <w:rtl w:val="true"/>
          <w:lang w:bidi="ar-SA"/>
        </w:rPr>
        <w:t xml:space="preserve">» </w:t>
      </w:r>
      <w:r>
        <w:rPr>
          <w:rStyle w:val="FootnoteAnchor"/>
          <w:rtl w:val="true"/>
        </w:rPr>
        <w:footnoteReference w:id="25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رواه،عن الحسن بن راشد،عن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ينبغي لنا أن نعمل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ليلة الفطر؟فقال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غربت الشّمس فاغتسل</w:t>
      </w:r>
      <w:r>
        <w:rPr>
          <w:rFonts w:eastAsia="Amiri" w:cs="Amiri" w:ascii="Amiri" w:hAnsi="Amiri"/>
          <w:color w:val="111111"/>
          <w:sz w:val="28"/>
          <w:szCs w:val="28"/>
          <w:rtl w:val="true"/>
          <w:lang w:bidi="ar-SA"/>
        </w:rPr>
        <w:t xml:space="preserve">» </w:t>
      </w:r>
      <w:r>
        <w:rPr>
          <w:rStyle w:val="FootnoteAnchor"/>
          <w:rtl w:val="true"/>
        </w:rPr>
        <w:footnoteReference w:id="2549"/>
      </w:r>
      <w:r>
        <w:rPr>
          <w:rFonts w:eastAsia="Times New Roman" w:cs="Times New Roman" w:ascii="Times New Roman" w:hAnsi="Times New Roman"/>
          <w:color w:val="111111"/>
          <w:sz w:val="28"/>
          <w:szCs w:val="28"/>
          <w:rtl w:val="true"/>
          <w:lang w:val="en-US" w:bidi="en-US"/>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رواه،عن أبي بصير،عن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صوموا شعبان </w:t>
      </w:r>
      <w:bookmarkStart w:id="1475" w:name="pg12669_113265"/>
    </w:p>
    <w:p>
      <w:pPr>
        <w:pStyle w:val="BookText"/>
        <w:rPr/>
      </w:pPr>
      <w:bookmarkEnd w:id="1475"/>
      <w:r>
        <w:rPr>
          <w:rFonts w:ascii="Amiri" w:hAnsi="Amiri" w:eastAsia="Amiri" w:cs="Amiri"/>
          <w:color w:val="111111"/>
          <w:sz w:val="28"/>
          <w:sz w:val="28"/>
          <w:szCs w:val="28"/>
          <w:rtl w:val="true"/>
          <w:lang w:bidi="ar-SA"/>
        </w:rPr>
        <w:t>و اغتسلوا ليلة النّصف منه،ذلك تخفيف من ربّكم</w:t>
      </w:r>
      <w:r>
        <w:rPr>
          <w:rFonts w:eastAsia="Amiri" w:cs="Amiri" w:ascii="Amiri" w:hAnsi="Amiri"/>
          <w:color w:val="111111"/>
          <w:sz w:val="28"/>
          <w:szCs w:val="28"/>
          <w:rtl w:val="true"/>
          <w:lang w:bidi="ar-SA"/>
        </w:rPr>
        <w:t xml:space="preserve">» </w:t>
      </w:r>
      <w:r>
        <w:rPr>
          <w:rStyle w:val="FootnoteAnchor"/>
          <w:rtl w:val="true"/>
        </w:rPr>
        <w:footnoteReference w:id="25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رواه،عن سماعة،عن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غسل المباهلة واجب</w:t>
      </w:r>
      <w:r>
        <w:rPr>
          <w:rFonts w:eastAsia="Amiri" w:cs="Amiri" w:ascii="Amiri" w:hAnsi="Amiri"/>
          <w:color w:val="111111"/>
          <w:sz w:val="28"/>
          <w:szCs w:val="28"/>
          <w:rtl w:val="true"/>
          <w:lang w:bidi="ar-SA"/>
        </w:rPr>
        <w:t xml:space="preserve">» </w:t>
      </w:r>
      <w:r>
        <w:rPr>
          <w:rStyle w:val="FootnoteAnchor"/>
          <w:rtl w:val="true"/>
        </w:rPr>
        <w:footnoteReference w:id="2551"/>
      </w:r>
      <w:r>
        <w:rPr>
          <w:rFonts w:ascii="Amiri" w:hAnsi="Amiri" w:eastAsia="Amiri" w:cs="Amiri"/>
          <w:color w:val="111111"/>
          <w:sz w:val="28"/>
          <w:sz w:val="28"/>
          <w:szCs w:val="28"/>
          <w:rtl w:val="true"/>
          <w:lang w:bidi="ar-SA"/>
        </w:rPr>
        <w:t>أراد به شدّة الاستحباب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غسل أوّل ليلة من شهر رمضان يستحبّ</w:t>
      </w:r>
      <w:r>
        <w:rPr>
          <w:rFonts w:eastAsia="Amiri" w:cs="Amiri" w:ascii="Amiri" w:hAnsi="Amiri"/>
          <w:color w:val="111111"/>
          <w:sz w:val="28"/>
          <w:szCs w:val="28"/>
          <w:rtl w:val="true"/>
          <w:lang w:bidi="ar-SA"/>
        </w:rPr>
        <w:t xml:space="preserve">» </w:t>
      </w:r>
      <w:r>
        <w:rPr>
          <w:rStyle w:val="FootnoteAnchor"/>
          <w:rtl w:val="true"/>
        </w:rPr>
        <w:footnoteReference w:id="2552"/>
      </w:r>
      <w:r>
        <w:rPr>
          <w:rFonts w:ascii="Amiri" w:hAnsi="Amiri" w:eastAsia="Amiri" w:cs="Amiri"/>
          <w:color w:val="111111"/>
          <w:sz w:val="28"/>
          <w:sz w:val="28"/>
          <w:szCs w:val="28"/>
          <w:rtl w:val="true"/>
          <w:lang w:bidi="ar-SA"/>
        </w:rPr>
        <w:t>و باقي الأوقات يستحبّ فيها الزّيارة،لما يأتي،فيستحبّ فيها الغسل</w:t>
      </w:r>
      <w:r>
        <w:rPr>
          <w:rFonts w:eastAsia="Amiri" w:cs="Amiri" w:ascii="Amiri" w:hAnsi="Amiri"/>
          <w:color w:val="111111"/>
          <w:sz w:val="28"/>
          <w:szCs w:val="28"/>
          <w:rtl w:val="true"/>
          <w:lang w:bidi="ar-SA"/>
        </w:rPr>
        <w:t>.</w:t>
      </w:r>
    </w:p>
    <w:p>
      <w:pPr>
        <w:pStyle w:val="Heading5"/>
        <w:numPr>
          <w:ilvl w:val="4"/>
          <w:numId w:val="1"/>
        </w:numPr>
        <w:rPr/>
      </w:pPr>
      <w:bookmarkStart w:id="1476" w:name="__RefHeading___Toc796337_222507752"/>
      <w:bookmarkStart w:id="1477" w:name="_Toc608"/>
      <w:bookmarkEnd w:id="1476"/>
      <w:r>
        <w:rPr>
          <w:rtl w:val="true"/>
        </w:rPr>
        <w:t>الثّاني</w:t>
      </w:r>
      <w:r>
        <w:rPr>
          <w:rtl w:val="true"/>
        </w:rPr>
        <w:t>:</w:t>
      </w:r>
      <w:r>
        <w:rPr>
          <w:rtl w:val="true"/>
        </w:rPr>
        <w:t>ما يستحبّ للمكان،</w:t>
      </w:r>
      <w:bookmarkEnd w:id="1477"/>
    </w:p>
    <w:p>
      <w:pPr>
        <w:pStyle w:val="BookText"/>
        <w:rPr/>
      </w:pPr>
      <w:r>
        <w:rPr>
          <w:rFonts w:ascii="IRNazanin" w:hAnsi="IRNazanin" w:eastAsia="IRNazanin"/>
          <w:color w:val="111111"/>
          <w:sz w:val="28"/>
          <w:sz w:val="28"/>
          <w:szCs w:val="28"/>
          <w:rtl w:val="true"/>
          <w:lang w:bidi="fa-IR"/>
        </w:rPr>
        <w:t>و هو أقسام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غسل دخول الحرم،و المسجد الحرام،و الكعبة،و المدينة،و مسجد النّبيّ صلّى اللّه عليه و آله،و مشاهد الأئمّة عليهم السّلام لقوله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دخلت الحرمين، و يوم تحرم،و يوم الزّيارة،و يوم تدخل البيت</w:t>
      </w:r>
      <w:r>
        <w:rPr>
          <w:rFonts w:eastAsia="Amiri" w:cs="Amiri" w:ascii="Amiri" w:hAnsi="Amiri"/>
          <w:color w:val="111111"/>
          <w:sz w:val="28"/>
          <w:szCs w:val="28"/>
          <w:rtl w:val="true"/>
          <w:lang w:bidi="ar-SA"/>
        </w:rPr>
        <w:t xml:space="preserve">» </w:t>
      </w:r>
      <w:r>
        <w:rPr>
          <w:rStyle w:val="FootnoteAnchor"/>
          <w:rtl w:val="true"/>
        </w:rPr>
        <w:footnoteReference w:id="25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حديث محمّد بن مسلم،عن أبي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حين تدخل الحرم، و إذا أردت دخول البيت الحرام،و إذا أردت دخول مسجد الرّسول صلّى اللّه عليه و آله</w:t>
      </w:r>
      <w:r>
        <w:rPr>
          <w:rFonts w:eastAsia="Amiri" w:cs="Amiri" w:ascii="Amiri" w:hAnsi="Amiri"/>
          <w:color w:val="111111"/>
          <w:sz w:val="28"/>
          <w:szCs w:val="28"/>
          <w:rtl w:val="true"/>
          <w:lang w:bidi="ar-SA"/>
        </w:rPr>
        <w:t xml:space="preserve">» </w:t>
      </w:r>
      <w:r>
        <w:rPr>
          <w:rStyle w:val="FootnoteAnchor"/>
          <w:rtl w:val="true"/>
        </w:rPr>
        <w:footnoteReference w:id="25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 ابن سنان الصّحيحة،عن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دخول مكّة و المدينة،و دخول الكعبة</w:t>
      </w:r>
      <w:r>
        <w:rPr>
          <w:rFonts w:eastAsia="Amiri" w:cs="Amiri" w:ascii="Amiri" w:hAnsi="Amiri"/>
          <w:color w:val="111111"/>
          <w:sz w:val="28"/>
          <w:szCs w:val="28"/>
          <w:rtl w:val="true"/>
          <w:lang w:bidi="ar-SA"/>
        </w:rPr>
        <w:t xml:space="preserve">» </w:t>
      </w:r>
      <w:r>
        <w:rPr>
          <w:rStyle w:val="FootnoteAnchor"/>
          <w:rtl w:val="true"/>
        </w:rPr>
        <w:footnoteReference w:id="255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78" w:name="__RefHeading___Toc796339_222507752"/>
      <w:bookmarkStart w:id="1479" w:name="_Toc609"/>
      <w:bookmarkEnd w:id="1478"/>
      <w:r>
        <w:rPr>
          <w:rtl w:val="true"/>
        </w:rPr>
        <w:t>الثالث</w:t>
      </w:r>
      <w:r>
        <w:rPr>
          <w:rtl w:val="true"/>
        </w:rPr>
        <w:t>:</w:t>
      </w:r>
      <w:r>
        <w:rPr>
          <w:rtl w:val="true"/>
        </w:rPr>
        <w:t>ما يستحبّ للفعل،</w:t>
      </w:r>
      <w:bookmarkEnd w:id="1479"/>
    </w:p>
    <w:p>
      <w:pPr>
        <w:pStyle w:val="Heading6"/>
        <w:numPr>
          <w:ilvl w:val="5"/>
          <w:numId w:val="1"/>
        </w:numPr>
        <w:rPr/>
      </w:pPr>
      <w:bookmarkStart w:id="1480" w:name="__RefHeading___Toc796341_222507752"/>
      <w:bookmarkStart w:id="1481" w:name="_Toc610"/>
      <w:bookmarkEnd w:id="1480"/>
      <w:r>
        <w:rPr>
          <w:rtl w:val="true"/>
        </w:rPr>
        <w:t>اشارة</w:t>
      </w:r>
      <w:bookmarkEnd w:id="1481"/>
    </w:p>
    <w:p>
      <w:pPr>
        <w:pStyle w:val="BookText"/>
        <w:rPr/>
      </w:pPr>
      <w:r>
        <w:rPr>
          <w:rFonts w:ascii="Amiri" w:hAnsi="Amiri" w:eastAsia="Amiri" w:cs="Amiri"/>
          <w:color w:val="111111"/>
          <w:sz w:val="28"/>
          <w:sz w:val="28"/>
          <w:szCs w:val="28"/>
          <w:rtl w:val="true"/>
          <w:lang w:bidi="ar-SA"/>
        </w:rPr>
        <w:t>و هي أمور</w:t>
      </w:r>
      <w:r>
        <w:rPr>
          <w:rFonts w:eastAsia="Amiri" w:cs="Amiri" w:ascii="Amiri" w:hAnsi="Amiri"/>
          <w:color w:val="111111"/>
          <w:sz w:val="28"/>
          <w:szCs w:val="28"/>
          <w:rtl w:val="true"/>
          <w:lang w:bidi="ar-SA"/>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غسل الإحرام،و الطّواف،و زيارة النّبيّ صلّى اللّه عليه و آله و الأئمّة عليهم </w:t>
      </w:r>
      <w:bookmarkStart w:id="1482" w:name="pg12669_113266"/>
    </w:p>
    <w:p>
      <w:pPr>
        <w:pStyle w:val="BookText"/>
        <w:rPr/>
      </w:pPr>
      <w:bookmarkEnd w:id="1482"/>
      <w:r>
        <w:rPr>
          <w:rFonts w:ascii="Amiri" w:hAnsi="Amiri" w:eastAsia="Amiri" w:cs="Amiri"/>
          <w:color w:val="111111"/>
          <w:sz w:val="28"/>
          <w:sz w:val="28"/>
          <w:szCs w:val="28"/>
          <w:rtl w:val="true"/>
          <w:lang w:bidi="ar-SA"/>
        </w:rPr>
        <w:t>السّلام،لما رواه سماعة،عن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غسل الزّيارة واجب إلاّ من علّة،و غسل المحرم واجب</w:t>
      </w:r>
      <w:r>
        <w:rPr>
          <w:rFonts w:eastAsia="Amiri" w:cs="Amiri" w:ascii="Amiri" w:hAnsi="Amiri"/>
          <w:color w:val="111111"/>
          <w:sz w:val="28"/>
          <w:szCs w:val="28"/>
          <w:rtl w:val="true"/>
          <w:lang w:bidi="ar-SA"/>
        </w:rPr>
        <w:t xml:space="preserve">» </w:t>
      </w:r>
      <w:r>
        <w:rPr>
          <w:rStyle w:val="FootnoteAnchor"/>
          <w:rtl w:val="true"/>
        </w:rPr>
        <w:footnoteReference w:id="2556"/>
      </w:r>
      <w:r>
        <w:rPr>
          <w:rFonts w:ascii="IRNazanin" w:hAnsi="IRNazanin" w:eastAsia="IRNazanin"/>
          <w:color w:val="111111"/>
          <w:sz w:val="28"/>
          <w:sz w:val="28"/>
          <w:szCs w:val="28"/>
          <w:rtl w:val="true"/>
          <w:lang w:bidi="fa-IR"/>
        </w:rPr>
        <w:t>و المراد الاستحباب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رواه الشّيخ،عن يونس،عن بعض رجاله،عن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الفرض من الغسل ثلاث</w:t>
      </w:r>
      <w:r>
        <w:rPr>
          <w:rFonts w:eastAsia="Amiri" w:cs="Amiri" w:ascii="Amiri" w:hAnsi="Amiri"/>
          <w:color w:val="111111"/>
          <w:sz w:val="28"/>
          <w:szCs w:val="28"/>
          <w:rtl w:val="true"/>
          <w:lang w:bidi="ar-SA"/>
        </w:rPr>
        <w:t xml:space="preserve">» </w:t>
      </w:r>
      <w:r>
        <w:rPr>
          <w:rStyle w:val="FootnoteAnchor"/>
          <w:rtl w:val="true"/>
        </w:rPr>
        <w:footnoteReference w:id="2557"/>
      </w:r>
      <w:r>
        <w:rPr>
          <w:rFonts w:ascii="IRNazanin" w:hAnsi="IRNazanin" w:eastAsia="IRNazanin"/>
          <w:color w:val="111111"/>
          <w:sz w:val="28"/>
          <w:sz w:val="28"/>
          <w:szCs w:val="28"/>
          <w:rtl w:val="true"/>
          <w:lang w:bidi="fa-IR"/>
        </w:rPr>
        <w:t>و عدّ منها غسل الإحرام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في رواية ابن سنان الصّحيحة،عن أبي عبد اللّه عليه السّلام و حين يحرم و غسل الزّيارة </w:t>
      </w:r>
      <w:r>
        <w:rPr>
          <w:rStyle w:val="FootnoteAnchor"/>
          <w:rtl w:val="true"/>
        </w:rPr>
        <w:footnoteReference w:id="255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483" w:name="__RefHeading___Toc796343_222507752"/>
      <w:bookmarkStart w:id="1484" w:name="_Toc611"/>
      <w:bookmarkEnd w:id="1483"/>
      <w:r>
        <w:rPr>
          <w:rtl w:val="true"/>
        </w:rPr>
        <w:t>فروع</w:t>
      </w:r>
      <w:bookmarkEnd w:id="1484"/>
    </w:p>
    <w:p>
      <w:pPr>
        <w:pStyle w:val="Heading6"/>
        <w:numPr>
          <w:ilvl w:val="5"/>
          <w:numId w:val="1"/>
        </w:numPr>
        <w:rPr/>
      </w:pPr>
      <w:bookmarkStart w:id="1485" w:name="__RefHeading___Toc796345_222507752"/>
      <w:bookmarkStart w:id="1486" w:name="_Toc612"/>
      <w:bookmarkEnd w:id="1485"/>
      <w:r>
        <w:rPr>
          <w:rtl w:val="true"/>
        </w:rPr>
        <w:t>الأوّل</w:t>
      </w:r>
      <w:r>
        <w:rPr>
          <w:rtl w:val="true"/>
        </w:rPr>
        <w:t>:</w:t>
      </w:r>
      <w:r>
        <w:rPr>
          <w:rtl w:val="true"/>
        </w:rPr>
        <w:t>الإحرام يعمّ إحرام الحجّ و العمرة،</w:t>
      </w:r>
      <w:bookmarkEnd w:id="1486"/>
    </w:p>
    <w:p>
      <w:pPr>
        <w:pStyle w:val="BookText"/>
        <w:rPr/>
      </w:pPr>
      <w:r>
        <w:rPr>
          <w:rFonts w:ascii="Amiri" w:hAnsi="Amiri" w:eastAsia="Amiri" w:cs="Amiri"/>
          <w:color w:val="111111"/>
          <w:sz w:val="28"/>
          <w:sz w:val="28"/>
          <w:szCs w:val="28"/>
          <w:rtl w:val="true"/>
          <w:lang w:bidi="ar-SA"/>
        </w:rPr>
        <w:t>فيعمّهما الحكم باستحباب الغسل</w:t>
      </w:r>
      <w:r>
        <w:rPr>
          <w:rFonts w:eastAsia="Amiri" w:cs="Amiri" w:ascii="Amiri" w:hAnsi="Amiri"/>
          <w:color w:val="111111"/>
          <w:sz w:val="28"/>
          <w:szCs w:val="28"/>
          <w:rtl w:val="true"/>
          <w:lang w:bidi="ar-SA"/>
        </w:rPr>
        <w:t>.</w:t>
      </w:r>
    </w:p>
    <w:p>
      <w:pPr>
        <w:pStyle w:val="Heading6"/>
        <w:numPr>
          <w:ilvl w:val="5"/>
          <w:numId w:val="1"/>
        </w:numPr>
        <w:rPr/>
      </w:pPr>
      <w:bookmarkStart w:id="1487" w:name="__RefHeading___Toc796347_222507752"/>
      <w:bookmarkStart w:id="1488" w:name="_Toc613"/>
      <w:bookmarkEnd w:id="1487"/>
      <w:r>
        <w:rPr>
          <w:rtl w:val="true"/>
        </w:rPr>
        <w:t>الثّاني</w:t>
      </w:r>
      <w:r>
        <w:rPr>
          <w:rtl w:val="true"/>
        </w:rPr>
        <w:t>:</w:t>
      </w:r>
      <w:r>
        <w:rPr>
          <w:rtl w:val="true"/>
        </w:rPr>
        <w:t>الزّيارة تعمّ زيارة النّبيّ صلّى اللّه عليه و آله و الأئمّة عليهم السّلام،</w:t>
      </w:r>
      <w:bookmarkEnd w:id="1488"/>
    </w:p>
    <w:p>
      <w:pPr>
        <w:pStyle w:val="BookText"/>
        <w:rPr/>
      </w:pPr>
      <w:r>
        <w:rPr>
          <w:rFonts w:ascii="Amiri" w:hAnsi="Amiri" w:eastAsia="Amiri" w:cs="Amiri"/>
          <w:color w:val="111111"/>
          <w:sz w:val="28"/>
          <w:sz w:val="28"/>
          <w:szCs w:val="28"/>
          <w:rtl w:val="true"/>
          <w:lang w:bidi="ar-SA"/>
        </w:rPr>
        <w:t>فيعمّ الاستحباب</w:t>
      </w:r>
      <w:r>
        <w:rPr>
          <w:rFonts w:eastAsia="Amiri" w:cs="Amiri" w:ascii="Amiri" w:hAnsi="Amiri"/>
          <w:color w:val="111111"/>
          <w:sz w:val="28"/>
          <w:szCs w:val="28"/>
          <w:rtl w:val="true"/>
          <w:lang w:bidi="ar-SA"/>
        </w:rPr>
        <w:t>.</w:t>
      </w:r>
    </w:p>
    <w:p>
      <w:pPr>
        <w:pStyle w:val="Heading6"/>
        <w:numPr>
          <w:ilvl w:val="5"/>
          <w:numId w:val="1"/>
        </w:numPr>
        <w:rPr/>
      </w:pPr>
      <w:bookmarkStart w:id="1489" w:name="__RefHeading___Toc796349_222507752"/>
      <w:bookmarkStart w:id="1490" w:name="_Toc614"/>
      <w:bookmarkEnd w:id="1489"/>
      <w:r>
        <w:rPr>
          <w:rtl w:val="true"/>
        </w:rPr>
        <w:t>الثّالث</w:t>
      </w:r>
      <w:r>
        <w:rPr>
          <w:rtl w:val="true"/>
        </w:rPr>
        <w:t>:</w:t>
      </w:r>
      <w:r>
        <w:rPr>
          <w:rtl w:val="true"/>
        </w:rPr>
        <w:t>هذا الحكم عام في الرّجال و النّساء،</w:t>
      </w:r>
      <w:bookmarkEnd w:id="1490"/>
    </w:p>
    <w:p>
      <w:pPr>
        <w:pStyle w:val="BookText"/>
        <w:rPr/>
      </w:pPr>
      <w:r>
        <w:rPr>
          <w:rFonts w:ascii="Amiri" w:hAnsi="Amiri" w:eastAsia="Amiri" w:cs="Amiri"/>
          <w:color w:val="111111"/>
          <w:sz w:val="28"/>
          <w:sz w:val="28"/>
          <w:szCs w:val="28"/>
          <w:rtl w:val="true"/>
          <w:lang w:bidi="ar-SA"/>
        </w:rPr>
        <w:t>لرواية زرارة عن أحدهما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كذلك المرأة يجزيها غسل واحد لجنابتها و إحرامها و غسلها من حيضها و عيدها</w:t>
      </w:r>
      <w:r>
        <w:rPr>
          <w:rFonts w:eastAsia="Amiri" w:cs="Amiri" w:ascii="Amiri" w:hAnsi="Amiri"/>
          <w:color w:val="111111"/>
          <w:sz w:val="28"/>
          <w:szCs w:val="28"/>
          <w:rtl w:val="true"/>
          <w:lang w:bidi="ar-SA"/>
        </w:rPr>
        <w:t xml:space="preserve">» </w:t>
      </w:r>
      <w:r>
        <w:rPr>
          <w:rStyle w:val="FootnoteAnchor"/>
          <w:rtl w:val="true"/>
        </w:rPr>
        <w:footnoteReference w:id="255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491" w:name="__RefHeading___Toc796351_222507752"/>
      <w:bookmarkStart w:id="1492" w:name="_Toc615"/>
      <w:bookmarkEnd w:id="1491"/>
      <w:r>
        <w:rPr>
          <w:rtl w:val="true"/>
        </w:rPr>
        <w:t>مسألة</w:t>
      </w:r>
      <w:r>
        <w:rPr>
          <w:rtl w:val="true"/>
        </w:rPr>
        <w:t>:</w:t>
      </w:r>
      <w:r>
        <w:rPr>
          <w:rtl w:val="true"/>
        </w:rPr>
        <w:t>و الغسل من توبة الفسق مستحبّ،</w:t>
      </w:r>
      <w:bookmarkEnd w:id="1492"/>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سواء كان الفسق مشتملا على كبيرة أو صغيرة،و هو مذهب علمائنا أجمع،لما رواه الشّيخ و ابن بابويه في كتابيهما،عن أبي </w:t>
      </w:r>
      <w:bookmarkStart w:id="1493" w:name="pg12669_113267"/>
    </w:p>
    <w:p>
      <w:pPr>
        <w:pStyle w:val="BookText"/>
        <w:rPr/>
      </w:pPr>
      <w:bookmarkEnd w:id="1493"/>
      <w:r>
        <w:rPr>
          <w:rFonts w:ascii="Amiri" w:hAnsi="Amiri" w:eastAsia="Amiri" w:cs="Amiri"/>
          <w:color w:val="111111"/>
          <w:sz w:val="28"/>
          <w:sz w:val="28"/>
          <w:szCs w:val="28"/>
          <w:rtl w:val="true"/>
          <w:lang w:bidi="ar-SA"/>
        </w:rPr>
        <w:t>عبد اللّه عليه السّلام انّه جاء إليه رجل،فقال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لي جيرانا و لهم جوار يتغنّين و يضر بن بالعود فربّما دخلت المخرج فأطيل الجلوس استماعا منّي لهنّ،فقال 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ما هو شيء آتيه برجلي إنّما هو سماع أسمعه بأذني، فقال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للّه أنت أ ما سمعت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السَّمْعَ وَ الْبَصَرَ وَ الْفُؤادَ كُلُّ أُولئِكَ كانَ عَنْهُ مَسْؤُلاً </w:t>
      </w:r>
      <w:r>
        <w:rPr>
          <w:rFonts w:eastAsia="Amiri" w:cs="Amiri" w:ascii="Amiri" w:hAnsi="Amiri"/>
          <w:color w:val="111111"/>
          <w:sz w:val="28"/>
          <w:szCs w:val="28"/>
          <w:rtl w:val="true"/>
          <w:lang w:bidi="ar-SA"/>
        </w:rPr>
        <w:t xml:space="preserve">» </w:t>
      </w:r>
      <w:r>
        <w:rPr>
          <w:rStyle w:val="FootnoteAnchor"/>
          <w:rtl w:val="true"/>
        </w:rPr>
        <w:footnoteReference w:id="2560"/>
      </w:r>
      <w:r>
        <w:rPr>
          <w:rFonts w:ascii="Amiri" w:hAnsi="Amiri" w:eastAsia="Amiri" w:cs="Amiri"/>
          <w:color w:val="111111"/>
          <w:sz w:val="28"/>
          <w:sz w:val="28"/>
          <w:szCs w:val="28"/>
          <w:rtl w:val="true"/>
          <w:lang w:bidi="ar-SA"/>
        </w:rPr>
        <w:t>فقال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كأنّي لم أسمع بهذه الآية من كتاب اللّه عزّ و جلّ من عربيّ و لا عجميّ،لا جرم انّي قد تركتها و انّي أستغفر اللّه،فقال له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 فاغتسل و صلّ ما بدا لك،فلقد كنت مقيما على أمر عظيم، ما كان أسوأ حالك لو متّ على ذلك،استغفر اللّه و اسأله التّوبة من كلّ ما يكره،فإنّه لا يكره إلاّ القبيح،و القبيح دعه لأهله فإنّ لكلّ أهلا</w:t>
      </w:r>
      <w:r>
        <w:rPr>
          <w:rFonts w:eastAsia="Amiri" w:cs="Amiri" w:ascii="Amiri" w:hAnsi="Amiri"/>
          <w:color w:val="111111"/>
          <w:sz w:val="28"/>
          <w:szCs w:val="28"/>
          <w:rtl w:val="true"/>
          <w:lang w:bidi="ar-SA"/>
        </w:rPr>
        <w:t xml:space="preserve">» </w:t>
      </w:r>
      <w:r>
        <w:rPr>
          <w:rStyle w:val="FootnoteAnchor"/>
          <w:rtl w:val="true"/>
        </w:rPr>
        <w:footnoteReference w:id="25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لأنّ الغسل طاعة في نفسه،فكان مستحبّا عقيب التّوبة ليظهر أثر العمل الصّالح</w:t>
      </w:r>
      <w:r>
        <w:rPr>
          <w:rFonts w:eastAsia="Amiri" w:cs="Amiri" w:ascii="Amiri" w:hAnsi="Amiri"/>
          <w:color w:val="111111"/>
          <w:sz w:val="28"/>
          <w:szCs w:val="28"/>
          <w:rtl w:val="true"/>
          <w:lang w:bidi="ar-SA"/>
        </w:rPr>
        <w:t>.</w:t>
      </w:r>
    </w:p>
    <w:p>
      <w:pPr>
        <w:pStyle w:val="Heading6"/>
        <w:numPr>
          <w:ilvl w:val="5"/>
          <w:numId w:val="1"/>
        </w:numPr>
        <w:rPr/>
      </w:pPr>
      <w:bookmarkStart w:id="1494" w:name="__RefHeading___Toc796353_222507752"/>
      <w:bookmarkStart w:id="1495" w:name="_Toc616"/>
      <w:bookmarkEnd w:id="1494"/>
      <w:r>
        <w:rPr>
          <w:rtl w:val="true"/>
        </w:rPr>
        <w:t>مسألة</w:t>
      </w:r>
      <w:r>
        <w:rPr>
          <w:rtl w:val="true"/>
        </w:rPr>
        <w:t>:</w:t>
      </w:r>
      <w:r>
        <w:rPr>
          <w:rtl w:val="true"/>
        </w:rPr>
        <w:t>و يستحبّ من توبة الكفر سواء كان ارتدادا،أو أصليّا،</w:t>
      </w:r>
      <w:bookmarkEnd w:id="1495"/>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اغتسل قبل إسلامه،أو لم يغتسل،إلاّ أن يوجد منه في حالة الكفر ما يوجب سبب الوجوب، فيجب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مذهب علمائنا أجمع،و اختاره أبو بكر القاضي </w:t>
      </w:r>
      <w:r>
        <w:rPr>
          <w:rStyle w:val="FootnoteAnchor"/>
          <w:rtl w:val="true"/>
        </w:rPr>
        <w:footnoteReference w:id="2562"/>
      </w:r>
      <w:r>
        <w:rPr>
          <w:rStyle w:val="FootnoteAnchor"/>
          <w:rtl w:val="true"/>
        </w:rPr>
        <w:footnoteReference w:id="2563"/>
      </w:r>
      <w:r>
        <w:rPr>
          <w:rFonts w:ascii="Amiri" w:hAnsi="Amiri" w:eastAsia="Amiri" w:cs="Amiri"/>
          <w:color w:val="111111"/>
          <w:sz w:val="28"/>
          <w:sz w:val="28"/>
          <w:szCs w:val="28"/>
          <w:rtl w:val="true"/>
          <w:lang w:bidi="ar-SA"/>
        </w:rPr>
        <w:t xml:space="preserve">،و هو مذهب الشّافعيّ </w:t>
      </w:r>
      <w:r>
        <w:rPr>
          <w:rStyle w:val="FootnoteAnchor"/>
          <w:rtl w:val="true"/>
        </w:rPr>
        <w:footnoteReference w:id="2564"/>
      </w:r>
      <w:r>
        <w:rPr>
          <w:rFonts w:ascii="Amiri" w:hAnsi="Amiri" w:eastAsia="Amiri" w:cs="Amiri"/>
          <w:color w:val="111111"/>
          <w:sz w:val="28"/>
          <w:sz w:val="28"/>
          <w:szCs w:val="28"/>
          <w:rtl w:val="true"/>
          <w:lang w:bidi="ar-SA"/>
        </w:rPr>
        <w:t xml:space="preserve">،و لم يوجب أبو حنيفة الغسل عليه بحال </w:t>
      </w:r>
      <w:r>
        <w:rPr>
          <w:rStyle w:val="FootnoteAnchor"/>
          <w:rtl w:val="true"/>
        </w:rPr>
        <w:footnoteReference w:id="2565"/>
      </w:r>
      <w:r>
        <w:rPr>
          <w:rFonts w:ascii="IRNazanin" w:hAnsi="IRNazanin" w:eastAsia="IRNazanin"/>
          <w:color w:val="111111"/>
          <w:sz w:val="28"/>
          <w:sz w:val="28"/>
          <w:szCs w:val="28"/>
          <w:rtl w:val="true"/>
          <w:lang w:bidi="fa-IR"/>
        </w:rPr>
        <w:t xml:space="preserve">،و أوجبه أحمد مطلقا </w:t>
      </w:r>
      <w:r>
        <w:rPr>
          <w:rStyle w:val="FootnoteAnchor"/>
          <w:rtl w:val="true"/>
        </w:rPr>
        <w:footnoteReference w:id="2566"/>
      </w:r>
      <w:r>
        <w:rPr>
          <w:rFonts w:ascii="IRNazanin" w:hAnsi="IRNazanin" w:eastAsia="IRNazanin"/>
          <w:color w:val="111111"/>
          <w:sz w:val="28"/>
          <w:sz w:val="28"/>
          <w:szCs w:val="28"/>
          <w:rtl w:val="true"/>
          <w:lang w:bidi="fa-IR"/>
        </w:rPr>
        <w:t xml:space="preserve">،و هو </w:t>
      </w:r>
    </w:p>
    <w:p>
      <w:pPr>
        <w:pStyle w:val="BookText"/>
        <w:rPr/>
      </w:pPr>
      <w:r>
        <w:rPr>
          <w:rFonts w:ascii="Amiri" w:hAnsi="Amiri" w:eastAsia="Amiri" w:cs="Amiri"/>
          <w:color w:val="111111"/>
          <w:sz w:val="28"/>
          <w:sz w:val="28"/>
          <w:szCs w:val="28"/>
          <w:rtl w:val="true"/>
          <w:lang w:bidi="ar-SA"/>
        </w:rPr>
        <w:t xml:space="preserve">مذهب مالك،و أبي ثور </w:t>
      </w:r>
      <w:r>
        <w:rPr>
          <w:rStyle w:val="FootnoteAnchor"/>
          <w:rtl w:val="true"/>
        </w:rPr>
        <w:footnoteReference w:id="25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 على الرّجحان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الكفر أعظم من الفسق،و قد ثبت بالحديث </w:t>
      </w:r>
      <w:r>
        <w:rPr>
          <w:rStyle w:val="FootnoteAnchor"/>
          <w:rtl w:val="true"/>
        </w:rPr>
        <w:footnoteReference w:id="2568"/>
      </w:r>
      <w:r>
        <w:rPr>
          <w:rFonts w:ascii="Amiri" w:hAnsi="Amiri" w:eastAsia="Amiri" w:cs="Amiri"/>
          <w:color w:val="111111"/>
          <w:sz w:val="28"/>
          <w:sz w:val="28"/>
          <w:szCs w:val="28"/>
          <w:rtl w:val="true"/>
          <w:lang w:bidi="ar-SA"/>
        </w:rPr>
        <w:t>الأوّل استحباب الغسل للفاسق،فالكافر 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لأنّ تعليله عليه السّلام أمره بالاغتسال يدلّ عليه من حيث المفهوم،و لأنّ النّبيّ صلّى اللّه عليه و آله أمر قيس بن عاصم لمّا أسلم بالاغتسال بماء و سدر </w:t>
      </w:r>
      <w:r>
        <w:rPr>
          <w:rStyle w:val="FootnoteAnchor"/>
          <w:rtl w:val="true"/>
        </w:rPr>
        <w:footnoteReference w:id="25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على عدم الوجوب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رواه الجمهور،عن النّبيّ صلّى اللّه عليه و آله انّه لمّا بعث معاذا إلى اليمن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ادعهم إلى شهادة أن لا إله إلاّ اللّه و أنّ محمّدا عبده و رسوله،فإن هم أطاعوا لك بذلك فأعلمهم أنّ عليهم صدقة تؤخذ من أغنيائهم و تردّ في فقرائهم</w:t>
      </w:r>
      <w:r>
        <w:rPr>
          <w:rFonts w:eastAsia="Amiri" w:cs="Amiri" w:ascii="Amiri" w:hAnsi="Amiri"/>
          <w:color w:val="111111"/>
          <w:sz w:val="28"/>
          <w:szCs w:val="28"/>
          <w:rtl w:val="true"/>
          <w:lang w:bidi="ar-SA"/>
        </w:rPr>
        <w:t xml:space="preserve">) </w:t>
      </w:r>
      <w:r>
        <w:rPr>
          <w:rStyle w:val="FootnoteAnchor"/>
          <w:rtl w:val="true"/>
        </w:rPr>
        <w:footnoteReference w:id="2570"/>
      </w:r>
      <w:r>
        <w:rPr>
          <w:rFonts w:ascii="Amiri" w:hAnsi="Amiri" w:eastAsia="Amiri" w:cs="Amiri"/>
          <w:color w:val="111111"/>
          <w:sz w:val="28"/>
          <w:sz w:val="28"/>
          <w:szCs w:val="28"/>
          <w:rtl w:val="true"/>
          <w:lang w:bidi="ar-SA"/>
        </w:rPr>
        <w:t>و لو كان الغسل واجبا لأمرهم به،لأنّه أوّل واجبات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لأنّه نقل نقلا متواترا انّ العدد الكثير أسلموا على عهد رسول اللّه صلّى اللّه عليه و آله،فلو أمر كل من أسلم بالغسل لنقل متواترا أو ظاهرا،و لأنّ الأصل عدم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احتجّ أحمد برواية قيس </w:t>
      </w:r>
      <w:r>
        <w:rPr>
          <w:rStyle w:val="FootnoteAnchor"/>
          <w:rtl w:val="true"/>
        </w:rPr>
        <w:footnoteReference w:id="2571"/>
      </w:r>
      <w:r>
        <w:rPr>
          <w:rFonts w:eastAsia="Times New Roman" w:cs="Times New Roman" w:ascii="Times New Roman" w:hAnsi="Times New Roman"/>
          <w:color w:val="111111"/>
          <w:sz w:val="28"/>
          <w:szCs w:val="28"/>
          <w:rtl w:val="true"/>
          <w:lang w:val="en-US" w:bidi="en-US"/>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لو كان الأمر للوجوب،لوجب عليه الغسل بالماء و السّدر،لأنّه </w:t>
      </w:r>
      <w:bookmarkStart w:id="1496" w:name="pg12669_113269"/>
    </w:p>
    <w:p>
      <w:pPr>
        <w:pStyle w:val="BookText"/>
        <w:rPr/>
      </w:pPr>
      <w:bookmarkEnd w:id="1496"/>
      <w:r>
        <w:rPr>
          <w:rFonts w:ascii="Amiri" w:hAnsi="Amiri" w:eastAsia="Amiri" w:cs="Amiri"/>
          <w:color w:val="111111"/>
          <w:sz w:val="28"/>
          <w:sz w:val="28"/>
          <w:szCs w:val="28"/>
          <w:rtl w:val="true"/>
          <w:lang w:bidi="ar-SA"/>
        </w:rPr>
        <w:t>المأمور به،و قد وافقنا على عدم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الوجوب عند حصول السّبب،فقد قدّمنا بيانه</w:t>
      </w:r>
      <w:r>
        <w:rPr>
          <w:rFonts w:eastAsia="Amiri" w:cs="Amiri" w:ascii="Amiri" w:hAnsi="Amiri"/>
          <w:color w:val="111111"/>
          <w:sz w:val="28"/>
          <w:szCs w:val="28"/>
          <w:rtl w:val="true"/>
          <w:lang w:bidi="ar-SA"/>
        </w:rPr>
        <w:t>.</w:t>
      </w:r>
    </w:p>
    <w:p>
      <w:pPr>
        <w:pStyle w:val="Heading6"/>
        <w:numPr>
          <w:ilvl w:val="5"/>
          <w:numId w:val="1"/>
        </w:numPr>
        <w:rPr/>
      </w:pPr>
      <w:bookmarkStart w:id="1497" w:name="__RefHeading___Toc796355_222507752"/>
      <w:bookmarkStart w:id="1498" w:name="_Toc617"/>
      <w:bookmarkEnd w:id="1497"/>
      <w:r>
        <w:rPr>
          <w:rtl w:val="true"/>
        </w:rPr>
        <w:t>مسألة</w:t>
      </w:r>
      <w:r>
        <w:rPr>
          <w:rtl w:val="true"/>
        </w:rPr>
        <w:t>:</w:t>
      </w:r>
      <w:r>
        <w:rPr>
          <w:rtl w:val="true"/>
        </w:rPr>
        <w:t>و يستحبّ الغسل لصلاة الاستسقاء،</w:t>
      </w:r>
      <w:bookmarkEnd w:id="1498"/>
    </w:p>
    <w:p>
      <w:pPr>
        <w:pStyle w:val="BookText"/>
        <w:rPr/>
      </w:pPr>
      <w:r>
        <w:rPr>
          <w:rFonts w:ascii="Amiri" w:hAnsi="Amiri" w:eastAsia="Amiri" w:cs="Amiri"/>
          <w:color w:val="111111"/>
          <w:sz w:val="28"/>
          <w:sz w:val="28"/>
          <w:szCs w:val="28"/>
          <w:rtl w:val="true"/>
          <w:lang w:bidi="ar-SA"/>
        </w:rPr>
        <w:t>لما رواه ابن عباس،قال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خرج رسول اللّه صلّى اللّه عليه و آله للاستسقاء متواضعا متخشّعا متضرّعا حتّى أتى المصلّي فلم يخطب كخطبتكم هذه،لكن لم يزل في الدّعاء و التّضرّع و التّكبير و صلّى ركعتين كما كان يصلّي في العيد </w:t>
      </w:r>
      <w:r>
        <w:rPr>
          <w:rStyle w:val="FootnoteAnchor"/>
          <w:rtl w:val="true"/>
        </w:rPr>
        <w:footnoteReference w:id="257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التّرمذيّ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حديث حسن صحيح </w:t>
      </w:r>
      <w:r>
        <w:rPr>
          <w:rStyle w:val="FootnoteAnchor"/>
          <w:rtl w:val="true"/>
        </w:rPr>
        <w:footnoteReference w:id="257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بيّنا استحباب الغسل لصلاة العيد </w:t>
      </w:r>
      <w:r>
        <w:rPr>
          <w:rStyle w:val="FootnoteAnchor"/>
          <w:rtl w:val="true"/>
        </w:rPr>
        <w:footnoteReference w:id="2574"/>
      </w:r>
      <w:r>
        <w:rPr>
          <w:rFonts w:ascii="Amiri" w:hAnsi="Amiri" w:eastAsia="Amiri" w:cs="Amiri"/>
          <w:color w:val="111111"/>
          <w:sz w:val="28"/>
          <w:sz w:val="28"/>
          <w:szCs w:val="28"/>
          <w:rtl w:val="true"/>
          <w:lang w:bidi="ar-SA"/>
        </w:rPr>
        <w:t>،فيثبت فيما ماثلها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طريق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الشّيخ،عن سماعة،عن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غسل الاستسقاء واجب</w:t>
      </w:r>
      <w:r>
        <w:rPr>
          <w:rFonts w:eastAsia="Amiri" w:cs="Amiri" w:ascii="Amiri" w:hAnsi="Amiri"/>
          <w:color w:val="111111"/>
          <w:sz w:val="28"/>
          <w:szCs w:val="28"/>
          <w:rtl w:val="true"/>
          <w:lang w:bidi="ar-SA"/>
        </w:rPr>
        <w:t xml:space="preserve">» </w:t>
      </w:r>
      <w:r>
        <w:rPr>
          <w:rStyle w:val="FootnoteAnchor"/>
          <w:rtl w:val="true"/>
        </w:rPr>
        <w:footnoteReference w:id="2575"/>
      </w:r>
      <w:r>
        <w:rPr>
          <w:rFonts w:ascii="Amiri" w:hAnsi="Amiri" w:eastAsia="Amiri" w:cs="Amiri"/>
          <w:color w:val="111111"/>
          <w:sz w:val="28"/>
          <w:sz w:val="28"/>
          <w:szCs w:val="28"/>
          <w:rtl w:val="true"/>
          <w:lang w:bidi="ar-SA"/>
        </w:rPr>
        <w:t>أراد به شدّة الاستحباب،و لأنّ المقتضي لاستحباب الغسل إمّا التّنظيف للاجتماع،أو زيادة التّطهير للصّلاة،و المعنيان موجودان في الاستسقاء فاستحبّ</w:t>
      </w:r>
      <w:r>
        <w:rPr>
          <w:rFonts w:eastAsia="Amiri" w:cs="Amiri" w:ascii="Amiri" w:hAnsi="Amiri"/>
          <w:color w:val="111111"/>
          <w:sz w:val="28"/>
          <w:szCs w:val="28"/>
          <w:rtl w:val="true"/>
          <w:lang w:bidi="ar-SA"/>
        </w:rPr>
        <w:t>.</w:t>
      </w:r>
    </w:p>
    <w:p>
      <w:pPr>
        <w:pStyle w:val="Heading6"/>
        <w:numPr>
          <w:ilvl w:val="5"/>
          <w:numId w:val="1"/>
        </w:numPr>
        <w:rPr/>
      </w:pPr>
      <w:bookmarkStart w:id="1499" w:name="__RefHeading___Toc796357_222507752"/>
      <w:bookmarkStart w:id="1500" w:name="_Toc618"/>
      <w:bookmarkEnd w:id="1499"/>
      <w:r>
        <w:rPr>
          <w:rtl w:val="true"/>
        </w:rPr>
        <w:t>مسألة</w:t>
      </w:r>
      <w:r>
        <w:rPr>
          <w:rtl w:val="true"/>
        </w:rPr>
        <w:t>:</w:t>
      </w:r>
      <w:r>
        <w:rPr>
          <w:rtl w:val="true"/>
        </w:rPr>
        <w:t>و يستحبّ عند صلاة الاستخارة،و صلاة الحاجة،</w:t>
      </w:r>
      <w:bookmarkEnd w:id="1500"/>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رواه الشّيخ،عن عبد الرّحيم القصير،عن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انّي اخترعت دعاء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دعني من اختراعك إذا نزل بك أمر فافزع إلى رسول اللّه صلّى اللّه عليه و آله و سلّم و صلّ ركعتين تهديهما إلى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أصنع؟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تغتسل و تصلّي ركعتين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ذكر الحديث،قال أبو عبد اللّه عليه السّلام</w:t>
      </w:r>
      <w:r>
        <w:rPr>
          <w:rFonts w:eastAsia="Amiri" w:cs="Amiri" w:ascii="Amiri" w:hAnsi="Amiri"/>
          <w:color w:val="111111"/>
          <w:sz w:val="28"/>
          <w:szCs w:val="28"/>
          <w:rtl w:val="true"/>
          <w:lang w:bidi="ar-SA"/>
        </w:rPr>
        <w:t xml:space="preserve">: </w:t>
      </w:r>
      <w:bookmarkStart w:id="1501" w:name="pg12669_113270"/>
    </w:p>
    <w:p>
      <w:pPr>
        <w:pStyle w:val="BookText"/>
        <w:rPr/>
      </w:pPr>
      <w:bookmarkEnd w:id="150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الضّامن على اللّه أن لا يبرح حتّى تقضى حاجته</w:t>
      </w:r>
      <w:r>
        <w:rPr>
          <w:rFonts w:eastAsia="Amiri" w:cs="Amiri" w:ascii="Amiri" w:hAnsi="Amiri"/>
          <w:color w:val="111111"/>
          <w:sz w:val="28"/>
          <w:szCs w:val="28"/>
          <w:rtl w:val="true"/>
          <w:lang w:bidi="ar-SA"/>
        </w:rPr>
        <w:t xml:space="preserve">» </w:t>
      </w:r>
      <w:r>
        <w:rPr>
          <w:rStyle w:val="FootnoteAnchor"/>
          <w:rtl w:val="true"/>
        </w:rPr>
        <w:footnoteReference w:id="25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ما رواه،عن مقاتل بن مقاتل </w:t>
      </w:r>
      <w:r>
        <w:rPr>
          <w:rStyle w:val="FootnoteAnchor"/>
          <w:rtl w:val="true"/>
        </w:rPr>
        <w:footnoteReference w:id="257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علّمني دعاء لقضاء الحوائج؟قال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كانت لك حاجة إلى اللّه مهمّة فاغتسل و البس أنظف ثيابك</w:t>
      </w:r>
      <w:r>
        <w:rPr>
          <w:rFonts w:eastAsia="Amiri" w:cs="Amiri" w:ascii="Amiri" w:hAnsi="Amiri"/>
          <w:color w:val="111111"/>
          <w:sz w:val="28"/>
          <w:szCs w:val="28"/>
          <w:rtl w:val="true"/>
          <w:lang w:bidi="ar-SA"/>
        </w:rPr>
        <w:t xml:space="preserve">.» </w:t>
      </w:r>
      <w:r>
        <w:rPr>
          <w:rStyle w:val="FootnoteAnchor"/>
          <w:rtl w:val="true"/>
        </w:rPr>
        <w:footnoteReference w:id="2578"/>
      </w:r>
      <w:r>
        <w:rPr>
          <w:rFonts w:ascii="Amiri" w:hAnsi="Amiri" w:eastAsia="Amiri" w:cs="Amiri"/>
          <w:color w:val="111111"/>
          <w:sz w:val="28"/>
          <w:sz w:val="28"/>
          <w:szCs w:val="28"/>
          <w:rtl w:val="true"/>
          <w:lang w:bidi="ar-SA"/>
        </w:rPr>
        <w:t>و ذكر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في الصّحيح،عن زرارة،عن أبي عبد اللّه عليه السّلام في الأمر يطلبه الطّالب من ربّه،قال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يتصدّق في يومه على ستّين مسكينا على كلّ مسكين صاع بصاع النّبيّ صلّى اللّه عليه و آله،فإذا كان اللّيل فاغتسل ثلث اللّيل الباقي </w:t>
      </w:r>
      <w:r>
        <w:rPr>
          <w:rStyle w:val="FootnoteAnchor"/>
          <w:rtl w:val="true"/>
        </w:rPr>
        <w:footnoteReference w:id="2579"/>
      </w:r>
      <w:r>
        <w:rPr>
          <w:rFonts w:ascii="Amiri" w:hAnsi="Amiri" w:eastAsia="Amiri" w:cs="Amiri"/>
          <w:color w:val="111111"/>
          <w:sz w:val="28"/>
          <w:sz w:val="28"/>
          <w:szCs w:val="28"/>
          <w:rtl w:val="true"/>
          <w:lang w:bidi="ar-SA"/>
        </w:rPr>
        <w:t>و يلبس أدنى ما يلبس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الحديث،إلى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رفع رأسه في السّجدة الثّانية استخار اللّه مائة مرة</w:t>
      </w:r>
      <w:r>
        <w:rPr>
          <w:rFonts w:eastAsia="Amiri" w:cs="Amiri" w:ascii="Amiri" w:hAnsi="Amiri"/>
          <w:color w:val="111111"/>
          <w:sz w:val="28"/>
          <w:szCs w:val="28"/>
          <w:rtl w:val="true"/>
          <w:lang w:bidi="ar-SA"/>
        </w:rPr>
        <w:t xml:space="preserve">» </w:t>
      </w:r>
      <w:r>
        <w:rPr>
          <w:rStyle w:val="FootnoteAnchor"/>
          <w:rtl w:val="true"/>
        </w:rPr>
        <w:footnoteReference w:id="258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502" w:name="__RefHeading___Toc796359_222507752"/>
      <w:bookmarkStart w:id="1503" w:name="_Toc619"/>
      <w:bookmarkEnd w:id="1502"/>
      <w:r>
        <w:rPr>
          <w:rtl w:val="true"/>
        </w:rPr>
        <w:t>مسألة</w:t>
      </w:r>
      <w:r>
        <w:rPr>
          <w:rtl w:val="true"/>
        </w:rPr>
        <w:t>:</w:t>
      </w:r>
      <w:r>
        <w:rPr>
          <w:rtl w:val="true"/>
        </w:rPr>
        <w:t>و يستحبّ غسل المولود عند ولادته،</w:t>
      </w:r>
      <w:bookmarkEnd w:id="1503"/>
    </w:p>
    <w:p>
      <w:pPr>
        <w:pStyle w:val="BookText"/>
        <w:rPr/>
      </w:pPr>
      <w:r>
        <w:rPr>
          <w:rFonts w:ascii="Amiri" w:hAnsi="Amiri" w:eastAsia="Amiri" w:cs="Amiri"/>
          <w:color w:val="111111"/>
          <w:sz w:val="28"/>
          <w:sz w:val="28"/>
          <w:szCs w:val="28"/>
          <w:rtl w:val="true"/>
          <w:lang w:bidi="ar-SA"/>
        </w:rPr>
        <w:t>لما رواه الشّيخ،عن سماعة،عن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غسل المولود واجب</w:t>
      </w:r>
      <w:r>
        <w:rPr>
          <w:rFonts w:eastAsia="Amiri" w:cs="Amiri" w:ascii="Amiri" w:hAnsi="Amiri"/>
          <w:color w:val="111111"/>
          <w:sz w:val="28"/>
          <w:szCs w:val="28"/>
          <w:rtl w:val="true"/>
          <w:lang w:bidi="ar-SA"/>
        </w:rPr>
        <w:t xml:space="preserve">» </w:t>
      </w:r>
      <w:r>
        <w:rPr>
          <w:rStyle w:val="FootnoteAnchor"/>
          <w:rtl w:val="true"/>
        </w:rPr>
        <w:footnoteReference w:id="2581"/>
      </w:r>
      <w:r>
        <w:rPr>
          <w:rFonts w:ascii="Amiri" w:hAnsi="Amiri" w:eastAsia="Amiri" w:cs="Amiri"/>
          <w:color w:val="111111"/>
          <w:sz w:val="28"/>
          <w:sz w:val="28"/>
          <w:szCs w:val="28"/>
          <w:rtl w:val="true"/>
          <w:lang w:bidi="ar-SA"/>
        </w:rPr>
        <w:t>و المراد به الاستحباب المؤكّد،و لأنّه خرج من محلّ الخبث،فاستحبّ غسله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بعض أصحابنا بوجوبه </w:t>
      </w:r>
      <w:r>
        <w:rPr>
          <w:rStyle w:val="FootnoteAnchor"/>
          <w:rtl w:val="true"/>
        </w:rPr>
        <w:footnoteReference w:id="2582"/>
      </w:r>
      <w:r>
        <w:rPr>
          <w:rFonts w:eastAsia="Times New Roman" w:cs="Times New Roman" w:ascii="Times New Roman" w:hAnsi="Times New Roman"/>
          <w:color w:val="111111"/>
          <w:sz w:val="28"/>
          <w:szCs w:val="28"/>
          <w:rtl w:val="true"/>
          <w:lang w:val="en-US" w:bidi="en-US"/>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متروك</w:t>
      </w:r>
      <w:r>
        <w:rPr>
          <w:rFonts w:eastAsia="Amiri" w:cs="Amiri" w:ascii="Amiri" w:hAnsi="Amiri"/>
          <w:color w:val="111111"/>
          <w:sz w:val="28"/>
          <w:szCs w:val="28"/>
          <w:rtl w:val="true"/>
          <w:lang w:bidi="ar-SA"/>
        </w:rPr>
        <w:t xml:space="preserve">. </w:t>
      </w:r>
      <w:bookmarkStart w:id="1504" w:name="pg12669_113271"/>
    </w:p>
    <w:p>
      <w:pPr>
        <w:pStyle w:val="Heading6"/>
        <w:numPr>
          <w:ilvl w:val="5"/>
          <w:numId w:val="1"/>
        </w:numPr>
        <w:rPr/>
      </w:pPr>
      <w:bookmarkStart w:id="1505" w:name="__RefHeading___Toc796361_222507752"/>
      <w:bookmarkStart w:id="1506" w:name="_Toc620"/>
      <w:bookmarkEnd w:id="1504"/>
      <w:bookmarkEnd w:id="1505"/>
      <w:r>
        <w:rPr>
          <w:rtl w:val="true"/>
        </w:rPr>
        <w:t>مسألة</w:t>
      </w:r>
      <w:r>
        <w:rPr>
          <w:rtl w:val="true"/>
        </w:rPr>
        <w:t>:</w:t>
      </w:r>
      <w:r>
        <w:rPr>
          <w:rtl w:val="true"/>
        </w:rPr>
        <w:t>و يستحبّ الغسل لقضاء صلاة الكسوف إذا تركها متعمّدا</w:t>
      </w:r>
      <w:bookmarkEnd w:id="1506"/>
    </w:p>
    <w:p>
      <w:pPr>
        <w:pStyle w:val="BookText"/>
        <w:rPr/>
      </w:pPr>
      <w:r>
        <w:rPr>
          <w:rFonts w:ascii="Amiri" w:hAnsi="Amiri" w:eastAsia="Amiri" w:cs="Amiri"/>
          <w:color w:val="111111"/>
          <w:sz w:val="28"/>
          <w:sz w:val="28"/>
          <w:szCs w:val="28"/>
          <w:rtl w:val="true"/>
          <w:lang w:bidi="ar-SA"/>
        </w:rPr>
        <w:t>مع استيعاب الاحتراق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مذهب أكثر الأصحاب </w:t>
      </w:r>
      <w:r>
        <w:rPr>
          <w:rStyle w:val="FootnoteAnchor"/>
          <w:rtl w:val="true"/>
        </w:rPr>
        <w:footnoteReference w:id="2583"/>
      </w:r>
      <w:r>
        <w:rPr>
          <w:rFonts w:ascii="IRNazanin" w:hAnsi="IRNazanin" w:eastAsia="IRNazanin"/>
          <w:color w:val="111111"/>
          <w:sz w:val="28"/>
          <w:sz w:val="28"/>
          <w:szCs w:val="28"/>
          <w:rtl w:val="true"/>
          <w:lang w:bidi="fa-IR"/>
        </w:rPr>
        <w:t>،و قال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واجب </w:t>
      </w:r>
      <w:r>
        <w:rPr>
          <w:rStyle w:val="FootnoteAnchor"/>
          <w:rtl w:val="true"/>
        </w:rPr>
        <w:footnoteReference w:id="258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الأصل الرّجحان مطلقا،لما رواه الشّيخ،عن حريز،عمّن أخبره،عن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انكسف القمر فاستيقظ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فكسل أن يصلّي</w:t>
      </w:r>
      <w:r>
        <w:rPr>
          <w:rFonts w:eastAsia="Amiri" w:cs="Amiri" w:ascii="Amiri" w:hAnsi="Amiri"/>
          <w:color w:val="111111"/>
          <w:sz w:val="28"/>
          <w:szCs w:val="28"/>
          <w:rtl w:val="true"/>
          <w:lang w:bidi="ar-SA"/>
        </w:rPr>
        <w:t xml:space="preserve">] </w:t>
      </w:r>
      <w:r>
        <w:rPr>
          <w:rStyle w:val="FootnoteAnchor"/>
          <w:rtl w:val="true"/>
        </w:rPr>
        <w:footnoteReference w:id="2585"/>
      </w:r>
      <w:r>
        <w:rPr>
          <w:rFonts w:ascii="Amiri" w:hAnsi="Amiri" w:eastAsia="Amiri" w:cs="Amiri"/>
          <w:color w:val="111111"/>
          <w:sz w:val="28"/>
          <w:sz w:val="28"/>
          <w:szCs w:val="28"/>
          <w:rtl w:val="true"/>
          <w:lang w:bidi="ar-SA"/>
        </w:rPr>
        <w:t>فليغتسل من غد و ليقض الصّلاة،و إن لم يستيقظ و لم يعلم بانكساف القمر فليس عليه إلاّ القضاء بغير غسل</w:t>
      </w:r>
      <w:r>
        <w:rPr>
          <w:rFonts w:eastAsia="Amiri" w:cs="Amiri" w:ascii="Amiri" w:hAnsi="Amiri"/>
          <w:color w:val="111111"/>
          <w:sz w:val="28"/>
          <w:szCs w:val="28"/>
          <w:rtl w:val="true"/>
          <w:lang w:bidi="ar-SA"/>
        </w:rPr>
        <w:t xml:space="preserve">» </w:t>
      </w:r>
      <w:r>
        <w:rPr>
          <w:rStyle w:val="FootnoteAnchor"/>
          <w:rtl w:val="true"/>
        </w:rPr>
        <w:footnoteReference w:id="2586"/>
      </w:r>
      <w:r>
        <w:rPr>
          <w:rFonts w:ascii="Amiri" w:hAnsi="Amiri" w:eastAsia="Amiri" w:cs="Amiri"/>
          <w:color w:val="111111"/>
          <w:sz w:val="28"/>
          <w:sz w:val="28"/>
          <w:szCs w:val="28"/>
          <w:rtl w:val="true"/>
          <w:lang w:bidi="ar-SA"/>
        </w:rPr>
        <w:t>و هذه الرّواية و إن دلّت على الوجوب ظاهرا لكنّها مقطوعة السّند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الشّيخ في الصّحيح،عن محمّد بن مسلم،عن أحدهما عليهما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غسل الكسوف إذا احترق القرص كلّه فاغتسل</w:t>
      </w:r>
      <w:r>
        <w:rPr>
          <w:rFonts w:eastAsia="Amiri" w:cs="Amiri" w:ascii="Amiri" w:hAnsi="Amiri"/>
          <w:color w:val="111111"/>
          <w:sz w:val="28"/>
          <w:szCs w:val="28"/>
          <w:rtl w:val="true"/>
          <w:lang w:bidi="ar-SA"/>
        </w:rPr>
        <w:t xml:space="preserve">» </w:t>
      </w:r>
      <w:r>
        <w:rPr>
          <w:rStyle w:val="FootnoteAnchor"/>
          <w:rtl w:val="true"/>
        </w:rPr>
        <w:footnoteReference w:id="2587"/>
      </w:r>
      <w:r>
        <w:rPr>
          <w:rFonts w:ascii="Amiri" w:hAnsi="Amiri" w:eastAsia="Amiri" w:cs="Amiri"/>
          <w:color w:val="111111"/>
          <w:sz w:val="28"/>
          <w:sz w:val="28"/>
          <w:szCs w:val="28"/>
          <w:rtl w:val="true"/>
          <w:lang w:bidi="ar-SA"/>
        </w:rPr>
        <w:t>و هذه الرّواية ظاهرة في الوجوب،فلو قلنا به لهذه الرّواية و للاحتياط،كان قويّا</w:t>
      </w:r>
      <w:r>
        <w:rPr>
          <w:rFonts w:eastAsia="Amiri" w:cs="Amiri" w:ascii="Amiri" w:hAnsi="Amiri"/>
          <w:color w:val="111111"/>
          <w:sz w:val="28"/>
          <w:szCs w:val="28"/>
          <w:rtl w:val="true"/>
          <w:lang w:bidi="ar-SA"/>
        </w:rPr>
        <w:t>.</w:t>
      </w:r>
    </w:p>
    <w:p>
      <w:pPr>
        <w:pStyle w:val="Heading6"/>
        <w:numPr>
          <w:ilvl w:val="5"/>
          <w:numId w:val="1"/>
        </w:numPr>
        <w:rPr/>
      </w:pPr>
      <w:bookmarkStart w:id="1507" w:name="__RefHeading___Toc796363_222507752"/>
      <w:bookmarkStart w:id="1508" w:name="_Toc621"/>
      <w:bookmarkEnd w:id="1507"/>
      <w:r>
        <w:rPr>
          <w:rtl w:val="true"/>
        </w:rPr>
        <w:t>مسألة</w:t>
      </w:r>
      <w:r>
        <w:rPr>
          <w:rtl w:val="true"/>
        </w:rPr>
        <w:t>:</w:t>
      </w:r>
      <w:r>
        <w:rPr>
          <w:rtl w:val="true"/>
        </w:rPr>
        <w:t>قال ابن بابويه</w:t>
      </w:r>
      <w:r>
        <w:rPr>
          <w:rtl w:val="true"/>
        </w:rPr>
        <w:t>:</w:t>
      </w:r>
      <w:r>
        <w:rPr>
          <w:rtl w:val="true"/>
        </w:rPr>
        <w:t>روي انّ من قتل وزغا فعليه الغسل،</w:t>
      </w:r>
      <w:bookmarkEnd w:id="1508"/>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بعض مشايخنا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العلّة في ذلك انّه يخرج من ذنوبه فيغتسل منها،قال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روي انّ من قصد إلى مصلوب فنظر إليه وجب عليه الغسل عقوبة </w:t>
      </w:r>
      <w:r>
        <w:rPr>
          <w:rStyle w:val="FootnoteAnchor"/>
          <w:rtl w:val="true"/>
        </w:rPr>
        <w:footnoteReference w:id="258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الاستحباب</w:t>
      </w:r>
      <w:r>
        <w:rPr>
          <w:rFonts w:eastAsia="IRNazanin" w:cs="IRNazanin"/>
          <w:color w:val="111111"/>
          <w:sz w:val="28"/>
          <w:szCs w:val="28"/>
          <w:rtl w:val="true"/>
          <w:lang w:bidi="fa-IR"/>
        </w:rPr>
        <w:t xml:space="preserve">. </w:t>
      </w:r>
      <w:bookmarkStart w:id="1509" w:name="pg12669_113272"/>
    </w:p>
    <w:p>
      <w:pPr>
        <w:pStyle w:val="Heading6"/>
        <w:numPr>
          <w:ilvl w:val="5"/>
          <w:numId w:val="1"/>
        </w:numPr>
        <w:rPr/>
      </w:pPr>
      <w:bookmarkStart w:id="1510" w:name="__RefHeading___Toc796365_222507752"/>
      <w:bookmarkStart w:id="1511" w:name="_Toc622"/>
      <w:bookmarkEnd w:id="1509"/>
      <w:bookmarkEnd w:id="1510"/>
      <w:r>
        <w:rPr>
          <w:rtl w:val="true"/>
        </w:rPr>
        <w:t>فروع</w:t>
      </w:r>
      <w:r>
        <w:rPr>
          <w:rtl w:val="true"/>
        </w:rPr>
        <w:t>:</w:t>
      </w:r>
      <w:bookmarkEnd w:id="1511"/>
    </w:p>
    <w:p>
      <w:pPr>
        <w:pStyle w:val="Heading6"/>
        <w:numPr>
          <w:ilvl w:val="5"/>
          <w:numId w:val="1"/>
        </w:numPr>
        <w:rPr/>
      </w:pPr>
      <w:bookmarkStart w:id="1512" w:name="__RefHeading___Toc796367_222507752"/>
      <w:bookmarkStart w:id="1513" w:name="_Toc623"/>
      <w:bookmarkEnd w:id="1512"/>
      <w:r>
        <w:rPr>
          <w:rtl w:val="true"/>
        </w:rPr>
        <w:t>الأوّل</w:t>
      </w:r>
      <w:r>
        <w:rPr>
          <w:rtl w:val="true"/>
        </w:rPr>
        <w:t>:</w:t>
      </w:r>
      <w:r>
        <w:rPr>
          <w:rtl w:val="true"/>
        </w:rPr>
        <w:t>لو اجتمعت أسباب الاستحباب،فالأقرب الاكتفاء بغسل واحد عنها</w:t>
      </w:r>
      <w:r>
        <w:rPr>
          <w:rtl w:val="true"/>
        </w:rPr>
        <w:t>.</w:t>
      </w:r>
      <w:bookmarkEnd w:id="1513"/>
    </w:p>
    <w:p>
      <w:pPr>
        <w:pStyle w:val="Heading6"/>
        <w:numPr>
          <w:ilvl w:val="5"/>
          <w:numId w:val="1"/>
        </w:numPr>
        <w:rPr/>
      </w:pPr>
      <w:bookmarkStart w:id="1514" w:name="__RefHeading___Toc796369_222507752"/>
      <w:bookmarkStart w:id="1515" w:name="_Toc624"/>
      <w:bookmarkEnd w:id="1514"/>
      <w:r>
        <w:rPr>
          <w:rtl w:val="true"/>
        </w:rPr>
        <w:t>الثّاني</w:t>
      </w:r>
      <w:r>
        <w:rPr>
          <w:rtl w:val="true"/>
        </w:rPr>
        <w:t>:</w:t>
      </w:r>
      <w:r>
        <w:rPr>
          <w:rtl w:val="true"/>
        </w:rPr>
        <w:t>لا ترفع هذه الأغسال الحدث</w:t>
      </w:r>
      <w:r>
        <w:rPr>
          <w:rtl w:val="true"/>
        </w:rPr>
        <w:t>.</w:t>
      </w:r>
      <w:bookmarkEnd w:id="1515"/>
    </w:p>
    <w:p>
      <w:pPr>
        <w:pStyle w:val="BookText"/>
        <w:rPr/>
      </w:pPr>
      <w:r>
        <w:rPr>
          <w:rFonts w:ascii="Amiri" w:hAnsi="Amiri" w:eastAsia="Amiri" w:cs="Amiri"/>
          <w:color w:val="111111"/>
          <w:sz w:val="28"/>
          <w:sz w:val="28"/>
          <w:szCs w:val="28"/>
          <w:rtl w:val="true"/>
          <w:lang w:bidi="ar-SA"/>
        </w:rPr>
        <w:t>خلافا للسّيد المرتضى،و قد تقدّم</w:t>
      </w:r>
      <w:r>
        <w:rPr>
          <w:rFonts w:eastAsia="Amiri" w:cs="Amiri" w:ascii="Amiri" w:hAnsi="Amiri"/>
          <w:color w:val="111111"/>
          <w:sz w:val="28"/>
          <w:szCs w:val="28"/>
          <w:rtl w:val="true"/>
          <w:lang w:bidi="ar-SA"/>
        </w:rPr>
        <w:t>.</w:t>
      </w:r>
    </w:p>
    <w:p>
      <w:pPr>
        <w:pStyle w:val="Heading6"/>
        <w:numPr>
          <w:ilvl w:val="5"/>
          <w:numId w:val="1"/>
        </w:numPr>
        <w:rPr/>
      </w:pPr>
      <w:bookmarkStart w:id="1516" w:name="__RefHeading___Toc796371_222507752"/>
      <w:bookmarkStart w:id="1517" w:name="_Toc625"/>
      <w:bookmarkEnd w:id="1516"/>
      <w:r>
        <w:rPr>
          <w:rtl w:val="true"/>
        </w:rPr>
        <w:t>الثّالث</w:t>
      </w:r>
      <w:r>
        <w:rPr>
          <w:rtl w:val="true"/>
        </w:rPr>
        <w:t>:</w:t>
      </w:r>
      <w:r>
        <w:rPr>
          <w:rtl w:val="true"/>
        </w:rPr>
        <w:t>ما يستحبّ للمكان و الفعل يقدّم عليهما،</w:t>
      </w:r>
      <w:bookmarkEnd w:id="1517"/>
    </w:p>
    <w:p>
      <w:pPr>
        <w:pStyle w:val="BookText"/>
        <w:rPr/>
      </w:pPr>
      <w:r>
        <w:rPr>
          <w:rFonts w:ascii="Amiri" w:hAnsi="Amiri" w:eastAsia="Amiri" w:cs="Amiri"/>
          <w:color w:val="111111"/>
          <w:sz w:val="28"/>
          <w:sz w:val="28"/>
          <w:szCs w:val="28"/>
          <w:rtl w:val="true"/>
          <w:lang w:bidi="ar-SA"/>
        </w:rPr>
        <w:t>و ما يستحبّ للوقت يفعل بعد دخوله</w:t>
      </w:r>
      <w:r>
        <w:rPr>
          <w:rFonts w:eastAsia="Amiri" w:cs="Amiri" w:ascii="Amiri" w:hAnsi="Amiri"/>
          <w:color w:val="111111"/>
          <w:sz w:val="28"/>
          <w:szCs w:val="28"/>
          <w:rtl w:val="true"/>
          <w:lang w:bidi="ar-SA"/>
        </w:rPr>
        <w:t>.</w:t>
      </w:r>
    </w:p>
    <w:p>
      <w:pPr>
        <w:pStyle w:val="Heading6"/>
        <w:numPr>
          <w:ilvl w:val="5"/>
          <w:numId w:val="1"/>
        </w:numPr>
        <w:rPr/>
      </w:pPr>
      <w:bookmarkStart w:id="1518" w:name="__RefHeading___Toc796373_222507752"/>
      <w:bookmarkStart w:id="1519" w:name="_Toc626"/>
      <w:bookmarkEnd w:id="1518"/>
      <w:r>
        <w:rPr>
          <w:rtl w:val="true"/>
        </w:rPr>
        <w:t>الرّابع</w:t>
      </w:r>
      <w:r>
        <w:rPr>
          <w:rtl w:val="true"/>
        </w:rPr>
        <w:t>:</w:t>
      </w:r>
      <w:r>
        <w:rPr>
          <w:rtl w:val="true"/>
        </w:rPr>
        <w:t>ما كان للفعل يستحبّ أن يوقع الفعل عليه،</w:t>
      </w:r>
      <w:bookmarkEnd w:id="1519"/>
    </w:p>
    <w:p>
      <w:pPr>
        <w:pStyle w:val="BookText"/>
        <w:rPr/>
      </w:pPr>
      <w:r>
        <w:rPr>
          <w:rFonts w:ascii="Amiri" w:hAnsi="Amiri" w:eastAsia="Amiri" w:cs="Amiri"/>
          <w:color w:val="111111"/>
          <w:sz w:val="28"/>
          <w:sz w:val="28"/>
          <w:szCs w:val="28"/>
          <w:rtl w:val="true"/>
          <w:lang w:bidi="ar-SA"/>
        </w:rPr>
        <w:t>فلو أحدث استحبّ إعادته، و ما كان للوقت كفاه و إن أحدث</w:t>
      </w:r>
      <w:r>
        <w:rPr>
          <w:rFonts w:eastAsia="Amiri" w:cs="Amiri" w:ascii="Amiri" w:hAnsi="Amiri"/>
          <w:color w:val="111111"/>
          <w:sz w:val="28"/>
          <w:szCs w:val="28"/>
          <w:rtl w:val="true"/>
          <w:lang w:bidi="ar-SA"/>
        </w:rPr>
        <w:t>.</w:t>
      </w:r>
    </w:p>
    <w:p>
      <w:pPr>
        <w:pStyle w:val="Heading6"/>
        <w:numPr>
          <w:ilvl w:val="5"/>
          <w:numId w:val="1"/>
        </w:numPr>
        <w:rPr/>
      </w:pPr>
      <w:bookmarkStart w:id="1520" w:name="__RefHeading___Toc796375_222507752"/>
      <w:bookmarkStart w:id="1521" w:name="_Toc627"/>
      <w:bookmarkEnd w:id="1520"/>
      <w:r>
        <w:rPr>
          <w:rtl w:val="true"/>
        </w:rPr>
        <w:t>الخامس</w:t>
      </w:r>
      <w:r>
        <w:rPr>
          <w:rtl w:val="true"/>
        </w:rPr>
        <w:t>:</w:t>
      </w:r>
      <w:r>
        <w:rPr>
          <w:rtl w:val="true"/>
        </w:rPr>
        <w:t>لو نوى بالغسل الواحد الواجب و النّدب،فالوجه عدم إجزائه عنهما</w:t>
      </w:r>
      <w:bookmarkEnd w:id="1521"/>
    </w:p>
    <w:p>
      <w:pPr>
        <w:pStyle w:val="BookText"/>
        <w:rPr/>
      </w:pPr>
      <w:r>
        <w:rPr>
          <w:rFonts w:ascii="IRNazanin" w:hAnsi="IRNazanin" w:eastAsia="IRNazanin"/>
          <w:color w:val="111111"/>
          <w:sz w:val="28"/>
          <w:sz w:val="28"/>
          <w:szCs w:val="28"/>
          <w:rtl w:val="true"/>
          <w:lang w:bidi="fa-IR"/>
        </w:rPr>
        <w:t>معا،</w:t>
      </w:r>
    </w:p>
    <w:p>
      <w:pPr>
        <w:pStyle w:val="BookText"/>
        <w:rPr/>
      </w:pPr>
      <w:r>
        <w:rPr>
          <w:rFonts w:ascii="Amiri" w:hAnsi="Amiri" w:eastAsia="Amiri" w:cs="Amiri"/>
          <w:color w:val="111111"/>
          <w:sz w:val="28"/>
          <w:sz w:val="28"/>
          <w:szCs w:val="28"/>
          <w:rtl w:val="true"/>
          <w:lang w:bidi="ar-SA"/>
        </w:rPr>
        <w:t>لاستحالة وقوعه على صفتي ما نواه،و التّرجيح من غير مرجّح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مذهب أبي سهل الصّعلوكيّ من الشّافعيّة </w:t>
      </w:r>
      <w:r>
        <w:rPr>
          <w:rStyle w:val="FootnoteAnchor"/>
          <w:rtl w:val="true"/>
        </w:rPr>
        <w:footnoteReference w:id="25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الشّيخ و ابن أبي عقيل بالإجزاء </w:t>
      </w:r>
      <w:r>
        <w:rPr>
          <w:rStyle w:val="FootnoteAnchor"/>
          <w:rtl w:val="true"/>
        </w:rPr>
        <w:footnoteReference w:id="2590"/>
      </w:r>
      <w:r>
        <w:rPr>
          <w:rFonts w:ascii="Amiri" w:hAnsi="Amiri" w:eastAsia="Amiri" w:cs="Amiri"/>
          <w:color w:val="111111"/>
          <w:sz w:val="28"/>
          <w:sz w:val="28"/>
          <w:szCs w:val="28"/>
          <w:rtl w:val="true"/>
          <w:lang w:bidi="ar-SA"/>
        </w:rPr>
        <w:t xml:space="preserve">،و هو أصحّ وجهي الشّافعيّة </w:t>
      </w:r>
      <w:r>
        <w:rPr>
          <w:rStyle w:val="FootnoteAnchor"/>
          <w:rtl w:val="true"/>
        </w:rPr>
        <w:footnoteReference w:id="259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522" w:name="__RefHeading___Toc796377_222507752"/>
      <w:bookmarkStart w:id="1523" w:name="_Toc628"/>
      <w:bookmarkEnd w:id="1522"/>
      <w:r>
        <w:rPr>
          <w:rtl w:val="true"/>
        </w:rPr>
        <w:t>السّادس</w:t>
      </w:r>
      <w:r>
        <w:rPr>
          <w:rtl w:val="true"/>
        </w:rPr>
        <w:t>:</w:t>
      </w:r>
      <w:r>
        <w:rPr>
          <w:rtl w:val="true"/>
        </w:rPr>
        <w:t>لا عوض لهذه الأغسال المندوبة،</w:t>
      </w:r>
      <w:bookmarkEnd w:id="1523"/>
    </w:p>
    <w:p>
      <w:pPr>
        <w:pStyle w:val="BookText"/>
        <w:rPr/>
      </w:pPr>
      <w:r>
        <w:rPr>
          <w:rFonts w:ascii="Amiri" w:hAnsi="Amiri" w:eastAsia="Amiri" w:cs="Amiri"/>
          <w:color w:val="111111"/>
          <w:sz w:val="28"/>
          <w:sz w:val="28"/>
          <w:szCs w:val="28"/>
          <w:rtl w:val="true"/>
          <w:lang w:bidi="ar-SA"/>
        </w:rPr>
        <w:t>فلا يجزي الوضوء و لا التّيمّم و إن كان الماء متعذّرا بل يسقط الفعل،لأنّ المأمور به الغسل،و شيء منهما لا يصدق عليه اسمه،فلا يتحقّق الإجزاء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التّيمّم قد يكون بدلا من غسل الإحرام عند فقد الماء </w:t>
      </w:r>
      <w:r>
        <w:rPr>
          <w:rStyle w:val="FootnoteAnchor"/>
          <w:rtl w:val="true"/>
        </w:rPr>
        <w:footnoteReference w:id="259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524" w:name="__RefHeading___Toc796379_222507752"/>
      <w:bookmarkStart w:id="1525" w:name="_Toc629"/>
      <w:bookmarkEnd w:id="1524"/>
      <w:r>
        <w:rPr>
          <w:rtl w:val="true"/>
        </w:rPr>
        <w:t>السابع</w:t>
      </w:r>
      <w:r>
        <w:rPr>
          <w:rtl w:val="true"/>
        </w:rPr>
        <w:t>:</w:t>
      </w:r>
      <w:r>
        <w:rPr>
          <w:rtl w:val="true"/>
        </w:rPr>
        <w:t>كيفيّة هذه الأغسال مثل غسل الجنابة،</w:t>
      </w:r>
      <w:bookmarkEnd w:id="1525"/>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فلو نذر غسل الجمعة وجب فيه التّرتيب</w:t>
      </w:r>
      <w:r>
        <w:rPr>
          <w:rFonts w:eastAsia="Amiri" w:cs="Amiri" w:ascii="Amiri" w:hAnsi="Amiri"/>
          <w:color w:val="111111"/>
          <w:sz w:val="28"/>
          <w:szCs w:val="28"/>
          <w:rtl w:val="true"/>
          <w:lang w:bidi="ar-SA"/>
        </w:rPr>
        <w:t xml:space="preserve">. </w:t>
      </w:r>
      <w:bookmarkStart w:id="1526" w:name="pg12669_113273"/>
    </w:p>
    <w:p>
      <w:pPr>
        <w:pStyle w:val="Heading6"/>
        <w:numPr>
          <w:ilvl w:val="5"/>
          <w:numId w:val="1"/>
        </w:numPr>
        <w:rPr/>
      </w:pPr>
      <w:bookmarkStart w:id="1527" w:name="__RefHeading___Toc796381_222507752"/>
      <w:bookmarkStart w:id="1528" w:name="_Toc630"/>
      <w:bookmarkEnd w:id="1526"/>
      <w:bookmarkEnd w:id="1527"/>
      <w:r>
        <w:rPr>
          <w:rtl w:val="true"/>
        </w:rPr>
        <w:t>الثّامن</w:t>
      </w:r>
      <w:r>
        <w:rPr>
          <w:rtl w:val="true"/>
        </w:rPr>
        <w:t>:</w:t>
      </w:r>
      <w:r>
        <w:rPr>
          <w:rtl w:val="true"/>
        </w:rPr>
        <w:t>لو نوى المجنب غسل الجنابة خاصّة في يوم الجمعة لم يحصل له فضل</w:t>
      </w:r>
      <w:bookmarkEnd w:id="1528"/>
    </w:p>
    <w:p>
      <w:pPr>
        <w:pStyle w:val="BookText"/>
        <w:rPr/>
      </w:pPr>
      <w:r>
        <w:rPr>
          <w:rFonts w:ascii="Amiri" w:hAnsi="Amiri" w:eastAsia="Amiri" w:cs="Amiri"/>
          <w:color w:val="111111"/>
          <w:sz w:val="28"/>
          <w:sz w:val="28"/>
          <w:szCs w:val="28"/>
          <w:rtl w:val="true"/>
          <w:lang w:bidi="ar-SA"/>
        </w:rPr>
        <w:t>غسل الجمعة</w:t>
      </w:r>
    </w:p>
    <w:p>
      <w:pPr>
        <w:pStyle w:val="BookText"/>
        <w:rPr/>
      </w:pPr>
      <w:r>
        <w:rPr>
          <w:rFonts w:ascii="Amiri" w:hAnsi="Amiri" w:eastAsia="Amiri" w:cs="Amiri"/>
          <w:color w:val="111111"/>
          <w:sz w:val="28"/>
          <w:sz w:val="28"/>
          <w:szCs w:val="28"/>
          <w:rtl w:val="true"/>
          <w:lang w:bidi="ar-SA"/>
        </w:rPr>
        <w:t>إن لم نقل بالتّداخل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نوى غسل الجمعة خاصّة لم يحصل غسل الجنابة قطعا،و هل يصحّ غسل الجمعة؟الأقوى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للشّافعيّة قولان،هذا أحدهما،لأنّه نوى شيئا و فعله فصحّ له،و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يصحّ،لأنّه نوى التّنظيف،و مع الجنابة لا نظافة </w:t>
      </w:r>
      <w:r>
        <w:rPr>
          <w:rStyle w:val="FootnoteAnchor"/>
          <w:rtl w:val="true"/>
        </w:rPr>
        <w:footnoteReference w:id="259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529" w:name="__RefHeading___Toc796383_222507752"/>
      <w:bookmarkStart w:id="1530" w:name="_Toc631"/>
      <w:bookmarkEnd w:id="1529"/>
      <w:r>
        <w:rPr>
          <w:rtl w:val="true"/>
        </w:rPr>
        <w:t>مسألة</w:t>
      </w:r>
      <w:r>
        <w:rPr>
          <w:rtl w:val="true"/>
        </w:rPr>
        <w:t>:</w:t>
      </w:r>
      <w:r>
        <w:rPr>
          <w:rtl w:val="true"/>
        </w:rPr>
        <w:t>و ليس على المجنون و المغمى عليه إذا أفاقا الغسل،</w:t>
      </w:r>
      <w:bookmarkEnd w:id="1530"/>
    </w:p>
    <w:p>
      <w:pPr>
        <w:pStyle w:val="BookText"/>
        <w:rPr/>
      </w:pPr>
      <w:r>
        <w:rPr>
          <w:rFonts w:ascii="Amiri" w:hAnsi="Amiri" w:eastAsia="Amiri" w:cs="Amiri"/>
          <w:color w:val="111111"/>
          <w:sz w:val="28"/>
          <w:sz w:val="28"/>
          <w:szCs w:val="28"/>
          <w:rtl w:val="true"/>
          <w:lang w:bidi="ar-SA"/>
        </w:rPr>
        <w:t xml:space="preserve">لا وجوبا،و لا استحبابا،خلافا للحنابلة في الاستحباب </w:t>
      </w:r>
      <w:r>
        <w:rPr>
          <w:rStyle w:val="FootnoteAnchor"/>
          <w:rtl w:val="true"/>
        </w:rPr>
        <w:footnoteReference w:id="25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الإجماع على انّه لا يجب،و لأنّ زوال العقل في نفسه ليس بموجب للغسل، و الإنزال مشكوك فيه،فلا يزول عن اليقين بالشّكّ،و الاستحباب حكم شرعيّ يفتقر إلى دليل و لم يقم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وجد منهما الإنزال،وجب الغسل بعد الإفاقة لوجود السّبب</w:t>
      </w:r>
      <w:r>
        <w:rPr>
          <w:rFonts w:eastAsia="Amiri" w:cs="Amiri" w:ascii="Amiri" w:hAnsi="Amiri"/>
          <w:color w:val="111111"/>
          <w:sz w:val="28"/>
          <w:szCs w:val="28"/>
          <w:rtl w:val="true"/>
          <w:lang w:bidi="ar-SA"/>
        </w:rPr>
        <w:t>.</w:t>
      </w:r>
    </w:p>
    <w:p>
      <w:pPr>
        <w:pStyle w:val="Heading6"/>
        <w:numPr>
          <w:ilvl w:val="5"/>
          <w:numId w:val="1"/>
        </w:numPr>
        <w:rPr/>
      </w:pPr>
      <w:bookmarkStart w:id="1531" w:name="__RefHeading___Toc796385_222507752"/>
      <w:bookmarkStart w:id="1532" w:name="_Toc632"/>
      <w:bookmarkEnd w:id="1531"/>
      <w:r>
        <w:rPr>
          <w:rtl w:val="true"/>
        </w:rPr>
        <w:t>مسألة</w:t>
      </w:r>
      <w:r>
        <w:rPr>
          <w:rtl w:val="true"/>
        </w:rPr>
        <w:t>:</w:t>
      </w:r>
      <w:r>
        <w:rPr>
          <w:rtl w:val="true"/>
        </w:rPr>
        <w:t>قال بعض الحنفيّة</w:t>
      </w:r>
      <w:r>
        <w:rPr>
          <w:rtl w:val="true"/>
        </w:rPr>
        <w:t>:</w:t>
      </w:r>
      <w:r>
        <w:rPr>
          <w:rtl w:val="true"/>
        </w:rPr>
        <w:t xml:space="preserve">يستحبّ للصّبيّ إذا أدرك،الغسل </w:t>
      </w:r>
      <w:r>
        <w:rPr>
          <w:rtl w:val="true"/>
        </w:rPr>
        <w:t>.</w:t>
      </w:r>
      <w:bookmarkEnd w:id="1532"/>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5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نعرف عليه نصّا،و لا شك انّ الاستحباب حكم شرعيّ،فيقف على الدّليل</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8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8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1:151</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1:312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1:121</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1:163</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1:121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لابن قدامة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1:142</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منار السّبيل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1:163</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1:151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1:312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،التّفسير الكبير </w:t>
      </w:r>
      <w:r>
        <w:rPr>
          <w:rFonts w:eastAsia="IRNazanin" w:cs="IRNazanin"/>
          <w:b w:val="false"/>
          <w:bCs w:val="false"/>
          <w:i w:val="false"/>
          <w:iCs w:val="false"/>
          <w:color w:val="333333"/>
          <w:sz w:val="20"/>
          <w:szCs w:val="20"/>
        </w:rPr>
        <w:t>11:153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1:312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فتح الوهّاب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،شرح فتح القدير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،الهداية للمرغينانيّ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فتح العزيز هامش المجموع </w:t>
      </w:r>
      <w:r>
        <w:rPr>
          <w:rFonts w:eastAsia="IRNazanin" w:cs="IRNazanin"/>
          <w:b w:val="false"/>
          <w:bCs w:val="false"/>
          <w:i w:val="false"/>
          <w:iCs w:val="false"/>
          <w:color w:val="333333"/>
          <w:sz w:val="20"/>
          <w:szCs w:val="20"/>
        </w:rPr>
        <w:t>1:310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أحكام القرآن للجصّاص </w:t>
      </w:r>
      <w:r>
        <w:rPr>
          <w:rFonts w:eastAsia="IRNazanin" w:cs="IRNazanin"/>
          <w:b w:val="false"/>
          <w:bCs w:val="false"/>
          <w:i w:val="false"/>
          <w:iCs w:val="false"/>
          <w:color w:val="333333"/>
          <w:sz w:val="20"/>
          <w:szCs w:val="20"/>
        </w:rPr>
        <w:t>3:336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أحكام القرآن لابن العربي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1:121</w:t>
      </w:r>
      <w:r>
        <w:rPr>
          <w:rFonts w:ascii="IRNazanin" w:hAnsi="IRNazanin" w:eastAsia="IRNazanin"/>
          <w:b w:val="false"/>
          <w:b w:val="false"/>
          <w:bCs w:val="false"/>
          <w:i w:val="false"/>
          <w:i w:val="false"/>
          <w:iCs w:val="false"/>
          <w:color w:val="333333"/>
          <w:sz w:val="20"/>
          <w:sz w:val="20"/>
          <w:szCs w:val="20"/>
          <w:rtl w:val="true"/>
        </w:rPr>
        <w:t xml:space="preserve">، الشرح الكبير بهامش المغني </w:t>
      </w:r>
      <w:r>
        <w:rPr>
          <w:rFonts w:eastAsia="IRNazanin" w:cs="IRNazanin"/>
          <w:b w:val="false"/>
          <w:bCs w:val="false"/>
          <w:i w:val="false"/>
          <w:iCs w:val="false"/>
          <w:color w:val="333333"/>
          <w:sz w:val="20"/>
          <w:szCs w:val="20"/>
        </w:rPr>
        <w:t>1:151</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مقدّمات ابن رشد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،أحكام القرآن للجصّاص </w:t>
      </w:r>
      <w:r>
        <w:rPr>
          <w:rFonts w:eastAsia="IRNazanin" w:cs="IRNazanin"/>
          <w:b w:val="false"/>
          <w:bCs w:val="false"/>
          <w:i w:val="false"/>
          <w:iCs w:val="false"/>
          <w:color w:val="333333"/>
          <w:sz w:val="20"/>
          <w:szCs w:val="20"/>
        </w:rPr>
        <w:t>3:336</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1:121</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1:312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1:151</w:t>
      </w:r>
      <w:r>
        <w:rPr>
          <w:rFonts w:ascii="IRNazanin" w:hAnsi="IRNazanin" w:eastAsia="IRNazanin"/>
          <w:b w:val="false"/>
          <w:b w:val="false"/>
          <w:bCs w:val="false"/>
          <w:i w:val="false"/>
          <w:i w:val="false"/>
          <w:iCs w:val="false"/>
          <w:color w:val="333333"/>
          <w:sz w:val="20"/>
          <w:sz w:val="20"/>
          <w:szCs w:val="20"/>
          <w:rtl w:val="true"/>
        </w:rPr>
        <w:t xml:space="preserve">،أحكام القرآن لابن العربي </w:t>
      </w:r>
      <w:r>
        <w:rPr>
          <w:rFonts w:eastAsia="IRNazanin" w:cs="IRNazanin"/>
          <w:b w:val="false"/>
          <w:bCs w:val="false"/>
          <w:i w:val="false"/>
          <w:iCs w:val="false"/>
          <w:color w:val="333333"/>
          <w:sz w:val="20"/>
          <w:szCs w:val="20"/>
        </w:rPr>
        <w:t>2:559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،شرح فتح القدير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،الهداية للمرغينانيّ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،المحلّى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،أحكام القرآن للجصّاص </w:t>
      </w:r>
      <w:r>
        <w:rPr>
          <w:rFonts w:eastAsia="IRNazanin" w:cs="IRNazanin"/>
          <w:b w:val="false"/>
          <w:bCs w:val="false"/>
          <w:i w:val="false"/>
          <w:iCs w:val="false"/>
          <w:color w:val="333333"/>
          <w:sz w:val="20"/>
          <w:szCs w:val="20"/>
        </w:rPr>
        <w:t>3:336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1:313</w:t>
      </w:r>
      <w:r>
        <w:rPr>
          <w:rFonts w:ascii="IRNazanin" w:hAnsi="IRNazanin" w:eastAsia="IRNazanin"/>
          <w:b w:val="false"/>
          <w:b w:val="false"/>
          <w:bCs w:val="false"/>
          <w:i w:val="false"/>
          <w:i w:val="false"/>
          <w:iCs w:val="false"/>
          <w:color w:val="333333"/>
          <w:sz w:val="20"/>
          <w:sz w:val="20"/>
          <w:szCs w:val="20"/>
          <w:rtl w:val="true"/>
        </w:rPr>
        <w:t xml:space="preserve">،فتح العزيز هامش المجموع </w:t>
      </w:r>
      <w:r>
        <w:rPr>
          <w:rFonts w:eastAsia="IRNazanin" w:cs="IRNazanin"/>
          <w:b w:val="false"/>
          <w:bCs w:val="false"/>
          <w:i w:val="false"/>
          <w:iCs w:val="false"/>
          <w:color w:val="333333"/>
          <w:sz w:val="20"/>
          <w:szCs w:val="20"/>
        </w:rPr>
        <w:t>1:310</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1:163</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1:121</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1:151</w:t>
      </w:r>
      <w:r>
        <w:rPr>
          <w:rFonts w:ascii="IRNazanin" w:hAnsi="IRNazanin" w:eastAsia="IRNazanin"/>
          <w:b w:val="false"/>
          <w:b w:val="false"/>
          <w:bCs w:val="false"/>
          <w:i w:val="false"/>
          <w:i w:val="false"/>
          <w:iCs w:val="false"/>
          <w:color w:val="333333"/>
          <w:sz w:val="20"/>
          <w:sz w:val="20"/>
          <w:szCs w:val="20"/>
          <w:rtl w:val="true"/>
        </w:rPr>
        <w:t xml:space="preserve">، التّفسير الكبير ج </w:t>
      </w:r>
      <w:r>
        <w:rPr>
          <w:rFonts w:eastAsia="IRNazanin" w:cs="IRNazanin"/>
          <w:b w:val="false"/>
          <w:bCs w:val="false"/>
          <w:i w:val="false"/>
          <w:iCs w:val="false"/>
          <w:color w:val="333333"/>
          <w:sz w:val="20"/>
          <w:szCs w:val="20"/>
        </w:rPr>
        <w:t>11:153</w:t>
      </w:r>
      <w:r>
        <w:rPr>
          <w:rFonts w:ascii="IRNazanin" w:hAnsi="IRNazanin" w:eastAsia="IRNazanin"/>
          <w:b w:val="false"/>
          <w:b w:val="false"/>
          <w:bCs w:val="false"/>
          <w:i w:val="false"/>
          <w:i w:val="false"/>
          <w:iCs w:val="false"/>
          <w:color w:val="333333"/>
          <w:sz w:val="20"/>
          <w:sz w:val="20"/>
          <w:szCs w:val="20"/>
          <w:rtl w:val="true"/>
        </w:rPr>
        <w:t xml:space="preserve">،ميزان الكبرى </w:t>
      </w:r>
      <w:r>
        <w:rPr>
          <w:rFonts w:eastAsia="IRNazanin" w:cs="IRNazanin"/>
          <w:b w:val="false"/>
          <w:bCs w:val="false"/>
          <w:i w:val="false"/>
          <w:iCs w:val="false"/>
          <w:color w:val="333333"/>
          <w:sz w:val="20"/>
          <w:szCs w:val="20"/>
        </w:rPr>
        <w:t>1:115</w:t>
      </w:r>
      <w:r>
        <w:rPr>
          <w:rFonts w:ascii="IRNazanin" w:hAnsi="IRNazanin" w:eastAsia="IRNazanin"/>
          <w:b w:val="false"/>
          <w:b w:val="false"/>
          <w:bCs w:val="false"/>
          <w:i w:val="false"/>
          <w:i w:val="false"/>
          <w:iCs w:val="false"/>
          <w:color w:val="333333"/>
          <w:sz w:val="20"/>
          <w:sz w:val="20"/>
          <w:szCs w:val="20"/>
          <w:rtl w:val="true"/>
        </w:rPr>
        <w:t xml:space="preserve">،رحمة الأمّة بهامش ميزان الكبرى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1:313</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،أحكام القرآن لابن العربي </w:t>
      </w:r>
      <w:r>
        <w:rPr>
          <w:rFonts w:eastAsia="IRNazanin" w:cs="IRNazanin"/>
          <w:b w:val="false"/>
          <w:bCs w:val="false"/>
          <w:i w:val="false"/>
          <w:iCs w:val="false"/>
          <w:color w:val="333333"/>
          <w:sz w:val="20"/>
          <w:szCs w:val="20"/>
        </w:rPr>
        <w:t>2:559</w:t>
      </w:r>
      <w:r>
        <w:rPr>
          <w:rFonts w:ascii="IRNazanin" w:hAnsi="IRNazanin" w:eastAsia="IRNazanin"/>
          <w:b w:val="false"/>
          <w:b w:val="false"/>
          <w:bCs w:val="false"/>
          <w:i w:val="false"/>
          <w:i w:val="false"/>
          <w:iCs w:val="false"/>
          <w:color w:val="333333"/>
          <w:sz w:val="20"/>
          <w:sz w:val="20"/>
          <w:szCs w:val="20"/>
          <w:rtl w:val="true"/>
        </w:rPr>
        <w:t xml:space="preserve">،أحكام القرآن للجصّاص </w:t>
      </w:r>
      <w:r>
        <w:rPr>
          <w:rFonts w:eastAsia="IRNazanin" w:cs="IRNazanin"/>
          <w:b w:val="false"/>
          <w:bCs w:val="false"/>
          <w:i w:val="false"/>
          <w:iCs w:val="false"/>
          <w:color w:val="333333"/>
          <w:sz w:val="20"/>
          <w:szCs w:val="20"/>
        </w:rPr>
        <w:t>3:336</w:t>
      </w:r>
      <w:r>
        <w:rPr>
          <w:rFonts w:ascii="IRNazanin" w:hAnsi="IRNazanin" w:eastAsia="IRNazanin"/>
          <w:b w:val="false"/>
          <w:b w:val="false"/>
          <w:bCs w:val="false"/>
          <w:i w:val="false"/>
          <w:i w:val="false"/>
          <w:iCs w:val="false"/>
          <w:color w:val="333333"/>
          <w:sz w:val="20"/>
          <w:sz w:val="20"/>
          <w:szCs w:val="20"/>
          <w:rtl w:val="true"/>
        </w:rPr>
        <w:t xml:space="preserve">،المحلّى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1:313</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،أحكام القرآن لابن العربي </w:t>
      </w:r>
      <w:r>
        <w:rPr>
          <w:rFonts w:eastAsia="IRNazanin" w:cs="IRNazanin"/>
          <w:b w:val="false"/>
          <w:bCs w:val="false"/>
          <w:i w:val="false"/>
          <w:iCs w:val="false"/>
          <w:color w:val="333333"/>
          <w:sz w:val="20"/>
          <w:szCs w:val="20"/>
        </w:rPr>
        <w:t>2:559</w:t>
      </w:r>
      <w:r>
        <w:rPr>
          <w:rFonts w:ascii="IRNazanin" w:hAnsi="IRNazanin" w:eastAsia="IRNazanin"/>
          <w:b w:val="false"/>
          <w:b w:val="false"/>
          <w:bCs w:val="false"/>
          <w:i w:val="false"/>
          <w:i w:val="false"/>
          <w:iCs w:val="false"/>
          <w:color w:val="333333"/>
          <w:sz w:val="20"/>
          <w:sz w:val="20"/>
          <w:szCs w:val="20"/>
          <w:rtl w:val="true"/>
        </w:rPr>
        <w:t xml:space="preserve">،أحكام القرآن للجصّاص </w:t>
      </w:r>
      <w:r>
        <w:rPr>
          <w:rFonts w:eastAsia="IRNazanin" w:cs="IRNazanin"/>
          <w:b w:val="false"/>
          <w:bCs w:val="false"/>
          <w:i w:val="false"/>
          <w:iCs w:val="false"/>
          <w:color w:val="333333"/>
          <w:sz w:val="20"/>
          <w:szCs w:val="20"/>
        </w:rPr>
        <w:t>3:336</w:t>
      </w:r>
      <w:r>
        <w:rPr>
          <w:rFonts w:ascii="IRNazanin" w:hAnsi="IRNazanin" w:eastAsia="IRNazanin"/>
          <w:b w:val="false"/>
          <w:b w:val="false"/>
          <w:bCs w:val="false"/>
          <w:i w:val="false"/>
          <w:i w:val="false"/>
          <w:iCs w:val="false"/>
          <w:color w:val="333333"/>
          <w:sz w:val="20"/>
          <w:sz w:val="20"/>
          <w:szCs w:val="20"/>
          <w:rtl w:val="true"/>
        </w:rPr>
        <w:t xml:space="preserve">،المحلّى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عليه في المصادر الحديثيّة المتوفّرة لدينا،و قد أشار إليه ابن قدامة في المغني </w:t>
      </w:r>
      <w:r>
        <w:rPr>
          <w:rFonts w:eastAsia="IRNazanin" w:cs="IRNazanin"/>
          <w:b w:val="false"/>
          <w:bCs w:val="false"/>
          <w:i w:val="false"/>
          <w:iCs w:val="false"/>
          <w:color w:val="333333"/>
          <w:sz w:val="20"/>
          <w:szCs w:val="20"/>
        </w:rPr>
        <w:t>1:121</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520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العبادات،حديث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2:503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تحامتني العشيرة كلّها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البيت لطرفة بن العبد في معلّقته المشهورة</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البيّنة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فَاعبُدُوا اللّهَ مُخْلصِين و و هي غير موجودة في القرآن بهذا اللّفظ،و لعلّه من سهو النّسّاخ</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3:1515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1907</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4:179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1647</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2:262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2201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2:1413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4227</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7:341</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،سنن الدّار قطني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اللّيل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نقل</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بها</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القارئ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الاجتزاء</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1:121</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1:313</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1:152</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بدون النّيّة</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العبّاس أحمد بن عمر بن سريج البغداديّ،قدوة الشّافعيّة،ولّي القضاء بشيراز،سمع الحسن بن محمّد الزّعفراني،و أبا داود السّجستاني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حدّث عنه أبو القاسم الطّبراني و أبو الوليد حسّان بن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له مصنّفات كثيرة مات في جمادى الأولى سنة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الحفّاظ </w:t>
      </w:r>
      <w:r>
        <w:rPr>
          <w:rFonts w:eastAsia="IRNazanin" w:cs="IRNazanin"/>
          <w:b w:val="false"/>
          <w:bCs w:val="false"/>
          <w:i w:val="false"/>
          <w:iCs w:val="false"/>
          <w:color w:val="333333"/>
          <w:sz w:val="20"/>
          <w:szCs w:val="20"/>
        </w:rPr>
        <w:t>3:811</w:t>
      </w:r>
      <w:r>
        <w:rPr>
          <w:rFonts w:ascii="IRNazanin" w:hAnsi="IRNazanin" w:eastAsia="IRNazanin"/>
          <w:b w:val="false"/>
          <w:b w:val="false"/>
          <w:bCs w:val="false"/>
          <w:i w:val="false"/>
          <w:i w:val="false"/>
          <w:iCs w:val="false"/>
          <w:color w:val="333333"/>
          <w:sz w:val="20"/>
          <w:sz w:val="20"/>
          <w:szCs w:val="20"/>
          <w:rtl w:val="true"/>
        </w:rPr>
        <w:t>،طبقات الحفّاظ للسّيوطي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شذرات الذّهب </w:t>
      </w:r>
      <w:r>
        <w:rPr>
          <w:rFonts w:eastAsia="IRNazanin" w:cs="IRNazanin"/>
          <w:b w:val="false"/>
          <w:bCs w:val="false"/>
          <w:i w:val="false"/>
          <w:iCs w:val="false"/>
          <w:color w:val="333333"/>
          <w:sz w:val="20"/>
          <w:szCs w:val="20"/>
        </w:rPr>
        <w:t>2:247</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سهل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سليمان العجليّ الصّعلوكيّ النّيسابوريّ الحنفيّ نسبا و الشّافعيّ مذهبا،شيخ الشّافعيّة بخراسان،سمع من أبي العبّاس السّرّاج،و أخذ عنه ابنه أبو الطيّب و غيره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مات سنة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العبر </w:t>
      </w:r>
      <w:r>
        <w:rPr>
          <w:rFonts w:eastAsia="IRNazanin" w:cs="IRNazanin"/>
          <w:b w:val="false"/>
          <w:bCs w:val="false"/>
          <w:i w:val="false"/>
          <w:iCs w:val="false"/>
          <w:color w:val="333333"/>
          <w:sz w:val="20"/>
          <w:szCs w:val="20"/>
        </w:rPr>
        <w:t>2:132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شذرات الذّهب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1:311</w:t>
      </w:r>
      <w:r>
        <w:rPr>
          <w:rFonts w:ascii="IRNazanin" w:hAnsi="IRNazanin" w:eastAsia="IRNazanin"/>
          <w:b w:val="false"/>
          <w:b w:val="false"/>
          <w:bCs w:val="false"/>
          <w:i w:val="false"/>
          <w:i w:val="false"/>
          <w:iCs w:val="false"/>
          <w:color w:val="333333"/>
          <w:sz w:val="20"/>
          <w:sz w:val="20"/>
          <w:szCs w:val="20"/>
          <w:rtl w:val="true"/>
        </w:rPr>
        <w:t xml:space="preserve">،فتح العزيز هامش المجموع </w:t>
      </w:r>
      <w:r>
        <w:rPr>
          <w:rFonts w:eastAsia="IRNazanin" w:cs="IRNazanin"/>
          <w:b w:val="false"/>
          <w:bCs w:val="false"/>
          <w:i w:val="false"/>
          <w:iCs w:val="false"/>
          <w:color w:val="333333"/>
          <w:sz w:val="20"/>
          <w:szCs w:val="20"/>
        </w:rPr>
        <w:t>1:311</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الكافي في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1:334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5:156</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1:332</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1:128</w:t>
      </w:r>
      <w:r>
        <w:rPr>
          <w:rFonts w:ascii="IRNazanin" w:hAnsi="IRNazanin" w:eastAsia="IRNazanin"/>
          <w:b w:val="false"/>
          <w:b w:val="false"/>
          <w:bCs w:val="false"/>
          <w:i w:val="false"/>
          <w:i w:val="false"/>
          <w:iCs w:val="false"/>
          <w:color w:val="333333"/>
          <w:sz w:val="20"/>
          <w:sz w:val="20"/>
          <w:szCs w:val="20"/>
          <w:rtl w:val="true"/>
        </w:rPr>
        <w:t xml:space="preserve">،ميزان الكبرى </w:t>
      </w:r>
      <w:r>
        <w:rPr>
          <w:rFonts w:eastAsia="IRNazanin" w:cs="IRNazanin"/>
          <w:b w:val="false"/>
          <w:bCs w:val="false"/>
          <w:i w:val="false"/>
          <w:iCs w:val="false"/>
          <w:color w:val="333333"/>
          <w:sz w:val="20"/>
          <w:szCs w:val="20"/>
        </w:rPr>
        <w:t>1:203</w:t>
      </w:r>
      <w:r>
        <w:rPr>
          <w:rFonts w:ascii="IRNazanin" w:hAnsi="IRNazanin" w:eastAsia="IRNazanin"/>
          <w:b w:val="false"/>
          <w:b w:val="false"/>
          <w:bCs w:val="false"/>
          <w:i w:val="false"/>
          <w:i w:val="false"/>
          <w:iCs w:val="false"/>
          <w:color w:val="333333"/>
          <w:sz w:val="20"/>
          <w:sz w:val="20"/>
          <w:szCs w:val="20"/>
          <w:rtl w:val="true"/>
        </w:rPr>
        <w:t xml:space="preserve">،فتح العزيز هامش المجموع </w:t>
      </w:r>
      <w:r>
        <w:rPr>
          <w:rFonts w:eastAsia="IRNazanin" w:cs="IRNazanin"/>
          <w:b w:val="false"/>
          <w:bCs w:val="false"/>
          <w:i w:val="false"/>
          <w:iCs w:val="false"/>
          <w:color w:val="333333"/>
          <w:sz w:val="20"/>
          <w:szCs w:val="20"/>
        </w:rPr>
        <w:t>5:114</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1:323</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فإنّها</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1:333</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البيّنة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1:320</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1:317</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1:124</w:t>
      </w:r>
      <w:r>
        <w:rPr>
          <w:rFonts w:ascii="IRNazanin" w:hAnsi="IRNazanin" w:eastAsia="IRNazanin"/>
          <w:b w:val="false"/>
          <w:b w:val="false"/>
          <w:bCs w:val="false"/>
          <w:i w:val="false"/>
          <w:i w:val="false"/>
          <w:iCs w:val="false"/>
          <w:color w:val="333333"/>
          <w:sz w:val="20"/>
          <w:sz w:val="20"/>
          <w:szCs w:val="20"/>
          <w:rtl w:val="true"/>
        </w:rPr>
        <w:t xml:space="preserve">،الكافي لابن قدامة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1:154</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1:324</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،فتح العزيز هامش المجموع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،السّراج الوهّاج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1:323</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1:325</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،السّراج الوهّاج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،فتح الوهّاب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التّبريد</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،السّراج الوهّاج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1:320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الإجزاء</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1:336</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1:330</w:t>
      </w:r>
      <w:r>
        <w:rPr>
          <w:rFonts w:ascii="IRNazanin" w:hAnsi="IRNazanin" w:eastAsia="IRNazanin"/>
          <w:b w:val="false"/>
          <w:b w:val="false"/>
          <w:bCs w:val="false"/>
          <w:i w:val="false"/>
          <w:i w:val="false"/>
          <w:iCs w:val="false"/>
          <w:color w:val="333333"/>
          <w:sz w:val="20"/>
          <w:sz w:val="20"/>
          <w:szCs w:val="20"/>
          <w:rtl w:val="true"/>
        </w:rPr>
        <w:t xml:space="preserve">،فتح العزيز هامش المجموع </w:t>
      </w:r>
      <w:r>
        <w:rPr>
          <w:rFonts w:eastAsia="IRNazanin" w:cs="IRNazanin"/>
          <w:b w:val="false"/>
          <w:bCs w:val="false"/>
          <w:i w:val="false"/>
          <w:iCs w:val="false"/>
          <w:color w:val="333333"/>
          <w:sz w:val="20"/>
          <w:szCs w:val="20"/>
        </w:rPr>
        <w:t>1:313</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بطهارة</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1:327</w:t>
      </w:r>
      <w:r>
        <w:rPr>
          <w:rFonts w:ascii="IRNazanin" w:hAnsi="IRNazanin" w:eastAsia="IRNazanin"/>
          <w:b w:val="false"/>
          <w:b w:val="false"/>
          <w:bCs w:val="false"/>
          <w:i w:val="false"/>
          <w:i w:val="false"/>
          <w:iCs w:val="false"/>
          <w:color w:val="333333"/>
          <w:sz w:val="20"/>
          <w:sz w:val="20"/>
          <w:szCs w:val="20"/>
          <w:rtl w:val="true"/>
        </w:rPr>
        <w:t xml:space="preserve">،فتح العزيز هامش المجموع </w:t>
      </w:r>
      <w:r>
        <w:rPr>
          <w:rFonts w:eastAsia="IRNazanin" w:cs="IRNazanin"/>
          <w:b w:val="false"/>
          <w:bCs w:val="false"/>
          <w:i w:val="false"/>
          <w:iCs w:val="false"/>
          <w:color w:val="333333"/>
          <w:sz w:val="20"/>
          <w:szCs w:val="20"/>
        </w:rPr>
        <w:t>1:321</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الطّهارة</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السّراج الوهّاج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،فتح العزيز هامش المجموع </w:t>
      </w:r>
      <w:r>
        <w:rPr>
          <w:rFonts w:eastAsia="IRNazanin" w:cs="IRNazanin"/>
          <w:b w:val="false"/>
          <w:bCs w:val="false"/>
          <w:i w:val="false"/>
          <w:iCs w:val="false"/>
          <w:color w:val="333333"/>
          <w:sz w:val="20"/>
          <w:szCs w:val="20"/>
        </w:rPr>
        <w:t>1:330</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السّراج الوهّاج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1:330</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1:329</w:t>
      </w:r>
      <w:r>
        <w:rPr>
          <w:rFonts w:ascii="IRNazanin" w:hAnsi="IRNazanin" w:eastAsia="IRNazanin"/>
          <w:b w:val="false"/>
          <w:b w:val="false"/>
          <w:bCs w:val="false"/>
          <w:i w:val="false"/>
          <w:i w:val="false"/>
          <w:iCs w:val="false"/>
          <w:color w:val="333333"/>
          <w:sz w:val="20"/>
          <w:sz w:val="20"/>
          <w:szCs w:val="20"/>
          <w:rtl w:val="true"/>
        </w:rPr>
        <w:t xml:space="preserve">،فتح الوهاب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،السّراج الوهّاج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،فتح العزيز هامش المجموع </w:t>
      </w:r>
      <w:r>
        <w:rPr>
          <w:rFonts w:eastAsia="IRNazanin" w:cs="IRNazanin"/>
          <w:b w:val="false"/>
          <w:bCs w:val="false"/>
          <w:i w:val="false"/>
          <w:iCs w:val="false"/>
          <w:color w:val="333333"/>
          <w:sz w:val="20"/>
          <w:szCs w:val="20"/>
        </w:rPr>
        <w:t>1:334</w:t>
      </w:r>
      <w:r>
        <w:rPr>
          <w:rFonts w:ascii="IRNazanin" w:hAnsi="IRNazanin" w:eastAsia="IRNazanin"/>
          <w:b w:val="false"/>
          <w:b w:val="false"/>
          <w:bCs w:val="false"/>
          <w:i w:val="false"/>
          <w:i w:val="false"/>
          <w:iCs w:val="false"/>
          <w:color w:val="333333"/>
          <w:sz w:val="20"/>
          <w:sz w:val="20"/>
          <w:szCs w:val="20"/>
          <w:rtl w:val="true"/>
        </w:rPr>
        <w:t xml:space="preserve">، مغني المحتاج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يتصوّر</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فتح العزيز هامش المجموع </w:t>
      </w:r>
      <w:r>
        <w:rPr>
          <w:rFonts w:eastAsia="IRNazanin" w:cs="IRNazanin"/>
          <w:b w:val="false"/>
          <w:bCs w:val="false"/>
          <w:i w:val="false"/>
          <w:iCs w:val="false"/>
          <w:color w:val="333333"/>
          <w:sz w:val="20"/>
          <w:szCs w:val="20"/>
        </w:rPr>
        <w:t>1:335</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بيان ذلك في الجزء الأوّل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1:326</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1:320</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،مقدّمات ابن رشد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،بلغة السّالك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،ميزان الكبرى </w:t>
      </w:r>
      <w:r>
        <w:rPr>
          <w:rFonts w:eastAsia="IRNazanin" w:cs="IRNazanin"/>
          <w:b w:val="false"/>
          <w:bCs w:val="false"/>
          <w:i w:val="false"/>
          <w:iCs w:val="false"/>
          <w:color w:val="333333"/>
          <w:sz w:val="20"/>
          <w:szCs w:val="20"/>
        </w:rPr>
        <w:t>1:117</w:t>
      </w:r>
      <w:r>
        <w:rPr>
          <w:rFonts w:ascii="IRNazanin" w:hAnsi="IRNazanin" w:eastAsia="IRNazanin"/>
          <w:b w:val="false"/>
          <w:b w:val="false"/>
          <w:bCs w:val="false"/>
          <w:i w:val="false"/>
          <w:i w:val="false"/>
          <w:iCs w:val="false"/>
          <w:color w:val="333333"/>
          <w:sz w:val="20"/>
          <w:sz w:val="20"/>
          <w:szCs w:val="20"/>
          <w:rtl w:val="true"/>
        </w:rPr>
        <w:t xml:space="preserve">، نيل الأوطار </w:t>
      </w:r>
      <w:r>
        <w:rPr>
          <w:rFonts w:eastAsia="IRNazanin" w:cs="IRNazanin"/>
          <w:b w:val="false"/>
          <w:bCs w:val="false"/>
          <w:i w:val="false"/>
          <w:iCs w:val="false"/>
          <w:color w:val="333333"/>
          <w:sz w:val="20"/>
          <w:szCs w:val="20"/>
        </w:rPr>
        <w:t>1:188</w:t>
      </w:r>
      <w:r>
        <w:rPr>
          <w:rFonts w:ascii="IRNazanin" w:hAnsi="IRNazanin" w:eastAsia="IRNazanin"/>
          <w:b w:val="false"/>
          <w:b w:val="false"/>
          <w:bCs w:val="false"/>
          <w:i w:val="false"/>
          <w:i w:val="false"/>
          <w:iCs w:val="false"/>
          <w:color w:val="333333"/>
          <w:sz w:val="20"/>
          <w:sz w:val="20"/>
          <w:szCs w:val="20"/>
          <w:rtl w:val="true"/>
        </w:rPr>
        <w:t xml:space="preserve">،رحمة الأمة هامش ميزان الكبرى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1:373</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1:372</w:t>
      </w:r>
      <w:r>
        <w:rPr>
          <w:rFonts w:ascii="IRNazanin" w:hAnsi="IRNazanin" w:eastAsia="IRNazanin"/>
          <w:b w:val="false"/>
          <w:b w:val="false"/>
          <w:bCs w:val="false"/>
          <w:i w:val="false"/>
          <w:i w:val="false"/>
          <w:iCs w:val="false"/>
          <w:color w:val="333333"/>
          <w:sz w:val="20"/>
          <w:sz w:val="20"/>
          <w:szCs w:val="20"/>
          <w:rtl w:val="true"/>
        </w:rPr>
        <w:t xml:space="preserve">،فتح الوهّاب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1:188</w:t>
      </w:r>
      <w:r>
        <w:rPr>
          <w:rFonts w:ascii="IRNazanin" w:hAnsi="IRNazanin" w:eastAsia="IRNazanin"/>
          <w:b w:val="false"/>
          <w:b w:val="false"/>
          <w:bCs w:val="false"/>
          <w:i w:val="false"/>
          <w:i w:val="false"/>
          <w:iCs w:val="false"/>
          <w:color w:val="333333"/>
          <w:sz w:val="20"/>
          <w:sz w:val="20"/>
          <w:szCs w:val="20"/>
          <w:rtl w:val="true"/>
        </w:rPr>
        <w:t>،السّراج الوهّاج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،الهداية للمرغينانيّ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1:373</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1:128</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1:373</w:t>
      </w:r>
      <w:r>
        <w:rPr>
          <w:rFonts w:ascii="IRNazanin" w:hAnsi="IRNazanin" w:eastAsia="IRNazanin"/>
          <w:b w:val="false"/>
          <w:b w:val="false"/>
          <w:bCs w:val="false"/>
          <w:i w:val="false"/>
          <w:i w:val="false"/>
          <w:iCs w:val="false"/>
          <w:color w:val="333333"/>
          <w:sz w:val="20"/>
          <w:sz w:val="20"/>
          <w:szCs w:val="20"/>
          <w:rtl w:val="true"/>
        </w:rPr>
        <w:t xml:space="preserve">،الكافي لابن قدامة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1:126</w:t>
      </w:r>
      <w:r>
        <w:rPr>
          <w:rFonts w:ascii="IRNazanin" w:hAnsi="IRNazanin" w:eastAsia="IRNazanin"/>
          <w:b w:val="false"/>
          <w:b w:val="false"/>
          <w:bCs w:val="false"/>
          <w:i w:val="false"/>
          <w:i w:val="false"/>
          <w:iCs w:val="false"/>
          <w:color w:val="333333"/>
          <w:sz w:val="20"/>
          <w:sz w:val="20"/>
          <w:szCs w:val="20"/>
          <w:rtl w:val="true"/>
        </w:rPr>
        <w:t xml:space="preserve">،الشّرح الكبير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بهامش المغنيّ </w:t>
      </w:r>
      <w:r>
        <w:rPr>
          <w:rFonts w:eastAsia="IRNazanin" w:cs="IRNazanin"/>
          <w:b w:val="false"/>
          <w:bCs w:val="false"/>
          <w:i w:val="false"/>
          <w:iCs w:val="false"/>
          <w:color w:val="333333"/>
          <w:sz w:val="20"/>
          <w:szCs w:val="20"/>
        </w:rPr>
        <w:t>1:158</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انّه</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1:128</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1:159</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1:154</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ذكره في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منتفيا</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فتح القدير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1:126</w:t>
      </w:r>
      <w:r>
        <w:rPr>
          <w:rFonts w:ascii="IRNazanin" w:hAnsi="IRNazanin" w:eastAsia="IRNazanin"/>
          <w:b w:val="false"/>
          <w:b w:val="false"/>
          <w:bCs w:val="false"/>
          <w:i w:val="false"/>
          <w:i w:val="false"/>
          <w:iCs w:val="false"/>
          <w:color w:val="333333"/>
          <w:sz w:val="20"/>
          <w:sz w:val="20"/>
          <w:szCs w:val="20"/>
          <w:rtl w:val="true"/>
        </w:rPr>
        <w:t xml:space="preserve">،الكافي لابن قدامة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1:158</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771</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1:202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1:372</w:t>
      </w:r>
      <w:r>
        <w:rPr>
          <w:rFonts w:ascii="IRNazanin" w:hAnsi="IRNazanin" w:eastAsia="IRNazanin"/>
          <w:b w:val="false"/>
          <w:b w:val="false"/>
          <w:bCs w:val="false"/>
          <w:i w:val="false"/>
          <w:i w:val="false"/>
          <w:iCs w:val="false"/>
          <w:color w:val="333333"/>
          <w:sz w:val="20"/>
          <w:sz w:val="20"/>
          <w:szCs w:val="20"/>
          <w:rtl w:val="true"/>
        </w:rPr>
        <w:t xml:space="preserve">،فتح الوهّاب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،فتح العزيز هاش المجموع </w:t>
      </w:r>
      <w:r>
        <w:rPr>
          <w:rFonts w:eastAsia="IRNazanin" w:cs="IRNazanin"/>
          <w:b w:val="false"/>
          <w:bCs w:val="false"/>
          <w:i w:val="false"/>
          <w:iCs w:val="false"/>
          <w:color w:val="333333"/>
          <w:sz w:val="20"/>
          <w:szCs w:val="20"/>
        </w:rPr>
        <w:t>1:338</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بلغة السّالك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1:373</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1:188</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1:373</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،السّراج الوهّاج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1:373</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1:188</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،التّفسير الكبير </w:t>
      </w:r>
      <w:r>
        <w:rPr>
          <w:rFonts w:eastAsia="IRNazanin" w:cs="IRNazanin"/>
          <w:b w:val="false"/>
          <w:bCs w:val="false"/>
          <w:i w:val="false"/>
          <w:iCs w:val="false"/>
          <w:color w:val="333333"/>
          <w:sz w:val="20"/>
          <w:szCs w:val="20"/>
        </w:rPr>
        <w:t>11:158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1:117</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1:162</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1:117</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1:162</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1:149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،سنن الدّار قطني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1:183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26929</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كغيرها</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1106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1084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1:130</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1:182</w:t>
      </w:r>
      <w:r>
        <w:rPr>
          <w:rFonts w:ascii="IRNazanin" w:hAnsi="IRNazanin" w:eastAsia="IRNazanin"/>
          <w:b w:val="false"/>
          <w:b w:val="false"/>
          <w:bCs w:val="false"/>
          <w:i w:val="false"/>
          <w:i w:val="false"/>
          <w:iCs w:val="false"/>
          <w:color w:val="333333"/>
          <w:sz w:val="20"/>
          <w:sz w:val="20"/>
          <w:szCs w:val="20"/>
          <w:rtl w:val="true"/>
        </w:rPr>
        <w:t xml:space="preserve">،التّفسير الكبير </w:t>
      </w:r>
      <w:r>
        <w:rPr>
          <w:rFonts w:eastAsia="IRNazanin" w:cs="IRNazanin"/>
          <w:b w:val="false"/>
          <w:bCs w:val="false"/>
          <w:i w:val="false"/>
          <w:iCs w:val="false"/>
          <w:color w:val="333333"/>
          <w:sz w:val="20"/>
          <w:szCs w:val="20"/>
        </w:rPr>
        <w:t>11:158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1:160</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1:130</w:t>
      </w:r>
      <w:r>
        <w:rPr>
          <w:rFonts w:ascii="IRNazanin" w:hAnsi="IRNazanin" w:eastAsia="IRNazanin"/>
          <w:b w:val="false"/>
          <w:b w:val="false"/>
          <w:bCs w:val="false"/>
          <w:i w:val="false"/>
          <w:i w:val="false"/>
          <w:iCs w:val="false"/>
          <w:color w:val="333333"/>
          <w:sz w:val="20"/>
          <w:sz w:val="20"/>
          <w:szCs w:val="20"/>
          <w:rtl w:val="true"/>
        </w:rPr>
        <w:t xml:space="preserve">،التّفسير الكبير </w:t>
      </w:r>
      <w:r>
        <w:rPr>
          <w:rFonts w:eastAsia="IRNazanin" w:cs="IRNazanin"/>
          <w:b w:val="false"/>
          <w:bCs w:val="false"/>
          <w:i w:val="false"/>
          <w:iCs w:val="false"/>
          <w:color w:val="333333"/>
          <w:sz w:val="20"/>
          <w:szCs w:val="20"/>
        </w:rPr>
        <w:t>11:158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،الام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1:182</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،التّفسير الكبير </w:t>
      </w:r>
      <w:r>
        <w:rPr>
          <w:rFonts w:eastAsia="IRNazanin" w:cs="IRNazanin"/>
          <w:b w:val="false"/>
          <w:bCs w:val="false"/>
          <w:i w:val="false"/>
          <w:iCs w:val="false"/>
          <w:color w:val="333333"/>
          <w:sz w:val="20"/>
          <w:szCs w:val="20"/>
        </w:rPr>
        <w:t>11:158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1:160</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،مقدّمات ابن رشد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لابن قدامة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1:156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بشرة</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1:130</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1:160</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أحكام القرآن للجصّاص </w:t>
      </w:r>
      <w:r>
        <w:rPr>
          <w:rFonts w:eastAsia="IRNazanin" w:cs="IRNazanin"/>
          <w:b w:val="false"/>
          <w:bCs w:val="false"/>
          <w:i w:val="false"/>
          <w:iCs w:val="false"/>
          <w:color w:val="333333"/>
          <w:sz w:val="20"/>
          <w:szCs w:val="20"/>
        </w:rPr>
        <w:t>3:343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،شرح فتح القدير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1:131</w:t>
      </w:r>
      <w:r>
        <w:rPr>
          <w:rFonts w:ascii="IRNazanin" w:hAnsi="IRNazanin" w:eastAsia="IRNazanin"/>
          <w:b w:val="false"/>
          <w:b w:val="false"/>
          <w:bCs w:val="false"/>
          <w:i w:val="false"/>
          <w:i w:val="false"/>
          <w:iCs w:val="false"/>
          <w:color w:val="333333"/>
          <w:sz w:val="20"/>
          <w:sz w:val="20"/>
          <w:szCs w:val="20"/>
          <w:rtl w:val="true"/>
        </w:rPr>
        <w:t xml:space="preserve">،أحكام القرآن للجصّاص </w:t>
      </w:r>
      <w:r>
        <w:rPr>
          <w:rFonts w:eastAsia="IRNazanin" w:cs="IRNazanin"/>
          <w:b w:val="false"/>
          <w:bCs w:val="false"/>
          <w:i w:val="false"/>
          <w:iCs w:val="false"/>
          <w:color w:val="333333"/>
          <w:sz w:val="20"/>
          <w:szCs w:val="20"/>
        </w:rPr>
        <w:t>3:343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1:160</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1:131</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1:160</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1:131</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جعل</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1:149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1:188</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1:413</w:t>
      </w:r>
      <w:r>
        <w:rPr>
          <w:rFonts w:ascii="IRNazanin" w:hAnsi="IRNazanin" w:eastAsia="IRNazanin"/>
          <w:b w:val="false"/>
          <w:b w:val="false"/>
          <w:bCs w:val="false"/>
          <w:i w:val="false"/>
          <w:i w:val="false"/>
          <w:iCs w:val="false"/>
          <w:color w:val="333333"/>
          <w:sz w:val="20"/>
          <w:sz w:val="20"/>
          <w:szCs w:val="20"/>
          <w:rtl w:val="true"/>
        </w:rPr>
        <w:t xml:space="preserve">،رحمة الأمّة هامش ميزان الكبرى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،تفسير القرطبي </w:t>
      </w:r>
      <w:r>
        <w:rPr>
          <w:rFonts w:eastAsia="IRNazanin" w:cs="IRNazanin"/>
          <w:b w:val="false"/>
          <w:bCs w:val="false"/>
          <w:i w:val="false"/>
          <w:iCs w:val="false"/>
          <w:color w:val="333333"/>
          <w:sz w:val="20"/>
          <w:szCs w:val="20"/>
        </w:rPr>
        <w:t>6:87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1:414</w:t>
      </w:r>
      <w:r>
        <w:rPr>
          <w:rFonts w:ascii="IRNazanin" w:hAnsi="IRNazanin" w:eastAsia="IRNazanin"/>
          <w:b w:val="false"/>
          <w:b w:val="false"/>
          <w:bCs w:val="false"/>
          <w:i w:val="false"/>
          <w:i w:val="false"/>
          <w:iCs w:val="false"/>
          <w:color w:val="333333"/>
          <w:sz w:val="20"/>
          <w:sz w:val="20"/>
          <w:szCs w:val="20"/>
          <w:rtl w:val="true"/>
        </w:rPr>
        <w:t xml:space="preserve">،رحمة الأمّة هامش ميزان الكبرى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1:188</w:t>
      </w:r>
      <w:r>
        <w:rPr>
          <w:rFonts w:ascii="IRNazanin" w:hAnsi="IRNazanin" w:eastAsia="IRNazanin"/>
          <w:b w:val="false"/>
          <w:b w:val="false"/>
          <w:bCs w:val="false"/>
          <w:i w:val="false"/>
          <w:i w:val="false"/>
          <w:iCs w:val="false"/>
          <w:color w:val="333333"/>
          <w:sz w:val="20"/>
          <w:sz w:val="20"/>
          <w:szCs w:val="20"/>
          <w:rtl w:val="true"/>
        </w:rPr>
        <w:t>،و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صالح،بدل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 البصري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القرطبي </w:t>
      </w:r>
      <w:r>
        <w:rPr>
          <w:rFonts w:eastAsia="IRNazanin" w:cs="IRNazanin"/>
          <w:b w:val="false"/>
          <w:bCs w:val="false"/>
          <w:i w:val="false"/>
          <w:iCs w:val="false"/>
          <w:color w:val="333333"/>
          <w:sz w:val="20"/>
          <w:szCs w:val="20"/>
        </w:rPr>
        <w:t>6:87</w:t>
      </w:r>
      <w:r>
        <w:rPr>
          <w:rFonts w:ascii="IRNazanin" w:hAnsi="IRNazanin" w:eastAsia="IRNazanin"/>
          <w:b w:val="false"/>
          <w:b w:val="false"/>
          <w:bCs w:val="false"/>
          <w:i w:val="false"/>
          <w:i w:val="false"/>
          <w:iCs w:val="false"/>
          <w:color w:val="333333"/>
          <w:sz w:val="20"/>
          <w:sz w:val="20"/>
          <w:szCs w:val="20"/>
          <w:rtl w:val="true"/>
        </w:rPr>
        <w:t xml:space="preserve">،التّفسير الكبير </w:t>
      </w:r>
      <w:r>
        <w:rPr>
          <w:rFonts w:eastAsia="IRNazanin" w:cs="IRNazanin"/>
          <w:b w:val="false"/>
          <w:bCs w:val="false"/>
          <w:i w:val="false"/>
          <w:iCs w:val="false"/>
          <w:color w:val="333333"/>
          <w:sz w:val="20"/>
          <w:szCs w:val="20"/>
        </w:rPr>
        <w:t>11:159</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1:413</w:t>
      </w:r>
      <w:r>
        <w:rPr>
          <w:rFonts w:ascii="IRNazanin" w:hAnsi="IRNazanin" w:eastAsia="IRNazanin"/>
          <w:b w:val="false"/>
          <w:b w:val="false"/>
          <w:bCs w:val="false"/>
          <w:i w:val="false"/>
          <w:i w:val="false"/>
          <w:iCs w:val="false"/>
          <w:color w:val="333333"/>
          <w:sz w:val="20"/>
          <w:sz w:val="20"/>
          <w:szCs w:val="20"/>
          <w:rtl w:val="true"/>
        </w:rPr>
        <w:t>،السّراج الوهّاج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،تفسير القرطبي </w:t>
      </w:r>
      <w:r>
        <w:rPr>
          <w:rFonts w:eastAsia="IRNazanin" w:cs="IRNazanin"/>
          <w:b w:val="false"/>
          <w:bCs w:val="false"/>
          <w:i w:val="false"/>
          <w:iCs w:val="false"/>
          <w:color w:val="333333"/>
          <w:sz w:val="20"/>
          <w:szCs w:val="20"/>
        </w:rPr>
        <w:t>6:90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الامّ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الهداية للمرغيناني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،شرح فتح القدير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،تفسير القرطبي </w:t>
      </w:r>
      <w:r>
        <w:rPr>
          <w:rFonts w:eastAsia="IRNazanin" w:cs="IRNazanin"/>
          <w:b w:val="false"/>
          <w:bCs w:val="false"/>
          <w:i w:val="false"/>
          <w:iCs w:val="false"/>
          <w:color w:val="333333"/>
          <w:sz w:val="20"/>
          <w:szCs w:val="20"/>
        </w:rPr>
        <w:t>6:90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1:200</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القرطبي </w:t>
      </w:r>
      <w:r>
        <w:rPr>
          <w:rFonts w:eastAsia="IRNazanin" w:cs="IRNazanin"/>
          <w:b w:val="false"/>
          <w:bCs w:val="false"/>
          <w:i w:val="false"/>
          <w:iCs w:val="false"/>
          <w:color w:val="333333"/>
          <w:sz w:val="20"/>
          <w:szCs w:val="20"/>
        </w:rPr>
        <w:t>6:90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1:200</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 ترجمتهما و القول فيهما في الجزء الأوّل 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1:198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،و فيهما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مسح برأسه و أذنيه مسحة واحدة</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1:152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1:199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 قطني </w:t>
      </w:r>
      <w:r>
        <w:rPr>
          <w:rFonts w:eastAsia="IRNazanin" w:cs="IRNazanin"/>
          <w:b w:val="false"/>
          <w:bCs w:val="false"/>
          <w:i w:val="false"/>
          <w:iCs w:val="false"/>
          <w:color w:val="333333"/>
          <w:sz w:val="20"/>
          <w:szCs w:val="20"/>
        </w:rPr>
        <w:t>1:104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1:234</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،شرح فتح القدير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،شرح فتح القدير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،التّعليق المغني هامش سنن الدّار قطني </w:t>
      </w:r>
      <w:r>
        <w:rPr>
          <w:rFonts w:eastAsia="IRNazanin" w:cs="IRNazanin"/>
          <w:b w:val="false"/>
          <w:bCs w:val="false"/>
          <w:i w:val="false"/>
          <w:iCs w:val="false"/>
          <w:color w:val="333333"/>
          <w:sz w:val="20"/>
          <w:szCs w:val="20"/>
        </w:rPr>
        <w:t>1:103</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يحتمل التّقيّة</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يونس بن رباط البجليّ،مولاهم،كوفيّ من أصحاب أبي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وثّقه النّجاشيّ،و الشّيخ، و العلاّمة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،رجال العلاّمة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يونس بن ظبيان الكوفيّ،مولى،ضعيف جدّا لا يلتفت إلى ما رواه،كلّ كتبه تخليط،قاله النّجاشيّ، عدّه الشّيخ في رجاله من أصحاب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نقل العلاّمة في رجاله عن ابن الغضائريّ انّه غال كذّاب وضّاع للحديث،ثمَّ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أعتمد على روايته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،رجال العلاّمة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1071</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1072</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 خلاف الشّن،و هو الصّبّ المتّصل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لابن الأثير </w:t>
      </w:r>
      <w:r>
        <w:rPr>
          <w:rFonts w:eastAsia="IRNazanin" w:cs="IRNazanin"/>
          <w:b w:val="false"/>
          <w:bCs w:val="false"/>
          <w:i w:val="false"/>
          <w:iCs w:val="false"/>
          <w:color w:val="333333"/>
          <w:sz w:val="20"/>
          <w:szCs w:val="20"/>
        </w:rPr>
        <w:t>3:413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الوجه الغضن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الّذي فيه تجعّد و تكسّر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لابن الأثير </w:t>
      </w:r>
      <w:r>
        <w:rPr>
          <w:rFonts w:eastAsia="IRNazanin" w:cs="IRNazanin"/>
          <w:b w:val="false"/>
          <w:bCs w:val="false"/>
          <w:i w:val="false"/>
          <w:iCs w:val="false"/>
          <w:color w:val="333333"/>
          <w:sz w:val="20"/>
          <w:szCs w:val="20"/>
        </w:rPr>
        <w:t>3:372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لم نعثر على قوله هذا من كتبه الموجودة،و لكن نقله عنه المحقّق في المعتبر </w:t>
      </w:r>
      <w:r>
        <w:rPr>
          <w:rFonts w:eastAsia="IRNazanin" w:cs="IRNazanin"/>
          <w:b w:val="false"/>
          <w:bCs w:val="false"/>
          <w:i w:val="false"/>
          <w:iCs w:val="false"/>
          <w:color w:val="333333"/>
          <w:sz w:val="20"/>
          <w:szCs w:val="20"/>
        </w:rPr>
        <w:t>1:143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1:369</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1:118</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1:393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1:130</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1:393</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1:130</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1:385</w:t>
      </w:r>
      <w:r>
        <w:rPr>
          <w:rFonts w:ascii="IRNazanin" w:hAnsi="IRNazanin" w:eastAsia="IRNazanin"/>
          <w:b w:val="false"/>
          <w:b w:val="false"/>
          <w:bCs w:val="false"/>
          <w:i w:val="false"/>
          <w:i w:val="false"/>
          <w:iCs w:val="false"/>
          <w:color w:val="333333"/>
          <w:sz w:val="20"/>
          <w:sz w:val="20"/>
          <w:szCs w:val="20"/>
          <w:rtl w:val="true"/>
        </w:rPr>
        <w:t xml:space="preserve">،أحكام القرآن للجصّاص </w:t>
      </w:r>
      <w:r>
        <w:rPr>
          <w:rFonts w:eastAsia="IRNazanin" w:cs="IRNazanin"/>
          <w:b w:val="false"/>
          <w:bCs w:val="false"/>
          <w:i w:val="false"/>
          <w:iCs w:val="false"/>
          <w:color w:val="333333"/>
          <w:sz w:val="20"/>
          <w:szCs w:val="20"/>
        </w:rPr>
        <w:t>3:344</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1:137</w:t>
      </w:r>
      <w:r>
        <w:rPr>
          <w:rFonts w:ascii="IRNazanin" w:hAnsi="IRNazanin" w:eastAsia="IRNazanin"/>
          <w:b w:val="false"/>
          <w:b w:val="false"/>
          <w:bCs w:val="false"/>
          <w:i w:val="false"/>
          <w:i w:val="false"/>
          <w:iCs w:val="false"/>
          <w:color w:val="333333"/>
          <w:sz w:val="20"/>
          <w:sz w:val="20"/>
          <w:szCs w:val="20"/>
          <w:rtl w:val="true"/>
        </w:rPr>
        <w:t xml:space="preserve">،شرح فتح القدير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،التّفسير الكبير </w:t>
      </w:r>
      <w:r>
        <w:rPr>
          <w:rFonts w:eastAsia="IRNazanin" w:cs="IRNazanin"/>
          <w:b w:val="false"/>
          <w:bCs w:val="false"/>
          <w:i w:val="false"/>
          <w:iCs w:val="false"/>
          <w:color w:val="333333"/>
          <w:sz w:val="20"/>
          <w:szCs w:val="20"/>
        </w:rPr>
        <w:t>11:159</w:t>
      </w:r>
      <w:r>
        <w:rPr>
          <w:rFonts w:ascii="IRNazanin" w:hAnsi="IRNazanin" w:eastAsia="IRNazanin"/>
          <w:b w:val="false"/>
          <w:b w:val="false"/>
          <w:bCs w:val="false"/>
          <w:i w:val="false"/>
          <w:i w:val="false"/>
          <w:iCs w:val="false"/>
          <w:color w:val="333333"/>
          <w:sz w:val="20"/>
          <w:sz w:val="20"/>
          <w:szCs w:val="20"/>
          <w:rtl w:val="true"/>
        </w:rPr>
        <w:t xml:space="preserve">،ميزان الكبرى </w:t>
      </w:r>
      <w:r>
        <w:rPr>
          <w:rFonts w:eastAsia="IRNazanin" w:cs="IRNazanin"/>
          <w:b w:val="false"/>
          <w:bCs w:val="false"/>
          <w:i w:val="false"/>
          <w:iCs w:val="false"/>
          <w:color w:val="333333"/>
          <w:sz w:val="20"/>
          <w:szCs w:val="20"/>
        </w:rPr>
        <w:t>1:117</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1:137</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1:137</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،شرح فتح القدير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،ميزان الكبرى </w:t>
      </w:r>
      <w:r>
        <w:rPr>
          <w:rFonts w:eastAsia="IRNazanin" w:cs="IRNazanin"/>
          <w:b w:val="false"/>
          <w:bCs w:val="false"/>
          <w:i w:val="false"/>
          <w:iCs w:val="false"/>
          <w:color w:val="333333"/>
          <w:sz w:val="20"/>
          <w:szCs w:val="20"/>
        </w:rPr>
        <w:t>1:117</w:t>
      </w:r>
      <w:r>
        <w:rPr>
          <w:rFonts w:ascii="IRNazanin" w:hAnsi="IRNazanin" w:eastAsia="IRNazanin"/>
          <w:b w:val="false"/>
          <w:b w:val="false"/>
          <w:bCs w:val="false"/>
          <w:i w:val="false"/>
          <w:i w:val="false"/>
          <w:iCs w:val="false"/>
          <w:color w:val="333333"/>
          <w:sz w:val="20"/>
          <w:sz w:val="20"/>
          <w:szCs w:val="20"/>
          <w:rtl w:val="true"/>
        </w:rPr>
        <w:t xml:space="preserve">،أحكام القرآن للجصّاص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1:137</w:t>
      </w:r>
      <w:r>
        <w:rPr>
          <w:rFonts w:ascii="IRNazanin" w:hAnsi="IRNazanin" w:eastAsia="IRNazanin"/>
          <w:b w:val="false"/>
          <w:b w:val="false"/>
          <w:bCs w:val="false"/>
          <w:i w:val="false"/>
          <w:i w:val="false"/>
          <w:iCs w:val="false"/>
          <w:color w:val="333333"/>
          <w:sz w:val="20"/>
          <w:sz w:val="20"/>
          <w:szCs w:val="20"/>
          <w:rtl w:val="true"/>
        </w:rPr>
        <w:t xml:space="preserve">،عمدة القارئ </w:t>
      </w:r>
      <w:r>
        <w:rPr>
          <w:rFonts w:eastAsia="IRNazanin" w:cs="IRNazanin"/>
          <w:b w:val="false"/>
          <w:bCs w:val="false"/>
          <w:i w:val="false"/>
          <w:iCs w:val="false"/>
          <w:color w:val="333333"/>
          <w:sz w:val="20"/>
          <w:szCs w:val="20"/>
        </w:rPr>
        <w:t>2:233</w:t>
      </w:r>
      <w:r>
        <w:rPr>
          <w:rFonts w:ascii="IRNazanin" w:hAnsi="IRNazanin" w:eastAsia="IRNazanin"/>
          <w:b w:val="false"/>
          <w:b w:val="false"/>
          <w:bCs w:val="false"/>
          <w:i w:val="false"/>
          <w:i w:val="false"/>
          <w:iCs w:val="false"/>
          <w:color w:val="333333"/>
          <w:sz w:val="20"/>
          <w:sz w:val="20"/>
          <w:szCs w:val="20"/>
          <w:rtl w:val="true"/>
        </w:rPr>
        <w:t xml:space="preserve">،التّفسير الكبير </w:t>
      </w:r>
      <w:r>
        <w:rPr>
          <w:rFonts w:eastAsia="IRNazanin" w:cs="IRNazanin"/>
          <w:b w:val="false"/>
          <w:bCs w:val="false"/>
          <w:i w:val="false"/>
          <w:iCs w:val="false"/>
          <w:color w:val="333333"/>
          <w:sz w:val="20"/>
          <w:szCs w:val="20"/>
        </w:rPr>
        <w:t>11:159</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1:385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الهداية للمرغيناني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 قطني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1:137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فتح القدير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،الهداية للمرغينانيّ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بيانه في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مقدّمات ابن رشد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1:386</w:t>
      </w:r>
      <w:r>
        <w:rPr>
          <w:rFonts w:ascii="IRNazanin" w:hAnsi="IRNazanin" w:eastAsia="IRNazanin"/>
          <w:b w:val="false"/>
          <w:b w:val="false"/>
          <w:bCs w:val="false"/>
          <w:i w:val="false"/>
          <w:i w:val="false"/>
          <w:iCs w:val="false"/>
          <w:color w:val="333333"/>
          <w:sz w:val="20"/>
          <w:sz w:val="20"/>
          <w:szCs w:val="20"/>
          <w:rtl w:val="true"/>
        </w:rPr>
        <w:t xml:space="preserve">،عمدة القارئ </w:t>
      </w:r>
      <w:r>
        <w:rPr>
          <w:rFonts w:eastAsia="IRNazanin" w:cs="IRNazanin"/>
          <w:b w:val="false"/>
          <w:bCs w:val="false"/>
          <w:i w:val="false"/>
          <w:iCs w:val="false"/>
          <w:color w:val="333333"/>
          <w:sz w:val="20"/>
          <w:szCs w:val="20"/>
        </w:rPr>
        <w:t>2:234</w:t>
      </w:r>
      <w:r>
        <w:rPr>
          <w:rFonts w:ascii="IRNazanin" w:hAnsi="IRNazanin" w:eastAsia="IRNazanin"/>
          <w:b w:val="false"/>
          <w:b w:val="false"/>
          <w:bCs w:val="false"/>
          <w:i w:val="false"/>
          <w:i w:val="false"/>
          <w:iCs w:val="false"/>
          <w:color w:val="333333"/>
          <w:sz w:val="20"/>
          <w:sz w:val="20"/>
          <w:szCs w:val="20"/>
          <w:rtl w:val="true"/>
        </w:rPr>
        <w:t xml:space="preserve">،أحكام القرآن للجصّاص </w:t>
      </w:r>
      <w:r>
        <w:rPr>
          <w:rFonts w:eastAsia="IRNazanin" w:cs="IRNazanin"/>
          <w:b w:val="false"/>
          <w:bCs w:val="false"/>
          <w:i w:val="false"/>
          <w:iCs w:val="false"/>
          <w:color w:val="333333"/>
          <w:sz w:val="20"/>
          <w:szCs w:val="20"/>
        </w:rPr>
        <w:t>3:344</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1:386</w:t>
      </w:r>
      <w:r>
        <w:rPr>
          <w:rFonts w:ascii="IRNazanin" w:hAnsi="IRNazanin" w:eastAsia="IRNazanin"/>
          <w:b w:val="false"/>
          <w:b w:val="false"/>
          <w:bCs w:val="false"/>
          <w:i w:val="false"/>
          <w:i w:val="false"/>
          <w:iCs w:val="false"/>
          <w:color w:val="333333"/>
          <w:sz w:val="20"/>
          <w:sz w:val="20"/>
          <w:szCs w:val="20"/>
          <w:rtl w:val="true"/>
        </w:rPr>
        <w:t xml:space="preserve">،عمدة القارئ </w:t>
      </w:r>
      <w:r>
        <w:rPr>
          <w:rFonts w:eastAsia="IRNazanin" w:cs="IRNazanin"/>
          <w:b w:val="false"/>
          <w:bCs w:val="false"/>
          <w:i w:val="false"/>
          <w:iCs w:val="false"/>
          <w:color w:val="333333"/>
          <w:sz w:val="20"/>
          <w:szCs w:val="20"/>
        </w:rPr>
        <w:t>2:234</w:t>
      </w:r>
      <w:r>
        <w:rPr>
          <w:rFonts w:ascii="IRNazanin" w:hAnsi="IRNazanin" w:eastAsia="IRNazanin"/>
          <w:b w:val="false"/>
          <w:b w:val="false"/>
          <w:bCs w:val="false"/>
          <w:i w:val="false"/>
          <w:i w:val="false"/>
          <w:iCs w:val="false"/>
          <w:color w:val="333333"/>
          <w:sz w:val="20"/>
          <w:sz w:val="20"/>
          <w:szCs w:val="20"/>
          <w:rtl w:val="true"/>
        </w:rPr>
        <w:t xml:space="preserve">،أحكام القرآن للجصّاص </w:t>
      </w:r>
      <w:r>
        <w:rPr>
          <w:rFonts w:eastAsia="IRNazanin" w:cs="IRNazanin"/>
          <w:b w:val="false"/>
          <w:bCs w:val="false"/>
          <w:i w:val="false"/>
          <w:iCs w:val="false"/>
          <w:color w:val="333333"/>
          <w:sz w:val="20"/>
          <w:szCs w:val="20"/>
        </w:rPr>
        <w:t>3:344</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،رسائل الشّريف المرتضى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المجموعة الاولى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بيان ضعفهما في الجزء الأوّل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الشّريف المرتضى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المجموعة الأولى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بيانه في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1:394</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1:139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1078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1085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السّراج الوهّاج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1:394</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1086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الام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1:394</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،السّراج الوهّاج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،فتح الوهّاب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1:139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عمدة القارئ </w:t>
      </w:r>
      <w:r>
        <w:rPr>
          <w:rFonts w:eastAsia="IRNazanin" w:cs="IRNazanin"/>
          <w:b w:val="false"/>
          <w:bCs w:val="false"/>
          <w:i w:val="false"/>
          <w:iCs w:val="false"/>
          <w:color w:val="333333"/>
          <w:sz w:val="20"/>
          <w:szCs w:val="20"/>
        </w:rPr>
        <w:t>2:233</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الثؤلول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الحبّة الّتي تظهر في الجلد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لابن الأثير </w:t>
      </w:r>
      <w:r>
        <w:rPr>
          <w:rFonts w:eastAsia="IRNazanin" w:cs="IRNazanin"/>
          <w:b w:val="false"/>
          <w:bCs w:val="false"/>
          <w:i w:val="false"/>
          <w:iCs w:val="false"/>
          <w:color w:val="333333"/>
          <w:sz w:val="20"/>
          <w:szCs w:val="20"/>
        </w:rPr>
        <w:t>1:205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1:388</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متيقن</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يعلمها</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كالوسخ</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فقط</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المدوّنة الكبرى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،مقدّمات ابن رشد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،أحكام القرآن لابن العربي </w:t>
      </w:r>
      <w:r>
        <w:rPr>
          <w:rFonts w:eastAsia="IRNazanin" w:cs="IRNazanin"/>
          <w:b w:val="false"/>
          <w:bCs w:val="false"/>
          <w:i w:val="false"/>
          <w:iCs w:val="false"/>
          <w:color w:val="333333"/>
          <w:sz w:val="20"/>
          <w:szCs w:val="20"/>
        </w:rPr>
        <w:t>2:568</w:t>
      </w:r>
      <w:r>
        <w:rPr>
          <w:rFonts w:ascii="IRNazanin" w:hAnsi="IRNazanin" w:eastAsia="IRNazanin"/>
          <w:b w:val="false"/>
          <w:b w:val="false"/>
          <w:bCs w:val="false"/>
          <w:i w:val="false"/>
          <w:i w:val="false"/>
          <w:iCs w:val="false"/>
          <w:color w:val="333333"/>
          <w:sz w:val="20"/>
          <w:sz w:val="20"/>
          <w:szCs w:val="20"/>
          <w:rtl w:val="true"/>
        </w:rPr>
        <w:t xml:space="preserve">،أحكام القرآن للجصّاص </w:t>
      </w:r>
      <w:r>
        <w:rPr>
          <w:rFonts w:eastAsia="IRNazanin" w:cs="IRNazanin"/>
          <w:b w:val="false"/>
          <w:bCs w:val="false"/>
          <w:i w:val="false"/>
          <w:iCs w:val="false"/>
          <w:color w:val="333333"/>
          <w:sz w:val="20"/>
          <w:szCs w:val="20"/>
        </w:rPr>
        <w:t>3:344</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1:141</w:t>
      </w:r>
      <w:r>
        <w:rPr>
          <w:rFonts w:ascii="IRNazanin" w:hAnsi="IRNazanin" w:eastAsia="IRNazanin"/>
          <w:b w:val="false"/>
          <w:b w:val="false"/>
          <w:bCs w:val="false"/>
          <w:i w:val="false"/>
          <w:i w:val="false"/>
          <w:iCs w:val="false"/>
          <w:color w:val="333333"/>
          <w:sz w:val="20"/>
          <w:sz w:val="20"/>
          <w:szCs w:val="20"/>
          <w:rtl w:val="true"/>
        </w:rPr>
        <w:t xml:space="preserve">،ميزان الكبرى </w:t>
      </w:r>
      <w:r>
        <w:rPr>
          <w:rFonts w:eastAsia="IRNazanin" w:cs="IRNazanin"/>
          <w:b w:val="false"/>
          <w:bCs w:val="false"/>
          <w:i w:val="false"/>
          <w:iCs w:val="false"/>
          <w:color w:val="333333"/>
          <w:sz w:val="20"/>
          <w:szCs w:val="20"/>
        </w:rPr>
        <w:t>1:117</w:t>
      </w:r>
      <w:r>
        <w:rPr>
          <w:rFonts w:ascii="IRNazanin" w:hAnsi="IRNazanin" w:eastAsia="IRNazanin"/>
          <w:b w:val="false"/>
          <w:b w:val="false"/>
          <w:bCs w:val="false"/>
          <w:i w:val="false"/>
          <w:i w:val="false"/>
          <w:iCs w:val="false"/>
          <w:color w:val="333333"/>
          <w:sz w:val="20"/>
          <w:sz w:val="20"/>
          <w:szCs w:val="20"/>
          <w:rtl w:val="true"/>
        </w:rPr>
        <w:t xml:space="preserve">،التّفسير الكبير </w:t>
      </w:r>
      <w:r>
        <w:rPr>
          <w:rFonts w:eastAsia="IRNazanin" w:cs="IRNazanin"/>
          <w:b w:val="false"/>
          <w:bCs w:val="false"/>
          <w:i w:val="false"/>
          <w:iCs w:val="false"/>
          <w:color w:val="333333"/>
          <w:sz w:val="20"/>
          <w:szCs w:val="20"/>
        </w:rPr>
        <w:t>11:160</w:t>
      </w:r>
      <w:r>
        <w:rPr>
          <w:rFonts w:ascii="IRNazanin" w:hAnsi="IRNazanin" w:eastAsia="IRNazanin"/>
          <w:b w:val="false"/>
          <w:b w:val="false"/>
          <w:bCs w:val="false"/>
          <w:i w:val="false"/>
          <w:i w:val="false"/>
          <w:iCs w:val="false"/>
          <w:color w:val="333333"/>
          <w:sz w:val="20"/>
          <w:sz w:val="20"/>
          <w:szCs w:val="20"/>
          <w:rtl w:val="true"/>
        </w:rPr>
        <w:t xml:space="preserve">،عمدة القارئ </w:t>
      </w:r>
      <w:r>
        <w:rPr>
          <w:rFonts w:eastAsia="IRNazanin" w:cs="IRNazanin"/>
          <w:b w:val="false"/>
          <w:bCs w:val="false"/>
          <w:i w:val="false"/>
          <w:iCs w:val="false"/>
          <w:color w:val="333333"/>
          <w:sz w:val="20"/>
          <w:szCs w:val="20"/>
        </w:rPr>
        <w:t>2:234</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1:399</w:t>
      </w:r>
      <w:r>
        <w:rPr>
          <w:rFonts w:ascii="IRNazanin" w:hAnsi="IRNazanin" w:eastAsia="IRNazanin"/>
          <w:b w:val="false"/>
          <w:b w:val="false"/>
          <w:bCs w:val="false"/>
          <w:i w:val="false"/>
          <w:i w:val="false"/>
          <w:iCs w:val="false"/>
          <w:color w:val="333333"/>
          <w:sz w:val="20"/>
          <w:sz w:val="20"/>
          <w:szCs w:val="20"/>
          <w:rtl w:val="true"/>
        </w:rPr>
        <w:t xml:space="preserve">،رحمة الأمة هامش ميزان الكبرى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،شرح فتح القدير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1:141</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1:161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لابن قدامة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1:399</w:t>
      </w:r>
      <w:r>
        <w:rPr>
          <w:rFonts w:ascii="IRNazanin" w:hAnsi="IRNazanin" w:eastAsia="IRNazanin"/>
          <w:b w:val="false"/>
          <w:b w:val="false"/>
          <w:bCs w:val="false"/>
          <w:i w:val="false"/>
          <w:i w:val="false"/>
          <w:iCs w:val="false"/>
          <w:color w:val="333333"/>
          <w:sz w:val="20"/>
          <w:sz w:val="20"/>
          <w:szCs w:val="20"/>
          <w:rtl w:val="true"/>
        </w:rPr>
        <w:t xml:space="preserve">،ميزان الكبرى </w:t>
      </w:r>
      <w:r>
        <w:rPr>
          <w:rFonts w:eastAsia="IRNazanin" w:cs="IRNazanin"/>
          <w:b w:val="false"/>
          <w:bCs w:val="false"/>
          <w:i w:val="false"/>
          <w:iCs w:val="false"/>
          <w:color w:val="333333"/>
          <w:sz w:val="20"/>
          <w:szCs w:val="20"/>
        </w:rPr>
        <w:t>1:117</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1:192</w:t>
      </w:r>
      <w:r>
        <w:rPr>
          <w:rFonts w:ascii="IRNazanin" w:hAnsi="IRNazanin" w:eastAsia="IRNazanin"/>
          <w:b w:val="false"/>
          <w:b w:val="false"/>
          <w:bCs w:val="false"/>
          <w:i w:val="false"/>
          <w:i w:val="false"/>
          <w:iCs w:val="false"/>
          <w:color w:val="333333"/>
          <w:sz w:val="20"/>
          <w:sz w:val="20"/>
          <w:szCs w:val="20"/>
          <w:rtl w:val="true"/>
        </w:rPr>
        <w:t xml:space="preserve">،رحمة الأمة هامش ميزان الكبرى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المفيد في 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،و السّيّد المرتضى في الجمل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،و الشّيخ الطّوسي في 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و الخلاف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1:141</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1:399</w:t>
      </w:r>
      <w:r>
        <w:rPr>
          <w:rFonts w:ascii="IRNazanin" w:hAnsi="IRNazanin" w:eastAsia="IRNazanin"/>
          <w:b w:val="false"/>
          <w:b w:val="false"/>
          <w:bCs w:val="false"/>
          <w:i w:val="false"/>
          <w:i w:val="false"/>
          <w:iCs w:val="false"/>
          <w:color w:val="333333"/>
          <w:sz w:val="20"/>
          <w:sz w:val="20"/>
          <w:szCs w:val="20"/>
          <w:rtl w:val="true"/>
        </w:rPr>
        <w:t xml:space="preserve">،عمدة القارئ </w:t>
      </w:r>
      <w:r>
        <w:rPr>
          <w:rFonts w:eastAsia="IRNazanin" w:cs="IRNazanin"/>
          <w:b w:val="false"/>
          <w:bCs w:val="false"/>
          <w:i w:val="false"/>
          <w:iCs w:val="false"/>
          <w:color w:val="333333"/>
          <w:sz w:val="20"/>
          <w:szCs w:val="20"/>
        </w:rPr>
        <w:t>2:235</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1:167</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1:399</w:t>
      </w:r>
      <w:r>
        <w:rPr>
          <w:rFonts w:ascii="IRNazanin" w:hAnsi="IRNazanin" w:eastAsia="IRNazanin"/>
          <w:b w:val="false"/>
          <w:b w:val="false"/>
          <w:bCs w:val="false"/>
          <w:i w:val="false"/>
          <w:i w:val="false"/>
          <w:iCs w:val="false"/>
          <w:color w:val="333333"/>
          <w:sz w:val="20"/>
          <w:sz w:val="20"/>
          <w:szCs w:val="20"/>
          <w:rtl w:val="true"/>
        </w:rPr>
        <w:t xml:space="preserve">،التّفسير الكبير </w:t>
      </w:r>
      <w:r>
        <w:rPr>
          <w:rFonts w:eastAsia="IRNazanin" w:cs="IRNazanin"/>
          <w:b w:val="false"/>
          <w:bCs w:val="false"/>
          <w:i w:val="false"/>
          <w:iCs w:val="false"/>
          <w:color w:val="333333"/>
          <w:sz w:val="20"/>
          <w:szCs w:val="20"/>
        </w:rPr>
        <w:t>11:160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أحكام القرآن للجصّاص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عمدة القارئ </w:t>
      </w:r>
      <w:r>
        <w:rPr>
          <w:rFonts w:eastAsia="IRNazanin" w:cs="IRNazanin"/>
          <w:b w:val="false"/>
          <w:bCs w:val="false"/>
          <w:i w:val="false"/>
          <w:iCs w:val="false"/>
          <w:color w:val="333333"/>
          <w:sz w:val="20"/>
          <w:szCs w:val="20"/>
        </w:rPr>
        <w:t>2:235</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1:141</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1:192</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،عمدة القارئ </w:t>
      </w:r>
      <w:r>
        <w:rPr>
          <w:rFonts w:eastAsia="IRNazanin" w:cs="IRNazanin"/>
          <w:b w:val="false"/>
          <w:bCs w:val="false"/>
          <w:i w:val="false"/>
          <w:iCs w:val="false"/>
          <w:color w:val="333333"/>
          <w:sz w:val="20"/>
          <w:szCs w:val="20"/>
        </w:rPr>
        <w:t>2:235</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المغني </w:t>
      </w:r>
      <w:r>
        <w:rPr>
          <w:rFonts w:eastAsia="IRNazanin" w:cs="IRNazanin"/>
          <w:b w:val="false"/>
          <w:bCs w:val="false"/>
          <w:i w:val="false"/>
          <w:iCs w:val="false"/>
          <w:color w:val="333333"/>
          <w:sz w:val="20"/>
          <w:szCs w:val="20"/>
        </w:rPr>
        <w:t>1:141</w:t>
      </w:r>
      <w:r>
        <w:rPr>
          <w:rFonts w:ascii="IRNazanin" w:hAnsi="IRNazanin" w:eastAsia="IRNazanin"/>
          <w:b w:val="false"/>
          <w:b w:val="false"/>
          <w:bCs w:val="false"/>
          <w:i w:val="false"/>
          <w:i w:val="false"/>
          <w:iCs w:val="false"/>
          <w:color w:val="333333"/>
          <w:sz w:val="20"/>
          <w:sz w:val="20"/>
          <w:szCs w:val="20"/>
          <w:rtl w:val="true"/>
        </w:rPr>
        <w:t xml:space="preserve">،التّفسير الكبير </w:t>
      </w:r>
      <w:r>
        <w:rPr>
          <w:rFonts w:eastAsia="IRNazanin" w:cs="IRNazanin"/>
          <w:b w:val="false"/>
          <w:bCs w:val="false"/>
          <w:i w:val="false"/>
          <w:iCs w:val="false"/>
          <w:color w:val="333333"/>
          <w:sz w:val="20"/>
          <w:szCs w:val="20"/>
        </w:rPr>
        <w:t>11:160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1:192</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1:141</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1:162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لابن قدامة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،منار السّبيل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،عمدة القارئ </w:t>
      </w:r>
      <w:r>
        <w:rPr>
          <w:rFonts w:eastAsia="IRNazanin" w:cs="IRNazanin"/>
          <w:b w:val="false"/>
          <w:bCs w:val="false"/>
          <w:i w:val="false"/>
          <w:iCs w:val="false"/>
          <w:color w:val="333333"/>
          <w:sz w:val="20"/>
          <w:szCs w:val="20"/>
        </w:rPr>
        <w:t>2:235</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مسلم،و ما أثبتناه من المصدر</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أحكام القرآن لابن العربي </w:t>
      </w:r>
      <w:r>
        <w:rPr>
          <w:rFonts w:eastAsia="IRNazanin" w:cs="IRNazanin"/>
          <w:b w:val="false"/>
          <w:bCs w:val="false"/>
          <w:i w:val="false"/>
          <w:iCs w:val="false"/>
          <w:color w:val="333333"/>
          <w:sz w:val="20"/>
          <w:szCs w:val="20"/>
        </w:rPr>
        <w:t>2:568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1:399</w:t>
      </w:r>
      <w:r>
        <w:rPr>
          <w:rFonts w:ascii="IRNazanin" w:hAnsi="IRNazanin" w:eastAsia="IRNazanin"/>
          <w:b w:val="false"/>
          <w:b w:val="false"/>
          <w:bCs w:val="false"/>
          <w:i w:val="false"/>
          <w:i w:val="false"/>
          <w:iCs w:val="false"/>
          <w:color w:val="333333"/>
          <w:sz w:val="20"/>
          <w:sz w:val="20"/>
          <w:szCs w:val="20"/>
          <w:rtl w:val="true"/>
        </w:rPr>
        <w:t xml:space="preserve">،عمدة القارئ </w:t>
      </w:r>
      <w:r>
        <w:rPr>
          <w:rFonts w:eastAsia="IRNazanin" w:cs="IRNazanin"/>
          <w:b w:val="false"/>
          <w:bCs w:val="false"/>
          <w:i w:val="false"/>
          <w:iCs w:val="false"/>
          <w:color w:val="333333"/>
          <w:sz w:val="20"/>
          <w:szCs w:val="20"/>
        </w:rPr>
        <w:t>2:234</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أحكام القرآن لابن العربي </w:t>
      </w:r>
      <w:r>
        <w:rPr>
          <w:rFonts w:eastAsia="IRNazanin" w:cs="IRNazanin"/>
          <w:b w:val="false"/>
          <w:bCs w:val="false"/>
          <w:i w:val="false"/>
          <w:iCs w:val="false"/>
          <w:color w:val="333333"/>
          <w:sz w:val="20"/>
          <w:szCs w:val="20"/>
        </w:rPr>
        <w:t>2:568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1:399</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1:207</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9:443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26890</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1:186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أضفناه من المصدر</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أضفناه من المصدر</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معمّر بن عمر ذكره الشّيخ في رجاله من أصحاب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روى عنهما،أي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الباقر و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أضفناه من المصدر</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بن المختار،أبو عبد اللّه القلانسيّ،كوفيّ روى عن أبي عبد اللّه و أبي الحسن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 كتاب يرويه عنه حمّاد بن عيسى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قاله النّجاشيّ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عدّه الشّيخ في رجاله من أصحاب الصّادق و الكاظم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ضعّفه بأنّه واقفي،و تبعه العلاّمة في رجاله،و وثّقه المفيد في الإرشاد و عدّه من أهل الورع الّذين رووا النّصّ على الإمام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،إرشاد المفيد </w:t>
      </w:r>
      <w:r>
        <w:rPr>
          <w:rFonts w:eastAsia="IRNazanin" w:cs="IRNazanin"/>
          <w:b w:val="false"/>
          <w:bCs w:val="false"/>
          <w:i w:val="false"/>
          <w:iCs w:val="false"/>
          <w:color w:val="333333"/>
          <w:sz w:val="20"/>
          <w:szCs w:val="20"/>
        </w:rPr>
        <w:t>2:240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،رجال العلاّمة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الوضوء،حديث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الجميع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ليدخل إصبعه</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مشترك</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1:399</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رووا</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أحكام القرآن للجصّاص </w:t>
      </w:r>
      <w:r>
        <w:rPr>
          <w:rFonts w:eastAsia="IRNazanin" w:cs="IRNazanin"/>
          <w:b w:val="false"/>
          <w:bCs w:val="false"/>
          <w:i w:val="false"/>
          <w:iCs w:val="false"/>
          <w:color w:val="333333"/>
          <w:sz w:val="20"/>
          <w:szCs w:val="20"/>
        </w:rPr>
        <w:t>3:346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في المعتبر </w:t>
      </w:r>
      <w:r>
        <w:rPr>
          <w:rFonts w:eastAsia="IRNazanin" w:cs="IRNazanin"/>
          <w:b w:val="false"/>
          <w:bCs w:val="false"/>
          <w:i w:val="false"/>
          <w:iCs w:val="false"/>
          <w:color w:val="333333"/>
          <w:sz w:val="20"/>
          <w:szCs w:val="20"/>
        </w:rPr>
        <w:t>1:145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أحكام القرآن للجصّاص </w:t>
      </w:r>
      <w:r>
        <w:rPr>
          <w:rFonts w:eastAsia="IRNazanin" w:cs="IRNazanin"/>
          <w:b w:val="false"/>
          <w:bCs w:val="false"/>
          <w:i w:val="false"/>
          <w:iCs w:val="false"/>
          <w:color w:val="333333"/>
          <w:sz w:val="20"/>
          <w:szCs w:val="20"/>
        </w:rPr>
        <w:t>3:344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،عمدة القارئ </w:t>
      </w:r>
      <w:r>
        <w:rPr>
          <w:rFonts w:eastAsia="IRNazanin" w:cs="IRNazanin"/>
          <w:b w:val="false"/>
          <w:bCs w:val="false"/>
          <w:i w:val="false"/>
          <w:iCs w:val="false"/>
          <w:color w:val="333333"/>
          <w:sz w:val="20"/>
          <w:szCs w:val="20"/>
        </w:rPr>
        <w:t>2:235</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،الهداية للمرغينانيّ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،شرح فتح القدير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،أحكام القرآن لابن العربي </w:t>
      </w:r>
      <w:r>
        <w:rPr>
          <w:rFonts w:eastAsia="IRNazanin" w:cs="IRNazanin"/>
          <w:b w:val="false"/>
          <w:bCs w:val="false"/>
          <w:i w:val="false"/>
          <w:iCs w:val="false"/>
          <w:color w:val="333333"/>
          <w:sz w:val="20"/>
          <w:szCs w:val="20"/>
        </w:rPr>
        <w:t>2:568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1:143</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1:167</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،شرح فتح القدير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،أحكام القرآن لابن العربي </w:t>
      </w:r>
      <w:r>
        <w:rPr>
          <w:rFonts w:eastAsia="IRNazanin" w:cs="IRNazanin"/>
          <w:b w:val="false"/>
          <w:bCs w:val="false"/>
          <w:i w:val="false"/>
          <w:iCs w:val="false"/>
          <w:color w:val="333333"/>
          <w:sz w:val="20"/>
          <w:szCs w:val="20"/>
        </w:rPr>
        <w:t>2:568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،السّراج الوهّاج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1:143</w:t>
      </w:r>
      <w:r>
        <w:rPr>
          <w:rFonts w:ascii="IRNazanin" w:hAnsi="IRNazanin" w:eastAsia="IRNazanin"/>
          <w:b w:val="false"/>
          <w:b w:val="false"/>
          <w:bCs w:val="false"/>
          <w:i w:val="false"/>
          <w:i w:val="false"/>
          <w:iCs w:val="false"/>
          <w:color w:val="333333"/>
          <w:sz w:val="20"/>
          <w:sz w:val="20"/>
          <w:szCs w:val="20"/>
          <w:rtl w:val="true"/>
        </w:rPr>
        <w:t xml:space="preserve">،أحكام القرآن لابن العربي </w:t>
      </w:r>
      <w:r>
        <w:rPr>
          <w:rFonts w:eastAsia="IRNazanin" w:cs="IRNazanin"/>
          <w:b w:val="false"/>
          <w:bCs w:val="false"/>
          <w:i w:val="false"/>
          <w:iCs w:val="false"/>
          <w:color w:val="333333"/>
          <w:sz w:val="20"/>
          <w:szCs w:val="20"/>
        </w:rPr>
        <w:t>2:568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1:167</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1:142</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1:161</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،الهداية للمرغيناني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،أحكام القرآن لابن العربي </w:t>
      </w:r>
      <w:r>
        <w:rPr>
          <w:rFonts w:eastAsia="IRNazanin" w:cs="IRNazanin"/>
          <w:b w:val="false"/>
          <w:bCs w:val="false"/>
          <w:i w:val="false"/>
          <w:iCs w:val="false"/>
          <w:color w:val="333333"/>
          <w:sz w:val="20"/>
          <w:szCs w:val="20"/>
        </w:rPr>
        <w:t>2:568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1:399</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1:142</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1:161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رجليه</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فثبت</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أحكام القرآن للجصّاص </w:t>
      </w:r>
      <w:r>
        <w:rPr>
          <w:rFonts w:eastAsia="IRNazanin" w:cs="IRNazanin"/>
          <w:b w:val="false"/>
          <w:bCs w:val="false"/>
          <w:i w:val="false"/>
          <w:iCs w:val="false"/>
          <w:color w:val="333333"/>
          <w:sz w:val="20"/>
          <w:szCs w:val="20"/>
        </w:rPr>
        <w:t>3:344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1:142</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1:167</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الحديثان في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 يسير في اللّفظ</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رجليه</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1:146</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الام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1:407</w:t>
      </w:r>
      <w:r>
        <w:rPr>
          <w:rFonts w:ascii="IRNazanin" w:hAnsi="IRNazanin" w:eastAsia="IRNazanin"/>
          <w:b w:val="false"/>
          <w:b w:val="false"/>
          <w:bCs w:val="false"/>
          <w:i w:val="false"/>
          <w:i w:val="false"/>
          <w:iCs w:val="false"/>
          <w:color w:val="333333"/>
          <w:sz w:val="20"/>
          <w:sz w:val="20"/>
          <w:szCs w:val="20"/>
          <w:rtl w:val="true"/>
        </w:rPr>
        <w:t xml:space="preserve">،ميزان الكبرى </w:t>
      </w:r>
      <w:r>
        <w:rPr>
          <w:rFonts w:eastAsia="IRNazanin" w:cs="IRNazanin"/>
          <w:b w:val="false"/>
          <w:bCs w:val="false"/>
          <w:i w:val="false"/>
          <w:iCs w:val="false"/>
          <w:color w:val="333333"/>
          <w:sz w:val="20"/>
          <w:szCs w:val="20"/>
        </w:rPr>
        <w:t>1:117</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،أحكام القرآن للجصّاص </w:t>
      </w:r>
      <w:r>
        <w:rPr>
          <w:rFonts w:eastAsia="IRNazanin" w:cs="IRNazanin"/>
          <w:b w:val="false"/>
          <w:bCs w:val="false"/>
          <w:i w:val="false"/>
          <w:iCs w:val="false"/>
          <w:color w:val="333333"/>
          <w:sz w:val="20"/>
          <w:szCs w:val="20"/>
        </w:rPr>
        <w:t>3:357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رحمة الأمّة هامش ميزان الكبرى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المدوّنة الكبرى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،مقدّمات ابن رشد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،الموطّأ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،ميزان الكبرى </w:t>
      </w:r>
      <w:r>
        <w:rPr>
          <w:rFonts w:eastAsia="IRNazanin" w:cs="IRNazanin"/>
          <w:b w:val="false"/>
          <w:bCs w:val="false"/>
          <w:i w:val="false"/>
          <w:iCs w:val="false"/>
          <w:color w:val="333333"/>
          <w:sz w:val="20"/>
          <w:szCs w:val="20"/>
        </w:rPr>
        <w:t>1:117</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1:407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أحكام القرآن للجصّاص </w:t>
      </w:r>
      <w:r>
        <w:rPr>
          <w:rFonts w:eastAsia="IRNazanin" w:cs="IRNazanin"/>
          <w:b w:val="false"/>
          <w:bCs w:val="false"/>
          <w:i w:val="false"/>
          <w:iCs w:val="false"/>
          <w:color w:val="333333"/>
          <w:sz w:val="20"/>
          <w:szCs w:val="20"/>
        </w:rPr>
        <w:t>3:357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رحمة الأمة هامش ميزان الكبرى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أحكام القرآن للجصّاص </w:t>
      </w:r>
      <w:r>
        <w:rPr>
          <w:rFonts w:eastAsia="IRNazanin" w:cs="IRNazanin"/>
          <w:b w:val="false"/>
          <w:bCs w:val="false"/>
          <w:i w:val="false"/>
          <w:iCs w:val="false"/>
          <w:color w:val="333333"/>
          <w:sz w:val="20"/>
          <w:szCs w:val="20"/>
        </w:rPr>
        <w:t>3:357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،الهداية للمرغينانيّ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،شرح فتح القدير </w:t>
      </w:r>
      <w:r>
        <w:rPr>
          <w:rFonts w:eastAsia="IRNazanin" w:cs="IRNazanin"/>
          <w:b w:val="false"/>
          <w:bCs w:val="false"/>
          <w:i w:val="false"/>
          <w:iCs w:val="false"/>
          <w:color w:val="333333"/>
          <w:sz w:val="20"/>
          <w:szCs w:val="20"/>
        </w:rPr>
        <w:t>1:140</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1:341</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1:407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،رحمة الأمة هامش ميزان الكبرى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1:407</w:t>
      </w:r>
      <w:r>
        <w:rPr>
          <w:rFonts w:ascii="IRNazanin" w:hAnsi="IRNazanin" w:eastAsia="IRNazanin"/>
          <w:b w:val="false"/>
          <w:b w:val="false"/>
          <w:bCs w:val="false"/>
          <w:i w:val="false"/>
          <w:i w:val="false"/>
          <w:iCs w:val="false"/>
          <w:color w:val="333333"/>
          <w:sz w:val="20"/>
          <w:sz w:val="20"/>
          <w:szCs w:val="20"/>
          <w:rtl w:val="true"/>
        </w:rPr>
        <w:t xml:space="preserve">،إرشاد السّاري </w:t>
      </w:r>
      <w:r>
        <w:rPr>
          <w:rFonts w:eastAsia="IRNazanin" w:cs="IRNazanin"/>
          <w:b w:val="false"/>
          <w:bCs w:val="false"/>
          <w:i w:val="false"/>
          <w:iCs w:val="false"/>
          <w:color w:val="333333"/>
          <w:sz w:val="20"/>
          <w:szCs w:val="20"/>
        </w:rPr>
        <w:t>1:280</w:t>
      </w:r>
      <w:r>
        <w:rPr>
          <w:rFonts w:ascii="IRNazanin" w:hAnsi="IRNazanin" w:eastAsia="IRNazanin"/>
          <w:b w:val="false"/>
          <w:b w:val="false"/>
          <w:bCs w:val="false"/>
          <w:i w:val="false"/>
          <w:i w:val="false"/>
          <w:iCs w:val="false"/>
          <w:color w:val="333333"/>
          <w:sz w:val="20"/>
          <w:sz w:val="20"/>
          <w:szCs w:val="20"/>
          <w:rtl w:val="true"/>
        </w:rPr>
        <w:t xml:space="preserve">،أحكام القرآن للجصّاص </w:t>
      </w:r>
      <w:r>
        <w:rPr>
          <w:rFonts w:eastAsia="IRNazanin" w:cs="IRNazanin"/>
          <w:b w:val="false"/>
          <w:bCs w:val="false"/>
          <w:i w:val="false"/>
          <w:iCs w:val="false"/>
          <w:color w:val="333333"/>
          <w:sz w:val="20"/>
          <w:szCs w:val="20"/>
        </w:rPr>
        <w:t>3:357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التّفسير الكبير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،مقدّمات ابن رشد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1:205</w:t>
      </w:r>
      <w:r>
        <w:rPr>
          <w:rFonts w:ascii="IRNazanin" w:hAnsi="IRNazanin" w:eastAsia="IRNazanin"/>
          <w:b w:val="false"/>
          <w:b w:val="false"/>
          <w:bCs w:val="false"/>
          <w:i w:val="false"/>
          <w:i w:val="false"/>
          <w:iCs w:val="false"/>
          <w:color w:val="333333"/>
          <w:sz w:val="20"/>
          <w:sz w:val="20"/>
          <w:szCs w:val="20"/>
          <w:rtl w:val="true"/>
        </w:rPr>
        <w:t xml:space="preserve">،شرح الزّرقانيّ على موّطإ مالك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1:340</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1:185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لابن قدامة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1:407</w:t>
      </w:r>
      <w:r>
        <w:rPr>
          <w:rFonts w:ascii="IRNazanin" w:hAnsi="IRNazanin" w:eastAsia="IRNazanin"/>
          <w:b w:val="false"/>
          <w:b w:val="false"/>
          <w:bCs w:val="false"/>
          <w:i w:val="false"/>
          <w:i w:val="false"/>
          <w:iCs w:val="false"/>
          <w:color w:val="333333"/>
          <w:sz w:val="20"/>
          <w:sz w:val="20"/>
          <w:szCs w:val="20"/>
          <w:rtl w:val="true"/>
        </w:rPr>
        <w:t xml:space="preserve">،عمدة القارئ </w:t>
      </w:r>
      <w:r>
        <w:rPr>
          <w:rFonts w:eastAsia="IRNazanin" w:cs="IRNazanin"/>
          <w:b w:val="false"/>
          <w:bCs w:val="false"/>
          <w:i w:val="false"/>
          <w:iCs w:val="false"/>
          <w:color w:val="333333"/>
          <w:sz w:val="20"/>
          <w:szCs w:val="20"/>
        </w:rPr>
        <w:t>3:101</w:t>
      </w:r>
      <w:r>
        <w:rPr>
          <w:rFonts w:ascii="IRNazanin" w:hAnsi="IRNazanin" w:eastAsia="IRNazanin"/>
          <w:b w:val="false"/>
          <w:b w:val="false"/>
          <w:bCs w:val="false"/>
          <w:i w:val="false"/>
          <w:i w:val="false"/>
          <w:iCs w:val="false"/>
          <w:color w:val="333333"/>
          <w:sz w:val="20"/>
          <w:sz w:val="20"/>
          <w:szCs w:val="20"/>
          <w:rtl w:val="true"/>
        </w:rPr>
        <w:t xml:space="preserve">،رحمة الأمّة هامش ميزان الكبرى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1:205</w:t>
      </w:r>
      <w:r>
        <w:rPr>
          <w:rFonts w:ascii="IRNazanin" w:hAnsi="IRNazanin" w:eastAsia="IRNazanin"/>
          <w:b w:val="false"/>
          <w:b w:val="false"/>
          <w:bCs w:val="false"/>
          <w:i w:val="false"/>
          <w:i w:val="false"/>
          <w:iCs w:val="false"/>
          <w:color w:val="333333"/>
          <w:sz w:val="20"/>
          <w:sz w:val="20"/>
          <w:szCs w:val="20"/>
          <w:rtl w:val="true"/>
        </w:rPr>
        <w:t xml:space="preserve">،ميزان الكبرى </w:t>
      </w:r>
      <w:r>
        <w:rPr>
          <w:rFonts w:eastAsia="IRNazanin" w:cs="IRNazanin"/>
          <w:b w:val="false"/>
          <w:bCs w:val="false"/>
          <w:i w:val="false"/>
          <w:iCs w:val="false"/>
          <w:color w:val="333333"/>
          <w:sz w:val="20"/>
          <w:szCs w:val="20"/>
        </w:rPr>
        <w:t>1:117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المصادر لم يقيّد بالطّهارة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الزّرقانيّ على موّطإ مالك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1:407</w:t>
      </w:r>
      <w:r>
        <w:rPr>
          <w:rFonts w:ascii="IRNazanin" w:hAnsi="IRNazanin" w:eastAsia="IRNazanin"/>
          <w:b w:val="false"/>
          <w:b w:val="false"/>
          <w:bCs w:val="false"/>
          <w:i w:val="false"/>
          <w:i w:val="false"/>
          <w:iCs w:val="false"/>
          <w:color w:val="333333"/>
          <w:sz w:val="20"/>
          <w:sz w:val="20"/>
          <w:szCs w:val="20"/>
          <w:rtl w:val="true"/>
        </w:rPr>
        <w:t xml:space="preserve">،مقدّمات ابن رشد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،شرح الزّرقانيّ على موطّإ مالك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1:342</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1:186</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1:407</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1:101</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مجتمع شعر الرّأس و هي أكثر من الوفرة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5:1890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1:147</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1:147</w:t>
      </w:r>
      <w:r>
        <w:rPr>
          <w:rFonts w:ascii="IRNazanin" w:hAnsi="IRNazanin" w:eastAsia="IRNazanin"/>
          <w:b w:val="false"/>
          <w:b w:val="false"/>
          <w:bCs w:val="false"/>
          <w:i w:val="false"/>
          <w:i w:val="false"/>
          <w:iCs w:val="false"/>
          <w:color w:val="333333"/>
          <w:sz w:val="20"/>
          <w:sz w:val="20"/>
          <w:szCs w:val="20"/>
          <w:rtl w:val="true"/>
        </w:rPr>
        <w:t xml:space="preserve">،عمدة القارئ </w:t>
      </w:r>
      <w:r>
        <w:rPr>
          <w:rFonts w:eastAsia="IRNazanin" w:cs="IRNazanin"/>
          <w:b w:val="false"/>
          <w:bCs w:val="false"/>
          <w:i w:val="false"/>
          <w:iCs w:val="false"/>
          <w:color w:val="333333"/>
          <w:sz w:val="20"/>
          <w:szCs w:val="20"/>
        </w:rPr>
        <w:t>2:266</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9:443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26890</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الجميع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بفضل النّدا</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في المعتبر </w:t>
      </w:r>
      <w:r>
        <w:rPr>
          <w:rFonts w:eastAsia="IRNazanin" w:cs="IRNazanin"/>
          <w:b w:val="false"/>
          <w:bCs w:val="false"/>
          <w:i w:val="false"/>
          <w:iCs w:val="false"/>
          <w:color w:val="333333"/>
          <w:sz w:val="20"/>
          <w:szCs w:val="20"/>
        </w:rPr>
        <w:t>1:147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أضفناه من المصدر</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،فتح الوهّاب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1:410</w:t>
      </w:r>
      <w:r>
        <w:rPr>
          <w:rFonts w:ascii="IRNazanin" w:hAnsi="IRNazanin" w:eastAsia="IRNazanin"/>
          <w:b w:val="false"/>
          <w:b w:val="false"/>
          <w:bCs w:val="false"/>
          <w:i w:val="false"/>
          <w:i w:val="false"/>
          <w:iCs w:val="false"/>
          <w:color w:val="333333"/>
          <w:sz w:val="20"/>
          <w:sz w:val="20"/>
          <w:szCs w:val="20"/>
          <w:rtl w:val="true"/>
        </w:rPr>
        <w:t xml:space="preserve">،فتح العزيز هامش المجموع </w:t>
      </w:r>
      <w:r>
        <w:rPr>
          <w:rFonts w:eastAsia="IRNazanin" w:cs="IRNazanin"/>
          <w:b w:val="false"/>
          <w:bCs w:val="false"/>
          <w:i w:val="false"/>
          <w:iCs w:val="false"/>
          <w:color w:val="333333"/>
          <w:sz w:val="20"/>
          <w:szCs w:val="20"/>
        </w:rPr>
        <w:t>1:355</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1:147</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1:159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1:169</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1:148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1:160</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1:170</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،عمل اليوم و اللّيلة ضمن الرّسائل العشر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و نقل عن السّيّد المرتضى في المعتبر </w:t>
      </w:r>
      <w:r>
        <w:rPr>
          <w:rFonts w:eastAsia="IRNazanin" w:cs="IRNazanin"/>
          <w:b w:val="false"/>
          <w:bCs w:val="false"/>
          <w:i w:val="false"/>
          <w:iCs w:val="false"/>
          <w:color w:val="333333"/>
          <w:sz w:val="20"/>
          <w:szCs w:val="20"/>
        </w:rPr>
        <w:t>1:145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بمقدار</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،شرح فتح القدير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،أحكام القرآن للجصّاص </w:t>
      </w:r>
      <w:r>
        <w:rPr>
          <w:rFonts w:eastAsia="IRNazanin" w:cs="IRNazanin"/>
          <w:b w:val="false"/>
          <w:bCs w:val="false"/>
          <w:i w:val="false"/>
          <w:iCs w:val="false"/>
          <w:color w:val="333333"/>
          <w:sz w:val="20"/>
          <w:szCs w:val="20"/>
        </w:rPr>
        <w:t>3:348</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1:141</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1:159</w:t>
      </w:r>
      <w:r>
        <w:rPr>
          <w:rFonts w:ascii="IRNazanin" w:hAnsi="IRNazanin" w:eastAsia="IRNazanin"/>
          <w:b w:val="false"/>
          <w:b w:val="false"/>
          <w:bCs w:val="false"/>
          <w:i w:val="false"/>
          <w:i w:val="false"/>
          <w:iCs w:val="false"/>
          <w:color w:val="333333"/>
          <w:sz w:val="20"/>
          <w:sz w:val="20"/>
          <w:szCs w:val="20"/>
          <w:rtl w:val="true"/>
        </w:rPr>
        <w:t xml:space="preserve">،الكافي لابن قدامة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استوعب</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،أحكام القرآن للجصّاص </w:t>
      </w:r>
      <w:r>
        <w:rPr>
          <w:rFonts w:eastAsia="IRNazanin" w:cs="IRNazanin"/>
          <w:b w:val="false"/>
          <w:bCs w:val="false"/>
          <w:i w:val="false"/>
          <w:iCs w:val="false"/>
          <w:color w:val="333333"/>
          <w:sz w:val="20"/>
          <w:szCs w:val="20"/>
        </w:rPr>
        <w:t>3:348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،تفسير القرطبيّ </w:t>
      </w:r>
      <w:r>
        <w:rPr>
          <w:rFonts w:eastAsia="IRNazanin" w:cs="IRNazanin"/>
          <w:b w:val="false"/>
          <w:bCs w:val="false"/>
          <w:i w:val="false"/>
          <w:iCs w:val="false"/>
          <w:color w:val="333333"/>
          <w:sz w:val="20"/>
          <w:szCs w:val="20"/>
        </w:rPr>
        <w:t>6:89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1:402</w:t>
      </w:r>
      <w:r>
        <w:rPr>
          <w:rFonts w:ascii="IRNazanin" w:hAnsi="IRNazanin" w:eastAsia="IRNazanin"/>
          <w:b w:val="false"/>
          <w:b w:val="false"/>
          <w:bCs w:val="false"/>
          <w:i w:val="false"/>
          <w:i w:val="false"/>
          <w:iCs w:val="false"/>
          <w:color w:val="333333"/>
          <w:sz w:val="20"/>
          <w:sz w:val="20"/>
          <w:szCs w:val="20"/>
          <w:rtl w:val="true"/>
        </w:rPr>
        <w:t xml:space="preserve">،فتح العزيز هامش المجموع </w:t>
      </w:r>
      <w:r>
        <w:rPr>
          <w:rFonts w:eastAsia="IRNazanin" w:cs="IRNazanin"/>
          <w:b w:val="false"/>
          <w:bCs w:val="false"/>
          <w:i w:val="false"/>
          <w:iCs w:val="false"/>
          <w:color w:val="333333"/>
          <w:sz w:val="20"/>
          <w:szCs w:val="20"/>
        </w:rPr>
        <w:t>1:424</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الأحاديث من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الوضوء،حديث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،و مؤدّاه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،شرح فتح القدير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سلّمناه</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1:463</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1:434</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1:146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سنن البيهقيّ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 يسير</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الامّ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،الامّ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مختصر المزني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1:413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،السّراج الوهّاج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،شرح فتح القدير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،تفسير القرطبيّ </w:t>
      </w:r>
      <w:r>
        <w:rPr>
          <w:rFonts w:eastAsia="IRNazanin" w:cs="IRNazanin"/>
          <w:b w:val="false"/>
          <w:bCs w:val="false"/>
          <w:i w:val="false"/>
          <w:iCs w:val="false"/>
          <w:color w:val="333333"/>
          <w:sz w:val="20"/>
          <w:szCs w:val="20"/>
        </w:rPr>
        <w:t>6:90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أحكام القرآن للجصّاص </w:t>
      </w:r>
      <w:r>
        <w:rPr>
          <w:rFonts w:eastAsia="IRNazanin" w:cs="IRNazanin"/>
          <w:b w:val="false"/>
          <w:bCs w:val="false"/>
          <w:i w:val="false"/>
          <w:iCs w:val="false"/>
          <w:color w:val="333333"/>
          <w:sz w:val="20"/>
          <w:szCs w:val="20"/>
        </w:rPr>
        <w:t>3:360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1:413</w:t>
      </w:r>
      <w:r>
        <w:rPr>
          <w:rFonts w:ascii="IRNazanin" w:hAnsi="IRNazanin" w:eastAsia="IRNazanin"/>
          <w:b w:val="false"/>
          <w:b w:val="false"/>
          <w:bCs w:val="false"/>
          <w:i w:val="false"/>
          <w:i w:val="false"/>
          <w:iCs w:val="false"/>
          <w:color w:val="333333"/>
          <w:sz w:val="20"/>
          <w:sz w:val="20"/>
          <w:szCs w:val="20"/>
          <w:rtl w:val="true"/>
        </w:rPr>
        <w:t xml:space="preserve">،تفسير القرطبيّ </w:t>
      </w:r>
      <w:r>
        <w:rPr>
          <w:rFonts w:eastAsia="IRNazanin" w:cs="IRNazanin"/>
          <w:b w:val="false"/>
          <w:bCs w:val="false"/>
          <w:i w:val="false"/>
          <w:iCs w:val="false"/>
          <w:color w:val="333333"/>
          <w:sz w:val="20"/>
          <w:szCs w:val="20"/>
        </w:rPr>
        <w:t>6:90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،المدوّنة الكبرى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،تفسير القرطبيّ </w:t>
      </w:r>
      <w:r>
        <w:rPr>
          <w:rFonts w:eastAsia="IRNazanin" w:cs="IRNazanin"/>
          <w:b w:val="false"/>
          <w:bCs w:val="false"/>
          <w:i w:val="false"/>
          <w:iCs w:val="false"/>
          <w:color w:val="333333"/>
          <w:sz w:val="20"/>
          <w:szCs w:val="20"/>
        </w:rPr>
        <w:t>6:90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1:149</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1:162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منار السّبيل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xml:space="preserve">،تفسير القرطبيّ </w:t>
      </w:r>
      <w:r>
        <w:rPr>
          <w:rFonts w:eastAsia="IRNazanin" w:cs="IRNazanin"/>
          <w:b w:val="false"/>
          <w:bCs w:val="false"/>
          <w:i w:val="false"/>
          <w:iCs w:val="false"/>
          <w:color w:val="333333"/>
          <w:sz w:val="20"/>
          <w:szCs w:val="20"/>
        </w:rPr>
        <w:t>6:90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لابن قدامة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 قطني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1:199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1:413</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أحكام القرآن للجصّاص </w:t>
      </w:r>
      <w:r>
        <w:rPr>
          <w:rFonts w:eastAsia="IRNazanin" w:cs="IRNazanin"/>
          <w:b w:val="false"/>
          <w:bCs w:val="false"/>
          <w:i w:val="false"/>
          <w:iCs w:val="false"/>
          <w:color w:val="333333"/>
          <w:sz w:val="20"/>
          <w:szCs w:val="20"/>
        </w:rPr>
        <w:t>3:360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أحكام القرآن للجصّاص </w:t>
      </w:r>
      <w:r>
        <w:rPr>
          <w:rFonts w:eastAsia="IRNazanin" w:cs="IRNazanin"/>
          <w:b w:val="false"/>
          <w:bCs w:val="false"/>
          <w:i w:val="false"/>
          <w:iCs w:val="false"/>
          <w:color w:val="333333"/>
          <w:sz w:val="20"/>
          <w:szCs w:val="20"/>
        </w:rPr>
        <w:t>3:360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،شرح فتح القدير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القرطبيّ </w:t>
      </w:r>
      <w:r>
        <w:rPr>
          <w:rFonts w:eastAsia="IRNazanin" w:cs="IRNazanin"/>
          <w:b w:val="false"/>
          <w:bCs w:val="false"/>
          <w:i w:val="false"/>
          <w:iCs w:val="false"/>
          <w:color w:val="333333"/>
          <w:sz w:val="20"/>
          <w:szCs w:val="20"/>
        </w:rPr>
        <w:t>6:90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،الهداية للمرغينانيّ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القرطبيّ </w:t>
      </w:r>
      <w:r>
        <w:rPr>
          <w:rFonts w:eastAsia="IRNazanin" w:cs="IRNazanin"/>
          <w:b w:val="false"/>
          <w:bCs w:val="false"/>
          <w:i w:val="false"/>
          <w:iCs w:val="false"/>
          <w:color w:val="333333"/>
          <w:sz w:val="20"/>
          <w:szCs w:val="20"/>
        </w:rPr>
        <w:t>6:87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أحكام القرآن لابن العربي </w:t>
      </w:r>
      <w:r>
        <w:rPr>
          <w:rFonts w:eastAsia="IRNazanin" w:cs="IRNazanin"/>
          <w:b w:val="false"/>
          <w:bCs w:val="false"/>
          <w:i w:val="false"/>
          <w:iCs w:val="false"/>
          <w:color w:val="333333"/>
          <w:sz w:val="20"/>
          <w:szCs w:val="20"/>
        </w:rPr>
        <w:t>2:576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1:413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،رحمة الأمة هامش ميزان الكبرى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،ميزان الكبرى </w:t>
      </w:r>
      <w:r>
        <w:rPr>
          <w:rFonts w:eastAsia="IRNazanin" w:cs="IRNazanin"/>
          <w:b w:val="false"/>
          <w:bCs w:val="false"/>
          <w:i w:val="false"/>
          <w:iCs w:val="false"/>
          <w:color w:val="333333"/>
          <w:sz w:val="20"/>
          <w:szCs w:val="20"/>
        </w:rPr>
        <w:t>1:118</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1:414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أحكام القرآن لابن العربي </w:t>
      </w:r>
      <w:r>
        <w:rPr>
          <w:rFonts w:eastAsia="IRNazanin" w:cs="IRNazanin"/>
          <w:b w:val="false"/>
          <w:bCs w:val="false"/>
          <w:i w:val="false"/>
          <w:iCs w:val="false"/>
          <w:color w:val="333333"/>
          <w:sz w:val="20"/>
          <w:szCs w:val="20"/>
        </w:rPr>
        <w:t>2:576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القرطبيّ </w:t>
      </w:r>
      <w:r>
        <w:rPr>
          <w:rFonts w:eastAsia="IRNazanin" w:cs="IRNazanin"/>
          <w:b w:val="false"/>
          <w:bCs w:val="false"/>
          <w:i w:val="false"/>
          <w:iCs w:val="false"/>
          <w:color w:val="333333"/>
          <w:sz w:val="20"/>
          <w:szCs w:val="20"/>
        </w:rPr>
        <w:t>6:87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،التفسير الكبير </w:t>
      </w:r>
      <w:r>
        <w:rPr>
          <w:rFonts w:eastAsia="IRNazanin" w:cs="IRNazanin"/>
          <w:b w:val="false"/>
          <w:bCs w:val="false"/>
          <w:i w:val="false"/>
          <w:iCs w:val="false"/>
          <w:color w:val="333333"/>
          <w:sz w:val="20"/>
          <w:szCs w:val="20"/>
        </w:rPr>
        <w:t>11:159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1:410</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،فتح العزيز هامش المجموع </w:t>
      </w:r>
      <w:r>
        <w:rPr>
          <w:rFonts w:eastAsia="IRNazanin" w:cs="IRNazanin"/>
          <w:b w:val="false"/>
          <w:bCs w:val="false"/>
          <w:i w:val="false"/>
          <w:iCs w:val="false"/>
          <w:color w:val="333333"/>
          <w:sz w:val="20"/>
          <w:szCs w:val="20"/>
        </w:rPr>
        <w:t>1:356</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1:150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1:156</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1:418</w:t>
      </w:r>
      <w:r>
        <w:rPr>
          <w:rFonts w:ascii="IRNazanin" w:hAnsi="IRNazanin" w:eastAsia="IRNazanin"/>
          <w:b w:val="false"/>
          <w:b w:val="false"/>
          <w:bCs w:val="false"/>
          <w:i w:val="false"/>
          <w:i w:val="false"/>
          <w:iCs w:val="false"/>
          <w:color w:val="333333"/>
          <w:sz w:val="20"/>
          <w:sz w:val="20"/>
          <w:szCs w:val="20"/>
          <w:rtl w:val="true"/>
        </w:rPr>
        <w:t xml:space="preserve">،المحلّى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2:262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رحمة الأمّة هامش ميزان الكبرى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1:150</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1:418</w:t>
      </w:r>
      <w:r>
        <w:rPr>
          <w:rFonts w:ascii="IRNazanin" w:hAnsi="IRNazanin" w:eastAsia="IRNazanin"/>
          <w:b w:val="false"/>
          <w:b w:val="false"/>
          <w:bCs w:val="false"/>
          <w:i w:val="false"/>
          <w:i w:val="false"/>
          <w:iCs w:val="false"/>
          <w:color w:val="333333"/>
          <w:sz w:val="20"/>
          <w:sz w:val="20"/>
          <w:szCs w:val="20"/>
          <w:rtl w:val="true"/>
        </w:rPr>
        <w:t xml:space="preserve">،المحلّى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القارئ </w:t>
      </w:r>
      <w:r>
        <w:rPr>
          <w:rFonts w:eastAsia="IRNazanin" w:cs="IRNazanin"/>
          <w:b w:val="false"/>
          <w:bCs w:val="false"/>
          <w:i w:val="false"/>
          <w:iCs w:val="false"/>
          <w:color w:val="333333"/>
          <w:sz w:val="20"/>
          <w:szCs w:val="20"/>
        </w:rPr>
        <w:t>2:238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أحكام القرآن لابن العربي </w:t>
      </w:r>
      <w:r>
        <w:rPr>
          <w:rFonts w:eastAsia="IRNazanin" w:cs="IRNazanin"/>
          <w:b w:val="false"/>
          <w:bCs w:val="false"/>
          <w:i w:val="false"/>
          <w:iCs w:val="false"/>
          <w:color w:val="333333"/>
          <w:sz w:val="20"/>
          <w:szCs w:val="20"/>
        </w:rPr>
        <w:t>2:577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1:150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القرطبيّ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1:151</w:t>
      </w:r>
      <w:r>
        <w:rPr>
          <w:rFonts w:ascii="IRNazanin" w:hAnsi="IRNazanin" w:eastAsia="IRNazanin"/>
          <w:b w:val="false"/>
          <w:b w:val="false"/>
          <w:bCs w:val="false"/>
          <w:i w:val="false"/>
          <w:i w:val="false"/>
          <w:iCs w:val="false"/>
          <w:color w:val="333333"/>
          <w:sz w:val="20"/>
          <w:sz w:val="20"/>
          <w:szCs w:val="20"/>
          <w:rtl w:val="true"/>
        </w:rPr>
        <w:t xml:space="preserve">،أحكام القرآن لابن العربي </w:t>
      </w:r>
      <w:r>
        <w:rPr>
          <w:rFonts w:eastAsia="IRNazanin" w:cs="IRNazanin"/>
          <w:b w:val="false"/>
          <w:bCs w:val="false"/>
          <w:i w:val="false"/>
          <w:iCs w:val="false"/>
          <w:color w:val="333333"/>
          <w:sz w:val="20"/>
          <w:szCs w:val="20"/>
        </w:rPr>
        <w:t>2:577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التّفسير الكبير </w:t>
      </w:r>
      <w:r>
        <w:rPr>
          <w:rFonts w:eastAsia="IRNazanin" w:cs="IRNazanin"/>
          <w:b w:val="false"/>
          <w:bCs w:val="false"/>
          <w:i w:val="false"/>
          <w:iCs w:val="false"/>
          <w:color w:val="333333"/>
          <w:sz w:val="20"/>
          <w:szCs w:val="20"/>
        </w:rPr>
        <w:t>11:161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القارئ </w:t>
      </w:r>
      <w:r>
        <w:rPr>
          <w:rFonts w:eastAsia="IRNazanin" w:cs="IRNazanin"/>
          <w:b w:val="false"/>
          <w:bCs w:val="false"/>
          <w:i w:val="false"/>
          <w:iCs w:val="false"/>
          <w:color w:val="333333"/>
          <w:sz w:val="20"/>
          <w:szCs w:val="20"/>
        </w:rPr>
        <w:t>2:238</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1:209</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1:151</w:t>
      </w:r>
      <w:r>
        <w:rPr>
          <w:rFonts w:ascii="IRNazanin" w:hAnsi="IRNazanin" w:eastAsia="IRNazanin"/>
          <w:b w:val="false"/>
          <w:b w:val="false"/>
          <w:bCs w:val="false"/>
          <w:i w:val="false"/>
          <w:i w:val="false"/>
          <w:iCs w:val="false"/>
          <w:color w:val="333333"/>
          <w:sz w:val="20"/>
          <w:sz w:val="20"/>
          <w:szCs w:val="20"/>
          <w:rtl w:val="true"/>
        </w:rPr>
        <w:t xml:space="preserve">،التّفسير الكبير </w:t>
      </w:r>
      <w:r>
        <w:rPr>
          <w:rFonts w:eastAsia="IRNazanin" w:cs="IRNazanin"/>
          <w:b w:val="false"/>
          <w:bCs w:val="false"/>
          <w:i w:val="false"/>
          <w:iCs w:val="false"/>
          <w:color w:val="333333"/>
          <w:sz w:val="20"/>
          <w:szCs w:val="20"/>
        </w:rPr>
        <w:t>11:161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1:417</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1:417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،مقدّمات ابن رشد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،شرح فتح القدير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1:208</w:t>
      </w:r>
      <w:r>
        <w:rPr>
          <w:rFonts w:ascii="IRNazanin" w:hAnsi="IRNazanin" w:eastAsia="IRNazanin"/>
          <w:b w:val="false"/>
          <w:b w:val="false"/>
          <w:bCs w:val="false"/>
          <w:i w:val="false"/>
          <w:i w:val="false"/>
          <w:iCs w:val="false"/>
          <w:color w:val="333333"/>
          <w:sz w:val="20"/>
          <w:sz w:val="20"/>
          <w:szCs w:val="20"/>
          <w:rtl w:val="true"/>
        </w:rPr>
        <w:t xml:space="preserve">،المحلّى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الطبريّ </w:t>
      </w:r>
      <w:r>
        <w:rPr>
          <w:rFonts w:eastAsia="IRNazanin" w:cs="IRNazanin"/>
          <w:b w:val="false"/>
          <w:bCs w:val="false"/>
          <w:i w:val="false"/>
          <w:iCs w:val="false"/>
          <w:color w:val="333333"/>
          <w:sz w:val="20"/>
          <w:szCs w:val="20"/>
        </w:rPr>
        <w:t>6:126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،التّفسير الكبير </w:t>
      </w:r>
      <w:r>
        <w:rPr>
          <w:rFonts w:eastAsia="IRNazanin" w:cs="IRNazanin"/>
          <w:b w:val="false"/>
          <w:bCs w:val="false"/>
          <w:i w:val="false"/>
          <w:iCs w:val="false"/>
          <w:color w:val="333333"/>
          <w:sz w:val="20"/>
          <w:szCs w:val="20"/>
        </w:rPr>
        <w:t>11:161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عمدة القارئ </w:t>
      </w:r>
      <w:r>
        <w:rPr>
          <w:rFonts w:eastAsia="IRNazanin" w:cs="IRNazanin"/>
          <w:b w:val="false"/>
          <w:bCs w:val="false"/>
          <w:i w:val="false"/>
          <w:iCs w:val="false"/>
          <w:color w:val="333333"/>
          <w:sz w:val="20"/>
          <w:szCs w:val="20"/>
        </w:rPr>
        <w:t>2:238</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1:150</w:t>
      </w:r>
      <w:r>
        <w:rPr>
          <w:rFonts w:ascii="IRNazanin" w:hAnsi="IRNazanin" w:eastAsia="IRNazanin"/>
          <w:b w:val="false"/>
          <w:b w:val="false"/>
          <w:bCs w:val="false"/>
          <w:i w:val="false"/>
          <w:i w:val="false"/>
          <w:iCs w:val="false"/>
          <w:color w:val="333333"/>
          <w:sz w:val="20"/>
          <w:sz w:val="20"/>
          <w:szCs w:val="20"/>
          <w:rtl w:val="true"/>
        </w:rPr>
        <w:t xml:space="preserve">،الكافي لابن قدامة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الكبير </w:t>
      </w:r>
      <w:r>
        <w:rPr>
          <w:rFonts w:eastAsia="IRNazanin" w:cs="IRNazanin"/>
          <w:b w:val="false"/>
          <w:bCs w:val="false"/>
          <w:i w:val="false"/>
          <w:iCs w:val="false"/>
          <w:color w:val="333333"/>
          <w:sz w:val="20"/>
          <w:szCs w:val="20"/>
        </w:rPr>
        <w:t>11:161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للوقوف على القراءات،انظر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القرطبيّ </w:t>
      </w:r>
      <w:r>
        <w:rPr>
          <w:rFonts w:eastAsia="IRNazanin" w:cs="IRNazanin"/>
          <w:b w:val="false"/>
          <w:bCs w:val="false"/>
          <w:i w:val="false"/>
          <w:iCs w:val="false"/>
          <w:color w:val="333333"/>
          <w:sz w:val="20"/>
          <w:szCs w:val="20"/>
        </w:rPr>
        <w:t>6:91</w:t>
      </w:r>
      <w:r>
        <w:rPr>
          <w:rFonts w:ascii="IRNazanin" w:hAnsi="IRNazanin" w:eastAsia="IRNazanin"/>
          <w:b w:val="false"/>
          <w:b w:val="false"/>
          <w:bCs w:val="false"/>
          <w:i w:val="false"/>
          <w:i w:val="false"/>
          <w:iCs w:val="false"/>
          <w:color w:val="333333"/>
          <w:sz w:val="20"/>
          <w:sz w:val="20"/>
          <w:szCs w:val="20"/>
          <w:rtl w:val="true"/>
        </w:rPr>
        <w:t xml:space="preserve">،التّفسير الكبير </w:t>
      </w:r>
      <w:r>
        <w:rPr>
          <w:rFonts w:eastAsia="IRNazanin" w:cs="IRNazanin"/>
          <w:b w:val="false"/>
          <w:bCs w:val="false"/>
          <w:i w:val="false"/>
          <w:iCs w:val="false"/>
          <w:color w:val="333333"/>
          <w:sz w:val="20"/>
          <w:szCs w:val="20"/>
        </w:rPr>
        <w:t>11:161</w:t>
      </w:r>
      <w:r>
        <w:rPr>
          <w:rFonts w:ascii="IRNazanin" w:hAnsi="IRNazanin" w:eastAsia="IRNazanin"/>
          <w:b w:val="false"/>
          <w:b w:val="false"/>
          <w:bCs w:val="false"/>
          <w:i w:val="false"/>
          <w:i w:val="false"/>
          <w:iCs w:val="false"/>
          <w:color w:val="333333"/>
          <w:sz w:val="20"/>
          <w:sz w:val="20"/>
          <w:szCs w:val="20"/>
          <w:rtl w:val="true"/>
        </w:rPr>
        <w:t xml:space="preserve">،عمدة القارئ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للجحر</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الواقعة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قوله في تفسير التّبيان للشّيخ الطّوسيّ </w:t>
      </w:r>
      <w:r>
        <w:rPr>
          <w:rFonts w:eastAsia="IRNazanin" w:cs="IRNazanin"/>
          <w:b w:val="false"/>
          <w:bCs w:val="false"/>
          <w:i w:val="false"/>
          <w:iCs w:val="false"/>
          <w:color w:val="333333"/>
          <w:sz w:val="20"/>
          <w:szCs w:val="20"/>
        </w:rPr>
        <w:t>3:454</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تفسير الطّبريّ </w:t>
      </w:r>
      <w:r>
        <w:rPr>
          <w:rFonts w:eastAsia="IRNazanin" w:cs="IRNazanin"/>
          <w:b w:val="false"/>
          <w:bCs w:val="false"/>
          <w:i w:val="false"/>
          <w:iCs w:val="false"/>
          <w:color w:val="333333"/>
          <w:sz w:val="20"/>
          <w:szCs w:val="20"/>
        </w:rPr>
        <w:t>27:177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القرطبيّ </w:t>
      </w:r>
      <w:r>
        <w:rPr>
          <w:rFonts w:eastAsia="IRNazanin" w:cs="IRNazanin"/>
          <w:b w:val="false"/>
          <w:bCs w:val="false"/>
          <w:i w:val="false"/>
          <w:iCs w:val="false"/>
          <w:color w:val="333333"/>
          <w:sz w:val="20"/>
          <w:szCs w:val="20"/>
        </w:rPr>
        <w:t>17:204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التّفسير الكبير </w:t>
      </w:r>
      <w:r>
        <w:rPr>
          <w:rFonts w:eastAsia="IRNazanin" w:cs="IRNazanin"/>
          <w:b w:val="false"/>
          <w:bCs w:val="false"/>
          <w:i w:val="false"/>
          <w:iCs w:val="false"/>
          <w:color w:val="333333"/>
          <w:sz w:val="20"/>
          <w:szCs w:val="20"/>
        </w:rPr>
        <w:t>30:154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القرطبيّ </w:t>
      </w:r>
      <w:r>
        <w:rPr>
          <w:rFonts w:eastAsia="IRNazanin" w:cs="IRNazanin"/>
          <w:b w:val="false"/>
          <w:bCs w:val="false"/>
          <w:i w:val="false"/>
          <w:iCs w:val="false"/>
          <w:color w:val="333333"/>
          <w:sz w:val="20"/>
          <w:szCs w:val="20"/>
        </w:rPr>
        <w:t>17:204</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ببشرى</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1:209</w:t>
      </w:r>
      <w:r>
        <w:rPr>
          <w:rFonts w:ascii="IRNazanin" w:hAnsi="IRNazanin" w:eastAsia="IRNazanin"/>
          <w:b w:val="false"/>
          <w:b w:val="false"/>
          <w:bCs w:val="false"/>
          <w:i w:val="false"/>
          <w:i w:val="false"/>
          <w:iCs w:val="false"/>
          <w:color w:val="333333"/>
          <w:sz w:val="20"/>
          <w:sz w:val="20"/>
          <w:szCs w:val="20"/>
          <w:rtl w:val="true"/>
        </w:rPr>
        <w:t xml:space="preserve">،جامع الأصول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5275</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1:286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أحكام القرآن للجصّاص </w:t>
      </w:r>
      <w:r>
        <w:rPr>
          <w:rFonts w:eastAsia="IRNazanin" w:cs="IRNazanin"/>
          <w:b w:val="false"/>
          <w:bCs w:val="false"/>
          <w:i w:val="false"/>
          <w:iCs w:val="false"/>
          <w:color w:val="333333"/>
          <w:sz w:val="20"/>
          <w:szCs w:val="20"/>
        </w:rPr>
        <w:t>3:351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9:435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26856</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على هذه الرّواية في مصادر العامّة المتوفّرة لدينا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نعم أوردها منّا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الشّيخ الطّوسيّ في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عنهم</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2:262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1:156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 يسير في الجميع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أورد هذه الرّوايات الشّيخ في التّهذيب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في كتاب اللّه</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بين المعقوفتين أضفناه من المصدر</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المصادر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اليد</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الجميع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فعرفنا حين وصلهما بالرّأس انّ المسح على بعضهما</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محمّد بن سهل،الوسائل </w:t>
      </w:r>
      <w:r>
        <w:rPr>
          <w:rFonts w:eastAsia="IRNazanin" w:cs="IRNazanin"/>
          <w:b w:val="false"/>
          <w:bCs w:val="false"/>
          <w:i w:val="false"/>
          <w:iCs w:val="false"/>
          <w:color w:val="333333"/>
          <w:sz w:val="20"/>
          <w:szCs w:val="20"/>
        </w:rPr>
        <w:t>1:294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1:151</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1:418</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أحكام القرآن للجصّاص </w:t>
      </w:r>
      <w:r>
        <w:rPr>
          <w:rFonts w:eastAsia="IRNazanin" w:cs="IRNazanin"/>
          <w:b w:val="false"/>
          <w:bCs w:val="false"/>
          <w:i w:val="false"/>
          <w:iCs w:val="false"/>
          <w:color w:val="333333"/>
          <w:sz w:val="20"/>
          <w:szCs w:val="20"/>
        </w:rPr>
        <w:t>3:351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 في المصادر المتوفّرة لدينا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نعم،نقله الكاساني في بدائع الصّنائع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،و الجصّاص في أحكام القرآن </w:t>
      </w:r>
      <w:r>
        <w:rPr>
          <w:rFonts w:eastAsia="IRNazanin" w:cs="IRNazanin"/>
          <w:b w:val="false"/>
          <w:bCs w:val="false"/>
          <w:i w:val="false"/>
          <w:iCs w:val="false"/>
          <w:color w:val="333333"/>
          <w:sz w:val="20"/>
          <w:szCs w:val="20"/>
        </w:rPr>
        <w:t>3:351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1:154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،سنن الدّارمي </w:t>
      </w:r>
      <w:r>
        <w:rPr>
          <w:rFonts w:eastAsia="IRNazanin" w:cs="IRNazanin"/>
          <w:b w:val="false"/>
          <w:bCs w:val="false"/>
          <w:i w:val="false"/>
          <w:iCs w:val="false"/>
          <w:color w:val="333333"/>
          <w:sz w:val="20"/>
          <w:szCs w:val="20"/>
        </w:rPr>
        <w:t>1:179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الموطّأ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2:228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498</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6:81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الأعقاب</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3:155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788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1:153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،سنن الدّارمي </w:t>
      </w:r>
      <w:r>
        <w:rPr>
          <w:rFonts w:eastAsia="IRNazanin" w:cs="IRNazanin"/>
          <w:b w:val="false"/>
          <w:bCs w:val="false"/>
          <w:i w:val="false"/>
          <w:iCs w:val="false"/>
          <w:color w:val="333333"/>
          <w:sz w:val="20"/>
          <w:szCs w:val="20"/>
        </w:rPr>
        <w:t>1:179</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4:211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9:305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26129</w:t>
      </w:r>
      <w:r>
        <w:rPr>
          <w:rFonts w:ascii="IRNazanin" w:hAnsi="IRNazanin" w:eastAsia="IRNazanin"/>
          <w:b w:val="false"/>
          <w:b w:val="false"/>
          <w:bCs w:val="false"/>
          <w:i w:val="false"/>
          <w:i w:val="false"/>
          <w:iCs w:val="false"/>
          <w:color w:val="333333"/>
          <w:sz w:val="20"/>
          <w:sz w:val="20"/>
          <w:szCs w:val="20"/>
          <w:rtl w:val="true"/>
        </w:rPr>
        <w:t xml:space="preserve">،جامع الأصول </w:t>
      </w:r>
      <w:r>
        <w:rPr>
          <w:rFonts w:eastAsia="IRNazanin" w:cs="IRNazanin"/>
          <w:b w:val="false"/>
          <w:bCs w:val="false"/>
          <w:i w:val="false"/>
          <w:iCs w:val="false"/>
          <w:color w:val="333333"/>
          <w:sz w:val="20"/>
          <w:szCs w:val="20"/>
        </w:rPr>
        <w:t>8:100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5189</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1:179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تقارن</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لتوهم</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رجالا من الأعراب،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أحدا من</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فيرشّ</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2:167</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أحكام القرآن للجصّاص </w:t>
      </w:r>
      <w:r>
        <w:rPr>
          <w:rFonts w:eastAsia="IRNazanin" w:cs="IRNazanin"/>
          <w:b w:val="false"/>
          <w:bCs w:val="false"/>
          <w:i w:val="false"/>
          <w:iCs w:val="false"/>
          <w:color w:val="333333"/>
          <w:sz w:val="20"/>
          <w:szCs w:val="20"/>
        </w:rPr>
        <w:t>3:349</w:t>
      </w:r>
      <w:r>
        <w:rPr>
          <w:rFonts w:ascii="IRNazanin" w:hAnsi="IRNazanin" w:eastAsia="IRNazanin"/>
          <w:b w:val="false"/>
          <w:b w:val="false"/>
          <w:bCs w:val="false"/>
          <w:i w:val="false"/>
          <w:i w:val="false"/>
          <w:iCs w:val="false"/>
          <w:color w:val="333333"/>
          <w:sz w:val="20"/>
          <w:sz w:val="20"/>
          <w:szCs w:val="20"/>
          <w:rtl w:val="true"/>
        </w:rPr>
        <w:t xml:space="preserve">،التّفسير الكبير </w:t>
      </w:r>
      <w:r>
        <w:rPr>
          <w:rFonts w:eastAsia="IRNazanin" w:cs="IRNazanin"/>
          <w:b w:val="false"/>
          <w:bCs w:val="false"/>
          <w:i w:val="false"/>
          <w:iCs w:val="false"/>
          <w:color w:val="333333"/>
          <w:sz w:val="20"/>
          <w:szCs w:val="20"/>
        </w:rPr>
        <w:t>11:161</w:t>
      </w:r>
      <w:r>
        <w:rPr>
          <w:rFonts w:ascii="IRNazanin" w:hAnsi="IRNazanin" w:eastAsia="IRNazanin"/>
          <w:b w:val="false"/>
          <w:b w:val="false"/>
          <w:bCs w:val="false"/>
          <w:i w:val="false"/>
          <w:i w:val="false"/>
          <w:iCs w:val="false"/>
          <w:color w:val="333333"/>
          <w:sz w:val="20"/>
          <w:sz w:val="20"/>
          <w:szCs w:val="20"/>
          <w:rtl w:val="true"/>
        </w:rPr>
        <w:t xml:space="preserve">،تفسير القرطبي </w:t>
      </w:r>
      <w:r>
        <w:rPr>
          <w:rFonts w:eastAsia="IRNazanin" w:cs="IRNazanin"/>
          <w:b w:val="false"/>
          <w:bCs w:val="false"/>
          <w:i w:val="false"/>
          <w:iCs w:val="false"/>
          <w:color w:val="333333"/>
          <w:sz w:val="20"/>
          <w:szCs w:val="20"/>
        </w:rPr>
        <w:t>6:91</w:t>
      </w:r>
      <w:r>
        <w:rPr>
          <w:rFonts w:ascii="IRNazanin" w:hAnsi="IRNazanin" w:eastAsia="IRNazanin"/>
          <w:b w:val="false"/>
          <w:b w:val="false"/>
          <w:bCs w:val="false"/>
          <w:i w:val="false"/>
          <w:i w:val="false"/>
          <w:iCs w:val="false"/>
          <w:color w:val="333333"/>
          <w:sz w:val="20"/>
          <w:sz w:val="20"/>
          <w:szCs w:val="20"/>
          <w:rtl w:val="true"/>
        </w:rPr>
        <w:t xml:space="preserve">،عمدة القارئ </w:t>
      </w:r>
      <w:r>
        <w:rPr>
          <w:rFonts w:eastAsia="IRNazanin" w:cs="IRNazanin"/>
          <w:b w:val="false"/>
          <w:bCs w:val="false"/>
          <w:i w:val="false"/>
          <w:iCs w:val="false"/>
          <w:color w:val="333333"/>
          <w:sz w:val="20"/>
          <w:szCs w:val="20"/>
        </w:rPr>
        <w:t>2:239</w:t>
      </w:r>
      <w:r>
        <w:rPr>
          <w:rFonts w:ascii="IRNazanin" w:hAnsi="IRNazanin" w:eastAsia="IRNazanin"/>
          <w:b w:val="false"/>
          <w:b w:val="false"/>
          <w:bCs w:val="false"/>
          <w:i w:val="false"/>
          <w:i w:val="false"/>
          <w:iCs w:val="false"/>
          <w:color w:val="333333"/>
          <w:sz w:val="20"/>
          <w:sz w:val="20"/>
          <w:szCs w:val="20"/>
          <w:rtl w:val="true"/>
        </w:rPr>
        <w:t xml:space="preserve">،تفسير الطّبري </w:t>
      </w:r>
      <w:r>
        <w:rPr>
          <w:rFonts w:eastAsia="IRNazanin" w:cs="IRNazanin"/>
          <w:b w:val="false"/>
          <w:bCs w:val="false"/>
          <w:i w:val="false"/>
          <w:iCs w:val="false"/>
          <w:color w:val="333333"/>
          <w:sz w:val="20"/>
          <w:szCs w:val="20"/>
        </w:rPr>
        <w:t>6:126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أحكام القرآن للجصّاص </w:t>
      </w:r>
      <w:r>
        <w:rPr>
          <w:rFonts w:eastAsia="IRNazanin" w:cs="IRNazanin"/>
          <w:b w:val="false"/>
          <w:bCs w:val="false"/>
          <w:i w:val="false"/>
          <w:iCs w:val="false"/>
          <w:color w:val="333333"/>
          <w:sz w:val="20"/>
          <w:szCs w:val="20"/>
        </w:rPr>
        <w:t>3:349</w:t>
      </w:r>
      <w:r>
        <w:rPr>
          <w:rFonts w:ascii="IRNazanin" w:hAnsi="IRNazanin" w:eastAsia="IRNazanin"/>
          <w:b w:val="false"/>
          <w:b w:val="false"/>
          <w:bCs w:val="false"/>
          <w:i w:val="false"/>
          <w:i w:val="false"/>
          <w:iCs w:val="false"/>
          <w:color w:val="333333"/>
          <w:sz w:val="20"/>
          <w:sz w:val="20"/>
          <w:szCs w:val="20"/>
          <w:rtl w:val="true"/>
        </w:rPr>
        <w:t xml:space="preserve">،التّفسير الكبير </w:t>
      </w:r>
      <w:r>
        <w:rPr>
          <w:rFonts w:eastAsia="IRNazanin" w:cs="IRNazanin"/>
          <w:b w:val="false"/>
          <w:bCs w:val="false"/>
          <w:i w:val="false"/>
          <w:iCs w:val="false"/>
          <w:color w:val="333333"/>
          <w:sz w:val="20"/>
          <w:szCs w:val="20"/>
        </w:rPr>
        <w:t>11:161</w:t>
      </w:r>
      <w:r>
        <w:rPr>
          <w:rFonts w:ascii="IRNazanin" w:hAnsi="IRNazanin" w:eastAsia="IRNazanin"/>
          <w:b w:val="false"/>
          <w:b w:val="false"/>
          <w:bCs w:val="false"/>
          <w:i w:val="false"/>
          <w:i w:val="false"/>
          <w:iCs w:val="false"/>
          <w:color w:val="333333"/>
          <w:sz w:val="20"/>
          <w:sz w:val="20"/>
          <w:szCs w:val="20"/>
          <w:rtl w:val="true"/>
        </w:rPr>
        <w:t xml:space="preserve">،تفسير القرطبي </w:t>
      </w:r>
      <w:r>
        <w:rPr>
          <w:rFonts w:eastAsia="IRNazanin" w:cs="IRNazanin"/>
          <w:b w:val="false"/>
          <w:bCs w:val="false"/>
          <w:i w:val="false"/>
          <w:iCs w:val="false"/>
          <w:color w:val="333333"/>
          <w:sz w:val="20"/>
          <w:szCs w:val="20"/>
        </w:rPr>
        <w:t>6:91</w:t>
      </w:r>
      <w:r>
        <w:rPr>
          <w:rFonts w:ascii="IRNazanin" w:hAnsi="IRNazanin" w:eastAsia="IRNazanin"/>
          <w:b w:val="false"/>
          <w:b w:val="false"/>
          <w:bCs w:val="false"/>
          <w:i w:val="false"/>
          <w:i w:val="false"/>
          <w:iCs w:val="false"/>
          <w:color w:val="333333"/>
          <w:sz w:val="20"/>
          <w:sz w:val="20"/>
          <w:szCs w:val="20"/>
          <w:rtl w:val="true"/>
        </w:rPr>
        <w:t xml:space="preserve">،عمدة القارئ </w:t>
      </w:r>
      <w:r>
        <w:rPr>
          <w:rFonts w:eastAsia="IRNazanin" w:cs="IRNazanin"/>
          <w:b w:val="false"/>
          <w:bCs w:val="false"/>
          <w:i w:val="false"/>
          <w:iCs w:val="false"/>
          <w:color w:val="333333"/>
          <w:sz w:val="20"/>
          <w:szCs w:val="20"/>
        </w:rPr>
        <w:t>2:239</w:t>
      </w:r>
      <w:r>
        <w:rPr>
          <w:rFonts w:ascii="IRNazanin" w:hAnsi="IRNazanin" w:eastAsia="IRNazanin"/>
          <w:b w:val="false"/>
          <w:b w:val="false"/>
          <w:bCs w:val="false"/>
          <w:i w:val="false"/>
          <w:i w:val="false"/>
          <w:iCs w:val="false"/>
          <w:color w:val="333333"/>
          <w:sz w:val="20"/>
          <w:sz w:val="20"/>
          <w:szCs w:val="20"/>
          <w:rtl w:val="true"/>
        </w:rPr>
        <w:t xml:space="preserve">،تفسير الطّبري </w:t>
      </w:r>
      <w:r>
        <w:rPr>
          <w:rFonts w:eastAsia="IRNazanin" w:cs="IRNazanin"/>
          <w:b w:val="false"/>
          <w:bCs w:val="false"/>
          <w:i w:val="false"/>
          <w:iCs w:val="false"/>
          <w:color w:val="333333"/>
          <w:sz w:val="20"/>
          <w:szCs w:val="20"/>
        </w:rPr>
        <w:t>6:126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سنن الدّار قطني </w:t>
      </w:r>
      <w:r>
        <w:rPr>
          <w:rFonts w:eastAsia="IRNazanin" w:cs="IRNazanin"/>
          <w:b w:val="false"/>
          <w:bCs w:val="false"/>
          <w:i w:val="false"/>
          <w:iCs w:val="false"/>
          <w:color w:val="333333"/>
          <w:sz w:val="20"/>
          <w:szCs w:val="20"/>
        </w:rPr>
        <w:t>1:419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1:168</w:t>
      </w:r>
      <w:r>
        <w:rPr>
          <w:rFonts w:ascii="IRNazanin" w:hAnsi="IRNazanin" w:eastAsia="IRNazanin"/>
          <w:b w:val="false"/>
          <w:b w:val="false"/>
          <w:bCs w:val="false"/>
          <w:i w:val="false"/>
          <w:i w:val="false"/>
          <w:iCs w:val="false"/>
          <w:color w:val="333333"/>
          <w:sz w:val="20"/>
          <w:sz w:val="20"/>
          <w:szCs w:val="20"/>
          <w:rtl w:val="true"/>
        </w:rPr>
        <w:t xml:space="preserve">،و رواه الشّيخ في التّهذيب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الصّحيح أنّهم واقفيّة كزرعة و سماعة</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،شرح فتح القدير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،أحكام القرآن للجصّاص </w:t>
      </w:r>
      <w:r>
        <w:rPr>
          <w:rFonts w:eastAsia="IRNazanin" w:cs="IRNazanin"/>
          <w:b w:val="false"/>
          <w:bCs w:val="false"/>
          <w:i w:val="false"/>
          <w:iCs w:val="false"/>
          <w:color w:val="333333"/>
          <w:sz w:val="20"/>
          <w:szCs w:val="20"/>
        </w:rPr>
        <w:t>3:352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أحكام القرآن لابن العربي </w:t>
      </w:r>
      <w:r>
        <w:rPr>
          <w:rFonts w:eastAsia="IRNazanin" w:cs="IRNazanin"/>
          <w:b w:val="false"/>
          <w:bCs w:val="false"/>
          <w:i w:val="false"/>
          <w:iCs w:val="false"/>
          <w:color w:val="333333"/>
          <w:sz w:val="20"/>
          <w:szCs w:val="20"/>
        </w:rPr>
        <w:t>2:579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1:155</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1:422</w:t>
      </w:r>
      <w:r>
        <w:rPr>
          <w:rFonts w:ascii="IRNazanin" w:hAnsi="IRNazanin" w:eastAsia="IRNazanin"/>
          <w:b w:val="false"/>
          <w:b w:val="false"/>
          <w:bCs w:val="false"/>
          <w:i w:val="false"/>
          <w:i w:val="false"/>
          <w:iCs w:val="false"/>
          <w:color w:val="333333"/>
          <w:sz w:val="20"/>
          <w:sz w:val="20"/>
          <w:szCs w:val="20"/>
          <w:rtl w:val="true"/>
        </w:rPr>
        <w:t xml:space="preserve">،التّفسير الكبير </w:t>
      </w:r>
      <w:r>
        <w:rPr>
          <w:rFonts w:eastAsia="IRNazanin" w:cs="IRNazanin"/>
          <w:b w:val="false"/>
          <w:bCs w:val="false"/>
          <w:i w:val="false"/>
          <w:iCs w:val="false"/>
          <w:color w:val="333333"/>
          <w:sz w:val="20"/>
          <w:szCs w:val="20"/>
        </w:rPr>
        <w:t>11:162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1:422</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1:155</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،أحكام القرآن للجصّاص </w:t>
      </w:r>
      <w:r>
        <w:rPr>
          <w:rFonts w:eastAsia="IRNazanin" w:cs="IRNazanin"/>
          <w:b w:val="false"/>
          <w:bCs w:val="false"/>
          <w:i w:val="false"/>
          <w:iCs w:val="false"/>
          <w:color w:val="333333"/>
          <w:sz w:val="20"/>
          <w:szCs w:val="20"/>
        </w:rPr>
        <w:t>3:352</w:t>
      </w:r>
      <w:r>
        <w:rPr>
          <w:rFonts w:ascii="IRNazanin" w:hAnsi="IRNazanin" w:eastAsia="IRNazanin"/>
          <w:b w:val="false"/>
          <w:b w:val="false"/>
          <w:bCs w:val="false"/>
          <w:i w:val="false"/>
          <w:i w:val="false"/>
          <w:iCs w:val="false"/>
          <w:color w:val="333333"/>
          <w:sz w:val="20"/>
          <w:sz w:val="20"/>
          <w:szCs w:val="20"/>
          <w:rtl w:val="true"/>
        </w:rPr>
        <w:t xml:space="preserve">،شرح فتح القدير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،التّفسير الكبير </w:t>
      </w:r>
      <w:r>
        <w:rPr>
          <w:rFonts w:eastAsia="IRNazanin" w:cs="IRNazanin"/>
          <w:b w:val="false"/>
          <w:bCs w:val="false"/>
          <w:i w:val="false"/>
          <w:iCs w:val="false"/>
          <w:color w:val="333333"/>
          <w:sz w:val="20"/>
          <w:szCs w:val="20"/>
        </w:rPr>
        <w:t>11:162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،إرشاد السّاري </w:t>
      </w:r>
      <w:r>
        <w:rPr>
          <w:rFonts w:eastAsia="IRNazanin" w:cs="IRNazanin"/>
          <w:b w:val="false"/>
          <w:bCs w:val="false"/>
          <w:i w:val="false"/>
          <w:iCs w:val="false"/>
          <w:color w:val="333333"/>
          <w:sz w:val="20"/>
          <w:szCs w:val="20"/>
        </w:rPr>
        <w:t>1:269</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Pr>
        <w:t>1:235</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الظّنبوب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العظم اليابس من قدم السّاق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1:175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تدلّ</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ميسرة</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1:423</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1:155</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1:174</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،أحكام القرآن للجصّاص </w:t>
      </w:r>
      <w:r>
        <w:rPr>
          <w:rFonts w:eastAsia="IRNazanin" w:cs="IRNazanin"/>
          <w:b w:val="false"/>
          <w:bCs w:val="false"/>
          <w:i w:val="false"/>
          <w:iCs w:val="false"/>
          <w:color w:val="333333"/>
          <w:sz w:val="20"/>
          <w:szCs w:val="20"/>
        </w:rPr>
        <w:t>3:352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فقالوا</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 قطني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،مستدرك الحاكم </w:t>
      </w:r>
      <w:r>
        <w:rPr>
          <w:rFonts w:eastAsia="IRNazanin" w:cs="IRNazanin"/>
          <w:b w:val="false"/>
          <w:bCs w:val="false"/>
          <w:i w:val="false"/>
          <w:iCs w:val="false"/>
          <w:color w:val="333333"/>
          <w:sz w:val="20"/>
          <w:szCs w:val="20"/>
        </w:rPr>
        <w:t>2:612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 لفظيّ يسير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رواه الجميع عن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طارق بن عبد اللّه المحاربي</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قدميه</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1:184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663</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1:438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1:318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994</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4:271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2:187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الجميع بتفاوت يسير،و في بعض المصادر أورد قطعة منه</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1:155</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ظاهر قدميه</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 يسير</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1:152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قدماه</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أضفناه من المصدر</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الشيخ في الخلاف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،و المحقق في المعتبر </w:t>
      </w:r>
      <w:r>
        <w:rPr>
          <w:rFonts w:eastAsia="IRNazanin" w:cs="IRNazanin"/>
          <w:b w:val="false"/>
          <w:bCs w:val="false"/>
          <w:i w:val="false"/>
          <w:iCs w:val="false"/>
          <w:color w:val="333333"/>
          <w:sz w:val="20"/>
          <w:szCs w:val="20"/>
        </w:rPr>
        <w:t>1:152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حضرا</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1:484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الهامش</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الكبير </w:t>
      </w:r>
      <w:r>
        <w:rPr>
          <w:rFonts w:eastAsia="IRNazanin" w:cs="IRNazanin"/>
          <w:b w:val="false"/>
          <w:bCs w:val="false"/>
          <w:i w:val="false"/>
          <w:iCs w:val="false"/>
          <w:color w:val="333333"/>
          <w:sz w:val="20"/>
          <w:szCs w:val="20"/>
        </w:rPr>
        <w:t>11:163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ميزان الكبرى </w:t>
      </w:r>
      <w:r>
        <w:rPr>
          <w:rFonts w:eastAsia="IRNazanin" w:cs="IRNazanin"/>
          <w:b w:val="false"/>
          <w:bCs w:val="false"/>
          <w:i w:val="false"/>
          <w:iCs w:val="false"/>
          <w:color w:val="333333"/>
          <w:sz w:val="20"/>
          <w:szCs w:val="20"/>
        </w:rPr>
        <w:t>1:126</w:t>
      </w:r>
      <w:r>
        <w:rPr>
          <w:rFonts w:ascii="IRNazanin" w:hAnsi="IRNazanin" w:eastAsia="IRNazanin"/>
          <w:b w:val="false"/>
          <w:b w:val="false"/>
          <w:bCs w:val="false"/>
          <w:i w:val="false"/>
          <w:i w:val="false"/>
          <w:iCs w:val="false"/>
          <w:color w:val="333333"/>
          <w:sz w:val="20"/>
          <w:sz w:val="20"/>
          <w:szCs w:val="20"/>
          <w:rtl w:val="true"/>
        </w:rPr>
        <w:t xml:space="preserve">،تفسير القرطبي </w:t>
      </w:r>
      <w:r>
        <w:rPr>
          <w:rFonts w:eastAsia="IRNazanin" w:cs="IRNazanin"/>
          <w:b w:val="false"/>
          <w:bCs w:val="false"/>
          <w:i w:val="false"/>
          <w:iCs w:val="false"/>
          <w:color w:val="333333"/>
          <w:sz w:val="20"/>
          <w:szCs w:val="20"/>
        </w:rPr>
        <w:t>6:100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عمدة القارئ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xml:space="preserve">، نيل الأوطار </w:t>
      </w:r>
      <w:r>
        <w:rPr>
          <w:rFonts w:eastAsia="IRNazanin" w:cs="IRNazanin"/>
          <w:b w:val="false"/>
          <w:bCs w:val="false"/>
          <w:i w:val="false"/>
          <w:iCs w:val="false"/>
          <w:color w:val="333333"/>
          <w:sz w:val="20"/>
          <w:szCs w:val="20"/>
        </w:rPr>
        <w:t>1:223</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1:476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1:476</w:t>
      </w:r>
      <w:r>
        <w:rPr>
          <w:rFonts w:ascii="IRNazanin" w:hAnsi="IRNazanin" w:eastAsia="IRNazanin"/>
          <w:b w:val="false"/>
          <w:b w:val="false"/>
          <w:bCs w:val="false"/>
          <w:i w:val="false"/>
          <w:i w:val="false"/>
          <w:iCs w:val="false"/>
          <w:color w:val="333333"/>
          <w:sz w:val="20"/>
          <w:sz w:val="20"/>
          <w:szCs w:val="20"/>
          <w:rtl w:val="true"/>
        </w:rPr>
        <w:t xml:space="preserve">،عمدة القارئ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1:223</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،أحكام القرآن للجصّاص </w:t>
      </w:r>
      <w:r>
        <w:rPr>
          <w:rFonts w:eastAsia="IRNazanin" w:cs="IRNazanin"/>
          <w:b w:val="false"/>
          <w:bCs w:val="false"/>
          <w:i w:val="false"/>
          <w:iCs w:val="false"/>
          <w:color w:val="333333"/>
          <w:sz w:val="20"/>
          <w:szCs w:val="20"/>
        </w:rPr>
        <w:t>3:353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،عمدة القارئ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1:316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التّفسير الكبير </w:t>
      </w:r>
      <w:r>
        <w:rPr>
          <w:rFonts w:eastAsia="IRNazanin" w:cs="IRNazanin"/>
          <w:b w:val="false"/>
          <w:bCs w:val="false"/>
          <w:i w:val="false"/>
          <w:iCs w:val="false"/>
          <w:color w:val="333333"/>
          <w:sz w:val="20"/>
          <w:szCs w:val="20"/>
        </w:rPr>
        <w:t>11:163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القرطبي </w:t>
      </w:r>
      <w:r>
        <w:rPr>
          <w:rFonts w:eastAsia="IRNazanin" w:cs="IRNazanin"/>
          <w:b w:val="false"/>
          <w:bCs w:val="false"/>
          <w:i w:val="false"/>
          <w:iCs w:val="false"/>
          <w:color w:val="333333"/>
          <w:sz w:val="20"/>
          <w:szCs w:val="20"/>
        </w:rPr>
        <w:t>6:100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مغني المحتاج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Pr>
        <w:t>1:244</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1:476</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بهذا اللفظ 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أحكام القرآن للجصّاص </w:t>
      </w:r>
      <w:r>
        <w:rPr>
          <w:rFonts w:eastAsia="IRNazanin" w:cs="IRNazanin"/>
          <w:b w:val="false"/>
          <w:bCs w:val="false"/>
          <w:i w:val="false"/>
          <w:iCs w:val="false"/>
          <w:color w:val="333333"/>
          <w:sz w:val="20"/>
          <w:szCs w:val="20"/>
        </w:rPr>
        <w:t>3:351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1:145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بتفاوت يسير،سنن البيهقي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1:231</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واقع</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،تفسير القرطبي </w:t>
      </w:r>
      <w:r>
        <w:rPr>
          <w:rFonts w:eastAsia="IRNazanin" w:cs="IRNazanin"/>
          <w:b w:val="false"/>
          <w:bCs w:val="false"/>
          <w:i w:val="false"/>
          <w:iCs w:val="false"/>
          <w:color w:val="333333"/>
          <w:sz w:val="20"/>
          <w:szCs w:val="20"/>
        </w:rPr>
        <w:t>6:93</w:t>
      </w:r>
      <w:r>
        <w:rPr>
          <w:rFonts w:ascii="IRNazanin" w:hAnsi="IRNazanin" w:eastAsia="IRNazanin"/>
          <w:b w:val="false"/>
          <w:b w:val="false"/>
          <w:bCs w:val="false"/>
          <w:i w:val="false"/>
          <w:i w:val="false"/>
          <w:iCs w:val="false"/>
          <w:color w:val="333333"/>
          <w:sz w:val="20"/>
          <w:sz w:val="20"/>
          <w:szCs w:val="20"/>
          <w:rtl w:val="true"/>
        </w:rPr>
        <w:t xml:space="preserve">،التّفسير الكبير </w:t>
      </w:r>
      <w:r>
        <w:rPr>
          <w:rFonts w:eastAsia="IRNazanin" w:cs="IRNazanin"/>
          <w:b w:val="false"/>
          <w:bCs w:val="false"/>
          <w:i w:val="false"/>
          <w:iCs w:val="false"/>
          <w:color w:val="333333"/>
          <w:sz w:val="20"/>
          <w:szCs w:val="20"/>
        </w:rPr>
        <w:t>11:163</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1:478</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1:222</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9:621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27693</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النسخ،و في المصادر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سبق</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1:272</w:t>
      </w:r>
      <w:r>
        <w:rPr>
          <w:rFonts w:ascii="IRNazanin" w:hAnsi="IRNazanin" w:eastAsia="IRNazanin"/>
          <w:b w:val="false"/>
          <w:b w:val="false"/>
          <w:bCs w:val="false"/>
          <w:i w:val="false"/>
          <w:i w:val="false"/>
          <w:iCs w:val="false"/>
          <w:color w:val="333333"/>
          <w:sz w:val="20"/>
          <w:sz w:val="20"/>
          <w:szCs w:val="20"/>
          <w:rtl w:val="true"/>
        </w:rPr>
        <w:t xml:space="preserve">،عمدة القارئ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1:223</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عليها في المصادر الموجودة</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رافع بن المعلّى بن لوذان بن حارثة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بدريّ استشهد بها،قتله عكرمة بن أبي جهل،و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اسمه حارث بن أوس بن المعلّى،روى عن 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2:158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1:499</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،التّفسير الكبير </w:t>
      </w:r>
      <w:r>
        <w:rPr>
          <w:rFonts w:eastAsia="IRNazanin" w:cs="IRNazanin"/>
          <w:b w:val="false"/>
          <w:bCs w:val="false"/>
          <w:i w:val="false"/>
          <w:iCs w:val="false"/>
          <w:color w:val="333333"/>
          <w:sz w:val="20"/>
          <w:szCs w:val="20"/>
        </w:rPr>
        <w:t>11:163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1:223</w:t>
      </w:r>
      <w:r>
        <w:rPr>
          <w:rFonts w:ascii="IRNazanin" w:hAnsi="IRNazanin" w:eastAsia="IRNazanin"/>
          <w:b w:val="false"/>
          <w:b w:val="false"/>
          <w:bCs w:val="false"/>
          <w:i w:val="false"/>
          <w:i w:val="false"/>
          <w:iCs w:val="false"/>
          <w:color w:val="333333"/>
          <w:sz w:val="20"/>
          <w:sz w:val="20"/>
          <w:szCs w:val="20"/>
          <w:rtl w:val="true"/>
        </w:rPr>
        <w:t xml:space="preserve">،شرح فتح القدير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الجميع بتفاوت</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القرطبي </w:t>
      </w:r>
      <w:r>
        <w:rPr>
          <w:rFonts w:eastAsia="IRNazanin" w:cs="IRNazanin"/>
          <w:b w:val="false"/>
          <w:bCs w:val="false"/>
          <w:i w:val="false"/>
          <w:iCs w:val="false"/>
          <w:color w:val="333333"/>
          <w:sz w:val="20"/>
          <w:szCs w:val="20"/>
        </w:rPr>
        <w:t>6:93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1:222</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1088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1090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1091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1093</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في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رجليه،و ما أثبتناه من المصدر</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1092</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يحتمل</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أضفناه من المصدر</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1089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أضفناه لاستقامة العبارة</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آخر</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 يجزي</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1:476</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،تفسير القرطبي </w:t>
      </w:r>
      <w:r>
        <w:rPr>
          <w:rFonts w:eastAsia="IRNazanin" w:cs="IRNazanin"/>
          <w:b w:val="false"/>
          <w:bCs w:val="false"/>
          <w:i w:val="false"/>
          <w:iCs w:val="false"/>
          <w:color w:val="333333"/>
          <w:sz w:val="20"/>
          <w:szCs w:val="20"/>
        </w:rPr>
        <w:t>6:93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،عمدة القارئ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1:222</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1:180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الطّهارة، سنن التّرمذي </w:t>
      </w:r>
      <w:r>
        <w:rPr>
          <w:rFonts w:eastAsia="IRNazanin" w:cs="IRNazanin"/>
          <w:b w:val="false"/>
          <w:bCs w:val="false"/>
          <w:i w:val="false"/>
          <w:iCs w:val="false"/>
          <w:color w:val="333333"/>
          <w:sz w:val="20"/>
          <w:szCs w:val="20"/>
        </w:rPr>
        <w:t>1:155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،سنن الدّارمي </w:t>
      </w:r>
      <w:r>
        <w:rPr>
          <w:rFonts w:eastAsia="IRNazanin" w:cs="IRNazanin"/>
          <w:b w:val="false"/>
          <w:bCs w:val="false"/>
          <w:i w:val="false"/>
          <w:iCs w:val="false"/>
          <w:color w:val="333333"/>
          <w:sz w:val="20"/>
          <w:szCs w:val="20"/>
        </w:rPr>
        <w:t>1:181</w:t>
      </w:r>
      <w:r>
        <w:rPr>
          <w:rFonts w:ascii="IRNazanin" w:hAnsi="IRNazanin" w:eastAsia="IRNazanin"/>
          <w:b w:val="false"/>
          <w:b w:val="false"/>
          <w:bCs w:val="false"/>
          <w:i w:val="false"/>
          <w:i w:val="false"/>
          <w:iCs w:val="false"/>
          <w:color w:val="333333"/>
          <w:sz w:val="20"/>
          <w:sz w:val="20"/>
          <w:szCs w:val="20"/>
          <w:rtl w:val="true"/>
        </w:rPr>
        <w:t xml:space="preserve">،سنن الدّار قطني </w:t>
      </w:r>
      <w:r>
        <w:rPr>
          <w:rFonts w:eastAsia="IRNazanin" w:cs="IRNazanin"/>
          <w:b w:val="false"/>
          <w:bCs w:val="false"/>
          <w:i w:val="false"/>
          <w:iCs w:val="false"/>
          <w:color w:val="333333"/>
          <w:sz w:val="20"/>
          <w:szCs w:val="20"/>
        </w:rPr>
        <w:t>1:193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،الموطّأ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1:221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سبق</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في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1092</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1:318</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1:172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لابن قدامة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1:512</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،المحلّى </w:t>
      </w:r>
      <w:r>
        <w:rPr>
          <w:rFonts w:eastAsia="IRNazanin" w:cs="IRNazanin"/>
          <w:b w:val="false"/>
          <w:bCs w:val="false"/>
          <w:i w:val="false"/>
          <w:iCs w:val="false"/>
          <w:color w:val="333333"/>
          <w:sz w:val="20"/>
          <w:szCs w:val="20"/>
        </w:rPr>
        <w:t>2:100</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1:227</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،الام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مختصر المزنيّ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1:512</w:t>
      </w:r>
      <w:r>
        <w:rPr>
          <w:rFonts w:ascii="IRNazanin" w:hAnsi="IRNazanin" w:eastAsia="IRNazanin"/>
          <w:b w:val="false"/>
          <w:b w:val="false"/>
          <w:bCs w:val="false"/>
          <w:i w:val="false"/>
          <w:i w:val="false"/>
          <w:iCs w:val="false"/>
          <w:color w:val="333333"/>
          <w:sz w:val="20"/>
          <w:sz w:val="20"/>
          <w:szCs w:val="20"/>
          <w:rtl w:val="true"/>
        </w:rPr>
        <w:t xml:space="preserve">،إرشاد السّاري </w:t>
      </w:r>
      <w:r>
        <w:rPr>
          <w:rFonts w:eastAsia="IRNazanin" w:cs="IRNazanin"/>
          <w:b w:val="false"/>
          <w:bCs w:val="false"/>
          <w:i w:val="false"/>
          <w:iCs w:val="false"/>
          <w:color w:val="333333"/>
          <w:sz w:val="20"/>
          <w:szCs w:val="20"/>
        </w:rPr>
        <w:t>1:281</w:t>
      </w:r>
      <w:r>
        <w:rPr>
          <w:rFonts w:ascii="IRNazanin" w:hAnsi="IRNazanin" w:eastAsia="IRNazanin"/>
          <w:b w:val="false"/>
          <w:b w:val="false"/>
          <w:bCs w:val="false"/>
          <w:i w:val="false"/>
          <w:i w:val="false"/>
          <w:iCs w:val="false"/>
          <w:color w:val="333333"/>
          <w:sz w:val="20"/>
          <w:sz w:val="20"/>
          <w:szCs w:val="20"/>
          <w:rtl w:val="true"/>
        </w:rPr>
        <w:t xml:space="preserve">،فتح العزيز هامش المجموع </w:t>
      </w:r>
      <w:r>
        <w:rPr>
          <w:rFonts w:eastAsia="IRNazanin" w:cs="IRNazanin"/>
          <w:b w:val="false"/>
          <w:bCs w:val="false"/>
          <w:i w:val="false"/>
          <w:iCs w:val="false"/>
          <w:color w:val="333333"/>
          <w:sz w:val="20"/>
          <w:szCs w:val="20"/>
        </w:rPr>
        <w:t>2:365</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Pr>
        <w:t>1:248</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1:318</w:t>
      </w:r>
      <w:r>
        <w:rPr>
          <w:rFonts w:ascii="IRNazanin" w:hAnsi="IRNazanin" w:eastAsia="IRNazanin"/>
          <w:b w:val="false"/>
          <w:b w:val="false"/>
          <w:bCs w:val="false"/>
          <w:i w:val="false"/>
          <w:i w:val="false"/>
          <w:iCs w:val="false"/>
          <w:color w:val="333333"/>
          <w:sz w:val="20"/>
          <w:sz w:val="20"/>
          <w:szCs w:val="20"/>
          <w:rtl w:val="true"/>
        </w:rPr>
        <w:t xml:space="preserve">، أحكام القرآن للجصّاص </w:t>
      </w:r>
      <w:r>
        <w:rPr>
          <w:rFonts w:eastAsia="IRNazanin" w:cs="IRNazanin"/>
          <w:b w:val="false"/>
          <w:bCs w:val="false"/>
          <w:i w:val="false"/>
          <w:iCs w:val="false"/>
          <w:color w:val="333333"/>
          <w:sz w:val="20"/>
          <w:szCs w:val="20"/>
        </w:rPr>
        <w:t>3:356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1:183</w:t>
      </w:r>
      <w:r>
        <w:rPr>
          <w:rFonts w:ascii="IRNazanin" w:hAnsi="IRNazanin" w:eastAsia="IRNazanin"/>
          <w:b w:val="false"/>
          <w:b w:val="false"/>
          <w:bCs w:val="false"/>
          <w:i w:val="false"/>
          <w:i w:val="false"/>
          <w:iCs w:val="false"/>
          <w:color w:val="333333"/>
          <w:sz w:val="20"/>
          <w:sz w:val="20"/>
          <w:szCs w:val="20"/>
          <w:rtl w:val="true"/>
        </w:rPr>
        <w:t xml:space="preserve">، عمدة القارئ </w:t>
      </w:r>
      <w:r>
        <w:rPr>
          <w:rFonts w:eastAsia="IRNazanin" w:cs="IRNazanin"/>
          <w:b w:val="false"/>
          <w:bCs w:val="false"/>
          <w:i w:val="false"/>
          <w:iCs w:val="false"/>
          <w:color w:val="333333"/>
          <w:sz w:val="20"/>
          <w:szCs w:val="20"/>
        </w:rPr>
        <w:t>3:102</w:t>
      </w:r>
      <w:r>
        <w:rPr>
          <w:rFonts w:ascii="IRNazanin" w:hAnsi="IRNazanin" w:eastAsia="IRNazanin"/>
          <w:b w:val="false"/>
          <w:b w:val="false"/>
          <w:bCs w:val="false"/>
          <w:i w:val="false"/>
          <w:i w:val="false"/>
          <w:iCs w:val="false"/>
          <w:color w:val="333333"/>
          <w:sz w:val="20"/>
          <w:sz w:val="20"/>
          <w:szCs w:val="20"/>
          <w:rtl w:val="true"/>
        </w:rPr>
        <w:t xml:space="preserve">،شرح فتح القدير </w:t>
      </w:r>
      <w:r>
        <w:rPr>
          <w:rFonts w:eastAsia="IRNazanin" w:cs="IRNazanin"/>
          <w:b w:val="false"/>
          <w:bCs w:val="false"/>
          <w:i w:val="false"/>
          <w:iCs w:val="false"/>
          <w:color w:val="333333"/>
          <w:sz w:val="20"/>
          <w:szCs w:val="20"/>
        </w:rPr>
        <w:t>1:130</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1:100</w:t>
      </w:r>
      <w:r>
        <w:rPr>
          <w:rFonts w:ascii="IRNazanin" w:hAnsi="IRNazanin" w:eastAsia="IRNazanin"/>
          <w:b w:val="false"/>
          <w:b w:val="false"/>
          <w:bCs w:val="false"/>
          <w:i w:val="false"/>
          <w:i w:val="false"/>
          <w:iCs w:val="false"/>
          <w:color w:val="333333"/>
          <w:sz w:val="20"/>
          <w:sz w:val="20"/>
          <w:szCs w:val="20"/>
          <w:rtl w:val="true"/>
        </w:rPr>
        <w:t xml:space="preserve">،المحلّى </w:t>
      </w:r>
      <w:r>
        <w:rPr>
          <w:rFonts w:eastAsia="IRNazanin" w:cs="IRNazanin"/>
          <w:b w:val="false"/>
          <w:bCs w:val="false"/>
          <w:i w:val="false"/>
          <w:iCs w:val="false"/>
          <w:color w:val="333333"/>
          <w:sz w:val="20"/>
          <w:szCs w:val="20"/>
        </w:rPr>
        <w:t>2:100</w:t>
      </w:r>
      <w:r>
        <w:rPr>
          <w:rFonts w:ascii="IRNazanin" w:hAnsi="IRNazanin" w:eastAsia="IRNazanin"/>
          <w:b w:val="false"/>
          <w:b w:val="false"/>
          <w:bCs w:val="false"/>
          <w:i w:val="false"/>
          <w:i w:val="false"/>
          <w:iCs w:val="false"/>
          <w:color w:val="333333"/>
          <w:sz w:val="20"/>
          <w:sz w:val="20"/>
          <w:szCs w:val="20"/>
          <w:rtl w:val="true"/>
        </w:rPr>
        <w:t xml:space="preserve">، نيل الأوطار </w:t>
      </w:r>
      <w:r>
        <w:rPr>
          <w:rFonts w:eastAsia="IRNazanin" w:cs="IRNazanin"/>
          <w:b w:val="false"/>
          <w:bCs w:val="false"/>
          <w:i w:val="false"/>
          <w:iCs w:val="false"/>
          <w:color w:val="333333"/>
          <w:sz w:val="20"/>
          <w:szCs w:val="20"/>
        </w:rPr>
        <w:t>1:237</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،الشّرح الصّغير بهامش بلغة السّالك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1:318</w:t>
      </w:r>
      <w:r>
        <w:rPr>
          <w:rFonts w:ascii="IRNazanin" w:hAnsi="IRNazanin" w:eastAsia="IRNazanin"/>
          <w:b w:val="false"/>
          <w:b w:val="false"/>
          <w:bCs w:val="false"/>
          <w:i w:val="false"/>
          <w:i w:val="false"/>
          <w:iCs w:val="false"/>
          <w:color w:val="333333"/>
          <w:sz w:val="20"/>
          <w:sz w:val="20"/>
          <w:szCs w:val="20"/>
          <w:rtl w:val="true"/>
        </w:rPr>
        <w:t xml:space="preserve">،أحكام القرآن للجصّاص </w:t>
      </w:r>
      <w:r>
        <w:rPr>
          <w:rFonts w:eastAsia="IRNazanin" w:cs="IRNazanin"/>
          <w:b w:val="false"/>
          <w:bCs w:val="false"/>
          <w:i w:val="false"/>
          <w:iCs w:val="false"/>
          <w:color w:val="333333"/>
          <w:sz w:val="20"/>
          <w:szCs w:val="20"/>
        </w:rPr>
        <w:t>3:356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1:184</w:t>
      </w:r>
      <w:r>
        <w:rPr>
          <w:rFonts w:ascii="IRNazanin" w:hAnsi="IRNazanin" w:eastAsia="IRNazanin"/>
          <w:b w:val="false"/>
          <w:b w:val="false"/>
          <w:bCs w:val="false"/>
          <w:i w:val="false"/>
          <w:i w:val="false"/>
          <w:iCs w:val="false"/>
          <w:color w:val="333333"/>
          <w:sz w:val="20"/>
          <w:sz w:val="20"/>
          <w:szCs w:val="20"/>
          <w:rtl w:val="true"/>
        </w:rPr>
        <w:t xml:space="preserve">،المحلّى </w:t>
      </w:r>
      <w:r>
        <w:rPr>
          <w:rFonts w:eastAsia="IRNazanin" w:cs="IRNazanin"/>
          <w:b w:val="false"/>
          <w:bCs w:val="false"/>
          <w:i w:val="false"/>
          <w:iCs w:val="false"/>
          <w:color w:val="333333"/>
          <w:sz w:val="20"/>
          <w:szCs w:val="20"/>
        </w:rPr>
        <w:t>2:100</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1:227</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1:512</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1:183</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1:318</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نيل الأوطار </w:t>
      </w:r>
      <w:r>
        <w:rPr>
          <w:rFonts w:eastAsia="IRNazanin" w:cs="IRNazanin"/>
          <w:b w:val="false"/>
          <w:bCs w:val="false"/>
          <w:i w:val="false"/>
          <w:iCs w:val="false"/>
          <w:color w:val="333333"/>
          <w:sz w:val="20"/>
          <w:szCs w:val="20"/>
        </w:rPr>
        <w:t>1:227</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،الهداية للمرغيناني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فتح القدير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،عمدة القارئ </w:t>
      </w:r>
      <w:r>
        <w:rPr>
          <w:rFonts w:eastAsia="IRNazanin" w:cs="IRNazanin"/>
          <w:b w:val="false"/>
          <w:bCs w:val="false"/>
          <w:i w:val="false"/>
          <w:iCs w:val="false"/>
          <w:color w:val="333333"/>
          <w:sz w:val="20"/>
          <w:szCs w:val="20"/>
        </w:rPr>
        <w:t>3:102</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1:184</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1:512</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،المحلّى </w:t>
      </w:r>
      <w:r>
        <w:rPr>
          <w:rFonts w:eastAsia="IRNazanin" w:cs="IRNazanin"/>
          <w:b w:val="false"/>
          <w:bCs w:val="false"/>
          <w:i w:val="false"/>
          <w:iCs w:val="false"/>
          <w:color w:val="333333"/>
          <w:sz w:val="20"/>
          <w:szCs w:val="20"/>
        </w:rPr>
        <w:t>2:100</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1:227</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مختصر المزني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8:10</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1:512</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1:318</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1:184</w:t>
      </w:r>
      <w:r>
        <w:rPr>
          <w:rFonts w:ascii="IRNazanin" w:hAnsi="IRNazanin" w:eastAsia="IRNazanin"/>
          <w:b w:val="false"/>
          <w:b w:val="false"/>
          <w:bCs w:val="false"/>
          <w:i w:val="false"/>
          <w:i w:val="false"/>
          <w:iCs w:val="false"/>
          <w:color w:val="333333"/>
          <w:sz w:val="20"/>
          <w:sz w:val="20"/>
          <w:szCs w:val="20"/>
          <w:rtl w:val="true"/>
        </w:rPr>
        <w:t xml:space="preserve">،المحلّى </w:t>
      </w:r>
      <w:r>
        <w:rPr>
          <w:rFonts w:eastAsia="IRNazanin" w:cs="IRNazanin"/>
          <w:b w:val="false"/>
          <w:bCs w:val="false"/>
          <w:i w:val="false"/>
          <w:iCs w:val="false"/>
          <w:color w:val="333333"/>
          <w:sz w:val="20"/>
          <w:szCs w:val="20"/>
        </w:rPr>
        <w:t>2:100</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1:227</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Pr>
        <w:t>1:248</w:t>
      </w:r>
      <w:r>
        <w:rPr>
          <w:rFonts w:ascii="IRNazanin" w:hAnsi="IRNazanin" w:eastAsia="IRNazanin"/>
          <w:b w:val="false"/>
          <w:b w:val="false"/>
          <w:bCs w:val="false"/>
          <w:i w:val="false"/>
          <w:i w:val="false"/>
          <w:iCs w:val="false"/>
          <w:color w:val="333333"/>
          <w:sz w:val="20"/>
          <w:sz w:val="20"/>
          <w:szCs w:val="20"/>
          <w:rtl w:val="true"/>
        </w:rPr>
        <w:t xml:space="preserve">،شرح النّووي لصحيح مسلم بهامش إرشاد السّاري </w:t>
      </w:r>
      <w:r>
        <w:rPr>
          <w:rFonts w:eastAsia="IRNazanin" w:cs="IRNazanin"/>
          <w:b w:val="false"/>
          <w:bCs w:val="false"/>
          <w:i w:val="false"/>
          <w:iCs w:val="false"/>
          <w:color w:val="333333"/>
          <w:sz w:val="20"/>
          <w:szCs w:val="20"/>
        </w:rPr>
        <w:t>2:292</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1:512</w:t>
      </w:r>
      <w:r>
        <w:rPr>
          <w:rFonts w:ascii="IRNazanin" w:hAnsi="IRNazanin" w:eastAsia="IRNazanin"/>
          <w:b w:val="false"/>
          <w:b w:val="false"/>
          <w:bCs w:val="false"/>
          <w:i w:val="false"/>
          <w:i w:val="false"/>
          <w:iCs w:val="false"/>
          <w:color w:val="333333"/>
          <w:sz w:val="20"/>
          <w:sz w:val="20"/>
          <w:szCs w:val="20"/>
          <w:rtl w:val="true"/>
        </w:rPr>
        <w:t xml:space="preserve">،شرح النّووي لصحيح مسلم هامش إرشاد السّاري </w:t>
      </w:r>
      <w:r>
        <w:rPr>
          <w:rFonts w:eastAsia="IRNazanin" w:cs="IRNazanin"/>
          <w:b w:val="false"/>
          <w:bCs w:val="false"/>
          <w:i w:val="false"/>
          <w:iCs w:val="false"/>
          <w:color w:val="333333"/>
          <w:sz w:val="20"/>
          <w:szCs w:val="20"/>
        </w:rPr>
        <w:t>2:292</w:t>
      </w:r>
      <w:r>
        <w:rPr>
          <w:rFonts w:ascii="IRNazanin" w:hAnsi="IRNazanin" w:eastAsia="IRNazanin"/>
          <w:b w:val="false"/>
          <w:b w:val="false"/>
          <w:bCs w:val="false"/>
          <w:i w:val="false"/>
          <w:i w:val="false"/>
          <w:iCs w:val="false"/>
          <w:color w:val="333333"/>
          <w:sz w:val="20"/>
          <w:sz w:val="20"/>
          <w:szCs w:val="20"/>
          <w:rtl w:val="true"/>
        </w:rPr>
        <w:t xml:space="preserve">،فتح العزيز هامش المجموع </w:t>
      </w:r>
      <w:r>
        <w:rPr>
          <w:rFonts w:eastAsia="IRNazanin" w:cs="IRNazanin"/>
          <w:b w:val="false"/>
          <w:bCs w:val="false"/>
          <w:i w:val="false"/>
          <w:iCs w:val="false"/>
          <w:color w:val="333333"/>
          <w:sz w:val="20"/>
          <w:szCs w:val="20"/>
        </w:rPr>
        <w:t>2:365</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7:186</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،سنن الدّارمي </w:t>
      </w:r>
      <w:r>
        <w:rPr>
          <w:rFonts w:eastAsia="IRNazanin" w:cs="IRNazanin"/>
          <w:b w:val="false"/>
          <w:bCs w:val="false"/>
          <w:i w:val="false"/>
          <w:iCs w:val="false"/>
          <w:color w:val="333333"/>
          <w:sz w:val="20"/>
          <w:szCs w:val="20"/>
        </w:rPr>
        <w:t>1:181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1:227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4:251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الام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1:318</w:t>
      </w:r>
      <w:r>
        <w:rPr>
          <w:rFonts w:ascii="IRNazanin" w:hAnsi="IRNazanin" w:eastAsia="IRNazanin"/>
          <w:b w:val="false"/>
          <w:b w:val="false"/>
          <w:bCs w:val="false"/>
          <w:i w:val="false"/>
          <w:i w:val="false"/>
          <w:iCs w:val="false"/>
          <w:color w:val="333333"/>
          <w:sz w:val="20"/>
          <w:sz w:val="20"/>
          <w:szCs w:val="20"/>
          <w:rtl w:val="true"/>
        </w:rPr>
        <w:t xml:space="preserve">،الهداية للمرغيناني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،شرح فتح القدير </w:t>
      </w:r>
      <w:r>
        <w:rPr>
          <w:rFonts w:eastAsia="IRNazanin" w:cs="IRNazanin"/>
          <w:b w:val="false"/>
          <w:bCs w:val="false"/>
          <w:i w:val="false"/>
          <w:iCs w:val="false"/>
          <w:color w:val="333333"/>
          <w:sz w:val="20"/>
          <w:szCs w:val="20"/>
        </w:rPr>
        <w:t>1:134</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1:480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المحلّى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،الكافي لابن قدامة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1:159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3535</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1:161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478</w:t>
      </w:r>
      <w:r>
        <w:rPr>
          <w:rFonts w:ascii="IRNazanin" w:hAnsi="IRNazanin" w:eastAsia="IRNazanin"/>
          <w:b w:val="false"/>
          <w:b w:val="false"/>
          <w:bCs w:val="false"/>
          <w:i w:val="false"/>
          <w:i w:val="false"/>
          <w:iCs w:val="false"/>
          <w:color w:val="333333"/>
          <w:sz w:val="20"/>
          <w:sz w:val="20"/>
          <w:szCs w:val="20"/>
          <w:rtl w:val="true"/>
        </w:rPr>
        <w:t xml:space="preserve">، سنن النّسائي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4:239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1:228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1:319</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1:185</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1:319</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1:185</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w:t>
      </w:r>
      <w:r>
        <w:rPr>
          <w:rFonts w:ascii="IRNazanin" w:hAnsi="IRNazanin" w:eastAsia="IRNazanin"/>
          <w:b w:val="false"/>
          <w:b w:val="false"/>
          <w:bCs w:val="false"/>
          <w:i w:val="false"/>
          <w:i w:val="false"/>
          <w:iCs w:val="false"/>
          <w:color w:val="333333"/>
          <w:sz w:val="20"/>
          <w:sz w:val="20"/>
          <w:szCs w:val="20"/>
          <w:rtl w:val="true"/>
        </w:rPr>
        <w:t xml:space="preserve">،فتح العزيز هامش المجموع </w:t>
      </w:r>
      <w:r>
        <w:rPr>
          <w:rFonts w:eastAsia="IRNazanin" w:cs="IRNazanin"/>
          <w:b w:val="false"/>
          <w:bCs w:val="false"/>
          <w:i w:val="false"/>
          <w:iCs w:val="false"/>
          <w:color w:val="333333"/>
          <w:sz w:val="20"/>
          <w:szCs w:val="20"/>
        </w:rPr>
        <w:t>2:368</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1:506</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1:319</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1:319</w:t>
      </w:r>
      <w:r>
        <w:rPr>
          <w:rFonts w:ascii="IRNazanin" w:hAnsi="IRNazanin" w:eastAsia="IRNazanin"/>
          <w:b w:val="false"/>
          <w:b w:val="false"/>
          <w:bCs w:val="false"/>
          <w:i w:val="false"/>
          <w:i w:val="false"/>
          <w:iCs w:val="false"/>
          <w:color w:val="333333"/>
          <w:sz w:val="20"/>
          <w:sz w:val="20"/>
          <w:szCs w:val="20"/>
          <w:rtl w:val="true"/>
        </w:rPr>
        <w:t xml:space="preserve">،فتح العزيز هامش المجموع </w:t>
      </w:r>
      <w:r>
        <w:rPr>
          <w:rFonts w:eastAsia="IRNazanin" w:cs="IRNazanin"/>
          <w:b w:val="false"/>
          <w:bCs w:val="false"/>
          <w:i w:val="false"/>
          <w:iCs w:val="false"/>
          <w:color w:val="333333"/>
          <w:sz w:val="20"/>
          <w:szCs w:val="20"/>
        </w:rPr>
        <w:t>2:378</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1:194</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1:504</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،فتح العزيز هامش المجموع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1:320</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1:320</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1:194</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1:319</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1:194</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1:183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لابن قدامة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،فتح العزيز هامش المجموع </w:t>
      </w:r>
      <w:r>
        <w:rPr>
          <w:rFonts w:eastAsia="IRNazanin" w:cs="IRNazanin"/>
          <w:b w:val="false"/>
          <w:bCs w:val="false"/>
          <w:i w:val="false"/>
          <w:iCs w:val="false"/>
          <w:color w:val="333333"/>
          <w:sz w:val="20"/>
          <w:szCs w:val="20"/>
        </w:rPr>
        <w:t>2:378</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مختصر المزني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8:10</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1:508</w:t>
      </w:r>
      <w:r>
        <w:rPr>
          <w:rFonts w:ascii="IRNazanin" w:hAnsi="IRNazanin" w:eastAsia="IRNazanin"/>
          <w:b w:val="false"/>
          <w:b w:val="false"/>
          <w:bCs w:val="false"/>
          <w:i w:val="false"/>
          <w:i w:val="false"/>
          <w:iCs w:val="false"/>
          <w:color w:val="333333"/>
          <w:sz w:val="20"/>
          <w:sz w:val="20"/>
          <w:szCs w:val="20"/>
          <w:rtl w:val="true"/>
        </w:rPr>
        <w:t xml:space="preserve">،فتح العزيز هامش المجموع </w:t>
      </w:r>
      <w:r>
        <w:rPr>
          <w:rFonts w:eastAsia="IRNazanin" w:cs="IRNazanin"/>
          <w:b w:val="false"/>
          <w:bCs w:val="false"/>
          <w:i w:val="false"/>
          <w:iCs w:val="false"/>
          <w:color w:val="333333"/>
          <w:sz w:val="20"/>
          <w:szCs w:val="20"/>
        </w:rPr>
        <w:t>2:378</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المدّونة الكبرى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،ميزان الكبرى </w:t>
      </w:r>
      <w:r>
        <w:rPr>
          <w:rFonts w:eastAsia="IRNazanin" w:cs="IRNazanin"/>
          <w:b w:val="false"/>
          <w:bCs w:val="false"/>
          <w:i w:val="false"/>
          <w:iCs w:val="false"/>
          <w:color w:val="333333"/>
          <w:sz w:val="20"/>
          <w:szCs w:val="20"/>
        </w:rPr>
        <w:t>1:128</w:t>
      </w:r>
      <w:r>
        <w:rPr>
          <w:rFonts w:ascii="IRNazanin" w:hAnsi="IRNazanin" w:eastAsia="IRNazanin"/>
          <w:b w:val="false"/>
          <w:b w:val="false"/>
          <w:bCs w:val="false"/>
          <w:i w:val="false"/>
          <w:i w:val="false"/>
          <w:iCs w:val="false"/>
          <w:color w:val="333333"/>
          <w:sz w:val="20"/>
          <w:sz w:val="20"/>
          <w:szCs w:val="20"/>
          <w:rtl w:val="true"/>
        </w:rPr>
        <w:t xml:space="preserve">،رحمة الأمة هامش ميزان الكبرى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،الام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مختصر المزني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8:10</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1:504</w:t>
      </w:r>
      <w:r>
        <w:rPr>
          <w:rFonts w:ascii="IRNazanin" w:hAnsi="IRNazanin" w:eastAsia="IRNazanin"/>
          <w:b w:val="false"/>
          <w:b w:val="false"/>
          <w:bCs w:val="false"/>
          <w:i w:val="false"/>
          <w:i w:val="false"/>
          <w:iCs w:val="false"/>
          <w:color w:val="333333"/>
          <w:sz w:val="20"/>
          <w:sz w:val="20"/>
          <w:szCs w:val="20"/>
          <w:rtl w:val="true"/>
        </w:rPr>
        <w:t xml:space="preserve">،فتح العزيز هامش المجموع </w:t>
      </w:r>
      <w:r>
        <w:rPr>
          <w:rFonts w:eastAsia="IRNazanin" w:cs="IRNazanin"/>
          <w:b w:val="false"/>
          <w:bCs w:val="false"/>
          <w:i w:val="false"/>
          <w:iCs w:val="false"/>
          <w:color w:val="333333"/>
          <w:sz w:val="20"/>
          <w:szCs w:val="20"/>
        </w:rPr>
        <w:t>2:379</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،السّراج الوهّاج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1:320</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1:194</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المدوّنة الكبرى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1:508</w:t>
      </w:r>
      <w:r>
        <w:rPr>
          <w:rFonts w:ascii="IRNazanin" w:hAnsi="IRNazanin" w:eastAsia="IRNazanin"/>
          <w:b w:val="false"/>
          <w:b w:val="false"/>
          <w:bCs w:val="false"/>
          <w:i w:val="false"/>
          <w:i w:val="false"/>
          <w:iCs w:val="false"/>
          <w:color w:val="333333"/>
          <w:sz w:val="20"/>
          <w:sz w:val="20"/>
          <w:szCs w:val="20"/>
          <w:rtl w:val="true"/>
        </w:rPr>
        <w:t xml:space="preserve">،فتح العزيز هامش المجموع </w:t>
      </w:r>
      <w:r>
        <w:rPr>
          <w:rFonts w:eastAsia="IRNazanin" w:cs="IRNazanin"/>
          <w:b w:val="false"/>
          <w:bCs w:val="false"/>
          <w:i w:val="false"/>
          <w:iCs w:val="false"/>
          <w:color w:val="333333"/>
          <w:sz w:val="20"/>
          <w:szCs w:val="20"/>
        </w:rPr>
        <w:t>2:379</w:t>
      </w:r>
      <w:r>
        <w:rPr>
          <w:rFonts w:ascii="IRNazanin" w:hAnsi="IRNazanin" w:eastAsia="IRNazanin"/>
          <w:b w:val="false"/>
          <w:b w:val="false"/>
          <w:bCs w:val="false"/>
          <w:i w:val="false"/>
          <w:i w:val="false"/>
          <w:iCs w:val="false"/>
          <w:color w:val="333333"/>
          <w:sz w:val="20"/>
          <w:sz w:val="20"/>
          <w:szCs w:val="20"/>
          <w:rtl w:val="true"/>
        </w:rPr>
        <w:t xml:space="preserve">،رحمة الأمّة هامش ميزان الكبرى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،ميزان الكبرى </w:t>
      </w:r>
      <w:r>
        <w:rPr>
          <w:rFonts w:eastAsia="IRNazanin" w:cs="IRNazanin"/>
          <w:b w:val="false"/>
          <w:bCs w:val="false"/>
          <w:i w:val="false"/>
          <w:iCs w:val="false"/>
          <w:color w:val="333333"/>
          <w:sz w:val="20"/>
          <w:szCs w:val="20"/>
        </w:rPr>
        <w:t>1:128</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1:320</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1:320</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1:194</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1:320</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1:194</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1:320</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1:195</w:t>
      </w:r>
      <w:r>
        <w:rPr>
          <w:rFonts w:ascii="IRNazanin" w:hAnsi="IRNazanin" w:eastAsia="IRNazanin"/>
          <w:b w:val="false"/>
          <w:b w:val="false"/>
          <w:bCs w:val="false"/>
          <w:i w:val="false"/>
          <w:i w:val="false"/>
          <w:iCs w:val="false"/>
          <w:color w:val="333333"/>
          <w:sz w:val="20"/>
          <w:sz w:val="20"/>
          <w:szCs w:val="20"/>
          <w:rtl w:val="true"/>
        </w:rPr>
        <w:t xml:space="preserve">،الكافي لابن قدامة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1:321</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1:195</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1:183</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1:321</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1:185</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1:175</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1:321</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1:185</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1:175</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المدوّنة الكبرى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،تفسير القرطبي </w:t>
      </w:r>
      <w:r>
        <w:rPr>
          <w:rFonts w:eastAsia="IRNazanin" w:cs="IRNazanin"/>
          <w:b w:val="false"/>
          <w:bCs w:val="false"/>
          <w:i w:val="false"/>
          <w:iCs w:val="false"/>
          <w:color w:val="333333"/>
          <w:sz w:val="20"/>
          <w:szCs w:val="20"/>
        </w:rPr>
        <w:t>6:100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بلغة السّالك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1:322</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1:188</w:t>
      </w:r>
      <w:r>
        <w:rPr>
          <w:rFonts w:ascii="IRNazanin" w:hAnsi="IRNazanin" w:eastAsia="IRNazanin"/>
          <w:b w:val="false"/>
          <w:b w:val="false"/>
          <w:bCs w:val="false"/>
          <w:i w:val="false"/>
          <w:i w:val="false"/>
          <w:iCs w:val="false"/>
          <w:color w:val="333333"/>
          <w:sz w:val="20"/>
          <w:sz w:val="20"/>
          <w:szCs w:val="20"/>
          <w:rtl w:val="true"/>
        </w:rPr>
        <w:t xml:space="preserve">،أحكام القرآن للجصّاص </w:t>
      </w:r>
      <w:r>
        <w:rPr>
          <w:rFonts w:eastAsia="IRNazanin" w:cs="IRNazanin"/>
          <w:b w:val="false"/>
          <w:bCs w:val="false"/>
          <w:i w:val="false"/>
          <w:iCs w:val="false"/>
          <w:color w:val="333333"/>
          <w:sz w:val="20"/>
          <w:szCs w:val="20"/>
        </w:rPr>
        <w:t>3:353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w:t>
      </w:r>
      <w:r>
        <w:rPr>
          <w:rFonts w:ascii="IRNazanin" w:hAnsi="IRNazanin" w:eastAsia="IRNazanin"/>
          <w:b w:val="false"/>
          <w:b w:val="false"/>
          <w:bCs w:val="false"/>
          <w:i w:val="false"/>
          <w:i w:val="false"/>
          <w:iCs w:val="false"/>
          <w:color w:val="333333"/>
          <w:sz w:val="20"/>
          <w:sz w:val="20"/>
          <w:szCs w:val="20"/>
          <w:rtl w:val="true"/>
        </w:rPr>
        <w:t xml:space="preserve">،المحلّى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،شرح فتح القدير </w:t>
      </w:r>
      <w:r>
        <w:rPr>
          <w:rFonts w:eastAsia="IRNazanin" w:cs="IRNazanin"/>
          <w:b w:val="false"/>
          <w:bCs w:val="false"/>
          <w:i w:val="false"/>
          <w:iCs w:val="false"/>
          <w:color w:val="333333"/>
          <w:sz w:val="20"/>
          <w:szCs w:val="20"/>
        </w:rPr>
        <w:t>1:130</w:t>
      </w:r>
      <w:r>
        <w:rPr>
          <w:rFonts w:ascii="IRNazanin" w:hAnsi="IRNazanin" w:eastAsia="IRNazanin"/>
          <w:b w:val="false"/>
          <w:b w:val="false"/>
          <w:bCs w:val="false"/>
          <w:i w:val="false"/>
          <w:i w:val="false"/>
          <w:iCs w:val="false"/>
          <w:color w:val="333333"/>
          <w:sz w:val="20"/>
          <w:sz w:val="20"/>
          <w:szCs w:val="20"/>
          <w:rtl w:val="true"/>
        </w:rPr>
        <w:t xml:space="preserve">،عمدة القارئ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،الام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مختصر المزني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1:482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،السّراج الوهّاج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،فتح العزيز هامش المجموع </w:t>
      </w:r>
      <w:r>
        <w:rPr>
          <w:rFonts w:eastAsia="IRNazanin" w:cs="IRNazanin"/>
          <w:b w:val="false"/>
          <w:bCs w:val="false"/>
          <w:i w:val="false"/>
          <w:iCs w:val="false"/>
          <w:color w:val="333333"/>
          <w:sz w:val="20"/>
          <w:szCs w:val="20"/>
        </w:rPr>
        <w:t>2:393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رحمة الأمة هامش ميزان الكبرى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،ميزان الكبرى </w:t>
      </w:r>
      <w:r>
        <w:rPr>
          <w:rFonts w:eastAsia="IRNazanin" w:cs="IRNazanin"/>
          <w:b w:val="false"/>
          <w:bCs w:val="false"/>
          <w:i w:val="false"/>
          <w:iCs w:val="false"/>
          <w:color w:val="333333"/>
          <w:sz w:val="20"/>
          <w:szCs w:val="20"/>
        </w:rPr>
        <w:t>1:136</w:t>
      </w:r>
      <w:r>
        <w:rPr>
          <w:rFonts w:ascii="IRNazanin" w:hAnsi="IRNazanin" w:eastAsia="IRNazanin"/>
          <w:b w:val="false"/>
          <w:b w:val="false"/>
          <w:bCs w:val="false"/>
          <w:i w:val="false"/>
          <w:i w:val="false"/>
          <w:iCs w:val="false"/>
          <w:color w:val="333333"/>
          <w:sz w:val="20"/>
          <w:sz w:val="20"/>
          <w:szCs w:val="20"/>
          <w:rtl w:val="true"/>
        </w:rPr>
        <w:t xml:space="preserve">،أحكام القرآن للجصّاص </w:t>
      </w:r>
      <w:r>
        <w:rPr>
          <w:rFonts w:eastAsia="IRNazanin" w:cs="IRNazanin"/>
          <w:b w:val="false"/>
          <w:bCs w:val="false"/>
          <w:i w:val="false"/>
          <w:iCs w:val="false"/>
          <w:color w:val="333333"/>
          <w:sz w:val="20"/>
          <w:szCs w:val="20"/>
        </w:rPr>
        <w:t>3:353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المحلّى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،أحكام القرآن للجصّاص </w:t>
      </w:r>
      <w:r>
        <w:rPr>
          <w:rFonts w:eastAsia="IRNazanin" w:cs="IRNazanin"/>
          <w:b w:val="false"/>
          <w:bCs w:val="false"/>
          <w:i w:val="false"/>
          <w:iCs w:val="false"/>
          <w:color w:val="333333"/>
          <w:sz w:val="20"/>
          <w:szCs w:val="20"/>
        </w:rPr>
        <w:t>3:353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الهداية للمرغيناني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،شرح فتح القدير </w:t>
      </w:r>
      <w:r>
        <w:rPr>
          <w:rFonts w:eastAsia="IRNazanin" w:cs="IRNazanin"/>
          <w:b w:val="false"/>
          <w:bCs w:val="false"/>
          <w:i w:val="false"/>
          <w:iCs w:val="false"/>
          <w:color w:val="333333"/>
          <w:sz w:val="20"/>
          <w:szCs w:val="20"/>
        </w:rPr>
        <w:t>1:130</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1:322</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1:483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ميزان الكبرى </w:t>
      </w:r>
      <w:r>
        <w:rPr>
          <w:rFonts w:eastAsia="IRNazanin" w:cs="IRNazanin"/>
          <w:b w:val="false"/>
          <w:bCs w:val="false"/>
          <w:i w:val="false"/>
          <w:iCs w:val="false"/>
          <w:color w:val="333333"/>
          <w:sz w:val="20"/>
          <w:szCs w:val="20"/>
        </w:rPr>
        <w:t>1:126</w:t>
      </w:r>
      <w:r>
        <w:rPr>
          <w:rFonts w:ascii="IRNazanin" w:hAnsi="IRNazanin" w:eastAsia="IRNazanin"/>
          <w:b w:val="false"/>
          <w:b w:val="false"/>
          <w:bCs w:val="false"/>
          <w:i w:val="false"/>
          <w:i w:val="false"/>
          <w:iCs w:val="false"/>
          <w:color w:val="333333"/>
          <w:sz w:val="20"/>
          <w:sz w:val="20"/>
          <w:szCs w:val="20"/>
          <w:rtl w:val="true"/>
        </w:rPr>
        <w:t xml:space="preserve">،رحمة الأمة بهامش ميزان الكبرى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،التّفسير الكبير </w:t>
      </w:r>
      <w:r>
        <w:rPr>
          <w:rFonts w:eastAsia="IRNazanin" w:cs="IRNazanin"/>
          <w:b w:val="false"/>
          <w:bCs w:val="false"/>
          <w:i w:val="false"/>
          <w:iCs w:val="false"/>
          <w:color w:val="333333"/>
          <w:sz w:val="20"/>
          <w:szCs w:val="20"/>
        </w:rPr>
        <w:t>11:163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المحلّى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1:484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1:229</w:t>
      </w:r>
      <w:r>
        <w:rPr>
          <w:rFonts w:ascii="IRNazanin" w:hAnsi="IRNazanin" w:eastAsia="IRNazanin"/>
          <w:b w:val="false"/>
          <w:b w:val="false"/>
          <w:bCs w:val="false"/>
          <w:i w:val="false"/>
          <w:i w:val="false"/>
          <w:iCs w:val="false"/>
          <w:color w:val="333333"/>
          <w:sz w:val="20"/>
          <w:sz w:val="20"/>
          <w:szCs w:val="20"/>
          <w:rtl w:val="true"/>
        </w:rPr>
        <w:t xml:space="preserve">،أحكام القرآن للجصّاص </w:t>
      </w:r>
      <w:r>
        <w:rPr>
          <w:rFonts w:eastAsia="IRNazanin" w:cs="IRNazanin"/>
          <w:b w:val="false"/>
          <w:bCs w:val="false"/>
          <w:i w:val="false"/>
          <w:iCs w:val="false"/>
          <w:color w:val="333333"/>
          <w:sz w:val="20"/>
          <w:szCs w:val="20"/>
        </w:rPr>
        <w:t>3:353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المحلّى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المغني </w:t>
      </w:r>
      <w:r>
        <w:rPr>
          <w:rFonts w:eastAsia="IRNazanin" w:cs="IRNazanin"/>
          <w:b w:val="false"/>
          <w:bCs w:val="false"/>
          <w:i w:val="false"/>
          <w:iCs w:val="false"/>
          <w:color w:val="333333"/>
          <w:sz w:val="20"/>
          <w:szCs w:val="20"/>
        </w:rPr>
        <w:t>1:322</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1:188</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1:322</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1:188</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1:484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لابن قدامة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1:176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المحلّى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1:229</w:t>
      </w:r>
      <w:r>
        <w:rPr>
          <w:rFonts w:ascii="IRNazanin" w:hAnsi="IRNazanin" w:eastAsia="IRNazanin"/>
          <w:b w:val="false"/>
          <w:b w:val="false"/>
          <w:bCs w:val="false"/>
          <w:i w:val="false"/>
          <w:i w:val="false"/>
          <w:iCs w:val="false"/>
          <w:color w:val="333333"/>
          <w:sz w:val="20"/>
          <w:sz w:val="20"/>
          <w:szCs w:val="20"/>
          <w:rtl w:val="true"/>
        </w:rPr>
        <w:t xml:space="preserve">،ميزان الكبرى </w:t>
      </w:r>
      <w:r>
        <w:rPr>
          <w:rFonts w:eastAsia="IRNazanin" w:cs="IRNazanin"/>
          <w:b w:val="false"/>
          <w:bCs w:val="false"/>
          <w:i w:val="false"/>
          <w:iCs w:val="false"/>
          <w:color w:val="333333"/>
          <w:sz w:val="20"/>
          <w:szCs w:val="20"/>
        </w:rPr>
        <w:t>1:126</w:t>
      </w:r>
      <w:r>
        <w:rPr>
          <w:rFonts w:ascii="IRNazanin" w:hAnsi="IRNazanin" w:eastAsia="IRNazanin"/>
          <w:b w:val="false"/>
          <w:b w:val="false"/>
          <w:bCs w:val="false"/>
          <w:i w:val="false"/>
          <w:i w:val="false"/>
          <w:iCs w:val="false"/>
          <w:color w:val="333333"/>
          <w:sz w:val="20"/>
          <w:sz w:val="20"/>
          <w:szCs w:val="20"/>
          <w:rtl w:val="true"/>
        </w:rPr>
        <w:t xml:space="preserve">،رحمة الأمة هامش ميزان الكبرى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،شرح النّووي لصحيح مسلم بهامش إرشاد السّاري </w:t>
      </w:r>
      <w:r>
        <w:rPr>
          <w:rFonts w:eastAsia="IRNazanin" w:cs="IRNazanin"/>
          <w:b w:val="false"/>
          <w:bCs w:val="false"/>
          <w:i w:val="false"/>
          <w:iCs w:val="false"/>
          <w:color w:val="333333"/>
          <w:sz w:val="20"/>
          <w:szCs w:val="20"/>
        </w:rPr>
        <w:t>2:299</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1:484</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1:229</w:t>
      </w:r>
      <w:r>
        <w:rPr>
          <w:rFonts w:ascii="IRNazanin" w:hAnsi="IRNazanin" w:eastAsia="IRNazanin"/>
          <w:b w:val="false"/>
          <w:b w:val="false"/>
          <w:bCs w:val="false"/>
          <w:i w:val="false"/>
          <w:i w:val="false"/>
          <w:iCs w:val="false"/>
          <w:color w:val="333333"/>
          <w:sz w:val="20"/>
          <w:sz w:val="20"/>
          <w:szCs w:val="20"/>
          <w:rtl w:val="true"/>
        </w:rPr>
        <w:t xml:space="preserve">،المحلّى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1:322</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1:188</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1:484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1:229</w:t>
      </w:r>
      <w:r>
        <w:rPr>
          <w:rFonts w:ascii="IRNazanin" w:hAnsi="IRNazanin" w:eastAsia="IRNazanin"/>
          <w:b w:val="false"/>
          <w:b w:val="false"/>
          <w:bCs w:val="false"/>
          <w:i w:val="false"/>
          <w:i w:val="false"/>
          <w:iCs w:val="false"/>
          <w:color w:val="333333"/>
          <w:sz w:val="20"/>
          <w:sz w:val="20"/>
          <w:szCs w:val="20"/>
          <w:rtl w:val="true"/>
        </w:rPr>
        <w:t xml:space="preserve">،أحكام القرآن للجصّاص </w:t>
      </w:r>
      <w:r>
        <w:rPr>
          <w:rFonts w:eastAsia="IRNazanin" w:cs="IRNazanin"/>
          <w:b w:val="false"/>
          <w:bCs w:val="false"/>
          <w:i w:val="false"/>
          <w:iCs w:val="false"/>
          <w:color w:val="333333"/>
          <w:sz w:val="20"/>
          <w:szCs w:val="20"/>
        </w:rPr>
        <w:t>3:353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1:484</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بخمسة،و الأنسب ما أثبتناه</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بخمسة،و الأنسب ما أثبتناه</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1:483</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،الام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مختصر المزني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1:486</w:t>
      </w:r>
      <w:r>
        <w:rPr>
          <w:rFonts w:ascii="IRNazanin" w:hAnsi="IRNazanin" w:eastAsia="IRNazanin"/>
          <w:b w:val="false"/>
          <w:b w:val="false"/>
          <w:bCs w:val="false"/>
          <w:i w:val="false"/>
          <w:i w:val="false"/>
          <w:iCs w:val="false"/>
          <w:color w:val="333333"/>
          <w:sz w:val="20"/>
          <w:sz w:val="20"/>
          <w:szCs w:val="20"/>
          <w:rtl w:val="true"/>
        </w:rPr>
        <w:t xml:space="preserve">،فتح العزيز هامش المجموع </w:t>
      </w:r>
      <w:r>
        <w:rPr>
          <w:rFonts w:eastAsia="IRNazanin" w:cs="IRNazanin"/>
          <w:b w:val="false"/>
          <w:bCs w:val="false"/>
          <w:i w:val="false"/>
          <w:iCs w:val="false"/>
          <w:color w:val="333333"/>
          <w:sz w:val="20"/>
          <w:szCs w:val="20"/>
        </w:rPr>
        <w:t>2:397</w:t>
      </w:r>
      <w:r>
        <w:rPr>
          <w:rFonts w:ascii="IRNazanin" w:hAnsi="IRNazanin" w:eastAsia="IRNazanin"/>
          <w:b w:val="false"/>
          <w:b w:val="false"/>
          <w:bCs w:val="false"/>
          <w:i w:val="false"/>
          <w:i w:val="false"/>
          <w:iCs w:val="false"/>
          <w:color w:val="333333"/>
          <w:sz w:val="20"/>
          <w:sz w:val="20"/>
          <w:szCs w:val="20"/>
          <w:rtl w:val="true"/>
        </w:rPr>
        <w:t xml:space="preserve">،رحمة الأمة هامش ميزان الكبرى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،ميزان الكبرى </w:t>
      </w:r>
      <w:r>
        <w:rPr>
          <w:rFonts w:eastAsia="IRNazanin" w:cs="IRNazanin"/>
          <w:b w:val="false"/>
          <w:bCs w:val="false"/>
          <w:i w:val="false"/>
          <w:iCs w:val="false"/>
          <w:color w:val="333333"/>
          <w:sz w:val="20"/>
          <w:szCs w:val="20"/>
        </w:rPr>
        <w:t>1:127</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1:189</w:t>
      </w:r>
      <w:r>
        <w:rPr>
          <w:rFonts w:ascii="IRNazanin" w:hAnsi="IRNazanin" w:eastAsia="IRNazanin"/>
          <w:b w:val="false"/>
          <w:b w:val="false"/>
          <w:bCs w:val="false"/>
          <w:i w:val="false"/>
          <w:i w:val="false"/>
          <w:iCs w:val="false"/>
          <w:color w:val="333333"/>
          <w:sz w:val="20"/>
          <w:sz w:val="20"/>
          <w:szCs w:val="20"/>
          <w:rtl w:val="true"/>
        </w:rPr>
        <w:t xml:space="preserve">،التّفسير الكبير </w:t>
      </w:r>
      <w:r>
        <w:rPr>
          <w:rFonts w:eastAsia="IRNazanin" w:cs="IRNazanin"/>
          <w:b w:val="false"/>
          <w:bCs w:val="false"/>
          <w:i w:val="false"/>
          <w:iCs w:val="false"/>
          <w:color w:val="333333"/>
          <w:sz w:val="20"/>
          <w:szCs w:val="20"/>
        </w:rPr>
        <w:t>11:163</w:t>
      </w:r>
      <w:r>
        <w:rPr>
          <w:rFonts w:ascii="IRNazanin" w:hAnsi="IRNazanin" w:eastAsia="IRNazanin"/>
          <w:b w:val="false"/>
          <w:b w:val="false"/>
          <w:bCs w:val="false"/>
          <w:i w:val="false"/>
          <w:i w:val="false"/>
          <w:iCs w:val="false"/>
          <w:color w:val="333333"/>
          <w:sz w:val="20"/>
          <w:sz w:val="20"/>
          <w:szCs w:val="20"/>
          <w:rtl w:val="true"/>
        </w:rPr>
        <w:t xml:space="preserve">،المحلّى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السّراج الوهّاج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1:487</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1:189</w:t>
      </w:r>
      <w:r>
        <w:rPr>
          <w:rFonts w:ascii="IRNazanin" w:hAnsi="IRNazanin" w:eastAsia="IRNazanin"/>
          <w:b w:val="false"/>
          <w:b w:val="false"/>
          <w:bCs w:val="false"/>
          <w:i w:val="false"/>
          <w:i w:val="false"/>
          <w:iCs w:val="false"/>
          <w:color w:val="333333"/>
          <w:sz w:val="20"/>
          <w:sz w:val="20"/>
          <w:szCs w:val="20"/>
          <w:rtl w:val="true"/>
        </w:rPr>
        <w:t xml:space="preserve">،الكافي لابن قدامة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1:177</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w:t>
      </w:r>
      <w:r>
        <w:rPr>
          <w:rFonts w:ascii="IRNazanin" w:hAnsi="IRNazanin" w:eastAsia="IRNazanin"/>
          <w:b w:val="false"/>
          <w:b w:val="false"/>
          <w:bCs w:val="false"/>
          <w:i w:val="false"/>
          <w:i w:val="false"/>
          <w:iCs w:val="false"/>
          <w:color w:val="333333"/>
          <w:sz w:val="20"/>
          <w:sz w:val="20"/>
          <w:szCs w:val="20"/>
          <w:rtl w:val="true"/>
        </w:rPr>
        <w:t xml:space="preserve">،فتح العزيز هامش المجموع </w:t>
      </w:r>
      <w:r>
        <w:rPr>
          <w:rFonts w:eastAsia="IRNazanin" w:cs="IRNazanin"/>
          <w:b w:val="false"/>
          <w:bCs w:val="false"/>
          <w:i w:val="false"/>
          <w:iCs w:val="false"/>
          <w:color w:val="333333"/>
          <w:sz w:val="20"/>
          <w:szCs w:val="20"/>
        </w:rPr>
        <w:t>2:397</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1:487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1:487</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1:183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552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555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556</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1:158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9:404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26708</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1:230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5:213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1:323</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1:203</w:t>
      </w:r>
      <w:r>
        <w:rPr>
          <w:rFonts w:ascii="IRNazanin" w:hAnsi="IRNazanin" w:eastAsia="IRNazanin"/>
          <w:b w:val="false"/>
          <w:b w:val="false"/>
          <w:bCs w:val="false"/>
          <w:i w:val="false"/>
          <w:i w:val="false"/>
          <w:iCs w:val="false"/>
          <w:color w:val="333333"/>
          <w:sz w:val="20"/>
          <w:sz w:val="20"/>
          <w:szCs w:val="20"/>
          <w:rtl w:val="true"/>
        </w:rPr>
        <w:t xml:space="preserve">،ميزان الكبرى </w:t>
      </w:r>
      <w:r>
        <w:rPr>
          <w:rFonts w:eastAsia="IRNazanin" w:cs="IRNazanin"/>
          <w:b w:val="false"/>
          <w:bCs w:val="false"/>
          <w:i w:val="false"/>
          <w:iCs w:val="false"/>
          <w:color w:val="333333"/>
          <w:sz w:val="20"/>
          <w:szCs w:val="20"/>
        </w:rPr>
        <w:t>1:127</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1:523</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1:323</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1:203</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1:527</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1:323</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1:203</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1:527</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1:324</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1:202</w:t>
      </w:r>
      <w:r>
        <w:rPr>
          <w:rFonts w:ascii="IRNazanin" w:hAnsi="IRNazanin" w:eastAsia="IRNazanin"/>
          <w:b w:val="false"/>
          <w:b w:val="false"/>
          <w:bCs w:val="false"/>
          <w:i w:val="false"/>
          <w:i w:val="false"/>
          <w:iCs w:val="false"/>
          <w:color w:val="333333"/>
          <w:sz w:val="20"/>
          <w:sz w:val="20"/>
          <w:szCs w:val="20"/>
          <w:rtl w:val="true"/>
        </w:rPr>
        <w:t xml:space="preserve">،الكافي لابن قدامة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1:527</w:t>
      </w:r>
      <w:r>
        <w:rPr>
          <w:rFonts w:ascii="IRNazanin" w:hAnsi="IRNazanin" w:eastAsia="IRNazanin"/>
          <w:b w:val="false"/>
          <w:b w:val="false"/>
          <w:bCs w:val="false"/>
          <w:i w:val="false"/>
          <w:i w:val="false"/>
          <w:iCs w:val="false"/>
          <w:color w:val="333333"/>
          <w:sz w:val="20"/>
          <w:sz w:val="20"/>
          <w:szCs w:val="20"/>
          <w:rtl w:val="true"/>
        </w:rPr>
        <w:t xml:space="preserve">،فتح العزيز هامش المجموع </w:t>
      </w:r>
      <w:r>
        <w:rPr>
          <w:rFonts w:eastAsia="IRNazanin" w:cs="IRNazanin"/>
          <w:b w:val="false"/>
          <w:bCs w:val="false"/>
          <w:i w:val="false"/>
          <w:iCs w:val="false"/>
          <w:color w:val="333333"/>
          <w:sz w:val="20"/>
          <w:szCs w:val="20"/>
        </w:rPr>
        <w:t>2:404</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1:324</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1:202</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1:526</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،الام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مختصر المزني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8:10</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1:526</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،السّراج الوهّاج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،فتح العزيز هامش المجموع </w:t>
      </w:r>
      <w:r>
        <w:rPr>
          <w:rFonts w:eastAsia="IRNazanin" w:cs="IRNazanin"/>
          <w:b w:val="false"/>
          <w:bCs w:val="false"/>
          <w:i w:val="false"/>
          <w:iCs w:val="false"/>
          <w:color w:val="333333"/>
          <w:sz w:val="20"/>
          <w:szCs w:val="20"/>
        </w:rPr>
        <w:t>2:404</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المغني </w:t>
      </w:r>
      <w:r>
        <w:rPr>
          <w:rFonts w:eastAsia="IRNazanin" w:cs="IRNazanin"/>
          <w:b w:val="false"/>
          <w:bCs w:val="false"/>
          <w:i w:val="false"/>
          <w:iCs w:val="false"/>
          <w:color w:val="333333"/>
          <w:sz w:val="20"/>
          <w:szCs w:val="20"/>
        </w:rPr>
        <w:t>1:324</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1:202</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،شرح فتح القدير </w:t>
      </w:r>
      <w:r>
        <w:rPr>
          <w:rFonts w:eastAsia="IRNazanin" w:cs="IRNazanin"/>
          <w:b w:val="false"/>
          <w:bCs w:val="false"/>
          <w:i w:val="false"/>
          <w:iCs w:val="false"/>
          <w:color w:val="333333"/>
          <w:sz w:val="20"/>
          <w:szCs w:val="20"/>
        </w:rPr>
        <w:t>1:135</w:t>
      </w:r>
      <w:r>
        <w:rPr>
          <w:rFonts w:ascii="IRNazanin" w:hAnsi="IRNazanin" w:eastAsia="IRNazanin"/>
          <w:b w:val="false"/>
          <w:b w:val="false"/>
          <w:bCs w:val="false"/>
          <w:i w:val="false"/>
          <w:i w:val="false"/>
          <w:iCs w:val="false"/>
          <w:color w:val="333333"/>
          <w:sz w:val="20"/>
          <w:sz w:val="20"/>
          <w:szCs w:val="20"/>
          <w:rtl w:val="true"/>
        </w:rPr>
        <w:t xml:space="preserve">،رحمة الأمة هامش ميزان الكبرى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،ميزان الكبرى </w:t>
      </w:r>
      <w:r>
        <w:rPr>
          <w:rFonts w:eastAsia="IRNazanin" w:cs="IRNazanin"/>
          <w:b w:val="false"/>
          <w:bCs w:val="false"/>
          <w:i w:val="false"/>
          <w:iCs w:val="false"/>
          <w:color w:val="333333"/>
          <w:sz w:val="20"/>
          <w:szCs w:val="20"/>
        </w:rPr>
        <w:t>1:128</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1:526</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1:324</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1:202</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2:404</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1:526</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1:202</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مختصر المزني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8:10</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1:526</w:t>
      </w:r>
      <w:r>
        <w:rPr>
          <w:rFonts w:ascii="IRNazanin" w:hAnsi="IRNazanin" w:eastAsia="IRNazanin"/>
          <w:b w:val="false"/>
          <w:b w:val="false"/>
          <w:bCs w:val="false"/>
          <w:i w:val="false"/>
          <w:i w:val="false"/>
          <w:iCs w:val="false"/>
          <w:color w:val="333333"/>
          <w:sz w:val="20"/>
          <w:sz w:val="20"/>
          <w:szCs w:val="20"/>
          <w:rtl w:val="true"/>
        </w:rPr>
        <w:t xml:space="preserve">،فتح العزيز هامش المجموع </w:t>
      </w:r>
      <w:r>
        <w:rPr>
          <w:rFonts w:eastAsia="IRNazanin" w:cs="IRNazanin"/>
          <w:b w:val="false"/>
          <w:bCs w:val="false"/>
          <w:i w:val="false"/>
          <w:iCs w:val="false"/>
          <w:color w:val="333333"/>
          <w:sz w:val="20"/>
          <w:szCs w:val="20"/>
        </w:rPr>
        <w:t>2:404</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،السّراج الوهّاج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،فتح الوهّاب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1:324</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1:202</w:t>
      </w:r>
      <w:r>
        <w:rPr>
          <w:rFonts w:ascii="IRNazanin" w:hAnsi="IRNazanin" w:eastAsia="IRNazanin"/>
          <w:b w:val="false"/>
          <w:b w:val="false"/>
          <w:bCs w:val="false"/>
          <w:i w:val="false"/>
          <w:i w:val="false"/>
          <w:iCs w:val="false"/>
          <w:color w:val="333333"/>
          <w:sz w:val="20"/>
          <w:sz w:val="20"/>
          <w:szCs w:val="20"/>
          <w:rtl w:val="true"/>
        </w:rPr>
        <w:t xml:space="preserve">،رحمة الأمة هامش ميزان الكبرى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،ميزان الكبرى </w:t>
      </w:r>
      <w:r>
        <w:rPr>
          <w:rFonts w:eastAsia="IRNazanin" w:cs="IRNazanin"/>
          <w:b w:val="false"/>
          <w:bCs w:val="false"/>
          <w:i w:val="false"/>
          <w:iCs w:val="false"/>
          <w:color w:val="333333"/>
          <w:sz w:val="20"/>
          <w:szCs w:val="20"/>
        </w:rPr>
        <w:t>1:128</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المدوّنة الكبرى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،بلغة السّالك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1:325</w:t>
      </w:r>
      <w:r>
        <w:rPr>
          <w:rFonts w:ascii="IRNazanin" w:hAnsi="IRNazanin" w:eastAsia="IRNazanin"/>
          <w:b w:val="false"/>
          <w:b w:val="false"/>
          <w:bCs w:val="false"/>
          <w:i w:val="false"/>
          <w:i w:val="false"/>
          <w:iCs w:val="false"/>
          <w:color w:val="333333"/>
          <w:sz w:val="20"/>
          <w:sz w:val="20"/>
          <w:szCs w:val="20"/>
          <w:rtl w:val="true"/>
        </w:rPr>
        <w:t xml:space="preserve">،تفسير القرطبي </w:t>
      </w:r>
      <w:r>
        <w:rPr>
          <w:rFonts w:eastAsia="IRNazanin" w:cs="IRNazanin"/>
          <w:b w:val="false"/>
          <w:bCs w:val="false"/>
          <w:i w:val="false"/>
          <w:iCs w:val="false"/>
          <w:color w:val="333333"/>
          <w:sz w:val="20"/>
          <w:szCs w:val="20"/>
        </w:rPr>
        <w:t>6:103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1:202</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1:527</w:t>
      </w:r>
      <w:r>
        <w:rPr>
          <w:rFonts w:ascii="IRNazanin" w:hAnsi="IRNazanin" w:eastAsia="IRNazanin"/>
          <w:b w:val="false"/>
          <w:b w:val="false"/>
          <w:bCs w:val="false"/>
          <w:i w:val="false"/>
          <w:i w:val="false"/>
          <w:iCs w:val="false"/>
          <w:color w:val="333333"/>
          <w:sz w:val="20"/>
          <w:sz w:val="20"/>
          <w:szCs w:val="20"/>
          <w:rtl w:val="true"/>
        </w:rPr>
        <w:t xml:space="preserve">،فتح العزيز هامش المجموع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1:202</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1:527</w:t>
      </w:r>
      <w:r>
        <w:rPr>
          <w:rFonts w:ascii="IRNazanin" w:hAnsi="IRNazanin" w:eastAsia="IRNazanin"/>
          <w:b w:val="false"/>
          <w:b w:val="false"/>
          <w:bCs w:val="false"/>
          <w:i w:val="false"/>
          <w:i w:val="false"/>
          <w:iCs w:val="false"/>
          <w:color w:val="333333"/>
          <w:sz w:val="20"/>
          <w:sz w:val="20"/>
          <w:szCs w:val="20"/>
          <w:rtl w:val="true"/>
        </w:rPr>
        <w:t xml:space="preserve">،المدوّنة الكبرى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،تفسير القرطبي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نائب</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1:325</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1:203</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1:527</w:t>
      </w:r>
      <w:r>
        <w:rPr>
          <w:rFonts w:ascii="IRNazanin" w:hAnsi="IRNazanin" w:eastAsia="IRNazanin"/>
          <w:b w:val="false"/>
          <w:b w:val="false"/>
          <w:bCs w:val="false"/>
          <w:i w:val="false"/>
          <w:i w:val="false"/>
          <w:iCs w:val="false"/>
          <w:color w:val="333333"/>
          <w:sz w:val="20"/>
          <w:sz w:val="20"/>
          <w:szCs w:val="20"/>
          <w:rtl w:val="true"/>
        </w:rPr>
        <w:t xml:space="preserve">،بلغة السّالك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المبسوط للسرخسي </w:t>
      </w:r>
      <w:r>
        <w:rPr>
          <w:rFonts w:eastAsia="IRNazanin" w:cs="IRNazanin"/>
          <w:b w:val="false"/>
          <w:bCs w:val="false"/>
          <w:i w:val="false"/>
          <w:iCs w:val="false"/>
          <w:color w:val="333333"/>
          <w:sz w:val="20"/>
          <w:szCs w:val="20"/>
        </w:rPr>
        <w:t>1:102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،منار السّبيل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انكشفت</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1:326</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1:204</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1:497</w:t>
      </w:r>
      <w:r>
        <w:rPr>
          <w:rFonts w:ascii="IRNazanin" w:hAnsi="IRNazanin" w:eastAsia="IRNazanin"/>
          <w:b w:val="false"/>
          <w:b w:val="false"/>
          <w:bCs w:val="false"/>
          <w:i w:val="false"/>
          <w:i w:val="false"/>
          <w:iCs w:val="false"/>
          <w:color w:val="333333"/>
          <w:sz w:val="20"/>
          <w:sz w:val="20"/>
          <w:szCs w:val="20"/>
          <w:rtl w:val="true"/>
        </w:rPr>
        <w:t xml:space="preserve">، الكافي لابن قدامة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،فتح العزيز هامش المجموع </w:t>
      </w:r>
      <w:r>
        <w:rPr>
          <w:rFonts w:eastAsia="IRNazanin" w:cs="IRNazanin"/>
          <w:b w:val="false"/>
          <w:bCs w:val="false"/>
          <w:i w:val="false"/>
          <w:iCs w:val="false"/>
          <w:color w:val="333333"/>
          <w:sz w:val="20"/>
          <w:szCs w:val="20"/>
        </w:rPr>
        <w:t>2:370</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1:104</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1:528</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1:326</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1:204</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كلامه مشعر بأنّ الشّافعيّ قال في الجديد بعدم بطلان المسح،و في القديم ببطلانه،وفاقا لأبي حنيفة، و الموجود في المجموع للنّوويّ </w:t>
      </w:r>
      <w:r>
        <w:rPr>
          <w:rFonts w:eastAsia="IRNazanin" w:cs="IRNazanin"/>
          <w:b w:val="false"/>
          <w:bCs w:val="false"/>
          <w:i w:val="false"/>
          <w:iCs w:val="false"/>
          <w:color w:val="333333"/>
          <w:sz w:val="20"/>
          <w:szCs w:val="20"/>
        </w:rPr>
        <w:t>1:528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عكس ذلك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للشّافعيّ قولان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الجديد يبطل مسحه و القديم لا يبطل مسحه</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1:104</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1:326</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1:204</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1:528</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المدوّنة الكبرى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1:528</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1:204</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1:326</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1:204</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1:192</w:t>
      </w:r>
      <w:r>
        <w:rPr>
          <w:rFonts w:ascii="IRNazanin" w:hAnsi="IRNazanin" w:eastAsia="IRNazanin"/>
          <w:b w:val="false"/>
          <w:b w:val="false"/>
          <w:bCs w:val="false"/>
          <w:i w:val="false"/>
          <w:i w:val="false"/>
          <w:iCs w:val="false"/>
          <w:color w:val="333333"/>
          <w:sz w:val="20"/>
          <w:sz w:val="20"/>
          <w:szCs w:val="20"/>
          <w:rtl w:val="true"/>
        </w:rPr>
        <w:t xml:space="preserve">،الكافي لابن قدامة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1:528</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1:326</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1:204</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1:528</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1:528</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1:528</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المنسوب إليه في المجموع </w:t>
      </w:r>
      <w:r>
        <w:rPr>
          <w:rFonts w:eastAsia="IRNazanin" w:cs="IRNazanin"/>
          <w:b w:val="false"/>
          <w:bCs w:val="false"/>
          <w:i w:val="false"/>
          <w:iCs w:val="false"/>
          <w:color w:val="333333"/>
          <w:sz w:val="20"/>
          <w:szCs w:val="20"/>
        </w:rPr>
        <w:t>1:528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عدم بطلان المسح</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،الام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مختصر المزني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1:486</w:t>
      </w:r>
      <w:r>
        <w:rPr>
          <w:rFonts w:ascii="IRNazanin" w:hAnsi="IRNazanin" w:eastAsia="IRNazanin"/>
          <w:b w:val="false"/>
          <w:b w:val="false"/>
          <w:bCs w:val="false"/>
          <w:i w:val="false"/>
          <w:i w:val="false"/>
          <w:iCs w:val="false"/>
          <w:color w:val="333333"/>
          <w:sz w:val="20"/>
          <w:sz w:val="20"/>
          <w:szCs w:val="20"/>
          <w:rtl w:val="true"/>
        </w:rPr>
        <w:t xml:space="preserve">،فتح العزيز هامش المجموع </w:t>
      </w:r>
      <w:r>
        <w:rPr>
          <w:rFonts w:eastAsia="IRNazanin" w:cs="IRNazanin"/>
          <w:b w:val="false"/>
          <w:bCs w:val="false"/>
          <w:i w:val="false"/>
          <w:iCs w:val="false"/>
          <w:color w:val="333333"/>
          <w:sz w:val="20"/>
          <w:szCs w:val="20"/>
        </w:rPr>
        <w:t>2:397</w:t>
      </w:r>
      <w:r>
        <w:rPr>
          <w:rFonts w:ascii="IRNazanin" w:hAnsi="IRNazanin" w:eastAsia="IRNazanin"/>
          <w:b w:val="false"/>
          <w:b w:val="false"/>
          <w:bCs w:val="false"/>
          <w:i w:val="false"/>
          <w:i w:val="false"/>
          <w:iCs w:val="false"/>
          <w:color w:val="333333"/>
          <w:sz w:val="20"/>
          <w:sz w:val="20"/>
          <w:szCs w:val="20"/>
          <w:rtl w:val="true"/>
        </w:rPr>
        <w:t xml:space="preserve">،رحمة الأمة هامش ميزان الكبرى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،ميزان الكبرى </w:t>
      </w:r>
      <w:r>
        <w:rPr>
          <w:rFonts w:eastAsia="IRNazanin" w:cs="IRNazanin"/>
          <w:b w:val="false"/>
          <w:bCs w:val="false"/>
          <w:i w:val="false"/>
          <w:iCs w:val="false"/>
          <w:color w:val="333333"/>
          <w:sz w:val="20"/>
          <w:szCs w:val="20"/>
        </w:rPr>
        <w:t>1:127</w:t>
      </w:r>
      <w:r>
        <w:rPr>
          <w:rFonts w:ascii="IRNazanin" w:hAnsi="IRNazanin" w:eastAsia="IRNazanin"/>
          <w:b w:val="false"/>
          <w:b w:val="false"/>
          <w:bCs w:val="false"/>
          <w:i w:val="false"/>
          <w:i w:val="false"/>
          <w:iCs w:val="false"/>
          <w:color w:val="333333"/>
          <w:sz w:val="20"/>
          <w:sz w:val="20"/>
          <w:szCs w:val="20"/>
          <w:rtl w:val="true"/>
        </w:rPr>
        <w:t>،السّراج الوهّاج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،فتح الوهّاب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،التّفسير الكبير </w:t>
      </w:r>
      <w:r>
        <w:rPr>
          <w:rFonts w:eastAsia="IRNazanin" w:cs="IRNazanin"/>
          <w:b w:val="false"/>
          <w:bCs w:val="false"/>
          <w:i w:val="false"/>
          <w:iCs w:val="false"/>
          <w:color w:val="333333"/>
          <w:sz w:val="20"/>
          <w:szCs w:val="20"/>
        </w:rPr>
        <w:t>11:163</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1:189</w:t>
      </w:r>
      <w:r>
        <w:rPr>
          <w:rFonts w:ascii="IRNazanin" w:hAnsi="IRNazanin" w:eastAsia="IRNazanin"/>
          <w:b w:val="false"/>
          <w:b w:val="false"/>
          <w:bCs w:val="false"/>
          <w:i w:val="false"/>
          <w:i w:val="false"/>
          <w:iCs w:val="false"/>
          <w:color w:val="333333"/>
          <w:sz w:val="20"/>
          <w:sz w:val="20"/>
          <w:szCs w:val="20"/>
          <w:rtl w:val="true"/>
        </w:rPr>
        <w:t xml:space="preserve">،المحلّى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1:327</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1:189</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1:177</w:t>
      </w:r>
      <w:r>
        <w:rPr>
          <w:rFonts w:ascii="IRNazanin" w:hAnsi="IRNazanin" w:eastAsia="IRNazanin"/>
          <w:b w:val="false"/>
          <w:b w:val="false"/>
          <w:bCs w:val="false"/>
          <w:i w:val="false"/>
          <w:i w:val="false"/>
          <w:iCs w:val="false"/>
          <w:color w:val="333333"/>
          <w:sz w:val="20"/>
          <w:sz w:val="20"/>
          <w:szCs w:val="20"/>
          <w:rtl w:val="true"/>
        </w:rPr>
        <w:t xml:space="preserve">،الكافي لابن قدامة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،منار السّبيل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1:487</w:t>
      </w:r>
      <w:r>
        <w:rPr>
          <w:rFonts w:ascii="IRNazanin" w:hAnsi="IRNazanin" w:eastAsia="IRNazanin"/>
          <w:b w:val="false"/>
          <w:b w:val="false"/>
          <w:bCs w:val="false"/>
          <w:i w:val="false"/>
          <w:i w:val="false"/>
          <w:iCs w:val="false"/>
          <w:color w:val="333333"/>
          <w:sz w:val="20"/>
          <w:sz w:val="20"/>
          <w:szCs w:val="20"/>
          <w:rtl w:val="true"/>
        </w:rPr>
        <w:t xml:space="preserve">،فتح العزيز هامش المجموع </w:t>
      </w:r>
      <w:r>
        <w:rPr>
          <w:rFonts w:eastAsia="IRNazanin" w:cs="IRNazanin"/>
          <w:b w:val="false"/>
          <w:bCs w:val="false"/>
          <w:i w:val="false"/>
          <w:iCs w:val="false"/>
          <w:color w:val="333333"/>
          <w:sz w:val="20"/>
          <w:szCs w:val="20"/>
        </w:rPr>
        <w:t>2:397</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،الهداية للمرغيناني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،شرح فتح القدير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1:327</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1:189</w:t>
      </w:r>
      <w:r>
        <w:rPr>
          <w:rFonts w:ascii="IRNazanin" w:hAnsi="IRNazanin" w:eastAsia="IRNazanin"/>
          <w:b w:val="false"/>
          <w:b w:val="false"/>
          <w:bCs w:val="false"/>
          <w:i w:val="false"/>
          <w:i w:val="false"/>
          <w:iCs w:val="false"/>
          <w:color w:val="333333"/>
          <w:sz w:val="20"/>
          <w:sz w:val="20"/>
          <w:szCs w:val="20"/>
          <w:rtl w:val="true"/>
        </w:rPr>
        <w:t xml:space="preserve">،التّفسير الكبير </w:t>
      </w:r>
      <w:r>
        <w:rPr>
          <w:rFonts w:eastAsia="IRNazanin" w:cs="IRNazanin"/>
          <w:b w:val="false"/>
          <w:bCs w:val="false"/>
          <w:i w:val="false"/>
          <w:iCs w:val="false"/>
          <w:color w:val="333333"/>
          <w:sz w:val="20"/>
          <w:szCs w:val="20"/>
        </w:rPr>
        <w:t>11:163</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w:t>
      </w:r>
      <w:r>
        <w:rPr>
          <w:rFonts w:ascii="IRNazanin" w:hAnsi="IRNazanin" w:eastAsia="IRNazanin"/>
          <w:b w:val="false"/>
          <w:b w:val="false"/>
          <w:bCs w:val="false"/>
          <w:i w:val="false"/>
          <w:i w:val="false"/>
          <w:iCs w:val="false"/>
          <w:color w:val="333333"/>
          <w:sz w:val="20"/>
          <w:sz w:val="20"/>
          <w:szCs w:val="20"/>
          <w:rtl w:val="true"/>
        </w:rPr>
        <w:t xml:space="preserve">،المحلّى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1:327</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1:189</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1:177</w:t>
      </w:r>
      <w:r>
        <w:rPr>
          <w:rFonts w:ascii="IRNazanin" w:hAnsi="IRNazanin" w:eastAsia="IRNazanin"/>
          <w:b w:val="false"/>
          <w:b w:val="false"/>
          <w:bCs w:val="false"/>
          <w:i w:val="false"/>
          <w:i w:val="false"/>
          <w:iCs w:val="false"/>
          <w:color w:val="333333"/>
          <w:sz w:val="20"/>
          <w:sz w:val="20"/>
          <w:szCs w:val="20"/>
          <w:rtl w:val="true"/>
        </w:rPr>
        <w:t xml:space="preserve">،الكافي لابن قدامة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1:487</w:t>
      </w:r>
      <w:r>
        <w:rPr>
          <w:rFonts w:ascii="IRNazanin" w:hAnsi="IRNazanin" w:eastAsia="IRNazanin"/>
          <w:b w:val="false"/>
          <w:b w:val="false"/>
          <w:bCs w:val="false"/>
          <w:i w:val="false"/>
          <w:i w:val="false"/>
          <w:iCs w:val="false"/>
          <w:color w:val="333333"/>
          <w:sz w:val="20"/>
          <w:sz w:val="20"/>
          <w:szCs w:val="20"/>
          <w:rtl w:val="true"/>
        </w:rPr>
        <w:t xml:space="preserve">،فتح العزيز هامش المجموع </w:t>
      </w:r>
      <w:r>
        <w:rPr>
          <w:rFonts w:eastAsia="IRNazanin" w:cs="IRNazanin"/>
          <w:b w:val="false"/>
          <w:bCs w:val="false"/>
          <w:i w:val="false"/>
          <w:iCs w:val="false"/>
          <w:color w:val="333333"/>
          <w:sz w:val="20"/>
          <w:szCs w:val="20"/>
        </w:rPr>
        <w:t>2:397</w:t>
      </w:r>
      <w:r>
        <w:rPr>
          <w:rFonts w:ascii="IRNazanin" w:hAnsi="IRNazanin" w:eastAsia="IRNazanin"/>
          <w:b w:val="false"/>
          <w:b w:val="false"/>
          <w:bCs w:val="false"/>
          <w:i w:val="false"/>
          <w:i w:val="false"/>
          <w:iCs w:val="false"/>
          <w:color w:val="333333"/>
          <w:sz w:val="20"/>
          <w:sz w:val="20"/>
          <w:szCs w:val="20"/>
          <w:rtl w:val="true"/>
        </w:rPr>
        <w:t xml:space="preserve">،المحلّى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،رحمة الأمة هامش ميزان الكبرى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،ميزان الكبرى </w:t>
      </w:r>
      <w:r>
        <w:rPr>
          <w:rFonts w:eastAsia="IRNazanin" w:cs="IRNazanin"/>
          <w:b w:val="false"/>
          <w:bCs w:val="false"/>
          <w:i w:val="false"/>
          <w:iCs w:val="false"/>
          <w:color w:val="333333"/>
          <w:sz w:val="20"/>
          <w:szCs w:val="20"/>
        </w:rPr>
        <w:t>1:127</w:t>
      </w:r>
      <w:r>
        <w:rPr>
          <w:rFonts w:ascii="IRNazanin" w:hAnsi="IRNazanin" w:eastAsia="IRNazanin"/>
          <w:b w:val="false"/>
          <w:b w:val="false"/>
          <w:bCs w:val="false"/>
          <w:i w:val="false"/>
          <w:i w:val="false"/>
          <w:iCs w:val="false"/>
          <w:color w:val="333333"/>
          <w:sz w:val="20"/>
          <w:sz w:val="20"/>
          <w:szCs w:val="20"/>
          <w:rtl w:val="true"/>
        </w:rPr>
        <w:t xml:space="preserve">،التّفسير الكبير </w:t>
      </w:r>
      <w:r>
        <w:rPr>
          <w:rFonts w:eastAsia="IRNazanin" w:cs="IRNazanin"/>
          <w:b w:val="false"/>
          <w:bCs w:val="false"/>
          <w:i w:val="false"/>
          <w:iCs w:val="false"/>
          <w:color w:val="333333"/>
          <w:sz w:val="20"/>
          <w:szCs w:val="20"/>
        </w:rPr>
        <w:t>11:163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،الام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مختصر المزني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1:488</w:t>
      </w:r>
      <w:r>
        <w:rPr>
          <w:rFonts w:ascii="IRNazanin" w:hAnsi="IRNazanin" w:eastAsia="IRNazanin"/>
          <w:b w:val="false"/>
          <w:b w:val="false"/>
          <w:bCs w:val="false"/>
          <w:i w:val="false"/>
          <w:i w:val="false"/>
          <w:iCs w:val="false"/>
          <w:color w:val="333333"/>
          <w:sz w:val="20"/>
          <w:sz w:val="20"/>
          <w:szCs w:val="20"/>
          <w:rtl w:val="true"/>
        </w:rPr>
        <w:t xml:space="preserve">،فتح العزيز هامش المجموع </w:t>
      </w:r>
      <w:r>
        <w:rPr>
          <w:rFonts w:eastAsia="IRNazanin" w:cs="IRNazanin"/>
          <w:b w:val="false"/>
          <w:bCs w:val="false"/>
          <w:i w:val="false"/>
          <w:iCs w:val="false"/>
          <w:color w:val="333333"/>
          <w:sz w:val="20"/>
          <w:szCs w:val="20"/>
        </w:rPr>
        <w:t>2:400</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1:328</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1:190</w:t>
      </w:r>
      <w:r>
        <w:rPr>
          <w:rFonts w:ascii="IRNazanin" w:hAnsi="IRNazanin" w:eastAsia="IRNazanin"/>
          <w:b w:val="false"/>
          <w:b w:val="false"/>
          <w:bCs w:val="false"/>
          <w:i w:val="false"/>
          <w:i w:val="false"/>
          <w:iCs w:val="false"/>
          <w:color w:val="333333"/>
          <w:sz w:val="20"/>
          <w:sz w:val="20"/>
          <w:szCs w:val="20"/>
          <w:rtl w:val="true"/>
        </w:rPr>
        <w:t xml:space="preserve">،رحمة الأمة هامش ميزان الكبرى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،ميزان الكبرى </w:t>
      </w:r>
      <w:r>
        <w:rPr>
          <w:rFonts w:eastAsia="IRNazanin" w:cs="IRNazanin"/>
          <w:b w:val="false"/>
          <w:bCs w:val="false"/>
          <w:i w:val="false"/>
          <w:iCs w:val="false"/>
          <w:color w:val="333333"/>
          <w:sz w:val="20"/>
          <w:szCs w:val="20"/>
        </w:rPr>
        <w:t>1:127</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1:328</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1:190</w:t>
      </w:r>
      <w:r>
        <w:rPr>
          <w:rFonts w:ascii="IRNazanin" w:hAnsi="IRNazanin" w:eastAsia="IRNazanin"/>
          <w:b w:val="false"/>
          <w:b w:val="false"/>
          <w:bCs w:val="false"/>
          <w:i w:val="false"/>
          <w:i w:val="false"/>
          <w:iCs w:val="false"/>
          <w:color w:val="333333"/>
          <w:sz w:val="20"/>
          <w:sz w:val="20"/>
          <w:szCs w:val="20"/>
          <w:rtl w:val="true"/>
        </w:rPr>
        <w:t xml:space="preserve">،الكافي لابن قدامة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w:t>
      </w:r>
      <w:r>
        <w:rPr>
          <w:rFonts w:ascii="IRNazanin" w:hAnsi="IRNazanin" w:eastAsia="IRNazanin"/>
          <w:b w:val="false"/>
          <w:b w:val="false"/>
          <w:bCs w:val="false"/>
          <w:i w:val="false"/>
          <w:i w:val="false"/>
          <w:iCs w:val="false"/>
          <w:color w:val="333333"/>
          <w:sz w:val="20"/>
          <w:sz w:val="20"/>
          <w:szCs w:val="20"/>
          <w:rtl w:val="true"/>
        </w:rPr>
        <w:t xml:space="preserve">،فتح العزيز هامش المجموع </w:t>
      </w:r>
      <w:r>
        <w:rPr>
          <w:rFonts w:eastAsia="IRNazanin" w:cs="IRNazanin"/>
          <w:b w:val="false"/>
          <w:bCs w:val="false"/>
          <w:i w:val="false"/>
          <w:iCs w:val="false"/>
          <w:color w:val="333333"/>
          <w:sz w:val="20"/>
          <w:szCs w:val="20"/>
        </w:rPr>
        <w:t>2:400</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1:328</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1:488</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1:190</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1:103</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،الهداية للمرغيناني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،شرح فتح القدير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1:328</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1:190</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1:488</w:t>
      </w:r>
      <w:r>
        <w:rPr>
          <w:rFonts w:ascii="IRNazanin" w:hAnsi="IRNazanin" w:eastAsia="IRNazanin"/>
          <w:b w:val="false"/>
          <w:b w:val="false"/>
          <w:bCs w:val="false"/>
          <w:i w:val="false"/>
          <w:i w:val="false"/>
          <w:iCs w:val="false"/>
          <w:color w:val="333333"/>
          <w:sz w:val="20"/>
          <w:sz w:val="20"/>
          <w:szCs w:val="20"/>
          <w:rtl w:val="true"/>
        </w:rPr>
        <w:t xml:space="preserve">،فتح العزيز هامش المجموع </w:t>
      </w:r>
      <w:r>
        <w:rPr>
          <w:rFonts w:eastAsia="IRNazanin" w:cs="IRNazanin"/>
          <w:b w:val="false"/>
          <w:bCs w:val="false"/>
          <w:i w:val="false"/>
          <w:iCs w:val="false"/>
          <w:color w:val="333333"/>
          <w:sz w:val="20"/>
          <w:szCs w:val="20"/>
        </w:rPr>
        <w:t>2:400</w:t>
      </w:r>
      <w:r>
        <w:rPr>
          <w:rFonts w:ascii="IRNazanin" w:hAnsi="IRNazanin" w:eastAsia="IRNazanin"/>
          <w:b w:val="false"/>
          <w:b w:val="false"/>
          <w:bCs w:val="false"/>
          <w:i w:val="false"/>
          <w:i w:val="false"/>
          <w:iCs w:val="false"/>
          <w:color w:val="333333"/>
          <w:sz w:val="20"/>
          <w:sz w:val="20"/>
          <w:szCs w:val="20"/>
          <w:rtl w:val="true"/>
        </w:rPr>
        <w:t xml:space="preserve">،رحمة الأمة هامش ميزان الكبرى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،ميزان الكبرى </w:t>
      </w:r>
      <w:r>
        <w:rPr>
          <w:rFonts w:eastAsia="IRNazanin" w:cs="IRNazanin"/>
          <w:b w:val="false"/>
          <w:bCs w:val="false"/>
          <w:i w:val="false"/>
          <w:iCs w:val="false"/>
          <w:color w:val="333333"/>
          <w:sz w:val="20"/>
          <w:szCs w:val="20"/>
        </w:rPr>
        <w:t>1:127</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1:488</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1:104</w:t>
      </w:r>
      <w:r>
        <w:rPr>
          <w:rFonts w:ascii="IRNazanin" w:hAnsi="IRNazanin" w:eastAsia="IRNazanin"/>
          <w:b w:val="false"/>
          <w:b w:val="false"/>
          <w:bCs w:val="false"/>
          <w:i w:val="false"/>
          <w:i w:val="false"/>
          <w:iCs w:val="false"/>
          <w:color w:val="333333"/>
          <w:sz w:val="20"/>
          <w:sz w:val="20"/>
          <w:szCs w:val="20"/>
          <w:rtl w:val="true"/>
        </w:rPr>
        <w:t xml:space="preserve">،الهداية للمرغيناني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،شرح فتح القدير </w:t>
      </w:r>
      <w:r>
        <w:rPr>
          <w:rFonts w:eastAsia="IRNazanin" w:cs="IRNazanin"/>
          <w:b w:val="false"/>
          <w:bCs w:val="false"/>
          <w:i w:val="false"/>
          <w:iCs w:val="false"/>
          <w:color w:val="333333"/>
          <w:sz w:val="20"/>
          <w:szCs w:val="20"/>
        </w:rPr>
        <w:t>1:137</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1:329</w:t>
      </w:r>
      <w:r>
        <w:rPr>
          <w:rFonts w:ascii="IRNazanin" w:hAnsi="IRNazanin" w:eastAsia="IRNazanin"/>
          <w:b w:val="false"/>
          <w:b w:val="false"/>
          <w:bCs w:val="false"/>
          <w:i w:val="false"/>
          <w:i w:val="false"/>
          <w:iCs w:val="false"/>
          <w:color w:val="333333"/>
          <w:sz w:val="20"/>
          <w:sz w:val="20"/>
          <w:szCs w:val="20"/>
          <w:rtl w:val="true"/>
        </w:rPr>
        <w:t xml:space="preserve">، الشّرح الكبير بهامش المغني </w:t>
      </w:r>
      <w:r>
        <w:rPr>
          <w:rFonts w:eastAsia="IRNazanin" w:cs="IRNazanin"/>
          <w:b w:val="false"/>
          <w:bCs w:val="false"/>
          <w:i w:val="false"/>
          <w:iCs w:val="false"/>
          <w:color w:val="333333"/>
          <w:sz w:val="20"/>
          <w:szCs w:val="20"/>
        </w:rPr>
        <w:t>1:190</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،الام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مختصر المزني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1:489</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1:190</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1:330</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1:191</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،فتح العزيز هامش المجموع </w:t>
      </w:r>
      <w:r>
        <w:rPr>
          <w:rFonts w:eastAsia="IRNazanin" w:cs="IRNazanin"/>
          <w:b w:val="false"/>
          <w:bCs w:val="false"/>
          <w:i w:val="false"/>
          <w:iCs w:val="false"/>
          <w:color w:val="333333"/>
          <w:sz w:val="20"/>
          <w:szCs w:val="20"/>
        </w:rPr>
        <w:t>2:370</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1:179</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،الام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مختصر المزني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8:10</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1:496</w:t>
      </w:r>
      <w:r>
        <w:rPr>
          <w:rFonts w:ascii="IRNazanin" w:hAnsi="IRNazanin" w:eastAsia="IRNazanin"/>
          <w:b w:val="false"/>
          <w:b w:val="false"/>
          <w:bCs w:val="false"/>
          <w:i w:val="false"/>
          <w:i w:val="false"/>
          <w:iCs w:val="false"/>
          <w:color w:val="333333"/>
          <w:sz w:val="20"/>
          <w:sz w:val="20"/>
          <w:szCs w:val="20"/>
          <w:rtl w:val="true"/>
        </w:rPr>
        <w:t xml:space="preserve">،فتح العزيز هامش المجموع </w:t>
      </w:r>
      <w:r>
        <w:rPr>
          <w:rFonts w:eastAsia="IRNazanin" w:cs="IRNazanin"/>
          <w:b w:val="false"/>
          <w:bCs w:val="false"/>
          <w:i w:val="false"/>
          <w:iCs w:val="false"/>
          <w:color w:val="333333"/>
          <w:sz w:val="20"/>
          <w:szCs w:val="20"/>
        </w:rPr>
        <w:t>2:370</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،ميزان الكبرى </w:t>
      </w:r>
      <w:r>
        <w:rPr>
          <w:rFonts w:eastAsia="IRNazanin" w:cs="IRNazanin"/>
          <w:b w:val="false"/>
          <w:bCs w:val="false"/>
          <w:i w:val="false"/>
          <w:iCs w:val="false"/>
          <w:color w:val="333333"/>
          <w:sz w:val="20"/>
          <w:szCs w:val="20"/>
        </w:rPr>
        <w:t>1:127</w:t>
      </w:r>
      <w:r>
        <w:rPr>
          <w:rFonts w:ascii="IRNazanin" w:hAnsi="IRNazanin" w:eastAsia="IRNazanin"/>
          <w:b w:val="false"/>
          <w:b w:val="false"/>
          <w:bCs w:val="false"/>
          <w:i w:val="false"/>
          <w:i w:val="false"/>
          <w:iCs w:val="false"/>
          <w:color w:val="333333"/>
          <w:sz w:val="20"/>
          <w:sz w:val="20"/>
          <w:szCs w:val="20"/>
          <w:rtl w:val="true"/>
        </w:rPr>
        <w:t xml:space="preserve">،رحمة الأمة هامش ميزان الكبرى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1:330</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1:192</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المحلّى </w:t>
      </w:r>
      <w:r>
        <w:rPr>
          <w:rFonts w:eastAsia="IRNazanin" w:cs="IRNazanin"/>
          <w:b w:val="false"/>
          <w:bCs w:val="false"/>
          <w:i w:val="false"/>
          <w:iCs w:val="false"/>
          <w:color w:val="333333"/>
          <w:sz w:val="20"/>
          <w:szCs w:val="20"/>
        </w:rPr>
        <w:t>2:101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بعضها لم يقيّد في الجديد</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المحلّى </w:t>
      </w:r>
      <w:r>
        <w:rPr>
          <w:rFonts w:eastAsia="IRNazanin" w:cs="IRNazanin"/>
          <w:b w:val="false"/>
          <w:bCs w:val="false"/>
          <w:i w:val="false"/>
          <w:iCs w:val="false"/>
          <w:color w:val="333333"/>
          <w:sz w:val="20"/>
          <w:szCs w:val="20"/>
        </w:rPr>
        <w:t>2:101</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1:496</w:t>
      </w:r>
      <w:r>
        <w:rPr>
          <w:rFonts w:ascii="IRNazanin" w:hAnsi="IRNazanin" w:eastAsia="IRNazanin"/>
          <w:b w:val="false"/>
          <w:b w:val="false"/>
          <w:bCs w:val="false"/>
          <w:i w:val="false"/>
          <w:i w:val="false"/>
          <w:iCs w:val="false"/>
          <w:color w:val="333333"/>
          <w:sz w:val="20"/>
          <w:sz w:val="20"/>
          <w:szCs w:val="20"/>
          <w:rtl w:val="true"/>
        </w:rPr>
        <w:t xml:space="preserve">،فتح العزيز هامش المجموع </w:t>
      </w:r>
      <w:r>
        <w:rPr>
          <w:rFonts w:eastAsia="IRNazanin" w:cs="IRNazanin"/>
          <w:b w:val="false"/>
          <w:bCs w:val="false"/>
          <w:i w:val="false"/>
          <w:iCs w:val="false"/>
          <w:color w:val="333333"/>
          <w:sz w:val="20"/>
          <w:szCs w:val="20"/>
        </w:rPr>
        <w:t>2:370</w:t>
      </w:r>
      <w:r>
        <w:rPr>
          <w:rFonts w:ascii="IRNazanin" w:hAnsi="IRNazanin" w:eastAsia="IRNazanin"/>
          <w:b w:val="false"/>
          <w:b w:val="false"/>
          <w:bCs w:val="false"/>
          <w:i w:val="false"/>
          <w:i w:val="false"/>
          <w:iCs w:val="false"/>
          <w:color w:val="333333"/>
          <w:sz w:val="20"/>
          <w:sz w:val="20"/>
          <w:szCs w:val="20"/>
          <w:rtl w:val="true"/>
        </w:rPr>
        <w:t xml:space="preserve">،رحمة الأمة هامش ميزان الكبرى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المحلّى </w:t>
      </w:r>
      <w:r>
        <w:rPr>
          <w:rFonts w:eastAsia="IRNazanin" w:cs="IRNazanin"/>
          <w:b w:val="false"/>
          <w:bCs w:val="false"/>
          <w:i w:val="false"/>
          <w:iCs w:val="false"/>
          <w:color w:val="333333"/>
          <w:sz w:val="20"/>
          <w:szCs w:val="20"/>
        </w:rPr>
        <w:t>2:100</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1:497</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المدوّنة الكبرى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،تفسير القرطبي </w:t>
      </w:r>
      <w:r>
        <w:rPr>
          <w:rFonts w:eastAsia="IRNazanin" w:cs="IRNazanin"/>
          <w:b w:val="false"/>
          <w:bCs w:val="false"/>
          <w:i w:val="false"/>
          <w:iCs w:val="false"/>
          <w:color w:val="333333"/>
          <w:sz w:val="20"/>
          <w:szCs w:val="20"/>
        </w:rPr>
        <w:t>6:101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1:330</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1:193</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1:497</w:t>
      </w:r>
      <w:r>
        <w:rPr>
          <w:rFonts w:ascii="IRNazanin" w:hAnsi="IRNazanin" w:eastAsia="IRNazanin"/>
          <w:b w:val="false"/>
          <w:b w:val="false"/>
          <w:bCs w:val="false"/>
          <w:i w:val="false"/>
          <w:i w:val="false"/>
          <w:iCs w:val="false"/>
          <w:color w:val="333333"/>
          <w:sz w:val="20"/>
          <w:sz w:val="20"/>
          <w:szCs w:val="20"/>
          <w:rtl w:val="true"/>
        </w:rPr>
        <w:t xml:space="preserve">،فتح العزيز هامش المجموع </w:t>
      </w:r>
      <w:r>
        <w:rPr>
          <w:rFonts w:eastAsia="IRNazanin" w:cs="IRNazanin"/>
          <w:b w:val="false"/>
          <w:bCs w:val="false"/>
          <w:i w:val="false"/>
          <w:iCs w:val="false"/>
          <w:color w:val="333333"/>
          <w:sz w:val="20"/>
          <w:szCs w:val="20"/>
        </w:rPr>
        <w:t>2:370</w:t>
      </w:r>
      <w:r>
        <w:rPr>
          <w:rFonts w:ascii="IRNazanin" w:hAnsi="IRNazanin" w:eastAsia="IRNazanin"/>
          <w:b w:val="false"/>
          <w:b w:val="false"/>
          <w:bCs w:val="false"/>
          <w:i w:val="false"/>
          <w:i w:val="false"/>
          <w:iCs w:val="false"/>
          <w:color w:val="333333"/>
          <w:sz w:val="20"/>
          <w:sz w:val="20"/>
          <w:szCs w:val="20"/>
          <w:rtl w:val="true"/>
        </w:rPr>
        <w:t xml:space="preserve">،ميزان الكبرى </w:t>
      </w:r>
      <w:r>
        <w:rPr>
          <w:rFonts w:eastAsia="IRNazanin" w:cs="IRNazanin"/>
          <w:b w:val="false"/>
          <w:bCs w:val="false"/>
          <w:i w:val="false"/>
          <w:iCs w:val="false"/>
          <w:color w:val="333333"/>
          <w:sz w:val="20"/>
          <w:szCs w:val="20"/>
        </w:rPr>
        <w:t>1:127</w:t>
      </w:r>
      <w:r>
        <w:rPr>
          <w:rFonts w:ascii="IRNazanin" w:hAnsi="IRNazanin" w:eastAsia="IRNazanin"/>
          <w:b w:val="false"/>
          <w:b w:val="false"/>
          <w:bCs w:val="false"/>
          <w:i w:val="false"/>
          <w:i w:val="false"/>
          <w:iCs w:val="false"/>
          <w:color w:val="333333"/>
          <w:sz w:val="20"/>
          <w:sz w:val="20"/>
          <w:szCs w:val="20"/>
          <w:rtl w:val="true"/>
        </w:rPr>
        <w:t xml:space="preserve">،رحمة الأمة هامش ميزان الكبرى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،المحلّى </w:t>
      </w:r>
      <w:r>
        <w:rPr>
          <w:rFonts w:eastAsia="IRNazanin" w:cs="IRNazanin"/>
          <w:b w:val="false"/>
          <w:bCs w:val="false"/>
          <w:i w:val="false"/>
          <w:iCs w:val="false"/>
          <w:color w:val="333333"/>
          <w:sz w:val="20"/>
          <w:szCs w:val="20"/>
        </w:rPr>
        <w:t>2:101</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القرطبي </w:t>
      </w:r>
      <w:r>
        <w:rPr>
          <w:rFonts w:eastAsia="IRNazanin" w:cs="IRNazanin"/>
          <w:b w:val="false"/>
          <w:bCs w:val="false"/>
          <w:i w:val="false"/>
          <w:iCs w:val="false"/>
          <w:color w:val="333333"/>
          <w:sz w:val="20"/>
          <w:szCs w:val="20"/>
        </w:rPr>
        <w:t>6:101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المحلّى </w:t>
      </w:r>
      <w:r>
        <w:rPr>
          <w:rFonts w:eastAsia="IRNazanin" w:cs="IRNazanin"/>
          <w:b w:val="false"/>
          <w:bCs w:val="false"/>
          <w:i w:val="false"/>
          <w:iCs w:val="false"/>
          <w:color w:val="333333"/>
          <w:sz w:val="20"/>
          <w:szCs w:val="20"/>
        </w:rPr>
        <w:t>2:101</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1:497</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1:330</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1:193</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القرطبي </w:t>
      </w:r>
      <w:r>
        <w:rPr>
          <w:rFonts w:eastAsia="IRNazanin" w:cs="IRNazanin"/>
          <w:b w:val="false"/>
          <w:bCs w:val="false"/>
          <w:i w:val="false"/>
          <w:iCs w:val="false"/>
          <w:color w:val="333333"/>
          <w:sz w:val="20"/>
          <w:szCs w:val="20"/>
        </w:rPr>
        <w:t>6:101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1:100</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،الهداية للمرغيناني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،شرح فتح القدير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1:497</w:t>
      </w:r>
      <w:r>
        <w:rPr>
          <w:rFonts w:ascii="IRNazanin" w:hAnsi="IRNazanin" w:eastAsia="IRNazanin"/>
          <w:b w:val="false"/>
          <w:b w:val="false"/>
          <w:bCs w:val="false"/>
          <w:i w:val="false"/>
          <w:i w:val="false"/>
          <w:iCs w:val="false"/>
          <w:color w:val="333333"/>
          <w:sz w:val="20"/>
          <w:sz w:val="20"/>
          <w:szCs w:val="20"/>
          <w:rtl w:val="true"/>
        </w:rPr>
        <w:t xml:space="preserve">،فتح العزيز هامش المجموع </w:t>
      </w:r>
      <w:r>
        <w:rPr>
          <w:rFonts w:eastAsia="IRNazanin" w:cs="IRNazanin"/>
          <w:b w:val="false"/>
          <w:bCs w:val="false"/>
          <w:i w:val="false"/>
          <w:iCs w:val="false"/>
          <w:color w:val="333333"/>
          <w:sz w:val="20"/>
          <w:szCs w:val="20"/>
        </w:rPr>
        <w:t>2:372</w:t>
      </w:r>
      <w:r>
        <w:rPr>
          <w:rFonts w:ascii="IRNazanin" w:hAnsi="IRNazanin" w:eastAsia="IRNazanin"/>
          <w:b w:val="false"/>
          <w:b w:val="false"/>
          <w:bCs w:val="false"/>
          <w:i w:val="false"/>
          <w:i w:val="false"/>
          <w:iCs w:val="false"/>
          <w:color w:val="333333"/>
          <w:sz w:val="20"/>
          <w:sz w:val="20"/>
          <w:szCs w:val="20"/>
          <w:rtl w:val="true"/>
        </w:rPr>
        <w:t xml:space="preserve">،تفسير القرطبي </w:t>
      </w:r>
      <w:r>
        <w:rPr>
          <w:rFonts w:eastAsia="IRNazanin" w:cs="IRNazanin"/>
          <w:b w:val="false"/>
          <w:bCs w:val="false"/>
          <w:i w:val="false"/>
          <w:iCs w:val="false"/>
          <w:color w:val="333333"/>
          <w:sz w:val="20"/>
          <w:szCs w:val="20"/>
        </w:rPr>
        <w:t>6:101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1:193</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،ميزان الكبرى </w:t>
      </w:r>
      <w:r>
        <w:rPr>
          <w:rFonts w:eastAsia="IRNazanin" w:cs="IRNazanin"/>
          <w:b w:val="false"/>
          <w:bCs w:val="false"/>
          <w:i w:val="false"/>
          <w:iCs w:val="false"/>
          <w:color w:val="333333"/>
          <w:sz w:val="20"/>
          <w:szCs w:val="20"/>
        </w:rPr>
        <w:t>1:127</w:t>
      </w:r>
      <w:r>
        <w:rPr>
          <w:rFonts w:ascii="IRNazanin" w:hAnsi="IRNazanin" w:eastAsia="IRNazanin"/>
          <w:b w:val="false"/>
          <w:b w:val="false"/>
          <w:bCs w:val="false"/>
          <w:i w:val="false"/>
          <w:i w:val="false"/>
          <w:iCs w:val="false"/>
          <w:color w:val="333333"/>
          <w:sz w:val="20"/>
          <w:sz w:val="20"/>
          <w:szCs w:val="20"/>
          <w:rtl w:val="true"/>
        </w:rPr>
        <w:t xml:space="preserve">،رحمة الأمة بهامش ميزان الكبرى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،المحلّى </w:t>
      </w:r>
      <w:r>
        <w:rPr>
          <w:rFonts w:eastAsia="IRNazanin" w:cs="IRNazanin"/>
          <w:b w:val="false"/>
          <w:bCs w:val="false"/>
          <w:i w:val="false"/>
          <w:iCs w:val="false"/>
          <w:color w:val="333333"/>
          <w:sz w:val="20"/>
          <w:szCs w:val="20"/>
        </w:rPr>
        <w:t>2:101</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بدائع الصّنائع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إنما قدّر بالثّلاث لوجهين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الثّاني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الثّلاث أصابع أكثر الأصابع</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أحكام القرآن للجصّاص </w:t>
      </w:r>
      <w:r>
        <w:rPr>
          <w:rFonts w:eastAsia="IRNazanin" w:cs="IRNazanin"/>
          <w:b w:val="false"/>
          <w:bCs w:val="false"/>
          <w:i w:val="false"/>
          <w:iCs w:val="false"/>
          <w:color w:val="333333"/>
          <w:sz w:val="20"/>
          <w:szCs w:val="20"/>
        </w:rPr>
        <w:t>3:356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1:334</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1:194</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1:502</w:t>
      </w:r>
      <w:r>
        <w:rPr>
          <w:rFonts w:ascii="IRNazanin" w:hAnsi="IRNazanin" w:eastAsia="IRNazanin"/>
          <w:b w:val="false"/>
          <w:b w:val="false"/>
          <w:bCs w:val="false"/>
          <w:i w:val="false"/>
          <w:i w:val="false"/>
          <w:iCs w:val="false"/>
          <w:color w:val="333333"/>
          <w:sz w:val="20"/>
          <w:sz w:val="20"/>
          <w:szCs w:val="20"/>
          <w:rtl w:val="true"/>
        </w:rPr>
        <w:t xml:space="preserve">،فتح العزيز هامش المجموع </w:t>
      </w:r>
      <w:r>
        <w:rPr>
          <w:rFonts w:eastAsia="IRNazanin" w:cs="IRNazanin"/>
          <w:b w:val="false"/>
          <w:bCs w:val="false"/>
          <w:i w:val="false"/>
          <w:iCs w:val="false"/>
          <w:color w:val="333333"/>
          <w:sz w:val="20"/>
          <w:szCs w:val="20"/>
        </w:rPr>
        <w:t>2:373</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1:331</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1:192</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1:502</w:t>
      </w:r>
      <w:r>
        <w:rPr>
          <w:rFonts w:ascii="IRNazanin" w:hAnsi="IRNazanin" w:eastAsia="IRNazanin"/>
          <w:b w:val="false"/>
          <w:b w:val="false"/>
          <w:bCs w:val="false"/>
          <w:i w:val="false"/>
          <w:i w:val="false"/>
          <w:iCs w:val="false"/>
          <w:color w:val="333333"/>
          <w:sz w:val="20"/>
          <w:sz w:val="20"/>
          <w:szCs w:val="20"/>
          <w:rtl w:val="true"/>
        </w:rPr>
        <w:t xml:space="preserve">،فتح العزيز هامش المجموع </w:t>
      </w:r>
      <w:r>
        <w:rPr>
          <w:rFonts w:eastAsia="IRNazanin" w:cs="IRNazanin"/>
          <w:b w:val="false"/>
          <w:bCs w:val="false"/>
          <w:i w:val="false"/>
          <w:iCs w:val="false"/>
          <w:color w:val="333333"/>
          <w:sz w:val="20"/>
          <w:szCs w:val="20"/>
        </w:rPr>
        <w:t>2:373</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1:331</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1:180</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1:170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1:500</w:t>
      </w:r>
      <w:r>
        <w:rPr>
          <w:rFonts w:ascii="IRNazanin" w:hAnsi="IRNazanin" w:eastAsia="IRNazanin"/>
          <w:b w:val="false"/>
          <w:b w:val="false"/>
          <w:bCs w:val="false"/>
          <w:i w:val="false"/>
          <w:i w:val="false"/>
          <w:iCs w:val="false"/>
          <w:color w:val="333333"/>
          <w:sz w:val="20"/>
          <w:sz w:val="20"/>
          <w:szCs w:val="20"/>
          <w:rtl w:val="true"/>
        </w:rPr>
        <w:t xml:space="preserve">،المحلّى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،ميزان الكبرى </w:t>
      </w:r>
      <w:r>
        <w:rPr>
          <w:rFonts w:eastAsia="IRNazanin" w:cs="IRNazanin"/>
          <w:b w:val="false"/>
          <w:bCs w:val="false"/>
          <w:i w:val="false"/>
          <w:iCs w:val="false"/>
          <w:color w:val="333333"/>
          <w:sz w:val="20"/>
          <w:szCs w:val="20"/>
        </w:rPr>
        <w:t>1:128</w:t>
      </w:r>
      <w:r>
        <w:rPr>
          <w:rFonts w:ascii="IRNazanin" w:hAnsi="IRNazanin" w:eastAsia="IRNazanin"/>
          <w:b w:val="false"/>
          <w:b w:val="false"/>
          <w:bCs w:val="false"/>
          <w:i w:val="false"/>
          <w:i w:val="false"/>
          <w:iCs w:val="false"/>
          <w:color w:val="333333"/>
          <w:sz w:val="20"/>
          <w:sz w:val="20"/>
          <w:szCs w:val="20"/>
          <w:rtl w:val="true"/>
        </w:rPr>
        <w:t xml:space="preserve">،رحمة الأمة هامش ميزان الكبرى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1:332</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1:180</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1:499</w:t>
      </w:r>
      <w:r>
        <w:rPr>
          <w:rFonts w:ascii="IRNazanin" w:hAnsi="IRNazanin" w:eastAsia="IRNazanin"/>
          <w:b w:val="false"/>
          <w:b w:val="false"/>
          <w:bCs w:val="false"/>
          <w:i w:val="false"/>
          <w:i w:val="false"/>
          <w:iCs w:val="false"/>
          <w:color w:val="333333"/>
          <w:sz w:val="20"/>
          <w:sz w:val="20"/>
          <w:szCs w:val="20"/>
          <w:rtl w:val="true"/>
        </w:rPr>
        <w:t xml:space="preserve">،المحلّى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1:101</w:t>
      </w:r>
      <w:r>
        <w:rPr>
          <w:rFonts w:ascii="IRNazanin" w:hAnsi="IRNazanin" w:eastAsia="IRNazanin"/>
          <w:b w:val="false"/>
          <w:b w:val="false"/>
          <w:bCs w:val="false"/>
          <w:i w:val="false"/>
          <w:i w:val="false"/>
          <w:iCs w:val="false"/>
          <w:color w:val="333333"/>
          <w:sz w:val="20"/>
          <w:sz w:val="20"/>
          <w:szCs w:val="20"/>
          <w:rtl w:val="true"/>
        </w:rPr>
        <w:t xml:space="preserve">،أحكام القرآن للجصّاص </w:t>
      </w:r>
      <w:r>
        <w:rPr>
          <w:rFonts w:eastAsia="IRNazanin" w:cs="IRNazanin"/>
          <w:b w:val="false"/>
          <w:bCs w:val="false"/>
          <w:i w:val="false"/>
          <w:iCs w:val="false"/>
          <w:color w:val="333333"/>
          <w:sz w:val="20"/>
          <w:szCs w:val="20"/>
        </w:rPr>
        <w:t>3:356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،الهداية للمرغيناني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،شرح فتح القدير </w:t>
      </w:r>
      <w:r>
        <w:rPr>
          <w:rFonts w:eastAsia="IRNazanin" w:cs="IRNazanin"/>
          <w:b w:val="false"/>
          <w:bCs w:val="false"/>
          <w:i w:val="false"/>
          <w:iCs w:val="false"/>
          <w:color w:val="333333"/>
          <w:sz w:val="20"/>
          <w:szCs w:val="20"/>
        </w:rPr>
        <w:t>1:138</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،المحلّى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1:180</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1:500</w:t>
      </w:r>
      <w:r>
        <w:rPr>
          <w:rFonts w:ascii="IRNazanin" w:hAnsi="IRNazanin" w:eastAsia="IRNazanin"/>
          <w:b w:val="false"/>
          <w:b w:val="false"/>
          <w:bCs w:val="false"/>
          <w:i w:val="false"/>
          <w:i w:val="false"/>
          <w:iCs w:val="false"/>
          <w:color w:val="333333"/>
          <w:sz w:val="20"/>
          <w:sz w:val="20"/>
          <w:szCs w:val="20"/>
          <w:rtl w:val="true"/>
        </w:rPr>
        <w:t xml:space="preserve">،فتح العزيز هامش المجموع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،ميزان الكبرى </w:t>
      </w:r>
      <w:r>
        <w:rPr>
          <w:rFonts w:eastAsia="IRNazanin" w:cs="IRNazanin"/>
          <w:b w:val="false"/>
          <w:bCs w:val="false"/>
          <w:i w:val="false"/>
          <w:iCs w:val="false"/>
          <w:color w:val="333333"/>
          <w:sz w:val="20"/>
          <w:szCs w:val="20"/>
        </w:rPr>
        <w:t>1:128</w:t>
      </w:r>
      <w:r>
        <w:rPr>
          <w:rFonts w:ascii="IRNazanin" w:hAnsi="IRNazanin" w:eastAsia="IRNazanin"/>
          <w:b w:val="false"/>
          <w:b w:val="false"/>
          <w:bCs w:val="false"/>
          <w:i w:val="false"/>
          <w:i w:val="false"/>
          <w:iCs w:val="false"/>
          <w:color w:val="333333"/>
          <w:sz w:val="20"/>
          <w:sz w:val="20"/>
          <w:szCs w:val="20"/>
          <w:rtl w:val="true"/>
        </w:rPr>
        <w:t xml:space="preserve">،رحمة الأمة بهامش ميزان الكبرى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المدوّنة الكبرى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،تفسير القرطبي </w:t>
      </w:r>
      <w:r>
        <w:rPr>
          <w:rFonts w:eastAsia="IRNazanin" w:cs="IRNazanin"/>
          <w:b w:val="false"/>
          <w:bCs w:val="false"/>
          <w:i w:val="false"/>
          <w:iCs w:val="false"/>
          <w:color w:val="333333"/>
          <w:sz w:val="20"/>
          <w:szCs w:val="20"/>
        </w:rPr>
        <w:t>6:102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أحكام القرآن للجصّاص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1:332</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1:180</w:t>
      </w:r>
      <w:r>
        <w:rPr>
          <w:rFonts w:ascii="IRNazanin" w:hAnsi="IRNazanin" w:eastAsia="IRNazanin"/>
          <w:b w:val="false"/>
          <w:b w:val="false"/>
          <w:bCs w:val="false"/>
          <w:i w:val="false"/>
          <w:i w:val="false"/>
          <w:iCs w:val="false"/>
          <w:color w:val="333333"/>
          <w:sz w:val="20"/>
          <w:sz w:val="20"/>
          <w:szCs w:val="20"/>
          <w:rtl w:val="true"/>
        </w:rPr>
        <w:t xml:space="preserve">،ميزان الكبرى </w:t>
      </w:r>
      <w:r>
        <w:rPr>
          <w:rFonts w:eastAsia="IRNazanin" w:cs="IRNazanin"/>
          <w:b w:val="false"/>
          <w:bCs w:val="false"/>
          <w:i w:val="false"/>
          <w:iCs w:val="false"/>
          <w:color w:val="333333"/>
          <w:sz w:val="20"/>
          <w:szCs w:val="20"/>
        </w:rPr>
        <w:t>1:128</w:t>
      </w:r>
      <w:r>
        <w:rPr>
          <w:rFonts w:ascii="IRNazanin" w:hAnsi="IRNazanin" w:eastAsia="IRNazanin"/>
          <w:b w:val="false"/>
          <w:b w:val="false"/>
          <w:bCs w:val="false"/>
          <w:i w:val="false"/>
          <w:i w:val="false"/>
          <w:iCs w:val="false"/>
          <w:color w:val="333333"/>
          <w:sz w:val="20"/>
          <w:sz w:val="20"/>
          <w:szCs w:val="20"/>
          <w:rtl w:val="true"/>
        </w:rPr>
        <w:t xml:space="preserve">،رحمة الأمة بهامش ميزان الكبرى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،المحلّى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مختصر المزني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8:10</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1:499</w:t>
      </w:r>
      <w:r>
        <w:rPr>
          <w:rFonts w:ascii="IRNazanin" w:hAnsi="IRNazanin" w:eastAsia="IRNazanin"/>
          <w:b w:val="false"/>
          <w:b w:val="false"/>
          <w:bCs w:val="false"/>
          <w:i w:val="false"/>
          <w:i w:val="false"/>
          <w:iCs w:val="false"/>
          <w:color w:val="333333"/>
          <w:sz w:val="20"/>
          <w:sz w:val="20"/>
          <w:szCs w:val="20"/>
          <w:rtl w:val="true"/>
        </w:rPr>
        <w:t xml:space="preserve">،فتح العزيز هامش المجموع </w:t>
      </w:r>
      <w:r>
        <w:rPr>
          <w:rFonts w:eastAsia="IRNazanin" w:cs="IRNazanin"/>
          <w:b w:val="false"/>
          <w:bCs w:val="false"/>
          <w:i w:val="false"/>
          <w:iCs w:val="false"/>
          <w:color w:val="333333"/>
          <w:sz w:val="20"/>
          <w:szCs w:val="20"/>
        </w:rPr>
        <w:t>2:373</w:t>
      </w:r>
      <w:r>
        <w:rPr>
          <w:rFonts w:ascii="IRNazanin" w:hAnsi="IRNazanin" w:eastAsia="IRNazanin"/>
          <w:b w:val="false"/>
          <w:b w:val="false"/>
          <w:bCs w:val="false"/>
          <w:i w:val="false"/>
          <w:i w:val="false"/>
          <w:iCs w:val="false"/>
          <w:color w:val="333333"/>
          <w:sz w:val="20"/>
          <w:sz w:val="20"/>
          <w:szCs w:val="20"/>
          <w:rtl w:val="true"/>
        </w:rPr>
        <w:t xml:space="preserve">،ميزان الكبرى </w:t>
      </w:r>
      <w:r>
        <w:rPr>
          <w:rFonts w:eastAsia="IRNazanin" w:cs="IRNazanin"/>
          <w:b w:val="false"/>
          <w:bCs w:val="false"/>
          <w:i w:val="false"/>
          <w:iCs w:val="false"/>
          <w:color w:val="333333"/>
          <w:sz w:val="20"/>
          <w:szCs w:val="20"/>
        </w:rPr>
        <w:t>1:128</w:t>
      </w:r>
      <w:r>
        <w:rPr>
          <w:rFonts w:ascii="IRNazanin" w:hAnsi="IRNazanin" w:eastAsia="IRNazanin"/>
          <w:b w:val="false"/>
          <w:b w:val="false"/>
          <w:bCs w:val="false"/>
          <w:i w:val="false"/>
          <w:i w:val="false"/>
          <w:iCs w:val="false"/>
          <w:color w:val="333333"/>
          <w:sz w:val="20"/>
          <w:sz w:val="20"/>
          <w:szCs w:val="20"/>
          <w:rtl w:val="true"/>
        </w:rPr>
        <w:t xml:space="preserve">،رحمة الأمة بهامش ميزان الكبرى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1:180</w:t>
      </w:r>
      <w:r>
        <w:rPr>
          <w:rFonts w:ascii="IRNazanin" w:hAnsi="IRNazanin" w:eastAsia="IRNazanin"/>
          <w:b w:val="false"/>
          <w:b w:val="false"/>
          <w:bCs w:val="false"/>
          <w:i w:val="false"/>
          <w:i w:val="false"/>
          <w:iCs w:val="false"/>
          <w:color w:val="333333"/>
          <w:sz w:val="20"/>
          <w:sz w:val="20"/>
          <w:szCs w:val="20"/>
          <w:rtl w:val="true"/>
        </w:rPr>
        <w:t xml:space="preserve">،أحكام القرآن للجصّاص </w:t>
      </w:r>
      <w:r>
        <w:rPr>
          <w:rFonts w:eastAsia="IRNazanin" w:cs="IRNazanin"/>
          <w:b w:val="false"/>
          <w:bCs w:val="false"/>
          <w:i w:val="false"/>
          <w:iCs w:val="false"/>
          <w:color w:val="333333"/>
          <w:sz w:val="20"/>
          <w:szCs w:val="20"/>
        </w:rPr>
        <w:t>3:356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،المحلّى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،تفسير القرطبي </w:t>
      </w:r>
      <w:r>
        <w:rPr>
          <w:rFonts w:eastAsia="IRNazanin" w:cs="IRNazanin"/>
          <w:b w:val="false"/>
          <w:bCs w:val="false"/>
          <w:i w:val="false"/>
          <w:iCs w:val="false"/>
          <w:color w:val="333333"/>
          <w:sz w:val="20"/>
          <w:szCs w:val="20"/>
        </w:rPr>
        <w:t>6:102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1:100</w:t>
      </w:r>
      <w:r>
        <w:rPr>
          <w:rFonts w:ascii="IRNazanin" w:hAnsi="IRNazanin" w:eastAsia="IRNazanin"/>
          <w:b w:val="false"/>
          <w:b w:val="false"/>
          <w:bCs w:val="false"/>
          <w:i w:val="false"/>
          <w:i w:val="false"/>
          <w:iCs w:val="false"/>
          <w:color w:val="333333"/>
          <w:sz w:val="20"/>
          <w:sz w:val="20"/>
          <w:szCs w:val="20"/>
          <w:rtl w:val="true"/>
        </w:rPr>
        <w:t xml:space="preserve">،الهداية للمرغيناني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،شرح فتح القدير </w:t>
      </w:r>
      <w:r>
        <w:rPr>
          <w:rFonts w:eastAsia="IRNazanin" w:cs="IRNazanin"/>
          <w:b w:val="false"/>
          <w:bCs w:val="false"/>
          <w:i w:val="false"/>
          <w:iCs w:val="false"/>
          <w:color w:val="333333"/>
          <w:sz w:val="20"/>
          <w:szCs w:val="20"/>
        </w:rPr>
        <w:t>1:131</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1:335</w:t>
      </w:r>
      <w:r>
        <w:rPr>
          <w:rFonts w:ascii="IRNazanin" w:hAnsi="IRNazanin" w:eastAsia="IRNazanin"/>
          <w:b w:val="false"/>
          <w:b w:val="false"/>
          <w:bCs w:val="false"/>
          <w:i w:val="false"/>
          <w:i w:val="false"/>
          <w:iCs w:val="false"/>
          <w:color w:val="333333"/>
          <w:sz w:val="20"/>
          <w:sz w:val="20"/>
          <w:szCs w:val="20"/>
          <w:rtl w:val="true"/>
        </w:rPr>
        <w:t xml:space="preserve">، الشّرح الكبير بهامش المغني </w:t>
      </w:r>
      <w:r>
        <w:rPr>
          <w:rFonts w:eastAsia="IRNazanin" w:cs="IRNazanin"/>
          <w:b w:val="false"/>
          <w:bCs w:val="false"/>
          <w:i w:val="false"/>
          <w:iCs w:val="false"/>
          <w:color w:val="333333"/>
          <w:sz w:val="20"/>
          <w:szCs w:val="20"/>
        </w:rPr>
        <w:t>1:196</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1:521</w:t>
      </w:r>
      <w:r>
        <w:rPr>
          <w:rFonts w:ascii="IRNazanin" w:hAnsi="IRNazanin" w:eastAsia="IRNazanin"/>
          <w:b w:val="false"/>
          <w:b w:val="false"/>
          <w:bCs w:val="false"/>
          <w:i w:val="false"/>
          <w:i w:val="false"/>
          <w:iCs w:val="false"/>
          <w:color w:val="333333"/>
          <w:sz w:val="20"/>
          <w:sz w:val="20"/>
          <w:szCs w:val="20"/>
          <w:rtl w:val="true"/>
        </w:rPr>
        <w:t xml:space="preserve">،فتح العزيز هامش المجموع </w:t>
      </w:r>
      <w:r>
        <w:rPr>
          <w:rFonts w:eastAsia="IRNazanin" w:cs="IRNazanin"/>
          <w:b w:val="false"/>
          <w:bCs w:val="false"/>
          <w:i w:val="false"/>
          <w:iCs w:val="false"/>
          <w:color w:val="333333"/>
          <w:sz w:val="20"/>
          <w:szCs w:val="20"/>
        </w:rPr>
        <w:t>2:390</w:t>
      </w:r>
      <w:r>
        <w:rPr>
          <w:rFonts w:ascii="IRNazanin" w:hAnsi="IRNazanin" w:eastAsia="IRNazanin"/>
          <w:b w:val="false"/>
          <w:b w:val="false"/>
          <w:bCs w:val="false"/>
          <w:i w:val="false"/>
          <w:i w:val="false"/>
          <w:iCs w:val="false"/>
          <w:color w:val="333333"/>
          <w:sz w:val="20"/>
          <w:sz w:val="20"/>
          <w:szCs w:val="20"/>
          <w:rtl w:val="true"/>
        </w:rPr>
        <w:t xml:space="preserve">، المحلّى </w:t>
      </w:r>
      <w:r>
        <w:rPr>
          <w:rFonts w:eastAsia="IRNazanin" w:cs="IRNazanin"/>
          <w:b w:val="false"/>
          <w:bCs w:val="false"/>
          <w:i w:val="false"/>
          <w:iCs w:val="false"/>
          <w:color w:val="333333"/>
          <w:sz w:val="20"/>
          <w:szCs w:val="20"/>
        </w:rPr>
        <w:t>2:111</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1:231</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1:335</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1:196</w:t>
      </w:r>
      <w:r>
        <w:rPr>
          <w:rFonts w:ascii="IRNazanin" w:hAnsi="IRNazanin" w:eastAsia="IRNazanin"/>
          <w:b w:val="false"/>
          <w:b w:val="false"/>
          <w:bCs w:val="false"/>
          <w:i w:val="false"/>
          <w:i w:val="false"/>
          <w:iCs w:val="false"/>
          <w:color w:val="333333"/>
          <w:sz w:val="20"/>
          <w:sz w:val="20"/>
          <w:szCs w:val="20"/>
          <w:rtl w:val="true"/>
        </w:rPr>
        <w:t xml:space="preserve">،الكافي لابن قدامة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1:185</w:t>
      </w:r>
      <w:r>
        <w:rPr>
          <w:rFonts w:ascii="IRNazanin" w:hAnsi="IRNazanin" w:eastAsia="IRNazanin"/>
          <w:b w:val="false"/>
          <w:b w:val="false"/>
          <w:bCs w:val="false"/>
          <w:i w:val="false"/>
          <w:i w:val="false"/>
          <w:iCs w:val="false"/>
          <w:color w:val="333333"/>
          <w:sz w:val="20"/>
          <w:sz w:val="20"/>
          <w:szCs w:val="20"/>
          <w:rtl w:val="true"/>
        </w:rPr>
        <w:t xml:space="preserve">،منار السّبيل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1:521</w:t>
      </w:r>
      <w:r>
        <w:rPr>
          <w:rFonts w:ascii="IRNazanin" w:hAnsi="IRNazanin" w:eastAsia="IRNazanin"/>
          <w:b w:val="false"/>
          <w:b w:val="false"/>
          <w:bCs w:val="false"/>
          <w:i w:val="false"/>
          <w:i w:val="false"/>
          <w:iCs w:val="false"/>
          <w:color w:val="333333"/>
          <w:sz w:val="20"/>
          <w:sz w:val="20"/>
          <w:szCs w:val="20"/>
          <w:rtl w:val="true"/>
        </w:rPr>
        <w:t xml:space="preserve">،فتح العزيز هامش المجموع </w:t>
      </w:r>
      <w:r>
        <w:rPr>
          <w:rFonts w:eastAsia="IRNazanin" w:cs="IRNazanin"/>
          <w:b w:val="false"/>
          <w:bCs w:val="false"/>
          <w:i w:val="false"/>
          <w:iCs w:val="false"/>
          <w:color w:val="333333"/>
          <w:sz w:val="20"/>
          <w:szCs w:val="20"/>
        </w:rPr>
        <w:t>2:390</w:t>
      </w:r>
      <w:r>
        <w:rPr>
          <w:rFonts w:ascii="IRNazanin" w:hAnsi="IRNazanin" w:eastAsia="IRNazanin"/>
          <w:b w:val="false"/>
          <w:b w:val="false"/>
          <w:bCs w:val="false"/>
          <w:i w:val="false"/>
          <w:i w:val="false"/>
          <w:iCs w:val="false"/>
          <w:color w:val="333333"/>
          <w:sz w:val="20"/>
          <w:sz w:val="20"/>
          <w:szCs w:val="20"/>
          <w:rtl w:val="true"/>
        </w:rPr>
        <w:t xml:space="preserve">،ميزان الكبرى </w:t>
      </w:r>
      <w:r>
        <w:rPr>
          <w:rFonts w:eastAsia="IRNazanin" w:cs="IRNazanin"/>
          <w:b w:val="false"/>
          <w:bCs w:val="false"/>
          <w:i w:val="false"/>
          <w:iCs w:val="false"/>
          <w:color w:val="333333"/>
          <w:sz w:val="20"/>
          <w:szCs w:val="20"/>
        </w:rPr>
        <w:t>1:127</w:t>
      </w:r>
      <w:r>
        <w:rPr>
          <w:rFonts w:ascii="IRNazanin" w:hAnsi="IRNazanin" w:eastAsia="IRNazanin"/>
          <w:b w:val="false"/>
          <w:b w:val="false"/>
          <w:bCs w:val="false"/>
          <w:i w:val="false"/>
          <w:i w:val="false"/>
          <w:iCs w:val="false"/>
          <w:color w:val="333333"/>
          <w:sz w:val="20"/>
          <w:sz w:val="20"/>
          <w:szCs w:val="20"/>
          <w:rtl w:val="true"/>
        </w:rPr>
        <w:t xml:space="preserve">،رحمة الأمة بهامش ميزان الكبرى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1:231</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1:335</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1:521</w:t>
      </w:r>
      <w:r>
        <w:rPr>
          <w:rFonts w:ascii="IRNazanin" w:hAnsi="IRNazanin" w:eastAsia="IRNazanin"/>
          <w:b w:val="false"/>
          <w:b w:val="false"/>
          <w:bCs w:val="false"/>
          <w:i w:val="false"/>
          <w:i w:val="false"/>
          <w:iCs w:val="false"/>
          <w:color w:val="333333"/>
          <w:sz w:val="20"/>
          <w:sz w:val="20"/>
          <w:szCs w:val="20"/>
          <w:rtl w:val="true"/>
        </w:rPr>
        <w:t xml:space="preserve">،المحلّى </w:t>
      </w:r>
      <w:r>
        <w:rPr>
          <w:rFonts w:eastAsia="IRNazanin" w:cs="IRNazanin"/>
          <w:b w:val="false"/>
          <w:bCs w:val="false"/>
          <w:i w:val="false"/>
          <w:iCs w:val="false"/>
          <w:color w:val="333333"/>
          <w:sz w:val="20"/>
          <w:szCs w:val="20"/>
        </w:rPr>
        <w:t>2:111</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1:231</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،المحلّى </w:t>
      </w:r>
      <w:r>
        <w:rPr>
          <w:rFonts w:eastAsia="IRNazanin" w:cs="IRNazanin"/>
          <w:b w:val="false"/>
          <w:bCs w:val="false"/>
          <w:i w:val="false"/>
          <w:iCs w:val="false"/>
          <w:color w:val="333333"/>
          <w:sz w:val="20"/>
          <w:szCs w:val="20"/>
        </w:rPr>
        <w:t>2:111</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1:521</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1:231</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،سنن الدّار قطني </w:t>
      </w:r>
      <w:r>
        <w:rPr>
          <w:rFonts w:eastAsia="IRNazanin" w:cs="IRNazanin"/>
          <w:b w:val="false"/>
          <w:bCs w:val="false"/>
          <w:i w:val="false"/>
          <w:iCs w:val="false"/>
          <w:color w:val="333333"/>
          <w:sz w:val="20"/>
          <w:szCs w:val="20"/>
        </w:rPr>
        <w:t>1:199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1:231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9:606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27612</w:t>
      </w:r>
      <w:r>
        <w:rPr>
          <w:rFonts w:ascii="IRNazanin" w:hAnsi="IRNazanin" w:eastAsia="IRNazanin"/>
          <w:b w:val="false"/>
          <w:b w:val="false"/>
          <w:bCs w:val="false"/>
          <w:i w:val="false"/>
          <w:i w:val="false"/>
          <w:iCs w:val="false"/>
          <w:color w:val="333333"/>
          <w:sz w:val="20"/>
          <w:sz w:val="20"/>
          <w:szCs w:val="20"/>
          <w:rtl w:val="true"/>
        </w:rPr>
        <w:t xml:space="preserve">،جامع الأصول </w:t>
      </w:r>
      <w:r>
        <w:rPr>
          <w:rFonts w:eastAsia="IRNazanin" w:cs="IRNazanin"/>
          <w:b w:val="false"/>
          <w:bCs w:val="false"/>
          <w:i w:val="false"/>
          <w:iCs w:val="false"/>
          <w:color w:val="333333"/>
          <w:sz w:val="20"/>
          <w:szCs w:val="20"/>
        </w:rPr>
        <w:t>8:140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5277</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مختصر المزني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8:10</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1:518</w:t>
      </w:r>
      <w:r>
        <w:rPr>
          <w:rFonts w:ascii="IRNazanin" w:hAnsi="IRNazanin" w:eastAsia="IRNazanin"/>
          <w:b w:val="false"/>
          <w:b w:val="false"/>
          <w:bCs w:val="false"/>
          <w:i w:val="false"/>
          <w:i w:val="false"/>
          <w:iCs w:val="false"/>
          <w:color w:val="333333"/>
          <w:sz w:val="20"/>
          <w:sz w:val="20"/>
          <w:szCs w:val="20"/>
          <w:rtl w:val="true"/>
        </w:rPr>
        <w:t xml:space="preserve">،فتح العزيز هامش المجموع </w:t>
      </w:r>
      <w:r>
        <w:rPr>
          <w:rFonts w:eastAsia="IRNazanin" w:cs="IRNazanin"/>
          <w:b w:val="false"/>
          <w:bCs w:val="false"/>
          <w:i w:val="false"/>
          <w:iCs w:val="false"/>
          <w:color w:val="333333"/>
          <w:sz w:val="20"/>
          <w:szCs w:val="20"/>
        </w:rPr>
        <w:t>2:388</w:t>
      </w:r>
      <w:r>
        <w:rPr>
          <w:rFonts w:ascii="IRNazanin" w:hAnsi="IRNazanin" w:eastAsia="IRNazanin"/>
          <w:b w:val="false"/>
          <w:b w:val="false"/>
          <w:bCs w:val="false"/>
          <w:i w:val="false"/>
          <w:i w:val="false"/>
          <w:iCs w:val="false"/>
          <w:color w:val="333333"/>
          <w:sz w:val="20"/>
          <w:sz w:val="20"/>
          <w:szCs w:val="20"/>
          <w:rtl w:val="true"/>
        </w:rPr>
        <w:t xml:space="preserve">،ميزان الكبرى </w:t>
      </w:r>
      <w:r>
        <w:rPr>
          <w:rFonts w:eastAsia="IRNazanin" w:cs="IRNazanin"/>
          <w:b w:val="false"/>
          <w:bCs w:val="false"/>
          <w:i w:val="false"/>
          <w:iCs w:val="false"/>
          <w:color w:val="333333"/>
          <w:sz w:val="20"/>
          <w:szCs w:val="20"/>
        </w:rPr>
        <w:t>1:127</w:t>
      </w:r>
      <w:r>
        <w:rPr>
          <w:rFonts w:ascii="IRNazanin" w:hAnsi="IRNazanin" w:eastAsia="IRNazanin"/>
          <w:b w:val="false"/>
          <w:b w:val="false"/>
          <w:bCs w:val="false"/>
          <w:i w:val="false"/>
          <w:i w:val="false"/>
          <w:iCs w:val="false"/>
          <w:color w:val="333333"/>
          <w:sz w:val="20"/>
          <w:sz w:val="20"/>
          <w:szCs w:val="20"/>
          <w:rtl w:val="true"/>
        </w:rPr>
        <w:t xml:space="preserve">،رحمة الأمة بهامش ميزان الكبرى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السّراج الوهّاج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،فتح الوهّاب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1:335</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1:196</w:t>
      </w:r>
      <w:r>
        <w:rPr>
          <w:rFonts w:ascii="IRNazanin" w:hAnsi="IRNazanin" w:eastAsia="IRNazanin"/>
          <w:b w:val="false"/>
          <w:b w:val="false"/>
          <w:bCs w:val="false"/>
          <w:i w:val="false"/>
          <w:i w:val="false"/>
          <w:iCs w:val="false"/>
          <w:color w:val="333333"/>
          <w:sz w:val="20"/>
          <w:sz w:val="20"/>
          <w:szCs w:val="20"/>
          <w:rtl w:val="true"/>
        </w:rPr>
        <w:t xml:space="preserve">، بداية المجتهد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،تفسير القرطبي </w:t>
      </w:r>
      <w:r>
        <w:rPr>
          <w:rFonts w:eastAsia="IRNazanin" w:cs="IRNazanin"/>
          <w:b w:val="false"/>
          <w:bCs w:val="false"/>
          <w:i w:val="false"/>
          <w:iCs w:val="false"/>
          <w:color w:val="333333"/>
          <w:sz w:val="20"/>
          <w:szCs w:val="20"/>
        </w:rPr>
        <w:t>6:103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المحلّى </w:t>
      </w:r>
      <w:r>
        <w:rPr>
          <w:rFonts w:eastAsia="IRNazanin" w:cs="IRNazanin"/>
          <w:b w:val="false"/>
          <w:bCs w:val="false"/>
          <w:i w:val="false"/>
          <w:iCs w:val="false"/>
          <w:color w:val="333333"/>
          <w:sz w:val="20"/>
          <w:szCs w:val="20"/>
        </w:rPr>
        <w:t>2:113</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1:231</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المدوّنة الكبرى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،بلغة السّالك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،تفسير القرطبي </w:t>
      </w:r>
      <w:r>
        <w:rPr>
          <w:rFonts w:eastAsia="IRNazanin" w:cs="IRNazanin"/>
          <w:b w:val="false"/>
          <w:bCs w:val="false"/>
          <w:i w:val="false"/>
          <w:iCs w:val="false"/>
          <w:color w:val="333333"/>
          <w:sz w:val="20"/>
          <w:szCs w:val="20"/>
        </w:rPr>
        <w:t>6:103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1:335</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1:196</w:t>
      </w:r>
      <w:r>
        <w:rPr>
          <w:rFonts w:ascii="IRNazanin" w:hAnsi="IRNazanin" w:eastAsia="IRNazanin"/>
          <w:b w:val="false"/>
          <w:b w:val="false"/>
          <w:bCs w:val="false"/>
          <w:i w:val="false"/>
          <w:i w:val="false"/>
          <w:iCs w:val="false"/>
          <w:color w:val="333333"/>
          <w:sz w:val="20"/>
          <w:sz w:val="20"/>
          <w:szCs w:val="20"/>
          <w:rtl w:val="true"/>
        </w:rPr>
        <w:t xml:space="preserve">،ميزان الكبرى </w:t>
      </w:r>
      <w:r>
        <w:rPr>
          <w:rFonts w:eastAsia="IRNazanin" w:cs="IRNazanin"/>
          <w:b w:val="false"/>
          <w:bCs w:val="false"/>
          <w:i w:val="false"/>
          <w:iCs w:val="false"/>
          <w:color w:val="333333"/>
          <w:sz w:val="20"/>
          <w:szCs w:val="20"/>
        </w:rPr>
        <w:t>1:127</w:t>
      </w:r>
      <w:r>
        <w:rPr>
          <w:rFonts w:ascii="IRNazanin" w:hAnsi="IRNazanin" w:eastAsia="IRNazanin"/>
          <w:b w:val="false"/>
          <w:b w:val="false"/>
          <w:bCs w:val="false"/>
          <w:i w:val="false"/>
          <w:i w:val="false"/>
          <w:iCs w:val="false"/>
          <w:color w:val="333333"/>
          <w:sz w:val="20"/>
          <w:sz w:val="20"/>
          <w:szCs w:val="20"/>
          <w:rtl w:val="true"/>
        </w:rPr>
        <w:t xml:space="preserve">،رحمة الأمة بهامش ميزان الكبرى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1:231</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حفص عمر بن عبد العزيز بن مروان بن الحكم الأموي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روي عن الباقر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نجيب بني أميّة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 بن عبد العزيز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روى عن عبد اللّه بن جعفر و أنس بن مالك و سعيد بن المسيّب و غيرهم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روى عنه ابناه و الزّهريّ و أيّوب و حميد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مات بدير سمعان من أرض المعرّة سنة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الحفّاظ </w:t>
      </w:r>
      <w:r>
        <w:rPr>
          <w:rFonts w:eastAsia="IRNazanin" w:cs="IRNazanin"/>
          <w:b w:val="false"/>
          <w:bCs w:val="false"/>
          <w:i w:val="false"/>
          <w:iCs w:val="false"/>
          <w:color w:val="333333"/>
          <w:sz w:val="20"/>
          <w:szCs w:val="20"/>
        </w:rPr>
        <w:t>1:118</w:t>
      </w:r>
      <w:r>
        <w:rPr>
          <w:rFonts w:ascii="IRNazanin" w:hAnsi="IRNazanin" w:eastAsia="IRNazanin"/>
          <w:b w:val="false"/>
          <w:b w:val="false"/>
          <w:bCs w:val="false"/>
          <w:i w:val="false"/>
          <w:i w:val="false"/>
          <w:iCs w:val="false"/>
          <w:color w:val="333333"/>
          <w:sz w:val="20"/>
          <w:sz w:val="20"/>
          <w:szCs w:val="20"/>
          <w:rtl w:val="true"/>
        </w:rPr>
        <w:t xml:space="preserve">،العبر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عبد الرّحمن عبد اللّه بن المبارك بن واضح الحنظلي،مولاهم المروزي الفقيه الحافظ التّاجر السفّار، صنّف التّصانيف الكثيرة،سمع هشام بن عروة و حميد الطّويل و حدّث عنه خلق منهم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الرّحمن بن مهدي و يحيى بن معين و حبان بن موسى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مات سنة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الحفّاظ </w:t>
      </w:r>
      <w:r>
        <w:rPr>
          <w:rFonts w:eastAsia="IRNazanin" w:cs="IRNazanin"/>
          <w:b w:val="false"/>
          <w:bCs w:val="false"/>
          <w:i w:val="false"/>
          <w:iCs w:val="false"/>
          <w:color w:val="333333"/>
          <w:sz w:val="20"/>
          <w:szCs w:val="20"/>
        </w:rPr>
        <w:t>1:274</w:t>
      </w:r>
      <w:r>
        <w:rPr>
          <w:rFonts w:ascii="IRNazanin" w:hAnsi="IRNazanin" w:eastAsia="IRNazanin"/>
          <w:b w:val="false"/>
          <w:b w:val="false"/>
          <w:bCs w:val="false"/>
          <w:i w:val="false"/>
          <w:i w:val="false"/>
          <w:iCs w:val="false"/>
          <w:color w:val="333333"/>
          <w:sz w:val="20"/>
          <w:sz w:val="20"/>
          <w:szCs w:val="20"/>
          <w:rtl w:val="true"/>
        </w:rPr>
        <w:t xml:space="preserve">،العبر </w:t>
      </w:r>
      <w:r>
        <w:rPr>
          <w:rFonts w:eastAsia="IRNazanin" w:cs="IRNazanin"/>
          <w:b w:val="false"/>
          <w:bCs w:val="false"/>
          <w:i w:val="false"/>
          <w:iCs w:val="false"/>
          <w:color w:val="333333"/>
          <w:sz w:val="20"/>
          <w:szCs w:val="20"/>
        </w:rPr>
        <w:t>1:271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1:335</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1:196</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1:521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1:231</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1:162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1:182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550</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4:251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1:232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،جامع الأصول </w:t>
      </w:r>
      <w:r>
        <w:rPr>
          <w:rFonts w:eastAsia="IRNazanin" w:cs="IRNazanin"/>
          <w:b w:val="false"/>
          <w:bCs w:val="false"/>
          <w:i w:val="false"/>
          <w:iCs w:val="false"/>
          <w:color w:val="333333"/>
          <w:sz w:val="20"/>
          <w:szCs w:val="20"/>
        </w:rPr>
        <w:t>8:139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5276</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1:163</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1:336</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مختصر المزني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8:10</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1:521</w:t>
      </w:r>
      <w:r>
        <w:rPr>
          <w:rFonts w:ascii="IRNazanin" w:hAnsi="IRNazanin" w:eastAsia="IRNazanin"/>
          <w:b w:val="false"/>
          <w:b w:val="false"/>
          <w:bCs w:val="false"/>
          <w:i w:val="false"/>
          <w:i w:val="false"/>
          <w:iCs w:val="false"/>
          <w:color w:val="333333"/>
          <w:sz w:val="20"/>
          <w:sz w:val="20"/>
          <w:szCs w:val="20"/>
          <w:rtl w:val="true"/>
        </w:rPr>
        <w:t xml:space="preserve">،فتح العزيز هامش المجموع </w:t>
      </w:r>
      <w:r>
        <w:rPr>
          <w:rFonts w:eastAsia="IRNazanin" w:cs="IRNazanin"/>
          <w:b w:val="false"/>
          <w:bCs w:val="false"/>
          <w:i w:val="false"/>
          <w:iCs w:val="false"/>
          <w:color w:val="333333"/>
          <w:sz w:val="20"/>
          <w:szCs w:val="20"/>
        </w:rPr>
        <w:t>2:388</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،السّراج الوهّاج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،فتح الوهّاب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،ميزان الكبرى </w:t>
      </w:r>
      <w:r>
        <w:rPr>
          <w:rFonts w:eastAsia="IRNazanin" w:cs="IRNazanin"/>
          <w:b w:val="false"/>
          <w:bCs w:val="false"/>
          <w:i w:val="false"/>
          <w:iCs w:val="false"/>
          <w:color w:val="333333"/>
          <w:sz w:val="20"/>
          <w:szCs w:val="20"/>
        </w:rPr>
        <w:t>1:127</w:t>
      </w:r>
      <w:r>
        <w:rPr>
          <w:rFonts w:ascii="IRNazanin" w:hAnsi="IRNazanin" w:eastAsia="IRNazanin"/>
          <w:b w:val="false"/>
          <w:b w:val="false"/>
          <w:bCs w:val="false"/>
          <w:i w:val="false"/>
          <w:i w:val="false"/>
          <w:iCs w:val="false"/>
          <w:color w:val="333333"/>
          <w:sz w:val="20"/>
          <w:sz w:val="20"/>
          <w:szCs w:val="20"/>
          <w:rtl w:val="true"/>
        </w:rPr>
        <w:t xml:space="preserve">، رحمة الأمة بهامش ميزان الكبرى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1:337</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1:197</w:t>
      </w:r>
      <w:r>
        <w:rPr>
          <w:rFonts w:ascii="IRNazanin" w:hAnsi="IRNazanin" w:eastAsia="IRNazanin"/>
          <w:b w:val="false"/>
          <w:b w:val="false"/>
          <w:bCs w:val="false"/>
          <w:i w:val="false"/>
          <w:i w:val="false"/>
          <w:iCs w:val="false"/>
          <w:color w:val="333333"/>
          <w:sz w:val="20"/>
          <w:sz w:val="20"/>
          <w:szCs w:val="20"/>
          <w:rtl w:val="true"/>
        </w:rPr>
        <w:t xml:space="preserve">، المحلّى </w:t>
      </w:r>
      <w:r>
        <w:rPr>
          <w:rFonts w:eastAsia="IRNazanin" w:cs="IRNazanin"/>
          <w:b w:val="false"/>
          <w:bCs w:val="false"/>
          <w:i w:val="false"/>
          <w:iCs w:val="false"/>
          <w:color w:val="333333"/>
          <w:sz w:val="20"/>
          <w:szCs w:val="20"/>
        </w:rPr>
        <w:t>2:112</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1:232</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1:100</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،الهداية للمرغينانيّ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،شرح فتح القدير </w:t>
      </w:r>
      <w:r>
        <w:rPr>
          <w:rFonts w:eastAsia="IRNazanin" w:cs="IRNazanin"/>
          <w:b w:val="false"/>
          <w:bCs w:val="false"/>
          <w:i w:val="false"/>
          <w:iCs w:val="false"/>
          <w:color w:val="333333"/>
          <w:sz w:val="20"/>
          <w:szCs w:val="20"/>
        </w:rPr>
        <w:t>1:132</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1:337</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1:197</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1:522</w:t>
      </w:r>
      <w:r>
        <w:rPr>
          <w:rFonts w:ascii="IRNazanin" w:hAnsi="IRNazanin" w:eastAsia="IRNazanin"/>
          <w:b w:val="false"/>
          <w:b w:val="false"/>
          <w:bCs w:val="false"/>
          <w:i w:val="false"/>
          <w:i w:val="false"/>
          <w:iCs w:val="false"/>
          <w:color w:val="333333"/>
          <w:sz w:val="20"/>
          <w:sz w:val="20"/>
          <w:szCs w:val="20"/>
          <w:rtl w:val="true"/>
        </w:rPr>
        <w:t xml:space="preserve">،فتح العزيز هامش المجموع </w:t>
      </w:r>
      <w:r>
        <w:rPr>
          <w:rFonts w:eastAsia="IRNazanin" w:cs="IRNazanin"/>
          <w:b w:val="false"/>
          <w:bCs w:val="false"/>
          <w:i w:val="false"/>
          <w:iCs w:val="false"/>
          <w:color w:val="333333"/>
          <w:sz w:val="20"/>
          <w:szCs w:val="20"/>
        </w:rPr>
        <w:t>2:388</w:t>
      </w:r>
      <w:r>
        <w:rPr>
          <w:rFonts w:ascii="IRNazanin" w:hAnsi="IRNazanin" w:eastAsia="IRNazanin"/>
          <w:b w:val="false"/>
          <w:b w:val="false"/>
          <w:bCs w:val="false"/>
          <w:i w:val="false"/>
          <w:i w:val="false"/>
          <w:iCs w:val="false"/>
          <w:color w:val="333333"/>
          <w:sz w:val="20"/>
          <w:sz w:val="20"/>
          <w:szCs w:val="20"/>
          <w:rtl w:val="true"/>
        </w:rPr>
        <w:t xml:space="preserve">،ميزان الكبرى </w:t>
      </w:r>
      <w:r>
        <w:rPr>
          <w:rFonts w:eastAsia="IRNazanin" w:cs="IRNazanin"/>
          <w:b w:val="false"/>
          <w:bCs w:val="false"/>
          <w:i w:val="false"/>
          <w:iCs w:val="false"/>
          <w:color w:val="333333"/>
          <w:sz w:val="20"/>
          <w:szCs w:val="20"/>
        </w:rPr>
        <w:t>1:127</w:t>
      </w:r>
      <w:r>
        <w:rPr>
          <w:rFonts w:ascii="IRNazanin" w:hAnsi="IRNazanin" w:eastAsia="IRNazanin"/>
          <w:b w:val="false"/>
          <w:b w:val="false"/>
          <w:bCs w:val="false"/>
          <w:i w:val="false"/>
          <w:i w:val="false"/>
          <w:iCs w:val="false"/>
          <w:color w:val="333333"/>
          <w:sz w:val="20"/>
          <w:sz w:val="20"/>
          <w:szCs w:val="20"/>
          <w:rtl w:val="true"/>
        </w:rPr>
        <w:t xml:space="preserve">،رحمة الأمّة بهامش ميزان الكبرى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،المحلّى </w:t>
      </w:r>
      <w:r>
        <w:rPr>
          <w:rFonts w:eastAsia="IRNazanin" w:cs="IRNazanin"/>
          <w:b w:val="false"/>
          <w:bCs w:val="false"/>
          <w:i w:val="false"/>
          <w:iCs w:val="false"/>
          <w:color w:val="333333"/>
          <w:sz w:val="20"/>
          <w:szCs w:val="20"/>
        </w:rPr>
        <w:t>2:112</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1:232</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1:337</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1:522</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1:100</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1:337</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1:197</w:t>
      </w:r>
      <w:r>
        <w:rPr>
          <w:rFonts w:ascii="IRNazanin" w:hAnsi="IRNazanin" w:eastAsia="IRNazanin"/>
          <w:b w:val="false"/>
          <w:b w:val="false"/>
          <w:bCs w:val="false"/>
          <w:i w:val="false"/>
          <w:i w:val="false"/>
          <w:iCs w:val="false"/>
          <w:color w:val="333333"/>
          <w:sz w:val="20"/>
          <w:sz w:val="20"/>
          <w:szCs w:val="20"/>
          <w:rtl w:val="true"/>
        </w:rPr>
        <w:t xml:space="preserve">،الكافي لابن قدامة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،منار السّبيل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1:522</w:t>
      </w:r>
      <w:r>
        <w:rPr>
          <w:rFonts w:ascii="IRNazanin" w:hAnsi="IRNazanin" w:eastAsia="IRNazanin"/>
          <w:b w:val="false"/>
          <w:b w:val="false"/>
          <w:bCs w:val="false"/>
          <w:i w:val="false"/>
          <w:i w:val="false"/>
          <w:iCs w:val="false"/>
          <w:color w:val="333333"/>
          <w:sz w:val="20"/>
          <w:sz w:val="20"/>
          <w:szCs w:val="20"/>
          <w:rtl w:val="true"/>
        </w:rPr>
        <w:t xml:space="preserve">،فتح العزيز هامش المجموع </w:t>
      </w:r>
      <w:r>
        <w:rPr>
          <w:rFonts w:eastAsia="IRNazanin" w:cs="IRNazanin"/>
          <w:b w:val="false"/>
          <w:bCs w:val="false"/>
          <w:i w:val="false"/>
          <w:iCs w:val="false"/>
          <w:color w:val="333333"/>
          <w:sz w:val="20"/>
          <w:szCs w:val="20"/>
        </w:rPr>
        <w:t>2:388</w:t>
      </w:r>
      <w:r>
        <w:rPr>
          <w:rFonts w:ascii="IRNazanin" w:hAnsi="IRNazanin" w:eastAsia="IRNazanin"/>
          <w:b w:val="false"/>
          <w:b w:val="false"/>
          <w:bCs w:val="false"/>
          <w:i w:val="false"/>
          <w:i w:val="false"/>
          <w:iCs w:val="false"/>
          <w:color w:val="333333"/>
          <w:sz w:val="20"/>
          <w:sz w:val="20"/>
          <w:szCs w:val="20"/>
          <w:rtl w:val="true"/>
        </w:rPr>
        <w:t xml:space="preserve">،رحمة الأمة بهامش ميزان الكبرى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،ميزان الكبرى </w:t>
      </w:r>
      <w:r>
        <w:rPr>
          <w:rFonts w:eastAsia="IRNazanin" w:cs="IRNazanin"/>
          <w:b w:val="false"/>
          <w:bCs w:val="false"/>
          <w:i w:val="false"/>
          <w:iCs w:val="false"/>
          <w:color w:val="333333"/>
          <w:sz w:val="20"/>
          <w:szCs w:val="20"/>
        </w:rPr>
        <w:t>1:127</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1:232</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1:338</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1:198</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1:520</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المصادر السّابقة</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1:338</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1:197</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1:518</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2:519</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1:338</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1:197</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،تفسير القرطبي </w:t>
      </w:r>
      <w:r>
        <w:rPr>
          <w:rFonts w:eastAsia="IRNazanin" w:cs="IRNazanin"/>
          <w:b w:val="false"/>
          <w:bCs w:val="false"/>
          <w:i w:val="false"/>
          <w:iCs w:val="false"/>
          <w:color w:val="333333"/>
          <w:sz w:val="20"/>
          <w:szCs w:val="20"/>
        </w:rPr>
        <w:t>6:103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1:338</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1:340</w:t>
      </w:r>
      <w:r>
        <w:rPr>
          <w:rFonts w:ascii="IRNazanin" w:hAnsi="IRNazanin" w:eastAsia="IRNazanin"/>
          <w:b w:val="false"/>
          <w:b w:val="false"/>
          <w:bCs w:val="false"/>
          <w:i w:val="false"/>
          <w:i w:val="false"/>
          <w:iCs w:val="false"/>
          <w:color w:val="333333"/>
          <w:sz w:val="20"/>
          <w:sz w:val="20"/>
          <w:szCs w:val="20"/>
          <w:rtl w:val="true"/>
        </w:rPr>
        <w:t xml:space="preserve">،فتح العزيز هامش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المجموع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1:105</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1:515</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1:510</w:t>
      </w:r>
      <w:r>
        <w:rPr>
          <w:rFonts w:ascii="IRNazanin" w:hAnsi="IRNazanin" w:eastAsia="IRNazanin"/>
          <w:b w:val="false"/>
          <w:b w:val="false"/>
          <w:bCs w:val="false"/>
          <w:i w:val="false"/>
          <w:i w:val="false"/>
          <w:iCs w:val="false"/>
          <w:color w:val="333333"/>
          <w:sz w:val="20"/>
          <w:sz w:val="20"/>
          <w:szCs w:val="20"/>
          <w:rtl w:val="true"/>
        </w:rPr>
        <w:t xml:space="preserve">،فتح العزيز هامش المجموع </w:t>
      </w:r>
      <w:r>
        <w:rPr>
          <w:rFonts w:eastAsia="IRNazanin" w:cs="IRNazanin"/>
          <w:b w:val="false"/>
          <w:bCs w:val="false"/>
          <w:i w:val="false"/>
          <w:iCs w:val="false"/>
          <w:color w:val="333333"/>
          <w:sz w:val="20"/>
          <w:szCs w:val="20"/>
        </w:rPr>
        <w:t>2:375</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1:510</w:t>
      </w:r>
      <w:r>
        <w:rPr>
          <w:rFonts w:ascii="IRNazanin" w:hAnsi="IRNazanin" w:eastAsia="IRNazanin"/>
          <w:b w:val="false"/>
          <w:b w:val="false"/>
          <w:bCs w:val="false"/>
          <w:i w:val="false"/>
          <w:i w:val="false"/>
          <w:iCs w:val="false"/>
          <w:color w:val="333333"/>
          <w:sz w:val="20"/>
          <w:sz w:val="20"/>
          <w:szCs w:val="20"/>
          <w:rtl w:val="true"/>
        </w:rPr>
        <w:t xml:space="preserve">،فتح العزيز هامش المجموع </w:t>
      </w:r>
      <w:r>
        <w:rPr>
          <w:rFonts w:eastAsia="IRNazanin" w:cs="IRNazanin"/>
          <w:b w:val="false"/>
          <w:bCs w:val="false"/>
          <w:i w:val="false"/>
          <w:iCs w:val="false"/>
          <w:color w:val="333333"/>
          <w:sz w:val="20"/>
          <w:szCs w:val="20"/>
        </w:rPr>
        <w:t>2:375</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1:340</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2:594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870</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6:90</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4:256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يسير</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الأحكام في أصول الأحكام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التّأخّر</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أحكام القرآن للجصّاص </w:t>
      </w:r>
      <w:r>
        <w:rPr>
          <w:rFonts w:eastAsia="IRNazanin" w:cs="IRNazanin"/>
          <w:b w:val="false"/>
          <w:bCs w:val="false"/>
          <w:i w:val="false"/>
          <w:iCs w:val="false"/>
          <w:color w:val="333333"/>
          <w:sz w:val="20"/>
          <w:szCs w:val="20"/>
        </w:rPr>
        <w:t>3:372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الام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،الام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مختصر المزني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1:441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ميزان الكبرى </w:t>
      </w:r>
      <w:r>
        <w:rPr>
          <w:rFonts w:eastAsia="IRNazanin" w:cs="IRNazanin"/>
          <w:b w:val="false"/>
          <w:bCs w:val="false"/>
          <w:i w:val="false"/>
          <w:iCs w:val="false"/>
          <w:color w:val="333333"/>
          <w:sz w:val="20"/>
          <w:szCs w:val="20"/>
        </w:rPr>
        <w:t>1:119</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،السّراج الوهّاج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،رحمة الأمة هامش ميزان الكبرى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،فتح العزيز هامش المجموع </w:t>
      </w:r>
      <w:r>
        <w:rPr>
          <w:rFonts w:eastAsia="IRNazanin" w:cs="IRNazanin"/>
          <w:b w:val="false"/>
          <w:bCs w:val="false"/>
          <w:i w:val="false"/>
          <w:iCs w:val="false"/>
          <w:color w:val="333333"/>
          <w:sz w:val="20"/>
          <w:szCs w:val="20"/>
        </w:rPr>
        <w:t>1:361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التّفسير الكبير </w:t>
      </w:r>
      <w:r>
        <w:rPr>
          <w:rFonts w:eastAsia="IRNazanin" w:cs="IRNazanin"/>
          <w:b w:val="false"/>
          <w:bCs w:val="false"/>
          <w:i w:val="false"/>
          <w:iCs w:val="false"/>
          <w:color w:val="333333"/>
          <w:sz w:val="20"/>
          <w:szCs w:val="20"/>
        </w:rPr>
        <w:t>11:153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فتح الوهّاب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1:149</w:t>
      </w:r>
      <w:r>
        <w:rPr>
          <w:rFonts w:ascii="IRNazanin" w:hAnsi="IRNazanin" w:eastAsia="IRNazanin"/>
          <w:b w:val="false"/>
          <w:b w:val="false"/>
          <w:bCs w:val="false"/>
          <w:i w:val="false"/>
          <w:i w:val="false"/>
          <w:iCs w:val="false"/>
          <w:color w:val="333333"/>
          <w:sz w:val="20"/>
          <w:sz w:val="20"/>
          <w:szCs w:val="20"/>
          <w:rtl w:val="true"/>
        </w:rPr>
        <w:t xml:space="preserve">،المحلّى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،تفسير القرطبي </w:t>
      </w:r>
      <w:r>
        <w:rPr>
          <w:rFonts w:eastAsia="IRNazanin" w:cs="IRNazanin"/>
          <w:b w:val="false"/>
          <w:bCs w:val="false"/>
          <w:i w:val="false"/>
          <w:iCs w:val="false"/>
          <w:color w:val="333333"/>
          <w:sz w:val="20"/>
          <w:szCs w:val="20"/>
        </w:rPr>
        <w:t>6:98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1:156</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1:156</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1:138</w:t>
      </w:r>
      <w:r>
        <w:rPr>
          <w:rFonts w:ascii="IRNazanin" w:hAnsi="IRNazanin" w:eastAsia="IRNazanin"/>
          <w:b w:val="false"/>
          <w:b w:val="false"/>
          <w:bCs w:val="false"/>
          <w:i w:val="false"/>
          <w:i w:val="false"/>
          <w:iCs w:val="false"/>
          <w:color w:val="333333"/>
          <w:sz w:val="20"/>
          <w:sz w:val="20"/>
          <w:szCs w:val="20"/>
          <w:rtl w:val="true"/>
        </w:rPr>
        <w:t xml:space="preserve">،الكافي لابن قدامة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،منار السّبيل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،المحلّى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1:443</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،رحمة الأمّة هامش ميزان الكبرى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،تفسير القرطبي </w:t>
      </w:r>
      <w:r>
        <w:rPr>
          <w:rFonts w:eastAsia="IRNazanin" w:cs="IRNazanin"/>
          <w:b w:val="false"/>
          <w:bCs w:val="false"/>
          <w:i w:val="false"/>
          <w:iCs w:val="false"/>
          <w:color w:val="333333"/>
          <w:sz w:val="20"/>
          <w:szCs w:val="20"/>
        </w:rPr>
        <w:t>6:98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ميزان الكبرى </w:t>
      </w:r>
      <w:r>
        <w:rPr>
          <w:rFonts w:eastAsia="IRNazanin" w:cs="IRNazanin"/>
          <w:b w:val="false"/>
          <w:bCs w:val="false"/>
          <w:i w:val="false"/>
          <w:iCs w:val="false"/>
          <w:color w:val="333333"/>
          <w:sz w:val="20"/>
          <w:szCs w:val="20"/>
        </w:rPr>
        <w:t>1:119</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1:156</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1:443</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1:149</w:t>
      </w:r>
      <w:r>
        <w:rPr>
          <w:rFonts w:ascii="IRNazanin" w:hAnsi="IRNazanin" w:eastAsia="IRNazanin"/>
          <w:b w:val="false"/>
          <w:b w:val="false"/>
          <w:bCs w:val="false"/>
          <w:i w:val="false"/>
          <w:i w:val="false"/>
          <w:iCs w:val="false"/>
          <w:color w:val="333333"/>
          <w:sz w:val="20"/>
          <w:sz w:val="20"/>
          <w:szCs w:val="20"/>
          <w:rtl w:val="true"/>
        </w:rPr>
        <w:t xml:space="preserve">،تفسير القرطبي </w:t>
      </w:r>
      <w:r>
        <w:rPr>
          <w:rFonts w:eastAsia="IRNazanin" w:cs="IRNazanin"/>
          <w:b w:val="false"/>
          <w:bCs w:val="false"/>
          <w:i w:val="false"/>
          <w:iCs w:val="false"/>
          <w:color w:val="333333"/>
          <w:sz w:val="20"/>
          <w:szCs w:val="20"/>
        </w:rPr>
        <w:t>6:98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،الهداية للمرغيناني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،شرح فتح القدير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1:156</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1:149</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1:443</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فتح العزيز هامش المجموع </w:t>
      </w:r>
      <w:r>
        <w:rPr>
          <w:rFonts w:eastAsia="IRNazanin" w:cs="IRNazanin"/>
          <w:b w:val="false"/>
          <w:bCs w:val="false"/>
          <w:i w:val="false"/>
          <w:iCs w:val="false"/>
          <w:color w:val="333333"/>
          <w:sz w:val="20"/>
          <w:szCs w:val="20"/>
        </w:rPr>
        <w:t>1:361</w:t>
      </w:r>
      <w:r>
        <w:rPr>
          <w:rFonts w:ascii="IRNazanin" w:hAnsi="IRNazanin" w:eastAsia="IRNazanin"/>
          <w:b w:val="false"/>
          <w:b w:val="false"/>
          <w:bCs w:val="false"/>
          <w:i w:val="false"/>
          <w:i w:val="false"/>
          <w:iCs w:val="false"/>
          <w:color w:val="333333"/>
          <w:sz w:val="20"/>
          <w:sz w:val="20"/>
          <w:szCs w:val="20"/>
          <w:rtl w:val="true"/>
        </w:rPr>
        <w:t xml:space="preserve">،رحمة الأمّة هامش ميزان الكبرى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،المحلّى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،ميزان الكبرى </w:t>
      </w:r>
      <w:r>
        <w:rPr>
          <w:rFonts w:eastAsia="IRNazanin" w:cs="IRNazanin"/>
          <w:b w:val="false"/>
          <w:bCs w:val="false"/>
          <w:i w:val="false"/>
          <w:iCs w:val="false"/>
          <w:color w:val="333333"/>
          <w:sz w:val="20"/>
          <w:szCs w:val="20"/>
        </w:rPr>
        <w:t>1:119</w:t>
      </w:r>
      <w:r>
        <w:rPr>
          <w:rFonts w:ascii="IRNazanin" w:hAnsi="IRNazanin" w:eastAsia="IRNazanin"/>
          <w:b w:val="false"/>
          <w:b w:val="false"/>
          <w:bCs w:val="false"/>
          <w:i w:val="false"/>
          <w:i w:val="false"/>
          <w:iCs w:val="false"/>
          <w:color w:val="333333"/>
          <w:sz w:val="20"/>
          <w:sz w:val="20"/>
          <w:szCs w:val="20"/>
          <w:rtl w:val="true"/>
        </w:rPr>
        <w:t xml:space="preserve">،التّفسير الكبير </w:t>
      </w:r>
      <w:r>
        <w:rPr>
          <w:rFonts w:eastAsia="IRNazanin" w:cs="IRNazanin"/>
          <w:b w:val="false"/>
          <w:bCs w:val="false"/>
          <w:i w:val="false"/>
          <w:iCs w:val="false"/>
          <w:color w:val="333333"/>
          <w:sz w:val="20"/>
          <w:szCs w:val="20"/>
        </w:rPr>
        <w:t>11:153</w:t>
      </w:r>
      <w:r>
        <w:rPr>
          <w:rFonts w:ascii="IRNazanin" w:hAnsi="IRNazanin" w:eastAsia="IRNazanin"/>
          <w:b w:val="false"/>
          <w:b w:val="false"/>
          <w:bCs w:val="false"/>
          <w:i w:val="false"/>
          <w:i w:val="false"/>
          <w:iCs w:val="false"/>
          <w:color w:val="333333"/>
          <w:sz w:val="20"/>
          <w:sz w:val="20"/>
          <w:szCs w:val="20"/>
          <w:rtl w:val="true"/>
        </w:rPr>
        <w:t xml:space="preserve">،تفسير القرطبي </w:t>
      </w:r>
      <w:r>
        <w:rPr>
          <w:rFonts w:eastAsia="IRNazanin" w:cs="IRNazanin"/>
          <w:b w:val="false"/>
          <w:bCs w:val="false"/>
          <w:i w:val="false"/>
          <w:iCs w:val="false"/>
          <w:color w:val="333333"/>
          <w:sz w:val="20"/>
          <w:szCs w:val="20"/>
        </w:rPr>
        <w:t>6:98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1:175</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المدوّنة الكبرى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،مقدّمات ابن رشد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،بلغة السّالك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،تفسير القرطبي </w:t>
      </w:r>
      <w:r>
        <w:rPr>
          <w:rFonts w:eastAsia="IRNazanin" w:cs="IRNazanin"/>
          <w:b w:val="false"/>
          <w:bCs w:val="false"/>
          <w:i w:val="false"/>
          <w:iCs w:val="false"/>
          <w:color w:val="333333"/>
          <w:sz w:val="20"/>
          <w:szCs w:val="20"/>
        </w:rPr>
        <w:t>6:98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1:156</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1:443</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1:149</w:t>
      </w:r>
      <w:r>
        <w:rPr>
          <w:rFonts w:ascii="IRNazanin" w:hAnsi="IRNazanin" w:eastAsia="IRNazanin"/>
          <w:b w:val="false"/>
          <w:b w:val="false"/>
          <w:bCs w:val="false"/>
          <w:i w:val="false"/>
          <w:i w:val="false"/>
          <w:iCs w:val="false"/>
          <w:color w:val="333333"/>
          <w:sz w:val="20"/>
          <w:sz w:val="20"/>
          <w:szCs w:val="20"/>
          <w:rtl w:val="true"/>
        </w:rPr>
        <w:t xml:space="preserve">،فتح العزيز هامش المجموع </w:t>
      </w:r>
      <w:r>
        <w:rPr>
          <w:rFonts w:eastAsia="IRNazanin" w:cs="IRNazanin"/>
          <w:b w:val="false"/>
          <w:bCs w:val="false"/>
          <w:i w:val="false"/>
          <w:iCs w:val="false"/>
          <w:color w:val="333333"/>
          <w:sz w:val="20"/>
          <w:szCs w:val="20"/>
        </w:rPr>
        <w:t>1:361</w:t>
      </w:r>
      <w:r>
        <w:rPr>
          <w:rFonts w:ascii="IRNazanin" w:hAnsi="IRNazanin" w:eastAsia="IRNazanin"/>
          <w:b w:val="false"/>
          <w:b w:val="false"/>
          <w:bCs w:val="false"/>
          <w:i w:val="false"/>
          <w:i w:val="false"/>
          <w:iCs w:val="false"/>
          <w:color w:val="333333"/>
          <w:sz w:val="20"/>
          <w:sz w:val="20"/>
          <w:szCs w:val="20"/>
          <w:rtl w:val="true"/>
        </w:rPr>
        <w:t xml:space="preserve">،المحلّى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،رحمة الأمّة هامش ميزان الكبرى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،التّفسير الكبير </w:t>
      </w:r>
      <w:r>
        <w:rPr>
          <w:rFonts w:eastAsia="IRNazanin" w:cs="IRNazanin"/>
          <w:b w:val="false"/>
          <w:bCs w:val="false"/>
          <w:i w:val="false"/>
          <w:iCs w:val="false"/>
          <w:color w:val="333333"/>
          <w:sz w:val="20"/>
          <w:szCs w:val="20"/>
        </w:rPr>
        <w:t>11:153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1:175</w:t>
      </w:r>
      <w:r>
        <w:rPr>
          <w:rFonts w:ascii="IRNazanin" w:hAnsi="IRNazanin" w:eastAsia="IRNazanin"/>
          <w:b w:val="false"/>
          <w:b w:val="false"/>
          <w:bCs w:val="false"/>
          <w:i w:val="false"/>
          <w:i w:val="false"/>
          <w:iCs w:val="false"/>
          <w:color w:val="333333"/>
          <w:sz w:val="20"/>
          <w:sz w:val="20"/>
          <w:szCs w:val="20"/>
          <w:rtl w:val="true"/>
        </w:rPr>
        <w:t xml:space="preserve">،ميزان الكبرى </w:t>
      </w:r>
      <w:r>
        <w:rPr>
          <w:rFonts w:eastAsia="IRNazanin" w:cs="IRNazanin"/>
          <w:b w:val="false"/>
          <w:bCs w:val="false"/>
          <w:i w:val="false"/>
          <w:iCs w:val="false"/>
          <w:color w:val="333333"/>
          <w:sz w:val="20"/>
          <w:szCs w:val="20"/>
        </w:rPr>
        <w:t>1:119</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1:156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1:443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1:149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القرطبي </w:t>
      </w:r>
      <w:r>
        <w:rPr>
          <w:rFonts w:eastAsia="IRNazanin" w:cs="IRNazanin"/>
          <w:b w:val="false"/>
          <w:bCs w:val="false"/>
          <w:i w:val="false"/>
          <w:iCs w:val="false"/>
          <w:color w:val="333333"/>
          <w:sz w:val="20"/>
          <w:szCs w:val="20"/>
        </w:rPr>
        <w:t>6:98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1:175</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1:149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،الموطّأ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5:368</w:t>
      </w:r>
      <w:r>
        <w:rPr>
          <w:rFonts w:ascii="IRNazanin" w:hAnsi="IRNazanin" w:eastAsia="IRNazanin"/>
          <w:b w:val="false"/>
          <w:b w:val="false"/>
          <w:bCs w:val="false"/>
          <w:i w:val="false"/>
          <w:i w:val="false"/>
          <w:iCs w:val="false"/>
          <w:color w:val="333333"/>
          <w:sz w:val="20"/>
          <w:sz w:val="20"/>
          <w:szCs w:val="20"/>
          <w:rtl w:val="true"/>
        </w:rPr>
        <w:t xml:space="preserve">،سنن الدّارمي </w:t>
      </w:r>
      <w:r>
        <w:rPr>
          <w:rFonts w:eastAsia="IRNazanin" w:cs="IRNazanin"/>
          <w:b w:val="false"/>
          <w:bCs w:val="false"/>
          <w:i w:val="false"/>
          <w:iCs w:val="false"/>
          <w:color w:val="333333"/>
          <w:sz w:val="20"/>
          <w:szCs w:val="20"/>
        </w:rPr>
        <w:t>1:180</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1:145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1:157</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1:149</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1:317</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عنهم</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قياسا على الصّلاة</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،الهداية للمرغيناني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،شرح فتح القدير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1:444</w:t>
      </w:r>
      <w:r>
        <w:rPr>
          <w:rFonts w:ascii="IRNazanin" w:hAnsi="IRNazanin" w:eastAsia="IRNazanin"/>
          <w:b w:val="false"/>
          <w:b w:val="false"/>
          <w:bCs w:val="false"/>
          <w:i w:val="false"/>
          <w:i w:val="false"/>
          <w:iCs w:val="false"/>
          <w:color w:val="333333"/>
          <w:sz w:val="20"/>
          <w:sz w:val="20"/>
          <w:szCs w:val="20"/>
          <w:rtl w:val="true"/>
        </w:rPr>
        <w:t xml:space="preserve">،التّفسير الكبير </w:t>
      </w:r>
      <w:r>
        <w:rPr>
          <w:rFonts w:eastAsia="IRNazanin" w:cs="IRNazanin"/>
          <w:b w:val="false"/>
          <w:bCs w:val="false"/>
          <w:i w:val="false"/>
          <w:iCs w:val="false"/>
          <w:color w:val="333333"/>
          <w:sz w:val="20"/>
          <w:szCs w:val="20"/>
        </w:rPr>
        <w:t>11:155</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 قطني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1:156</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1:149</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1:127</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9:444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26891</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1:157</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1:149</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قال بعض علمائنا بوجوب التّرتيب فيهما،كسلاّر في المراسم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،و قال بعضهم بعدم وجوبه كالمحقّق في المعتبر </w:t>
      </w:r>
      <w:r>
        <w:rPr>
          <w:rFonts w:eastAsia="IRNazanin" w:cs="IRNazanin"/>
          <w:b w:val="false"/>
          <w:bCs w:val="false"/>
          <w:i w:val="false"/>
          <w:iCs w:val="false"/>
          <w:color w:val="333333"/>
          <w:sz w:val="20"/>
          <w:szCs w:val="20"/>
        </w:rPr>
        <w:t>1:155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ادّعى المصنّف الشّهرة عليه في المختلف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انظر مضمونه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نواقض الوضوء،حديث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1:447</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،السّراج الوهّاج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،فتح الوهّاب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،فتح العزيز هامش المجموع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الأحكام في أصول الأحكام </w:t>
      </w:r>
      <w:r>
        <w:rPr>
          <w:rFonts w:eastAsia="IRNazanin" w:cs="IRNazanin"/>
          <w:b w:val="false"/>
          <w:bCs w:val="false"/>
          <w:i w:val="false"/>
          <w:iCs w:val="false"/>
          <w:color w:val="333333"/>
          <w:sz w:val="20"/>
          <w:szCs w:val="20"/>
        </w:rPr>
        <w:t>3:154</w:t>
      </w:r>
      <w:r>
        <w:rPr>
          <w:rFonts w:ascii="IRNazanin" w:hAnsi="IRNazanin" w:eastAsia="IRNazanin"/>
          <w:b w:val="false"/>
          <w:b w:val="false"/>
          <w:bCs w:val="false"/>
          <w:i w:val="false"/>
          <w:i w:val="false"/>
          <w:iCs w:val="false"/>
          <w:color w:val="333333"/>
          <w:sz w:val="20"/>
          <w:sz w:val="20"/>
          <w:szCs w:val="20"/>
          <w:rtl w:val="true"/>
        </w:rPr>
        <w:t xml:space="preserve">،المعتمد في أصول الفقه </w:t>
      </w:r>
      <w:r>
        <w:rPr>
          <w:rFonts w:eastAsia="IRNazanin" w:cs="IRNazanin"/>
          <w:b w:val="false"/>
          <w:bCs w:val="false"/>
          <w:i w:val="false"/>
          <w:iCs w:val="false"/>
          <w:color w:val="333333"/>
          <w:sz w:val="20"/>
          <w:szCs w:val="20"/>
        </w:rPr>
        <w:t>1:405</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أحكام القرآن للجصّاص </w:t>
      </w:r>
      <w:r>
        <w:rPr>
          <w:rFonts w:eastAsia="IRNazanin" w:cs="IRNazanin"/>
          <w:b w:val="false"/>
          <w:bCs w:val="false"/>
          <w:i w:val="false"/>
          <w:iCs w:val="false"/>
          <w:color w:val="333333"/>
          <w:sz w:val="20"/>
          <w:szCs w:val="20"/>
        </w:rPr>
        <w:t>3:363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المعتمد في أصول الفقه </w:t>
      </w:r>
      <w:r>
        <w:rPr>
          <w:rFonts w:eastAsia="IRNazanin" w:cs="IRNazanin"/>
          <w:b w:val="false"/>
          <w:bCs w:val="false"/>
          <w:i w:val="false"/>
          <w:iCs w:val="false"/>
          <w:color w:val="333333"/>
          <w:sz w:val="20"/>
          <w:szCs w:val="20"/>
        </w:rPr>
        <w:t>2:410</w:t>
      </w:r>
      <w:r>
        <w:rPr>
          <w:rFonts w:ascii="IRNazanin" w:hAnsi="IRNazanin" w:eastAsia="IRNazanin"/>
          <w:b w:val="false"/>
          <w:b w:val="false"/>
          <w:bCs w:val="false"/>
          <w:i w:val="false"/>
          <w:i w:val="false"/>
          <w:iCs w:val="false"/>
          <w:color w:val="333333"/>
          <w:sz w:val="20"/>
          <w:sz w:val="20"/>
          <w:szCs w:val="20"/>
          <w:rtl w:val="true"/>
        </w:rPr>
        <w:t xml:space="preserve">،الأحكام في أصول الأحكام </w:t>
      </w:r>
      <w:r>
        <w:rPr>
          <w:rFonts w:eastAsia="IRNazanin" w:cs="IRNazanin"/>
          <w:b w:val="false"/>
          <w:bCs w:val="false"/>
          <w:i w:val="false"/>
          <w:iCs w:val="false"/>
          <w:color w:val="333333"/>
          <w:sz w:val="20"/>
          <w:szCs w:val="20"/>
        </w:rPr>
        <w:t>3:155</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المدوّنة الكبرى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،مقدّمات ابن رشد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،تفسير القرطبي </w:t>
      </w:r>
      <w:r>
        <w:rPr>
          <w:rFonts w:eastAsia="IRNazanin" w:cs="IRNazanin"/>
          <w:b w:val="false"/>
          <w:bCs w:val="false"/>
          <w:i w:val="false"/>
          <w:iCs w:val="false"/>
          <w:color w:val="333333"/>
          <w:sz w:val="20"/>
          <w:szCs w:val="20"/>
        </w:rPr>
        <w:t>6:98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الشّرح الصّغير بهامش بلغة السّالك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1:158</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1:455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المحلّى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1:150</w:t>
      </w:r>
      <w:r>
        <w:rPr>
          <w:rFonts w:ascii="IRNazanin" w:hAnsi="IRNazanin" w:eastAsia="IRNazanin"/>
          <w:b w:val="false"/>
          <w:b w:val="false"/>
          <w:bCs w:val="false"/>
          <w:i w:val="false"/>
          <w:i w:val="false"/>
          <w:iCs w:val="false"/>
          <w:color w:val="333333"/>
          <w:sz w:val="20"/>
          <w:sz w:val="20"/>
          <w:szCs w:val="20"/>
          <w:rtl w:val="true"/>
        </w:rPr>
        <w:t xml:space="preserve">،رحمة الأمّة هامش ميزان الكبرى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،التّفسير الكبير </w:t>
      </w:r>
      <w:r>
        <w:rPr>
          <w:rFonts w:eastAsia="IRNazanin" w:cs="IRNazanin"/>
          <w:b w:val="false"/>
          <w:bCs w:val="false"/>
          <w:i w:val="false"/>
          <w:iCs w:val="false"/>
          <w:color w:val="333333"/>
          <w:sz w:val="20"/>
          <w:szCs w:val="20"/>
        </w:rPr>
        <w:t>11:155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1:218</w:t>
      </w:r>
      <w:r>
        <w:rPr>
          <w:rFonts w:ascii="IRNazanin" w:hAnsi="IRNazanin" w:eastAsia="IRNazanin"/>
          <w:b w:val="false"/>
          <w:b w:val="false"/>
          <w:bCs w:val="false"/>
          <w:i w:val="false"/>
          <w:i w:val="false"/>
          <w:iCs w:val="false"/>
          <w:color w:val="333333"/>
          <w:sz w:val="20"/>
          <w:sz w:val="20"/>
          <w:szCs w:val="20"/>
          <w:rtl w:val="true"/>
        </w:rPr>
        <w:t xml:space="preserve">،ميزان الكبرى </w:t>
      </w:r>
      <w:r>
        <w:rPr>
          <w:rFonts w:eastAsia="IRNazanin" w:cs="IRNazanin"/>
          <w:b w:val="false"/>
          <w:bCs w:val="false"/>
          <w:i w:val="false"/>
          <w:iCs w:val="false"/>
          <w:color w:val="333333"/>
          <w:sz w:val="20"/>
          <w:szCs w:val="20"/>
        </w:rPr>
        <w:t>1:119</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1:454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1:158</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1:139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1:150</w:t>
      </w:r>
      <w:r>
        <w:rPr>
          <w:rFonts w:ascii="IRNazanin" w:hAnsi="IRNazanin" w:eastAsia="IRNazanin"/>
          <w:b w:val="false"/>
          <w:b w:val="false"/>
          <w:bCs w:val="false"/>
          <w:i w:val="false"/>
          <w:i w:val="false"/>
          <w:iCs w:val="false"/>
          <w:color w:val="333333"/>
          <w:sz w:val="20"/>
          <w:sz w:val="20"/>
          <w:szCs w:val="20"/>
          <w:rtl w:val="true"/>
        </w:rPr>
        <w:t xml:space="preserve">،الكافي لابن قدامة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،منار السّبيل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1:455</w:t>
      </w:r>
      <w:r>
        <w:rPr>
          <w:rFonts w:ascii="IRNazanin" w:hAnsi="IRNazanin" w:eastAsia="IRNazanin"/>
          <w:b w:val="false"/>
          <w:b w:val="false"/>
          <w:bCs w:val="false"/>
          <w:i w:val="false"/>
          <w:i w:val="false"/>
          <w:iCs w:val="false"/>
          <w:color w:val="333333"/>
          <w:sz w:val="20"/>
          <w:sz w:val="20"/>
          <w:szCs w:val="20"/>
          <w:rtl w:val="true"/>
        </w:rPr>
        <w:t xml:space="preserve">،ميزان الكبرى </w:t>
      </w:r>
      <w:r>
        <w:rPr>
          <w:rFonts w:eastAsia="IRNazanin" w:cs="IRNazanin"/>
          <w:b w:val="false"/>
          <w:bCs w:val="false"/>
          <w:i w:val="false"/>
          <w:iCs w:val="false"/>
          <w:color w:val="333333"/>
          <w:sz w:val="20"/>
          <w:szCs w:val="20"/>
        </w:rPr>
        <w:t>1:119</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1:218</w:t>
      </w:r>
      <w:r>
        <w:rPr>
          <w:rFonts w:ascii="IRNazanin" w:hAnsi="IRNazanin" w:eastAsia="IRNazanin"/>
          <w:b w:val="false"/>
          <w:b w:val="false"/>
          <w:bCs w:val="false"/>
          <w:i w:val="false"/>
          <w:i w:val="false"/>
          <w:iCs w:val="false"/>
          <w:color w:val="333333"/>
          <w:sz w:val="20"/>
          <w:sz w:val="20"/>
          <w:szCs w:val="20"/>
          <w:rtl w:val="true"/>
        </w:rPr>
        <w:t xml:space="preserve">،رحمة الأمّة هامش ميزان الكبرى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،فتح العزيز هامش المجموع </w:t>
      </w:r>
      <w:r>
        <w:rPr>
          <w:rFonts w:eastAsia="IRNazanin" w:cs="IRNazanin"/>
          <w:b w:val="false"/>
          <w:bCs w:val="false"/>
          <w:i w:val="false"/>
          <w:iCs w:val="false"/>
          <w:color w:val="333333"/>
          <w:sz w:val="20"/>
          <w:szCs w:val="20"/>
        </w:rPr>
        <w:t>1:438</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1:158</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1:455</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1:150</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1:218</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1:452</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1:150</w:t>
      </w:r>
      <w:r>
        <w:rPr>
          <w:rFonts w:ascii="IRNazanin" w:hAnsi="IRNazanin" w:eastAsia="IRNazanin"/>
          <w:b w:val="false"/>
          <w:b w:val="false"/>
          <w:bCs w:val="false"/>
          <w:i w:val="false"/>
          <w:i w:val="false"/>
          <w:iCs w:val="false"/>
          <w:color w:val="333333"/>
          <w:sz w:val="20"/>
          <w:sz w:val="20"/>
          <w:szCs w:val="20"/>
          <w:rtl w:val="true"/>
        </w:rPr>
        <w:t>، السّراج الوهّاج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1:218</w:t>
      </w:r>
      <w:r>
        <w:rPr>
          <w:rFonts w:ascii="IRNazanin" w:hAnsi="IRNazanin" w:eastAsia="IRNazanin"/>
          <w:b w:val="false"/>
          <w:b w:val="false"/>
          <w:bCs w:val="false"/>
          <w:i w:val="false"/>
          <w:i w:val="false"/>
          <w:iCs w:val="false"/>
          <w:color w:val="333333"/>
          <w:sz w:val="20"/>
          <w:sz w:val="20"/>
          <w:szCs w:val="20"/>
          <w:rtl w:val="true"/>
        </w:rPr>
        <w:t xml:space="preserve">،فتح العزيز هامش المجموع </w:t>
      </w:r>
      <w:r>
        <w:rPr>
          <w:rFonts w:eastAsia="IRNazanin" w:cs="IRNazanin"/>
          <w:b w:val="false"/>
          <w:bCs w:val="false"/>
          <w:i w:val="false"/>
          <w:iCs w:val="false"/>
          <w:color w:val="333333"/>
          <w:sz w:val="20"/>
          <w:szCs w:val="20"/>
        </w:rPr>
        <w:t>1:438</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1:158</w:t>
      </w:r>
      <w:r>
        <w:rPr>
          <w:rFonts w:ascii="IRNazanin" w:hAnsi="IRNazanin" w:eastAsia="IRNazanin"/>
          <w:b w:val="false"/>
          <w:b w:val="false"/>
          <w:bCs w:val="false"/>
          <w:i w:val="false"/>
          <w:i w:val="false"/>
          <w:iCs w:val="false"/>
          <w:color w:val="333333"/>
          <w:sz w:val="20"/>
          <w:sz w:val="20"/>
          <w:szCs w:val="20"/>
          <w:rtl w:val="true"/>
        </w:rPr>
        <w:t xml:space="preserve">،ميزان الكبرى </w:t>
      </w:r>
      <w:r>
        <w:rPr>
          <w:rFonts w:eastAsia="IRNazanin" w:cs="IRNazanin"/>
          <w:b w:val="false"/>
          <w:bCs w:val="false"/>
          <w:i w:val="false"/>
          <w:iCs w:val="false"/>
          <w:color w:val="333333"/>
          <w:sz w:val="20"/>
          <w:szCs w:val="20"/>
        </w:rPr>
        <w:t>1:119</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1:150</w:t>
      </w:r>
      <w:r>
        <w:rPr>
          <w:rFonts w:ascii="IRNazanin" w:hAnsi="IRNazanin" w:eastAsia="IRNazanin"/>
          <w:b w:val="false"/>
          <w:b w:val="false"/>
          <w:bCs w:val="false"/>
          <w:i w:val="false"/>
          <w:i w:val="false"/>
          <w:iCs w:val="false"/>
          <w:color w:val="333333"/>
          <w:sz w:val="20"/>
          <w:sz w:val="20"/>
          <w:szCs w:val="20"/>
          <w:rtl w:val="true"/>
        </w:rPr>
        <w:t xml:space="preserve">،رحمة الأمّة هامش ميزان الكبرى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،المحلّى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،التّفسير الكبير </w:t>
      </w:r>
      <w:r>
        <w:rPr>
          <w:rFonts w:eastAsia="IRNazanin" w:cs="IRNazanin"/>
          <w:b w:val="false"/>
          <w:bCs w:val="false"/>
          <w:i w:val="false"/>
          <w:iCs w:val="false"/>
          <w:color w:val="333333"/>
          <w:sz w:val="20"/>
          <w:szCs w:val="20"/>
        </w:rPr>
        <w:t>11:155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مختصر المزنيّ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1:452</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1:150</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،ميزان الكبرى </w:t>
      </w:r>
      <w:r>
        <w:rPr>
          <w:rFonts w:eastAsia="IRNazanin" w:cs="IRNazanin"/>
          <w:b w:val="false"/>
          <w:bCs w:val="false"/>
          <w:i w:val="false"/>
          <w:iCs w:val="false"/>
          <w:color w:val="333333"/>
          <w:sz w:val="20"/>
          <w:szCs w:val="20"/>
        </w:rPr>
        <w:t>1:119</w:t>
      </w:r>
      <w:r>
        <w:rPr>
          <w:rFonts w:ascii="IRNazanin" w:hAnsi="IRNazanin" w:eastAsia="IRNazanin"/>
          <w:b w:val="false"/>
          <w:b w:val="false"/>
          <w:bCs w:val="false"/>
          <w:i w:val="false"/>
          <w:i w:val="false"/>
          <w:iCs w:val="false"/>
          <w:color w:val="333333"/>
          <w:sz w:val="20"/>
          <w:sz w:val="20"/>
          <w:szCs w:val="20"/>
          <w:rtl w:val="true"/>
        </w:rPr>
        <w:t xml:space="preserve">،التّفسير الكبير </w:t>
      </w:r>
      <w:r>
        <w:rPr>
          <w:rFonts w:eastAsia="IRNazanin" w:cs="IRNazanin"/>
          <w:b w:val="false"/>
          <w:bCs w:val="false"/>
          <w:i w:val="false"/>
          <w:iCs w:val="false"/>
          <w:color w:val="333333"/>
          <w:sz w:val="20"/>
          <w:szCs w:val="20"/>
        </w:rPr>
        <w:t>11:155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المحلّى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،تفسير القرطبي </w:t>
      </w:r>
      <w:r>
        <w:rPr>
          <w:rFonts w:eastAsia="IRNazanin" w:cs="IRNazanin"/>
          <w:b w:val="false"/>
          <w:bCs w:val="false"/>
          <w:i w:val="false"/>
          <w:iCs w:val="false"/>
          <w:color w:val="333333"/>
          <w:sz w:val="20"/>
          <w:szCs w:val="20"/>
        </w:rPr>
        <w:t>6:98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فتح العزيز هامش المجموع </w:t>
      </w:r>
      <w:r>
        <w:rPr>
          <w:rFonts w:eastAsia="IRNazanin" w:cs="IRNazanin"/>
          <w:b w:val="false"/>
          <w:bCs w:val="false"/>
          <w:i w:val="false"/>
          <w:iCs w:val="false"/>
          <w:color w:val="333333"/>
          <w:sz w:val="20"/>
          <w:szCs w:val="20"/>
        </w:rPr>
        <w:t>1:438</w:t>
      </w:r>
      <w:r>
        <w:rPr>
          <w:rFonts w:ascii="IRNazanin" w:hAnsi="IRNazanin" w:eastAsia="IRNazanin"/>
          <w:b w:val="false"/>
          <w:b w:val="false"/>
          <w:bCs w:val="false"/>
          <w:i w:val="false"/>
          <w:i w:val="false"/>
          <w:iCs w:val="false"/>
          <w:color w:val="333333"/>
          <w:sz w:val="20"/>
          <w:sz w:val="20"/>
          <w:szCs w:val="20"/>
          <w:rtl w:val="true"/>
        </w:rPr>
        <w:t xml:space="preserve">،رحمة الأمّة هامش ميزان الكبرى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1:454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المحلّى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1:150</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1:145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9:454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26938</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مرّت ترجمته و القول فيه في الجزء الأوّل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فنفد الماء</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مرّت ترجمته و القول فيه في الجزء الأوّل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تابع بين الوضوء</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شرطها</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1:184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556</w:t>
      </w:r>
      <w:r>
        <w:rPr>
          <w:rFonts w:ascii="IRNazanin" w:hAnsi="IRNazanin" w:eastAsia="IRNazanin"/>
          <w:b w:val="false"/>
          <w:b w:val="false"/>
          <w:bCs w:val="false"/>
          <w:i w:val="false"/>
          <w:i w:val="false"/>
          <w:iCs w:val="false"/>
          <w:color w:val="333333"/>
          <w:sz w:val="20"/>
          <w:sz w:val="20"/>
          <w:szCs w:val="20"/>
          <w:rtl w:val="true"/>
        </w:rPr>
        <w:t xml:space="preserve">،سنن الدّار قطني </w:t>
      </w:r>
      <w:r>
        <w:rPr>
          <w:rFonts w:eastAsia="IRNazanin" w:cs="IRNazanin"/>
          <w:b w:val="false"/>
          <w:bCs w:val="false"/>
          <w:i w:val="false"/>
          <w:iCs w:val="false"/>
          <w:color w:val="333333"/>
          <w:sz w:val="20"/>
          <w:szCs w:val="20"/>
        </w:rPr>
        <w:t>1:194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1:281</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9:406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26717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27639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 في الجميع</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1:455</w:t>
      </w:r>
      <w:r>
        <w:rPr>
          <w:rFonts w:ascii="IRNazanin" w:hAnsi="IRNazanin" w:eastAsia="IRNazanin"/>
          <w:b w:val="false"/>
          <w:b w:val="false"/>
          <w:bCs w:val="false"/>
          <w:i w:val="false"/>
          <w:i w:val="false"/>
          <w:iCs w:val="false"/>
          <w:color w:val="333333"/>
          <w:sz w:val="20"/>
          <w:sz w:val="20"/>
          <w:szCs w:val="20"/>
          <w:rtl w:val="true"/>
        </w:rPr>
        <w:t xml:space="preserve">،التّفسير الكبير </w:t>
      </w:r>
      <w:r>
        <w:rPr>
          <w:rFonts w:eastAsia="IRNazanin" w:cs="IRNazanin"/>
          <w:b w:val="false"/>
          <w:bCs w:val="false"/>
          <w:i w:val="false"/>
          <w:iCs w:val="false"/>
          <w:color w:val="333333"/>
          <w:sz w:val="20"/>
          <w:szCs w:val="20"/>
        </w:rPr>
        <w:t>11:155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،أحكام القرآن للجصّاص </w:t>
      </w:r>
      <w:r>
        <w:rPr>
          <w:rFonts w:eastAsia="IRNazanin" w:cs="IRNazanin"/>
          <w:b w:val="false"/>
          <w:bCs w:val="false"/>
          <w:i w:val="false"/>
          <w:iCs w:val="false"/>
          <w:color w:val="333333"/>
          <w:sz w:val="20"/>
          <w:szCs w:val="20"/>
        </w:rPr>
        <w:t>3:363</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أحكام القرآن للجصّاص </w:t>
      </w:r>
      <w:r>
        <w:rPr>
          <w:rFonts w:eastAsia="IRNazanin" w:cs="IRNazanin"/>
          <w:b w:val="false"/>
          <w:bCs w:val="false"/>
          <w:i w:val="false"/>
          <w:iCs w:val="false"/>
          <w:color w:val="333333"/>
          <w:sz w:val="20"/>
          <w:szCs w:val="20"/>
        </w:rPr>
        <w:t>3:364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في المعتبر </w:t>
      </w:r>
      <w:r>
        <w:rPr>
          <w:rFonts w:eastAsia="IRNazanin" w:cs="IRNazanin"/>
          <w:b w:val="false"/>
          <w:bCs w:val="false"/>
          <w:i w:val="false"/>
          <w:iCs w:val="false"/>
          <w:color w:val="333333"/>
          <w:sz w:val="20"/>
          <w:szCs w:val="20"/>
        </w:rPr>
        <w:t>1:157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الجمل و العقود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في المعتبر </w:t>
      </w:r>
      <w:r>
        <w:rPr>
          <w:rFonts w:eastAsia="IRNazanin" w:cs="IRNazanin"/>
          <w:b w:val="false"/>
          <w:bCs w:val="false"/>
          <w:i w:val="false"/>
          <w:iCs w:val="false"/>
          <w:color w:val="333333"/>
          <w:sz w:val="20"/>
          <w:szCs w:val="20"/>
        </w:rPr>
        <w:t>1:157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النّاصريّات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1:159</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1:176</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1:159</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1:175</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المدوّنة الكبرى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،مقدّمات ابن رشد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،أحكام القرآن لابن العربي </w:t>
      </w:r>
      <w:r>
        <w:rPr>
          <w:rFonts w:eastAsia="IRNazanin" w:cs="IRNazanin"/>
          <w:b w:val="false"/>
          <w:bCs w:val="false"/>
          <w:i w:val="false"/>
          <w:iCs w:val="false"/>
          <w:color w:val="333333"/>
          <w:sz w:val="20"/>
          <w:szCs w:val="20"/>
        </w:rPr>
        <w:t>2:582</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1:175</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،الهداية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،الهداية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1:431</w:t>
      </w:r>
      <w:r>
        <w:rPr>
          <w:rFonts w:ascii="IRNazanin" w:hAnsi="IRNazanin" w:eastAsia="IRNazanin"/>
          <w:b w:val="false"/>
          <w:b w:val="false"/>
          <w:bCs w:val="false"/>
          <w:i w:val="false"/>
          <w:i w:val="false"/>
          <w:iCs w:val="false"/>
          <w:color w:val="333333"/>
          <w:sz w:val="20"/>
          <w:sz w:val="20"/>
          <w:szCs w:val="20"/>
          <w:rtl w:val="true"/>
        </w:rPr>
        <w:t xml:space="preserve">،التّفسير الكبير </w:t>
      </w:r>
      <w:r>
        <w:rPr>
          <w:rFonts w:eastAsia="IRNazanin" w:cs="IRNazanin"/>
          <w:b w:val="false"/>
          <w:bCs w:val="false"/>
          <w:i w:val="false"/>
          <w:iCs w:val="false"/>
          <w:color w:val="333333"/>
          <w:sz w:val="20"/>
          <w:szCs w:val="20"/>
        </w:rPr>
        <w:t>11:157</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،السّراج الوهّاج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،فتح الوهّاب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Pr>
        <w:t>1:209</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،الهداية للمرغيناني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،شرح فتح القدير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1:159</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1:175</w:t>
      </w:r>
      <w:r>
        <w:rPr>
          <w:rFonts w:ascii="IRNazanin" w:hAnsi="IRNazanin" w:eastAsia="IRNazanin"/>
          <w:b w:val="false"/>
          <w:b w:val="false"/>
          <w:bCs w:val="false"/>
          <w:i w:val="false"/>
          <w:i w:val="false"/>
          <w:iCs w:val="false"/>
          <w:color w:val="333333"/>
          <w:sz w:val="20"/>
          <w:sz w:val="20"/>
          <w:szCs w:val="20"/>
          <w:rtl w:val="true"/>
        </w:rPr>
        <w:t xml:space="preserve">،الكافي لابن قدامة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منار السّبيل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الدّار قطني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1:214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9:450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26920</w:t>
      </w:r>
      <w:r>
        <w:rPr>
          <w:rFonts w:ascii="IRNazanin" w:hAnsi="IRNazanin" w:eastAsia="IRNazanin"/>
          <w:b w:val="false"/>
          <w:b w:val="false"/>
          <w:bCs w:val="false"/>
          <w:i w:val="false"/>
          <w:i w:val="false"/>
          <w:iCs w:val="false"/>
          <w:color w:val="333333"/>
          <w:sz w:val="20"/>
          <w:sz w:val="20"/>
          <w:szCs w:val="20"/>
          <w:rtl w:val="true"/>
        </w:rPr>
        <w:t xml:space="preserve">،جامع الأصول </w:t>
      </w:r>
      <w:r>
        <w:rPr>
          <w:rFonts w:eastAsia="IRNazanin" w:cs="IRNazanin"/>
          <w:b w:val="false"/>
          <w:bCs w:val="false"/>
          <w:i w:val="false"/>
          <w:iCs w:val="false"/>
          <w:color w:val="333333"/>
          <w:sz w:val="20"/>
          <w:szCs w:val="20"/>
        </w:rPr>
        <w:t>8:90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5161</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1083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الوضوء،حديث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الوضوء،حديث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تقدّم بيانه في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داود بن زربيّ،أبو سليمان الخندقيّ البندار الكوفيّ،عدّه الشّيخ في رجاله من أصحاب الإمامين الصّادق و الكاظم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التّقيّة</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فكنت</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عبد اللّه محمّد بن أبي جعفر المنصور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اسم أبي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محمّد بن عليّ بن عبد اللّه بن عبّاس،ثالث خلفاء بني العبّاس،تولاّها بعد المنصور و كانت خلافته عشر سنين و شهرا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مات سنة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شذرات الذّهب </w:t>
      </w:r>
      <w:r>
        <w:rPr>
          <w:rFonts w:eastAsia="IRNazanin" w:cs="IRNazanin"/>
          <w:b w:val="false"/>
          <w:bCs w:val="false"/>
          <w:i w:val="false"/>
          <w:iCs w:val="false"/>
          <w:color w:val="333333"/>
          <w:sz w:val="20"/>
          <w:szCs w:val="20"/>
        </w:rPr>
        <w:t>1:266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العبر </w:t>
      </w:r>
      <w:r>
        <w:rPr>
          <w:rFonts w:eastAsia="IRNazanin" w:cs="IRNazanin"/>
          <w:b w:val="false"/>
          <w:bCs w:val="false"/>
          <w:i w:val="false"/>
          <w:iCs w:val="false"/>
          <w:color w:val="333333"/>
          <w:sz w:val="20"/>
          <w:szCs w:val="20"/>
        </w:rPr>
        <w:t>1:196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1:160</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1:175</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1:145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xml:space="preserve">،سنن الدّار قطني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9:454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26938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يسير</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مقدّمات ابن رشد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،أحكام القرآن لابن العربي </w:t>
      </w:r>
      <w:r>
        <w:rPr>
          <w:rFonts w:eastAsia="IRNazanin" w:cs="IRNazanin"/>
          <w:b w:val="false"/>
          <w:bCs w:val="false"/>
          <w:i w:val="false"/>
          <w:iCs w:val="false"/>
          <w:color w:val="333333"/>
          <w:sz w:val="20"/>
          <w:szCs w:val="20"/>
        </w:rPr>
        <w:t>2:583</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1:161</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1:176</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1:215</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1:146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2:180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9:455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26941</w:t>
      </w:r>
      <w:r>
        <w:rPr>
          <w:rFonts w:ascii="IRNazanin" w:hAnsi="IRNazanin" w:eastAsia="IRNazanin"/>
          <w:b w:val="false"/>
          <w:b w:val="false"/>
          <w:bCs w:val="false"/>
          <w:i w:val="false"/>
          <w:i w:val="false"/>
          <w:iCs w:val="false"/>
          <w:color w:val="333333"/>
          <w:sz w:val="20"/>
          <w:sz w:val="20"/>
          <w:szCs w:val="20"/>
          <w:rtl w:val="true"/>
        </w:rPr>
        <w:t xml:space="preserve">،جامع الأصول </w:t>
      </w:r>
      <w:r>
        <w:rPr>
          <w:rFonts w:eastAsia="IRNazanin" w:cs="IRNazanin"/>
          <w:b w:val="false"/>
          <w:bCs w:val="false"/>
          <w:i w:val="false"/>
          <w:iCs w:val="false"/>
          <w:color w:val="333333"/>
          <w:sz w:val="20"/>
          <w:szCs w:val="20"/>
        </w:rPr>
        <w:t>8:81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5144</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الكافي في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1:160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،الهداية للمرغيناني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،شرح فتح القدير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1:144</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1:171</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1:432</w:t>
      </w:r>
      <w:r>
        <w:rPr>
          <w:rFonts w:ascii="IRNazanin" w:hAnsi="IRNazanin" w:eastAsia="IRNazanin"/>
          <w:b w:val="false"/>
          <w:b w:val="false"/>
          <w:bCs w:val="false"/>
          <w:i w:val="false"/>
          <w:i w:val="false"/>
          <w:iCs w:val="false"/>
          <w:color w:val="333333"/>
          <w:sz w:val="20"/>
          <w:sz w:val="20"/>
          <w:szCs w:val="20"/>
          <w:rtl w:val="true"/>
        </w:rPr>
        <w:t xml:space="preserve">،رحمة الأمة بهامش ميزان الكبرى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،فتح العزيز هامش المجموع </w:t>
      </w:r>
      <w:r>
        <w:rPr>
          <w:rFonts w:eastAsia="IRNazanin" w:cs="IRNazanin"/>
          <w:b w:val="false"/>
          <w:bCs w:val="false"/>
          <w:i w:val="false"/>
          <w:iCs w:val="false"/>
          <w:color w:val="333333"/>
          <w:sz w:val="20"/>
          <w:szCs w:val="20"/>
        </w:rPr>
        <w:t>1:408</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1:144</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1:171</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1:432</w:t>
      </w:r>
      <w:r>
        <w:rPr>
          <w:rFonts w:ascii="IRNazanin" w:hAnsi="IRNazanin" w:eastAsia="IRNazanin"/>
          <w:b w:val="false"/>
          <w:b w:val="false"/>
          <w:bCs w:val="false"/>
          <w:i w:val="false"/>
          <w:i w:val="false"/>
          <w:iCs w:val="false"/>
          <w:color w:val="333333"/>
          <w:sz w:val="20"/>
          <w:sz w:val="20"/>
          <w:szCs w:val="20"/>
          <w:rtl w:val="true"/>
        </w:rPr>
        <w:t xml:space="preserve">، رحمة الأمة بهامش ميزان الكبرى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،فتح العزيز هامش المجموع </w:t>
      </w:r>
      <w:r>
        <w:rPr>
          <w:rFonts w:eastAsia="IRNazanin" w:cs="IRNazanin"/>
          <w:b w:val="false"/>
          <w:bCs w:val="false"/>
          <w:i w:val="false"/>
          <w:iCs w:val="false"/>
          <w:color w:val="333333"/>
          <w:sz w:val="20"/>
          <w:szCs w:val="20"/>
        </w:rPr>
        <w:t>1:408</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1:144</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1:171</w:t>
      </w:r>
      <w:r>
        <w:rPr>
          <w:rFonts w:ascii="IRNazanin" w:hAnsi="IRNazanin" w:eastAsia="IRNazanin"/>
          <w:b w:val="false"/>
          <w:b w:val="false"/>
          <w:bCs w:val="false"/>
          <w:i w:val="false"/>
          <w:i w:val="false"/>
          <w:iCs w:val="false"/>
          <w:color w:val="333333"/>
          <w:sz w:val="20"/>
          <w:sz w:val="20"/>
          <w:szCs w:val="20"/>
          <w:rtl w:val="true"/>
        </w:rPr>
        <w:t xml:space="preserve">،الكافي لابن قدامة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رحمة الأمة بهامش ميزان الكبرى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،فتح العزيز هامش المجموع </w:t>
      </w:r>
      <w:r>
        <w:rPr>
          <w:rFonts w:eastAsia="IRNazanin" w:cs="IRNazanin"/>
          <w:b w:val="false"/>
          <w:bCs w:val="false"/>
          <w:i w:val="false"/>
          <w:iCs w:val="false"/>
          <w:color w:val="333333"/>
          <w:sz w:val="20"/>
          <w:szCs w:val="20"/>
        </w:rPr>
        <w:t>1:408</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1:144</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1:171</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1:432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،الام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مختصر المزني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1:432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،السّراج الوهّاج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،فتح الوهّاب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،ميزان الكبرى </w:t>
      </w:r>
      <w:r>
        <w:rPr>
          <w:rFonts w:eastAsia="IRNazanin" w:cs="IRNazanin"/>
          <w:b w:val="false"/>
          <w:bCs w:val="false"/>
          <w:i w:val="false"/>
          <w:iCs w:val="false"/>
          <w:color w:val="333333"/>
          <w:sz w:val="20"/>
          <w:szCs w:val="20"/>
        </w:rPr>
        <w:t>1:118</w:t>
      </w:r>
      <w:r>
        <w:rPr>
          <w:rFonts w:ascii="IRNazanin" w:hAnsi="IRNazanin" w:eastAsia="IRNazanin"/>
          <w:b w:val="false"/>
          <w:b w:val="false"/>
          <w:bCs w:val="false"/>
          <w:i w:val="false"/>
          <w:i w:val="false"/>
          <w:iCs w:val="false"/>
          <w:color w:val="333333"/>
          <w:sz w:val="20"/>
          <w:sz w:val="20"/>
          <w:szCs w:val="20"/>
          <w:rtl w:val="true"/>
        </w:rPr>
        <w:t xml:space="preserve">،رحمة الأمة بهامش ميزان الكبرى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،فتح العزيز هامش المجموع </w:t>
      </w:r>
      <w:r>
        <w:rPr>
          <w:rFonts w:eastAsia="IRNazanin" w:cs="IRNazanin"/>
          <w:b w:val="false"/>
          <w:bCs w:val="false"/>
          <w:i w:val="false"/>
          <w:iCs w:val="false"/>
          <w:color w:val="333333"/>
          <w:sz w:val="20"/>
          <w:szCs w:val="20"/>
        </w:rPr>
        <w:t>1:405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1:144</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1:171</w:t>
      </w:r>
      <w:r>
        <w:rPr>
          <w:rFonts w:ascii="IRNazanin" w:hAnsi="IRNazanin" w:eastAsia="IRNazanin"/>
          <w:b w:val="false"/>
          <w:b w:val="false"/>
          <w:bCs w:val="false"/>
          <w:i w:val="false"/>
          <w:i w:val="false"/>
          <w:iCs w:val="false"/>
          <w:color w:val="333333"/>
          <w:sz w:val="20"/>
          <w:sz w:val="20"/>
          <w:szCs w:val="20"/>
          <w:rtl w:val="true"/>
        </w:rPr>
        <w:t xml:space="preserve">،المحلّى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1:197</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1:432</w:t>
      </w:r>
      <w:r>
        <w:rPr>
          <w:rFonts w:ascii="IRNazanin" w:hAnsi="IRNazanin" w:eastAsia="IRNazanin"/>
          <w:b w:val="false"/>
          <w:b w:val="false"/>
          <w:bCs w:val="false"/>
          <w:i w:val="false"/>
          <w:i w:val="false"/>
          <w:iCs w:val="false"/>
          <w:color w:val="333333"/>
          <w:sz w:val="20"/>
          <w:sz w:val="20"/>
          <w:szCs w:val="20"/>
          <w:rtl w:val="true"/>
        </w:rPr>
        <w:t xml:space="preserve">،المحلّى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،تفسير القرطبيّ </w:t>
      </w:r>
      <w:r>
        <w:rPr>
          <w:rFonts w:eastAsia="IRNazanin" w:cs="IRNazanin"/>
          <w:b w:val="false"/>
          <w:bCs w:val="false"/>
          <w:i w:val="false"/>
          <w:iCs w:val="false"/>
          <w:color w:val="333333"/>
          <w:sz w:val="20"/>
          <w:szCs w:val="20"/>
        </w:rPr>
        <w:t>6:89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1:171</w:t>
      </w:r>
      <w:r>
        <w:rPr>
          <w:rFonts w:ascii="IRNazanin" w:hAnsi="IRNazanin" w:eastAsia="IRNazanin"/>
          <w:b w:val="false"/>
          <w:b w:val="false"/>
          <w:bCs w:val="false"/>
          <w:i w:val="false"/>
          <w:i w:val="false"/>
          <w:iCs w:val="false"/>
          <w:color w:val="333333"/>
          <w:sz w:val="20"/>
          <w:sz w:val="20"/>
          <w:szCs w:val="20"/>
          <w:rtl w:val="true"/>
        </w:rPr>
        <w:t xml:space="preserve">، نيل الأوطار </w:t>
      </w:r>
      <w:r>
        <w:rPr>
          <w:rFonts w:eastAsia="IRNazanin" w:cs="IRNazanin"/>
          <w:b w:val="false"/>
          <w:bCs w:val="false"/>
          <w:i w:val="false"/>
          <w:iCs w:val="false"/>
          <w:color w:val="333333"/>
          <w:sz w:val="20"/>
          <w:szCs w:val="20"/>
        </w:rPr>
        <w:t>1:197</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1:432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المحلّى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،تفسير القرطبي </w:t>
      </w:r>
      <w:r>
        <w:rPr>
          <w:rFonts w:eastAsia="IRNazanin" w:cs="IRNazanin"/>
          <w:b w:val="false"/>
          <w:bCs w:val="false"/>
          <w:i w:val="false"/>
          <w:iCs w:val="false"/>
          <w:color w:val="333333"/>
          <w:sz w:val="20"/>
          <w:szCs w:val="20"/>
        </w:rPr>
        <w:t>6:89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1:144</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1:122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1:144</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الجميع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 لفظي يسير</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1:144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1:145</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1:172</w:t>
      </w:r>
      <w:r>
        <w:rPr>
          <w:rFonts w:ascii="IRNazanin" w:hAnsi="IRNazanin" w:eastAsia="IRNazanin"/>
          <w:b w:val="false"/>
          <w:b w:val="false"/>
          <w:bCs w:val="false"/>
          <w:i w:val="false"/>
          <w:i w:val="false"/>
          <w:iCs w:val="false"/>
          <w:color w:val="333333"/>
          <w:sz w:val="20"/>
          <w:sz w:val="20"/>
          <w:szCs w:val="20"/>
          <w:rtl w:val="true"/>
        </w:rPr>
        <w:t xml:space="preserve">، المجموع </w:t>
      </w:r>
      <w:r>
        <w:rPr>
          <w:rFonts w:eastAsia="IRNazanin" w:cs="IRNazanin"/>
          <w:b w:val="false"/>
          <w:bCs w:val="false"/>
          <w:i w:val="false"/>
          <w:iCs w:val="false"/>
          <w:color w:val="333333"/>
          <w:sz w:val="20"/>
          <w:szCs w:val="20"/>
        </w:rPr>
        <w:t>1:433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1:196</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1303</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9:454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26935</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1:145</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1:172</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1:433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1:198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1:150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1:145</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1:172</w:t>
      </w:r>
      <w:r>
        <w:rPr>
          <w:rFonts w:ascii="IRNazanin" w:hAnsi="IRNazanin" w:eastAsia="IRNazanin"/>
          <w:b w:val="false"/>
          <w:b w:val="false"/>
          <w:bCs w:val="false"/>
          <w:i w:val="false"/>
          <w:i w:val="false"/>
          <w:iCs w:val="false"/>
          <w:color w:val="333333"/>
          <w:sz w:val="20"/>
          <w:sz w:val="20"/>
          <w:szCs w:val="20"/>
          <w:rtl w:val="true"/>
        </w:rPr>
        <w:t xml:space="preserve">، المجموع </w:t>
      </w:r>
      <w:r>
        <w:rPr>
          <w:rFonts w:eastAsia="IRNazanin" w:cs="IRNazanin"/>
          <w:b w:val="false"/>
          <w:bCs w:val="false"/>
          <w:i w:val="false"/>
          <w:iCs w:val="false"/>
          <w:color w:val="333333"/>
          <w:sz w:val="20"/>
          <w:szCs w:val="20"/>
        </w:rPr>
        <w:t>1:433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1:196</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1:145</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1:172</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1:433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الوضوء،حديث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1:144</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1:171</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1:433</w:t>
      </w:r>
      <w:r>
        <w:rPr>
          <w:rFonts w:ascii="IRNazanin" w:hAnsi="IRNazanin" w:eastAsia="IRNazanin"/>
          <w:b w:val="false"/>
          <w:b w:val="false"/>
          <w:bCs w:val="false"/>
          <w:i w:val="false"/>
          <w:i w:val="false"/>
          <w:iCs w:val="false"/>
          <w:color w:val="333333"/>
          <w:sz w:val="20"/>
          <w:sz w:val="20"/>
          <w:szCs w:val="20"/>
          <w:rtl w:val="true"/>
        </w:rPr>
        <w:t xml:space="preserve">، فتح العزيز هامش المجموع </w:t>
      </w:r>
      <w:r>
        <w:rPr>
          <w:rFonts w:eastAsia="IRNazanin" w:cs="IRNazanin"/>
          <w:b w:val="false"/>
          <w:bCs w:val="false"/>
          <w:i w:val="false"/>
          <w:iCs w:val="false"/>
          <w:color w:val="333333"/>
          <w:sz w:val="20"/>
          <w:szCs w:val="20"/>
        </w:rPr>
        <w:t>1:411</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1:197</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1:144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xml:space="preserve">،سنن الدّار قطني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9:439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26875</w:t>
      </w:r>
      <w:r>
        <w:rPr>
          <w:rFonts w:ascii="IRNazanin" w:hAnsi="IRNazanin" w:eastAsia="IRNazanin"/>
          <w:b w:val="false"/>
          <w:b w:val="false"/>
          <w:bCs w:val="false"/>
          <w:i w:val="false"/>
          <w:i w:val="false"/>
          <w:iCs w:val="false"/>
          <w:color w:val="333333"/>
          <w:sz w:val="20"/>
          <w:sz w:val="20"/>
          <w:szCs w:val="20"/>
          <w:rtl w:val="true"/>
        </w:rPr>
        <w:t xml:space="preserve">،جامع الأصول </w:t>
      </w:r>
      <w:r>
        <w:rPr>
          <w:rFonts w:eastAsia="IRNazanin" w:cs="IRNazanin"/>
          <w:b w:val="false"/>
          <w:bCs w:val="false"/>
          <w:i w:val="false"/>
          <w:iCs w:val="false"/>
          <w:color w:val="333333"/>
          <w:sz w:val="20"/>
          <w:szCs w:val="20"/>
        </w:rPr>
        <w:t>8:77</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1:144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1:110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الدّار قطني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9:444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26893</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1:144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،سنن الدّار قطني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،سنن الدّارمي </w:t>
      </w:r>
      <w:r>
        <w:rPr>
          <w:rFonts w:eastAsia="IRNazanin" w:cs="IRNazanin"/>
          <w:b w:val="false"/>
          <w:bCs w:val="false"/>
          <w:i w:val="false"/>
          <w:iCs w:val="false"/>
          <w:color w:val="333333"/>
          <w:sz w:val="20"/>
          <w:szCs w:val="20"/>
        </w:rPr>
        <w:t>1:176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1:215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9:440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26878</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1:144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،سنن الدّار قطني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9:454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26938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26941</w:t>
      </w:r>
      <w:r>
        <w:rPr>
          <w:rFonts w:ascii="IRNazanin" w:hAnsi="IRNazanin" w:eastAsia="IRNazanin"/>
          <w:b w:val="false"/>
          <w:b w:val="false"/>
          <w:bCs w:val="false"/>
          <w:i w:val="false"/>
          <w:i w:val="false"/>
          <w:iCs w:val="false"/>
          <w:color w:val="333333"/>
          <w:sz w:val="20"/>
          <w:sz w:val="20"/>
          <w:szCs w:val="20"/>
          <w:rtl w:val="true"/>
        </w:rPr>
        <w:t xml:space="preserve">،جامع الأصول </w:t>
      </w:r>
      <w:r>
        <w:rPr>
          <w:rFonts w:eastAsia="IRNazanin" w:cs="IRNazanin"/>
          <w:b w:val="false"/>
          <w:bCs w:val="false"/>
          <w:i w:val="false"/>
          <w:iCs w:val="false"/>
          <w:color w:val="333333"/>
          <w:sz w:val="20"/>
          <w:szCs w:val="20"/>
        </w:rPr>
        <w:t>8:91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5164</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1:144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1:215</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الأصول </w:t>
      </w:r>
      <w:r>
        <w:rPr>
          <w:rFonts w:eastAsia="IRNazanin" w:cs="IRNazanin"/>
          <w:b w:val="false"/>
          <w:bCs w:val="false"/>
          <w:i w:val="false"/>
          <w:iCs w:val="false"/>
          <w:color w:val="333333"/>
          <w:sz w:val="20"/>
          <w:szCs w:val="20"/>
        </w:rPr>
        <w:t>8:90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5161</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1:144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1:144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1:145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الدّار قطني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سنن الدّارمي </w:t>
      </w:r>
      <w:r>
        <w:rPr>
          <w:rFonts w:eastAsia="IRNazanin" w:cs="IRNazanin"/>
          <w:b w:val="false"/>
          <w:bCs w:val="false"/>
          <w:i w:val="false"/>
          <w:iCs w:val="false"/>
          <w:color w:val="333333"/>
          <w:sz w:val="20"/>
          <w:szCs w:val="20"/>
        </w:rPr>
        <w:t>1:175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1:215</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9:432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26837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26838</w:t>
      </w:r>
      <w:r>
        <w:rPr>
          <w:rFonts w:ascii="IRNazanin" w:hAnsi="IRNazanin" w:eastAsia="IRNazanin"/>
          <w:b w:val="false"/>
          <w:b w:val="false"/>
          <w:bCs w:val="false"/>
          <w:i w:val="false"/>
          <w:i w:val="false"/>
          <w:iCs w:val="false"/>
          <w:color w:val="333333"/>
          <w:sz w:val="20"/>
          <w:sz w:val="20"/>
          <w:szCs w:val="20"/>
          <w:rtl w:val="true"/>
        </w:rPr>
        <w:t xml:space="preserve">، جامع الأصول </w:t>
      </w:r>
      <w:r>
        <w:rPr>
          <w:rFonts w:eastAsia="IRNazanin" w:cs="IRNazanin"/>
          <w:b w:val="false"/>
          <w:bCs w:val="false"/>
          <w:i w:val="false"/>
          <w:iCs w:val="false"/>
          <w:color w:val="333333"/>
          <w:sz w:val="20"/>
          <w:szCs w:val="20"/>
        </w:rPr>
        <w:t>8:84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5146</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1:145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1:215</w:t>
      </w:r>
      <w:r>
        <w:rPr>
          <w:rFonts w:ascii="IRNazanin" w:hAnsi="IRNazanin" w:eastAsia="IRNazanin"/>
          <w:b w:val="false"/>
          <w:b w:val="false"/>
          <w:bCs w:val="false"/>
          <w:i w:val="false"/>
          <w:i w:val="false"/>
          <w:iCs w:val="false"/>
          <w:color w:val="333333"/>
          <w:sz w:val="20"/>
          <w:sz w:val="20"/>
          <w:szCs w:val="20"/>
          <w:rtl w:val="true"/>
        </w:rPr>
        <w:t xml:space="preserve">،سنن الدّار قطني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9:457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26957</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،عمدة القارئ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1:199</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1:145</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1:172</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1:313</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1:313</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1:182</w:t>
      </w:r>
      <w:r>
        <w:rPr>
          <w:rFonts w:ascii="IRNazanin" w:hAnsi="IRNazanin" w:eastAsia="IRNazanin"/>
          <w:b w:val="false"/>
          <w:b w:val="false"/>
          <w:bCs w:val="false"/>
          <w:i w:val="false"/>
          <w:i w:val="false"/>
          <w:iCs w:val="false"/>
          <w:color w:val="333333"/>
          <w:sz w:val="20"/>
          <w:sz w:val="20"/>
          <w:szCs w:val="20"/>
          <w:rtl w:val="true"/>
        </w:rPr>
        <w:t xml:space="preserve">،المدوّنة الكبرى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المدوّنة الكبرى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،بلغة السّالك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1:313</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2:325</w:t>
      </w:r>
      <w:r>
        <w:rPr>
          <w:rFonts w:ascii="IRNazanin" w:hAnsi="IRNazanin" w:eastAsia="IRNazanin"/>
          <w:b w:val="false"/>
          <w:b w:val="false"/>
          <w:bCs w:val="false"/>
          <w:i w:val="false"/>
          <w:i w:val="false"/>
          <w:iCs w:val="false"/>
          <w:color w:val="333333"/>
          <w:sz w:val="20"/>
          <w:sz w:val="20"/>
          <w:szCs w:val="20"/>
          <w:rtl w:val="true"/>
        </w:rPr>
        <w:t xml:space="preserve">،المحلّى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ميزان الكبرى </w:t>
      </w:r>
      <w:r>
        <w:rPr>
          <w:rFonts w:eastAsia="IRNazanin" w:cs="IRNazanin"/>
          <w:b w:val="false"/>
          <w:bCs w:val="false"/>
          <w:i w:val="false"/>
          <w:iCs w:val="false"/>
          <w:color w:val="333333"/>
          <w:sz w:val="20"/>
          <w:szCs w:val="20"/>
        </w:rPr>
        <w:t>1:125</w:t>
      </w:r>
      <w:r>
        <w:rPr>
          <w:rFonts w:ascii="IRNazanin" w:hAnsi="IRNazanin" w:eastAsia="IRNazanin"/>
          <w:b w:val="false"/>
          <w:b w:val="false"/>
          <w:bCs w:val="false"/>
          <w:i w:val="false"/>
          <w:i w:val="false"/>
          <w:iCs w:val="false"/>
          <w:color w:val="333333"/>
          <w:sz w:val="20"/>
          <w:sz w:val="20"/>
          <w:szCs w:val="20"/>
          <w:rtl w:val="true"/>
        </w:rPr>
        <w:t xml:space="preserve">،رحمة الأمة بهامش ميزان الكبرى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1:313</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1:182</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مختصر المزني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1:313</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1:313</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،شرح فتح القدير </w:t>
      </w:r>
      <w:r>
        <w:rPr>
          <w:rFonts w:eastAsia="IRNazanin" w:cs="IRNazanin"/>
          <w:b w:val="false"/>
          <w:bCs w:val="false"/>
          <w:i w:val="false"/>
          <w:iCs w:val="false"/>
          <w:color w:val="333333"/>
          <w:sz w:val="20"/>
          <w:szCs w:val="20"/>
        </w:rPr>
        <w:t>1:140</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2:325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ميزان الكبرى </w:t>
      </w:r>
      <w:r>
        <w:rPr>
          <w:rFonts w:eastAsia="IRNazanin" w:cs="IRNazanin"/>
          <w:b w:val="false"/>
          <w:bCs w:val="false"/>
          <w:i w:val="false"/>
          <w:iCs w:val="false"/>
          <w:color w:val="333333"/>
          <w:sz w:val="20"/>
          <w:szCs w:val="20"/>
        </w:rPr>
        <w:t>1:125</w:t>
      </w:r>
      <w:r>
        <w:rPr>
          <w:rFonts w:ascii="IRNazanin" w:hAnsi="IRNazanin" w:eastAsia="IRNazanin"/>
          <w:b w:val="false"/>
          <w:b w:val="false"/>
          <w:bCs w:val="false"/>
          <w:i w:val="false"/>
          <w:i w:val="false"/>
          <w:iCs w:val="false"/>
          <w:color w:val="333333"/>
          <w:sz w:val="20"/>
          <w:sz w:val="20"/>
          <w:szCs w:val="20"/>
          <w:rtl w:val="true"/>
        </w:rPr>
        <w:t xml:space="preserve">،رحمة الأمة بهامش ميزان الكبرى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1:313</w:t>
      </w:r>
      <w:r>
        <w:rPr>
          <w:rFonts w:ascii="IRNazanin" w:hAnsi="IRNazanin" w:eastAsia="IRNazanin"/>
          <w:b w:val="false"/>
          <w:b w:val="false"/>
          <w:bCs w:val="false"/>
          <w:i w:val="false"/>
          <w:i w:val="false"/>
          <w:iCs w:val="false"/>
          <w:color w:val="333333"/>
          <w:sz w:val="20"/>
          <w:sz w:val="20"/>
          <w:szCs w:val="20"/>
          <w:rtl w:val="true"/>
        </w:rPr>
        <w:t xml:space="preserve">،المحلّى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،الام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مختصر المزنيّ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2:329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1:107</w:t>
      </w:r>
      <w:r>
        <w:rPr>
          <w:rFonts w:ascii="IRNazanin" w:hAnsi="IRNazanin" w:eastAsia="IRNazanin"/>
          <w:b w:val="false"/>
          <w:b w:val="false"/>
          <w:bCs w:val="false"/>
          <w:i w:val="false"/>
          <w:i w:val="false"/>
          <w:iCs w:val="false"/>
          <w:color w:val="333333"/>
          <w:sz w:val="20"/>
          <w:sz w:val="20"/>
          <w:szCs w:val="20"/>
          <w:rtl w:val="true"/>
        </w:rPr>
        <w:t>،السّراج الوهّاج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،فتح الوهّاب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1:313</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1:215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657</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1:228</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9:622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27697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الجميع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زنديّ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يديّ</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1094</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1095</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1099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1105</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الام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،الام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مختصر المزنيّ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2:328</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1:107</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1:314</w:t>
      </w:r>
      <w:r>
        <w:rPr>
          <w:rFonts w:ascii="IRNazanin" w:hAnsi="IRNazanin" w:eastAsia="IRNazanin"/>
          <w:b w:val="false"/>
          <w:b w:val="false"/>
          <w:bCs w:val="false"/>
          <w:i w:val="false"/>
          <w:i w:val="false"/>
          <w:iCs w:val="false"/>
          <w:color w:val="333333"/>
          <w:sz w:val="20"/>
          <w:sz w:val="20"/>
          <w:szCs w:val="20"/>
          <w:rtl w:val="true"/>
        </w:rPr>
        <w:t xml:space="preserve">،الكافي لابن قدامة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1:173</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2:326</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2:293</w:t>
      </w:r>
      <w:r>
        <w:rPr>
          <w:rFonts w:ascii="IRNazanin" w:hAnsi="IRNazanin" w:eastAsia="IRNazanin"/>
          <w:b w:val="false"/>
          <w:b w:val="false"/>
          <w:bCs w:val="false"/>
          <w:i w:val="false"/>
          <w:i w:val="false"/>
          <w:iCs w:val="false"/>
          <w:color w:val="333333"/>
          <w:sz w:val="20"/>
          <w:sz w:val="20"/>
          <w:szCs w:val="20"/>
          <w:rtl w:val="true"/>
        </w:rPr>
        <w:t xml:space="preserve">،الشّرح الصّغير بهامش بلغة السالك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،الهداية للمرغيناني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،شرح فتح القدير </w:t>
      </w:r>
      <w:r>
        <w:rPr>
          <w:rFonts w:eastAsia="IRNazanin" w:cs="IRNazanin"/>
          <w:b w:val="false"/>
          <w:bCs w:val="false"/>
          <w:i w:val="false"/>
          <w:iCs w:val="false"/>
          <w:color w:val="333333"/>
          <w:sz w:val="20"/>
          <w:szCs w:val="20"/>
        </w:rPr>
        <w:t>1:140</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1:314</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1:173</w:t>
      </w:r>
      <w:r>
        <w:rPr>
          <w:rFonts w:ascii="IRNazanin" w:hAnsi="IRNazanin" w:eastAsia="IRNazanin"/>
          <w:b w:val="false"/>
          <w:b w:val="false"/>
          <w:bCs w:val="false"/>
          <w:i w:val="false"/>
          <w:i w:val="false"/>
          <w:iCs w:val="false"/>
          <w:color w:val="333333"/>
          <w:sz w:val="20"/>
          <w:sz w:val="20"/>
          <w:szCs w:val="20"/>
          <w:rtl w:val="true"/>
        </w:rPr>
        <w:t xml:space="preserve">،الكافي لابن قدامة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2:326</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2:293</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1079</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1081</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2:329</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الام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،الام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مختصر المزنيّ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2:329</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1:107</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،فتح الوهّاب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1:313</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1:315</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2:327</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1:187</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1:314</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1:161</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1:176</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1:219</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1:165</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،سنن الدّارمي </w:t>
      </w:r>
      <w:r>
        <w:rPr>
          <w:rFonts w:eastAsia="IRNazanin" w:cs="IRNazanin"/>
          <w:b w:val="false"/>
          <w:bCs w:val="false"/>
          <w:i w:val="false"/>
          <w:iCs w:val="false"/>
          <w:color w:val="333333"/>
          <w:sz w:val="20"/>
          <w:szCs w:val="20"/>
        </w:rPr>
        <w:t>1:176</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،سنن الدّار قطني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9:443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26890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في الجميع</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1:149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،سنن الدّارمي </w:t>
      </w:r>
      <w:r>
        <w:rPr>
          <w:rFonts w:eastAsia="IRNazanin" w:cs="IRNazanin"/>
          <w:b w:val="false"/>
          <w:bCs w:val="false"/>
          <w:i w:val="false"/>
          <w:iCs w:val="false"/>
          <w:color w:val="333333"/>
          <w:sz w:val="20"/>
          <w:szCs w:val="20"/>
        </w:rPr>
        <w:t>1:177</w:t>
      </w:r>
      <w:r>
        <w:rPr>
          <w:rFonts w:ascii="IRNazanin" w:hAnsi="IRNazanin" w:eastAsia="IRNazanin"/>
          <w:b w:val="false"/>
          <w:b w:val="false"/>
          <w:bCs w:val="false"/>
          <w:i w:val="false"/>
          <w:i w:val="false"/>
          <w:iCs w:val="false"/>
          <w:color w:val="333333"/>
          <w:sz w:val="20"/>
          <w:sz w:val="20"/>
          <w:szCs w:val="20"/>
          <w:rtl w:val="true"/>
        </w:rPr>
        <w:t xml:space="preserve">،سنن الدّار قطني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الوضوء،حديث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المحلّى </w:t>
      </w:r>
      <w:r>
        <w:rPr>
          <w:rFonts w:eastAsia="IRNazanin" w:cs="IRNazanin"/>
          <w:b w:val="false"/>
          <w:bCs w:val="false"/>
          <w:i w:val="false"/>
          <w:iCs w:val="false"/>
          <w:color w:val="333333"/>
          <w:sz w:val="20"/>
          <w:szCs w:val="20"/>
        </w:rPr>
        <w:t>1:233</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أنّه</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1:164</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1:178</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1:170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512</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 فيه</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نواقض الوضوء،حديث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نواقض الوضوء،حديث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1043</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1060</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1370</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1533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4:1242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قواطع الصّلاة،حديث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1:226</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مختصر المزني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السّراج الوهّاج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،فتح الوهّاب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،فتح العزيز هامش المجموع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1:226</w:t>
      </w:r>
      <w:r>
        <w:rPr>
          <w:rFonts w:ascii="IRNazanin" w:hAnsi="IRNazanin" w:eastAsia="IRNazanin"/>
          <w:b w:val="false"/>
          <w:b w:val="false"/>
          <w:bCs w:val="false"/>
          <w:i w:val="false"/>
          <w:i w:val="false"/>
          <w:iCs w:val="false"/>
          <w:color w:val="333333"/>
          <w:sz w:val="20"/>
          <w:sz w:val="20"/>
          <w:szCs w:val="20"/>
          <w:rtl w:val="true"/>
        </w:rPr>
        <w:t xml:space="preserve">، المحلّى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1:226</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1:256</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1:226</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،ميزان الكبرى </w:t>
      </w:r>
      <w:r>
        <w:rPr>
          <w:rFonts w:eastAsia="IRNazanin" w:cs="IRNazanin"/>
          <w:b w:val="false"/>
          <w:bCs w:val="false"/>
          <w:i w:val="false"/>
          <w:iCs w:val="false"/>
          <w:color w:val="333333"/>
          <w:sz w:val="20"/>
          <w:szCs w:val="20"/>
        </w:rPr>
        <w:t>1:113</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1:256</w:t>
      </w:r>
      <w:r>
        <w:rPr>
          <w:rFonts w:ascii="IRNazanin" w:hAnsi="IRNazanin" w:eastAsia="IRNazanin"/>
          <w:b w:val="false"/>
          <w:b w:val="false"/>
          <w:bCs w:val="false"/>
          <w:i w:val="false"/>
          <w:i w:val="false"/>
          <w:iCs w:val="false"/>
          <w:color w:val="333333"/>
          <w:sz w:val="20"/>
          <w:sz w:val="20"/>
          <w:szCs w:val="20"/>
          <w:rtl w:val="true"/>
        </w:rPr>
        <w:t xml:space="preserve">،رحمة الأمة هامش ميزان الكبرى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المدوّنة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كان ذلك يستنكحه كثيرا فهو على وضوءه،و إن كان لا يستنكحه فليعد الوضوء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في بلغة السّالك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إمّا أن يكون مستنكحا أو 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المغني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مالك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شكّ في الحدث إن كان يلحقه كثيرا فهو على وضوءه و ان كان لا يلحقه كثيرا توضأ</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المدوّنة الكبرى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،بلغة السّالك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1:226</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1:171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513</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1:255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،جامع الأصول </w:t>
      </w:r>
      <w:r>
        <w:rPr>
          <w:rFonts w:eastAsia="IRNazanin" w:cs="IRNazanin"/>
          <w:b w:val="false"/>
          <w:bCs w:val="false"/>
          <w:i w:val="false"/>
          <w:iCs w:val="false"/>
          <w:color w:val="333333"/>
          <w:sz w:val="20"/>
          <w:szCs w:val="20"/>
        </w:rPr>
        <w:t>8:107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5209</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نواقض الوضوء،حديث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يتعيّن،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يقين،و ما أثبتناه من المصدر</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نواقض الوضوء،حديث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،فتح العزيز هامش المجموع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،السّراج الوهّاج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،فتح العزيز هامش المجموع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،السّراج الوهّاج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لقضاء إحداهما</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،فتح العزيز هامش المجموع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،السّراج الوهّاج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،فتح الوهّاب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1:205</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نواقض الوضوء،حديث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نواقض الوضوء،حديث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الجميع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لم يغسل ذكره متعمّدا</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الخلوة،حديث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الخلوة،حديث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ترجمته و القول فيه في الجزء الأوّل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1:126</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،الهداية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1:168</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1:228</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أضفناه لاستقامة العبارة</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،بلغة السّالك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،تفسير القرطبي </w:t>
      </w:r>
      <w:r>
        <w:rPr>
          <w:rFonts w:eastAsia="IRNazanin" w:cs="IRNazanin"/>
          <w:b w:val="false"/>
          <w:bCs w:val="false"/>
          <w:i w:val="false"/>
          <w:iCs w:val="false"/>
          <w:color w:val="333333"/>
          <w:sz w:val="20"/>
          <w:szCs w:val="20"/>
        </w:rPr>
        <w:t>17:226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1:168</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،ميزان الكبرى </w:t>
      </w:r>
      <w:r>
        <w:rPr>
          <w:rFonts w:eastAsia="IRNazanin" w:cs="IRNazanin"/>
          <w:b w:val="false"/>
          <w:bCs w:val="false"/>
          <w:i w:val="false"/>
          <w:iCs w:val="false"/>
          <w:color w:val="333333"/>
          <w:sz w:val="20"/>
          <w:szCs w:val="20"/>
        </w:rPr>
        <w:t>1:113</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1:228</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،رحمة الأمة هامش ميزان الكبرى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،ميزان الكبرى </w:t>
      </w:r>
      <w:r>
        <w:rPr>
          <w:rFonts w:eastAsia="IRNazanin" w:cs="IRNazanin"/>
          <w:b w:val="false"/>
          <w:bCs w:val="false"/>
          <w:i w:val="false"/>
          <w:iCs w:val="false"/>
          <w:color w:val="333333"/>
          <w:sz w:val="20"/>
          <w:szCs w:val="20"/>
        </w:rPr>
        <w:t>1:113</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1:168</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1:228</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1:168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ميزان الكبرى </w:t>
      </w:r>
      <w:r>
        <w:rPr>
          <w:rFonts w:eastAsia="IRNazanin" w:cs="IRNazanin"/>
          <w:b w:val="false"/>
          <w:bCs w:val="false"/>
          <w:i w:val="false"/>
          <w:iCs w:val="false"/>
          <w:color w:val="333333"/>
          <w:sz w:val="20"/>
          <w:szCs w:val="20"/>
        </w:rPr>
        <w:t>1:113</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،تفسير القرطبي </w:t>
      </w:r>
      <w:r>
        <w:rPr>
          <w:rFonts w:eastAsia="IRNazanin" w:cs="IRNazanin"/>
          <w:b w:val="false"/>
          <w:bCs w:val="false"/>
          <w:i w:val="false"/>
          <w:iCs w:val="false"/>
          <w:color w:val="333333"/>
          <w:sz w:val="20"/>
          <w:szCs w:val="20"/>
        </w:rPr>
        <w:t>17:226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أحكام القرآن لابن العربي </w:t>
      </w:r>
      <w:r>
        <w:rPr>
          <w:rFonts w:eastAsia="IRNazanin" w:cs="IRNazanin"/>
          <w:b w:val="false"/>
          <w:bCs w:val="false"/>
          <w:i w:val="false"/>
          <w:iCs w:val="false"/>
          <w:color w:val="333333"/>
          <w:sz w:val="20"/>
          <w:szCs w:val="20"/>
        </w:rPr>
        <w:t>4:1739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1:168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2:103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رحمة الأمة هامش ميزان الكبرى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،ميزان الكبرى </w:t>
      </w:r>
      <w:r>
        <w:rPr>
          <w:rFonts w:eastAsia="IRNazanin" w:cs="IRNazanin"/>
          <w:b w:val="false"/>
          <w:bCs w:val="false"/>
          <w:i w:val="false"/>
          <w:iCs w:val="false"/>
          <w:color w:val="333333"/>
          <w:sz w:val="20"/>
          <w:szCs w:val="20"/>
        </w:rPr>
        <w:t>1:113</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1:261</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عمرو بن حزم بن زيد بن لوذان الأنصاريّ،شهد الخندق و ما بعدها،و كان عامل النّبيّ على نجران، روى عنه كتابا كتبه له في الفرائض،أخرجه أبو داود،و النّسائيّ،و الدّارميّ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مات بالمدينة سنة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و قيل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4:98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2:532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الموطّأ </w:t>
      </w:r>
      <w:r>
        <w:rPr>
          <w:rFonts w:eastAsia="IRNazanin" w:cs="IRNazanin"/>
          <w:b w:val="false"/>
          <w:bCs w:val="false"/>
          <w:i w:val="false"/>
          <w:iCs w:val="false"/>
          <w:color w:val="333333"/>
          <w:sz w:val="20"/>
          <w:szCs w:val="20"/>
        </w:rPr>
        <w:t>1:199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الدّار قطني </w:t>
      </w:r>
      <w:r>
        <w:rPr>
          <w:rFonts w:eastAsia="IRNazanin" w:cs="IRNazanin"/>
          <w:b w:val="false"/>
          <w:bCs w:val="false"/>
          <w:i w:val="false"/>
          <w:iCs w:val="false"/>
          <w:color w:val="333333"/>
          <w:sz w:val="20"/>
          <w:szCs w:val="20"/>
        </w:rPr>
        <w:t>1:121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،مستدرك الحاكم </w:t>
      </w:r>
      <w:r>
        <w:rPr>
          <w:rFonts w:eastAsia="IRNazanin" w:cs="IRNazanin"/>
          <w:b w:val="false"/>
          <w:bCs w:val="false"/>
          <w:i w:val="false"/>
          <w:iCs w:val="false"/>
          <w:color w:val="333333"/>
          <w:sz w:val="20"/>
          <w:szCs w:val="20"/>
        </w:rPr>
        <w:t>1:397</w:t>
      </w:r>
      <w:r>
        <w:rPr>
          <w:rFonts w:ascii="IRNazanin" w:hAnsi="IRNazanin" w:eastAsia="IRNazanin"/>
          <w:b w:val="false"/>
          <w:b w:val="false"/>
          <w:bCs w:val="false"/>
          <w:i w:val="false"/>
          <w:i w:val="false"/>
          <w:iCs w:val="false"/>
          <w:color w:val="333333"/>
          <w:sz w:val="20"/>
          <w:sz w:val="20"/>
          <w:szCs w:val="20"/>
          <w:rtl w:val="true"/>
        </w:rPr>
        <w:t xml:space="preserve">، نيل الأوطار </w:t>
      </w:r>
      <w:r>
        <w:rPr>
          <w:rFonts w:eastAsia="IRNazanin" w:cs="IRNazanin"/>
          <w:b w:val="false"/>
          <w:bCs w:val="false"/>
          <w:i w:val="false"/>
          <w:iCs w:val="false"/>
          <w:color w:val="333333"/>
          <w:sz w:val="20"/>
          <w:szCs w:val="20"/>
        </w:rPr>
        <w:t>1:259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بتفاوت في السّند في الجميع،و رواه في المغني </w:t>
      </w:r>
      <w:r>
        <w:rPr>
          <w:rFonts w:eastAsia="IRNazanin" w:cs="IRNazanin"/>
          <w:b w:val="false"/>
          <w:bCs w:val="false"/>
          <w:i w:val="false"/>
          <w:iCs w:val="false"/>
          <w:color w:val="333333"/>
          <w:sz w:val="20"/>
          <w:szCs w:val="20"/>
        </w:rPr>
        <w:t>1:168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كتاب فضائل القرآن لأبي عبيد</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خيطه</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1:168</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القرطبيّ </w:t>
      </w:r>
      <w:r>
        <w:rPr>
          <w:rFonts w:eastAsia="IRNazanin" w:cs="IRNazanin"/>
          <w:b w:val="false"/>
          <w:bCs w:val="false"/>
          <w:i w:val="false"/>
          <w:iCs w:val="false"/>
          <w:color w:val="333333"/>
          <w:sz w:val="20"/>
          <w:szCs w:val="20"/>
        </w:rPr>
        <w:t>17:227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1:228</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3:1393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1773</w:t>
      </w:r>
      <w:r>
        <w:rPr>
          <w:rFonts w:ascii="IRNazanin" w:hAnsi="IRNazanin" w:eastAsia="IRNazanin"/>
          <w:b w:val="false"/>
          <w:b w:val="false"/>
          <w:bCs w:val="false"/>
          <w:i w:val="false"/>
          <w:i w:val="false"/>
          <w:iCs w:val="false"/>
          <w:color w:val="333333"/>
          <w:sz w:val="20"/>
          <w:sz w:val="20"/>
          <w:szCs w:val="20"/>
          <w:rtl w:val="true"/>
        </w:rPr>
        <w:t xml:space="preserve">،المحلّى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1:169</w:t>
      </w:r>
      <w:r>
        <w:rPr>
          <w:rFonts w:ascii="IRNazanin" w:hAnsi="IRNazanin" w:eastAsia="IRNazanin"/>
          <w:b w:val="false"/>
          <w:b w:val="false"/>
          <w:bCs w:val="false"/>
          <w:i w:val="false"/>
          <w:i w:val="false"/>
          <w:iCs w:val="false"/>
          <w:color w:val="333333"/>
          <w:sz w:val="20"/>
          <w:sz w:val="20"/>
          <w:szCs w:val="20"/>
          <w:rtl w:val="true"/>
        </w:rPr>
        <w:t xml:space="preserve">،فتح العزيز هامش المجموع </w:t>
      </w:r>
      <w:r>
        <w:rPr>
          <w:rFonts w:eastAsia="IRNazanin" w:cs="IRNazanin"/>
          <w:b w:val="false"/>
          <w:bCs w:val="false"/>
          <w:i w:val="false"/>
          <w:iCs w:val="false"/>
          <w:color w:val="333333"/>
          <w:sz w:val="20"/>
          <w:szCs w:val="20"/>
        </w:rPr>
        <w:t>2:103</w:t>
      </w:r>
      <w:r>
        <w:rPr>
          <w:rFonts w:ascii="IRNazanin" w:hAnsi="IRNazanin" w:eastAsia="IRNazanin"/>
          <w:b w:val="false"/>
          <w:b w:val="false"/>
          <w:bCs w:val="false"/>
          <w:i w:val="false"/>
          <w:i w:val="false"/>
          <w:iCs w:val="false"/>
          <w:color w:val="333333"/>
          <w:sz w:val="20"/>
          <w:sz w:val="20"/>
          <w:szCs w:val="20"/>
          <w:rtl w:val="true"/>
        </w:rPr>
        <w:t xml:space="preserve">،ميزان الكبرى </w:t>
      </w:r>
      <w:r>
        <w:rPr>
          <w:rFonts w:eastAsia="IRNazanin" w:cs="IRNazanin"/>
          <w:b w:val="false"/>
          <w:bCs w:val="false"/>
          <w:i w:val="false"/>
          <w:iCs w:val="false"/>
          <w:color w:val="333333"/>
          <w:sz w:val="20"/>
          <w:szCs w:val="20"/>
        </w:rPr>
        <w:t>1:113</w:t>
      </w:r>
      <w:r>
        <w:rPr>
          <w:rFonts w:ascii="IRNazanin" w:hAnsi="IRNazanin" w:eastAsia="IRNazanin"/>
          <w:b w:val="false"/>
          <w:b w:val="false"/>
          <w:bCs w:val="false"/>
          <w:i w:val="false"/>
          <w:i w:val="false"/>
          <w:iCs w:val="false"/>
          <w:color w:val="333333"/>
          <w:sz w:val="20"/>
          <w:sz w:val="20"/>
          <w:szCs w:val="20"/>
          <w:rtl w:val="true"/>
        </w:rPr>
        <w:t xml:space="preserve">،المحلّى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الشرح الكبير بهامش المغني </w:t>
      </w:r>
      <w:r>
        <w:rPr>
          <w:rFonts w:eastAsia="IRNazanin" w:cs="IRNazanin"/>
          <w:b w:val="false"/>
          <w:bCs w:val="false"/>
          <w:i w:val="false"/>
          <w:iCs w:val="false"/>
          <w:color w:val="333333"/>
          <w:sz w:val="20"/>
          <w:szCs w:val="20"/>
        </w:rPr>
        <w:t>1:228</w:t>
      </w:r>
      <w:r>
        <w:rPr>
          <w:rFonts w:ascii="IRNazanin" w:hAnsi="IRNazanin" w:eastAsia="IRNazanin"/>
          <w:b w:val="false"/>
          <w:b w:val="false"/>
          <w:bCs w:val="false"/>
          <w:i w:val="false"/>
          <w:i w:val="false"/>
          <w:iCs w:val="false"/>
          <w:color w:val="333333"/>
          <w:sz w:val="20"/>
          <w:sz w:val="20"/>
          <w:szCs w:val="20"/>
          <w:rtl w:val="true"/>
        </w:rPr>
        <w:t xml:space="preserve">،تفسير القرطبي </w:t>
      </w:r>
      <w:r>
        <w:rPr>
          <w:rFonts w:eastAsia="IRNazanin" w:cs="IRNazanin"/>
          <w:b w:val="false"/>
          <w:bCs w:val="false"/>
          <w:i w:val="false"/>
          <w:iCs w:val="false"/>
          <w:color w:val="333333"/>
          <w:sz w:val="20"/>
          <w:szCs w:val="20"/>
        </w:rPr>
        <w:t>17:227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وائل،شقيق بن سلمة،مرّت ترجمته في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1:169</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1:228</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1:169</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1:228</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،فتح العزيز هامش المجموع </w:t>
      </w:r>
      <w:r>
        <w:rPr>
          <w:rFonts w:eastAsia="IRNazanin" w:cs="IRNazanin"/>
          <w:b w:val="false"/>
          <w:bCs w:val="false"/>
          <w:i w:val="false"/>
          <w:iCs w:val="false"/>
          <w:color w:val="333333"/>
          <w:sz w:val="20"/>
          <w:szCs w:val="20"/>
        </w:rPr>
        <w:t>2:102</w:t>
      </w:r>
      <w:r>
        <w:rPr>
          <w:rFonts w:ascii="IRNazanin" w:hAnsi="IRNazanin" w:eastAsia="IRNazanin"/>
          <w:b w:val="false"/>
          <w:b w:val="false"/>
          <w:bCs w:val="false"/>
          <w:i w:val="false"/>
          <w:i w:val="false"/>
          <w:iCs w:val="false"/>
          <w:color w:val="333333"/>
          <w:sz w:val="20"/>
          <w:sz w:val="20"/>
          <w:szCs w:val="20"/>
          <w:rtl w:val="true"/>
        </w:rPr>
        <w:t>،السّراج الوهّاج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،السّراج الوهّاج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،فتح العزيز هامش المجموع </w:t>
      </w:r>
      <w:r>
        <w:rPr>
          <w:rFonts w:eastAsia="IRNazanin" w:cs="IRNazanin"/>
          <w:b w:val="false"/>
          <w:bCs w:val="false"/>
          <w:i w:val="false"/>
          <w:iCs w:val="false"/>
          <w:color w:val="333333"/>
          <w:sz w:val="20"/>
          <w:szCs w:val="20"/>
        </w:rPr>
        <w:t>2:104</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1:169</w:t>
      </w:r>
      <w:r>
        <w:rPr>
          <w:rFonts w:ascii="IRNazanin" w:hAnsi="IRNazanin" w:eastAsia="IRNazanin"/>
          <w:b w:val="false"/>
          <w:b w:val="false"/>
          <w:bCs w:val="false"/>
          <w:i w:val="false"/>
          <w:i w:val="false"/>
          <w:iCs w:val="false"/>
          <w:color w:val="333333"/>
          <w:sz w:val="20"/>
          <w:sz w:val="20"/>
          <w:szCs w:val="20"/>
          <w:rtl w:val="true"/>
        </w:rPr>
        <w:t xml:space="preserve">،الموطأ </w:t>
      </w:r>
      <w:r>
        <w:rPr>
          <w:rFonts w:eastAsia="IRNazanin" w:cs="IRNazanin"/>
          <w:b w:val="false"/>
          <w:bCs w:val="false"/>
          <w:i w:val="false"/>
          <w:iCs w:val="false"/>
          <w:color w:val="333333"/>
          <w:sz w:val="20"/>
          <w:szCs w:val="20"/>
        </w:rPr>
        <w:t>1:199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القرطبي </w:t>
      </w:r>
      <w:r>
        <w:rPr>
          <w:rFonts w:eastAsia="IRNazanin" w:cs="IRNazanin"/>
          <w:b w:val="false"/>
          <w:bCs w:val="false"/>
          <w:i w:val="false"/>
          <w:iCs w:val="false"/>
          <w:color w:val="333333"/>
          <w:sz w:val="20"/>
          <w:szCs w:val="20"/>
        </w:rPr>
        <w:t>17:227</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1:168</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1:228</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مماسّ</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1:169</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1:228</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اللّمس</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1:168</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1:228</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1:169</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1:228</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،فتح العزيز هامش المجموع </w:t>
      </w:r>
      <w:r>
        <w:rPr>
          <w:rFonts w:eastAsia="IRNazanin" w:cs="IRNazanin"/>
          <w:b w:val="false"/>
          <w:bCs w:val="false"/>
          <w:i w:val="false"/>
          <w:iCs w:val="false"/>
          <w:color w:val="333333"/>
          <w:sz w:val="20"/>
          <w:szCs w:val="20"/>
        </w:rPr>
        <w:t>2:107</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1:170</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1:229</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1:169</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1:224</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،الهداية للمرغيناني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،شرح فتح القدير </w:t>
      </w:r>
      <w:r>
        <w:rPr>
          <w:rFonts w:eastAsia="IRNazanin" w:cs="IRNazanin"/>
          <w:b w:val="false"/>
          <w:bCs w:val="false"/>
          <w:i w:val="false"/>
          <w:iCs w:val="false"/>
          <w:color w:val="333333"/>
          <w:sz w:val="20"/>
          <w:szCs w:val="20"/>
        </w:rPr>
        <w:t>1:149</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لمسها</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اللّمس</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،فتح العزيز هامش المجموع </w:t>
      </w:r>
      <w:r>
        <w:rPr>
          <w:rFonts w:eastAsia="IRNazanin" w:cs="IRNazanin"/>
          <w:b w:val="false"/>
          <w:bCs w:val="false"/>
          <w:i w:val="false"/>
          <w:iCs w:val="false"/>
          <w:color w:val="333333"/>
          <w:sz w:val="20"/>
          <w:szCs w:val="20"/>
        </w:rPr>
        <w:t>2:106</w:t>
      </w:r>
      <w:r>
        <w:rPr>
          <w:rFonts w:ascii="IRNazanin" w:hAnsi="IRNazanin" w:eastAsia="IRNazanin"/>
          <w:b w:val="false"/>
          <w:b w:val="false"/>
          <w:bCs w:val="false"/>
          <w:i w:val="false"/>
          <w:i w:val="false"/>
          <w:iCs w:val="false"/>
          <w:color w:val="333333"/>
          <w:sz w:val="20"/>
          <w:sz w:val="20"/>
          <w:szCs w:val="20"/>
          <w:rtl w:val="true"/>
        </w:rPr>
        <w:t xml:space="preserve">،فتح الوهّاب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1:170</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1:229</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،فتح العزيز هامش المجموع </w:t>
      </w:r>
      <w:r>
        <w:rPr>
          <w:rFonts w:eastAsia="IRNazanin" w:cs="IRNazanin"/>
          <w:b w:val="false"/>
          <w:bCs w:val="false"/>
          <w:i w:val="false"/>
          <w:iCs w:val="false"/>
          <w:color w:val="333333"/>
          <w:sz w:val="20"/>
          <w:szCs w:val="20"/>
        </w:rPr>
        <w:t>2:105</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1:229</w:t>
      </w:r>
      <w:r>
        <w:rPr>
          <w:rFonts w:ascii="IRNazanin" w:hAnsi="IRNazanin" w:eastAsia="IRNazanin"/>
          <w:b w:val="false"/>
          <w:b w:val="false"/>
          <w:bCs w:val="false"/>
          <w:i w:val="false"/>
          <w:i w:val="false"/>
          <w:iCs w:val="false"/>
          <w:color w:val="333333"/>
          <w:sz w:val="20"/>
          <w:sz w:val="20"/>
          <w:szCs w:val="20"/>
          <w:rtl w:val="true"/>
        </w:rPr>
        <w:t xml:space="preserve">، المجموع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1:170</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2:107</w:t>
      </w:r>
      <w:r>
        <w:rPr>
          <w:rFonts w:ascii="IRNazanin" w:hAnsi="IRNazanin" w:eastAsia="IRNazanin"/>
          <w:b w:val="false"/>
          <w:b w:val="false"/>
          <w:bCs w:val="false"/>
          <w:i w:val="false"/>
          <w:i w:val="false"/>
          <w:iCs w:val="false"/>
          <w:color w:val="333333"/>
          <w:sz w:val="20"/>
          <w:sz w:val="20"/>
          <w:szCs w:val="20"/>
          <w:rtl w:val="true"/>
        </w:rPr>
        <w:t xml:space="preserve">،فتح الوهّاب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،فتح الوهّاب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،فتح العزيز هامش المجموع </w:t>
      </w:r>
      <w:r>
        <w:rPr>
          <w:rFonts w:eastAsia="IRNazanin" w:cs="IRNazanin"/>
          <w:b w:val="false"/>
          <w:bCs w:val="false"/>
          <w:i w:val="false"/>
          <w:iCs w:val="false"/>
          <w:color w:val="333333"/>
          <w:sz w:val="20"/>
          <w:szCs w:val="20"/>
        </w:rPr>
        <w:t>2:108</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1077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الجنازة</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المسلمين</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1127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قال في الوافي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هكذا يوجد في النّسخ و يشبه أن يكون ممّا صحّف و كان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انّا لنغتسل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لأنّهم عليهم السّلام أجلّ من أن يكسلوا في شيء من عبادة ربّهم جلّ و عزّ</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1127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يمينك و شمالك</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محمّد بن قيس</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الحنفيّة بن أمير المؤمنين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الحنفيّة لقب امّه و اسمها خولة بنت جعفر بن قيس بن سلمة،مدحه أمير المؤمنين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رواية عن عليّ بن موسى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المحامدة تأبى أن يعصى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قيل في منازعته مع عليّ بن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الإمامة أجاب عنه المحقّق المامقاني بأنّ ذلك قبل شهادة الحجر له و أمّا بعدها فلم ينازعه بوجه،و اختلف في وفاته و محلّ دفنه،قيل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مات برضوى،و دفن بالبقيع سنة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مات بالطّائف،و دفن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Pr>
        <w:t>3:111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1:278</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الوضوء،حديث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1:277</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الوضوء،حديث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1:209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1:115</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1:199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607</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1:186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ابي داود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1:115</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أديم بن الحرّ الكوفي الخثعميّ أو الجعفي،ثقة له أصل،عدّه الشّيخ في رجاله من أصحاب الإمام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المصنّف في رجاله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أديم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بضمّ الهمزة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صاحب أبي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يروي نيّفا و أربعين حديثا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،رجال العلاّمة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الفضيل بن كثير الأزدي الكوفي الصّيرفي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جعفر الأزديّ،عدّه الشّيخ في رجاله تارة من أصحاب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بعنوان محمّد بن الفضيل بن كثير الأزديّ صيرفي،و اخرى من أصحاب الكاظم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بعنوان محمّد بن الفضيل الأزدي الكوفيّ ضعيف،و ثالثة من أصحاب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بعنوان محمّد بن الفضيل أزديّ صيرفيّ يرمى بالغلوّ،له كتاب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المحقّق المامقاني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ظاهر هذه العبائر كونه شخصا واحدا و ظاهر المصنّف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التّعدد حيث قال في القسم الثّاني 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الفضيل الكوفيّ الأزديّ من أصحاب الكاظم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ضعيف،ثمَّ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الفضيل من أصحاب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أزديّ صيرفيّ،يرمى بالغلوّ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Pr>
        <w:t>3:172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العلاّمة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أضفناه من المصدر</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و الوسائل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الحسن بن محبوب عن معاوية بن حكيم،و هو كما قال النّجاشيّ في رجاله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معاوية حكيم بن معاوية بن عمّار الدّهني،ثقة،جليل،في أصحاب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الاستبصار عن معاوية بن عمّار،و الظّاهر انّه الصّواب بقرينة رواية الحسن بن محبوب عنه و روايته عن أبي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كما ذكره المحقّق الأردبيليّ،جامع الرّواة </w:t>
      </w:r>
      <w:r>
        <w:rPr>
          <w:rFonts w:eastAsia="IRNazanin" w:cs="IRNazanin"/>
          <w:b w:val="false"/>
          <w:bCs w:val="false"/>
          <w:i w:val="false"/>
          <w:iCs w:val="false"/>
          <w:color w:val="333333"/>
          <w:sz w:val="20"/>
          <w:szCs w:val="20"/>
        </w:rPr>
        <w:t>2:239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الجنابة،حديث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الجنابة،حديث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الجنابة،حديث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الجنابة،حديث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الجنابة،حديث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حديث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حديث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الام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،السّراج الوهّاج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،فتح الوهّاب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،الهداية للمرغيناني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،ميزان الكبرى </w:t>
      </w:r>
      <w:r>
        <w:rPr>
          <w:rFonts w:eastAsia="IRNazanin" w:cs="IRNazanin"/>
          <w:b w:val="false"/>
          <w:bCs w:val="false"/>
          <w:i w:val="false"/>
          <w:iCs w:val="false"/>
          <w:color w:val="333333"/>
          <w:sz w:val="20"/>
          <w:szCs w:val="20"/>
        </w:rPr>
        <w:t>1:120</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2:139</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،شرح فتح القدير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2:125</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،ميزان الكبرى </w:t>
      </w:r>
      <w:r>
        <w:rPr>
          <w:rFonts w:eastAsia="IRNazanin" w:cs="IRNazanin"/>
          <w:b w:val="false"/>
          <w:bCs w:val="false"/>
          <w:i w:val="false"/>
          <w:iCs w:val="false"/>
          <w:color w:val="333333"/>
          <w:sz w:val="20"/>
          <w:szCs w:val="20"/>
        </w:rPr>
        <w:t>1:120</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2:139</w:t>
      </w:r>
      <w:r>
        <w:rPr>
          <w:rFonts w:ascii="IRNazanin" w:hAnsi="IRNazanin" w:eastAsia="IRNazanin"/>
          <w:b w:val="false"/>
          <w:b w:val="false"/>
          <w:bCs w:val="false"/>
          <w:i w:val="false"/>
          <w:i w:val="false"/>
          <w:iCs w:val="false"/>
          <w:color w:val="333333"/>
          <w:sz w:val="20"/>
          <w:sz w:val="20"/>
          <w:szCs w:val="20"/>
          <w:rtl w:val="true"/>
        </w:rPr>
        <w:t xml:space="preserve">،شرح فتح القدير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الهداية للمرغيناني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2:125</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1:230</w:t>
      </w:r>
      <w:r>
        <w:rPr>
          <w:rFonts w:ascii="IRNazanin" w:hAnsi="IRNazanin" w:eastAsia="IRNazanin"/>
          <w:b w:val="false"/>
          <w:b w:val="false"/>
          <w:bCs w:val="false"/>
          <w:i w:val="false"/>
          <w:i w:val="false"/>
          <w:iCs w:val="false"/>
          <w:color w:val="333333"/>
          <w:sz w:val="20"/>
          <w:sz w:val="20"/>
          <w:szCs w:val="20"/>
          <w:rtl w:val="true"/>
        </w:rPr>
        <w:t xml:space="preserve">،الكافي لابن قدامة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،ميزان الكبرى </w:t>
      </w:r>
      <w:r>
        <w:rPr>
          <w:rFonts w:eastAsia="IRNazanin" w:cs="IRNazanin"/>
          <w:b w:val="false"/>
          <w:bCs w:val="false"/>
          <w:i w:val="false"/>
          <w:iCs w:val="false"/>
          <w:color w:val="333333"/>
          <w:sz w:val="20"/>
          <w:szCs w:val="20"/>
        </w:rPr>
        <w:t>1:120</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،منار السّبيل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1:227</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،ميزان الكبرى </w:t>
      </w:r>
      <w:r>
        <w:rPr>
          <w:rFonts w:eastAsia="IRNazanin" w:cs="IRNazanin"/>
          <w:b w:val="false"/>
          <w:bCs w:val="false"/>
          <w:i w:val="false"/>
          <w:iCs w:val="false"/>
          <w:color w:val="333333"/>
          <w:sz w:val="20"/>
          <w:szCs w:val="20"/>
        </w:rPr>
        <w:t>1:120</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2:125</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1:186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1:199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607</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1:115</w:t>
      </w:r>
      <w:r>
        <w:rPr>
          <w:rFonts w:ascii="IRNazanin" w:hAnsi="IRNazanin" w:eastAsia="IRNazanin"/>
          <w:b w:val="false"/>
          <w:b w:val="false"/>
          <w:bCs w:val="false"/>
          <w:i w:val="false"/>
          <w:i w:val="false"/>
          <w:iCs w:val="false"/>
          <w:color w:val="333333"/>
          <w:sz w:val="20"/>
          <w:sz w:val="20"/>
          <w:szCs w:val="20"/>
          <w:rtl w:val="true"/>
        </w:rPr>
        <w:t xml:space="preserve">،سنن الدّارمي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9:540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27325</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1:193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1:168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1:197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600</w:t>
      </w:r>
      <w:r>
        <w:rPr>
          <w:rFonts w:ascii="IRNazanin" w:hAnsi="IRNazanin" w:eastAsia="IRNazanin"/>
          <w:b w:val="false"/>
          <w:b w:val="false"/>
          <w:bCs w:val="false"/>
          <w:i w:val="false"/>
          <w:i w:val="false"/>
          <w:iCs w:val="false"/>
          <w:color w:val="333333"/>
          <w:sz w:val="20"/>
          <w:sz w:val="20"/>
          <w:szCs w:val="20"/>
          <w:rtl w:val="true"/>
        </w:rPr>
        <w:t xml:space="preserve">،الموطأ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1:169</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1:115</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1:209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شيء</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أحكام القرآن للجصّاص </w:t>
      </w:r>
      <w:r>
        <w:rPr>
          <w:rFonts w:eastAsia="IRNazanin" w:cs="IRNazanin"/>
          <w:b w:val="false"/>
          <w:bCs w:val="false"/>
          <w:i w:val="false"/>
          <w:iCs w:val="false"/>
          <w:color w:val="333333"/>
          <w:sz w:val="20"/>
          <w:szCs w:val="20"/>
        </w:rPr>
        <w:t>3:363</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كذا في النّسخ</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ذكرناه</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أكثر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معيبا</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في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1124</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1120</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2:140</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1:231</w:t>
      </w:r>
      <w:r>
        <w:rPr>
          <w:rFonts w:ascii="IRNazanin" w:hAnsi="IRNazanin" w:eastAsia="IRNazanin"/>
          <w:b w:val="false"/>
          <w:b w:val="false"/>
          <w:bCs w:val="false"/>
          <w:i w:val="false"/>
          <w:i w:val="false"/>
          <w:iCs w:val="false"/>
          <w:color w:val="333333"/>
          <w:sz w:val="20"/>
          <w:sz w:val="20"/>
          <w:szCs w:val="20"/>
          <w:rtl w:val="true"/>
        </w:rPr>
        <w:t xml:space="preserve">،ميزان الكبرى </w:t>
      </w:r>
      <w:r>
        <w:rPr>
          <w:rFonts w:eastAsia="IRNazanin" w:cs="IRNazanin"/>
          <w:b w:val="false"/>
          <w:bCs w:val="false"/>
          <w:i w:val="false"/>
          <w:iCs w:val="false"/>
          <w:color w:val="333333"/>
          <w:sz w:val="20"/>
          <w:szCs w:val="20"/>
        </w:rPr>
        <w:t>1:120</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1:233</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1:231</w:t>
      </w:r>
      <w:r>
        <w:rPr>
          <w:rFonts w:ascii="IRNazanin" w:hAnsi="IRNazanin" w:eastAsia="IRNazanin"/>
          <w:b w:val="false"/>
          <w:b w:val="false"/>
          <w:bCs w:val="false"/>
          <w:i w:val="false"/>
          <w:i w:val="false"/>
          <w:iCs w:val="false"/>
          <w:color w:val="333333"/>
          <w:sz w:val="20"/>
          <w:sz w:val="20"/>
          <w:szCs w:val="20"/>
          <w:rtl w:val="true"/>
        </w:rPr>
        <w:t xml:space="preserve">،ميزان الكبرى </w:t>
      </w:r>
      <w:r>
        <w:rPr>
          <w:rFonts w:eastAsia="IRNazanin" w:cs="IRNazanin"/>
          <w:b w:val="false"/>
          <w:bCs w:val="false"/>
          <w:i w:val="false"/>
          <w:iCs w:val="false"/>
          <w:color w:val="333333"/>
          <w:sz w:val="20"/>
          <w:szCs w:val="20"/>
        </w:rPr>
        <w:t>1:120</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2:140</w:t>
      </w:r>
      <w:r>
        <w:rPr>
          <w:rFonts w:ascii="IRNazanin" w:hAnsi="IRNazanin" w:eastAsia="IRNazanin"/>
          <w:b w:val="false"/>
          <w:b w:val="false"/>
          <w:bCs w:val="false"/>
          <w:i w:val="false"/>
          <w:i w:val="false"/>
          <w:iCs w:val="false"/>
          <w:color w:val="333333"/>
          <w:sz w:val="20"/>
          <w:sz w:val="20"/>
          <w:szCs w:val="20"/>
          <w:rtl w:val="true"/>
        </w:rPr>
        <w:t xml:space="preserve">،الكافي لابن قدامة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،منار السّبيل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1:230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1:233</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1:197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منار السّبيل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1:231</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1:231</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1:233</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1:232</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،شرح فتح القدير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،شرح فتح القدير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في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،المحلّى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2:125</w:t>
      </w:r>
      <w:r>
        <w:rPr>
          <w:rFonts w:ascii="IRNazanin" w:hAnsi="IRNazanin" w:eastAsia="IRNazanin"/>
          <w:b w:val="false"/>
          <w:b w:val="false"/>
          <w:bCs w:val="false"/>
          <w:i w:val="false"/>
          <w:i w:val="false"/>
          <w:iCs w:val="false"/>
          <w:color w:val="333333"/>
          <w:sz w:val="20"/>
          <w:sz w:val="20"/>
          <w:szCs w:val="20"/>
          <w:rtl w:val="true"/>
        </w:rPr>
        <w:t xml:space="preserve">،ميزان الكبرى </w:t>
      </w:r>
      <w:r>
        <w:rPr>
          <w:rFonts w:eastAsia="IRNazanin" w:cs="IRNazanin"/>
          <w:b w:val="false"/>
          <w:bCs w:val="false"/>
          <w:i w:val="false"/>
          <w:iCs w:val="false"/>
          <w:color w:val="333333"/>
          <w:sz w:val="20"/>
          <w:szCs w:val="20"/>
        </w:rPr>
        <w:t>1:120</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2:139</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1:233</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،ميزان الكبرى </w:t>
      </w:r>
      <w:r>
        <w:rPr>
          <w:rFonts w:eastAsia="IRNazanin" w:cs="IRNazanin"/>
          <w:b w:val="false"/>
          <w:bCs w:val="false"/>
          <w:i w:val="false"/>
          <w:iCs w:val="false"/>
          <w:color w:val="333333"/>
          <w:sz w:val="20"/>
          <w:szCs w:val="20"/>
        </w:rPr>
        <w:t>1:120</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2:139</w:t>
      </w:r>
      <w:r>
        <w:rPr>
          <w:rFonts w:ascii="IRNazanin" w:hAnsi="IRNazanin" w:eastAsia="IRNazanin"/>
          <w:b w:val="false"/>
          <w:b w:val="false"/>
          <w:bCs w:val="false"/>
          <w:i w:val="false"/>
          <w:i w:val="false"/>
          <w:iCs w:val="false"/>
          <w:color w:val="333333"/>
          <w:sz w:val="20"/>
          <w:sz w:val="20"/>
          <w:szCs w:val="20"/>
          <w:rtl w:val="true"/>
        </w:rPr>
        <w:t xml:space="preserve">،شرح فتح القدير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1:233</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1:233</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1:234</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المحلّى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،ميزان الكبرى </w:t>
      </w:r>
      <w:r>
        <w:rPr>
          <w:rFonts w:eastAsia="IRNazanin" w:cs="IRNazanin"/>
          <w:b w:val="false"/>
          <w:bCs w:val="false"/>
          <w:i w:val="false"/>
          <w:iCs w:val="false"/>
          <w:color w:val="333333"/>
          <w:sz w:val="20"/>
          <w:szCs w:val="20"/>
        </w:rPr>
        <w:t>1:120</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2:139</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1:233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الصّغير بهامش بلغة السّالك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2:139</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برؤية</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1:189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1:281</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6:256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1118</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 ترجمته و القول فيه في الجزء الأوّل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1:234</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1:232</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1:234</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1:232</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فراشه</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1:235</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1:231</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1117</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1:235</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2:143</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1:232</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2:151</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1:235</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1:232</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1:235</w:t>
      </w:r>
      <w:r>
        <w:rPr>
          <w:rFonts w:ascii="IRNazanin" w:hAnsi="IRNazanin" w:eastAsia="IRNazanin"/>
          <w:b w:val="false"/>
          <w:b w:val="false"/>
          <w:bCs w:val="false"/>
          <w:i w:val="false"/>
          <w:i w:val="false"/>
          <w:iCs w:val="false"/>
          <w:color w:val="333333"/>
          <w:sz w:val="20"/>
          <w:sz w:val="20"/>
          <w:szCs w:val="20"/>
          <w:rtl w:val="true"/>
        </w:rPr>
        <w:t xml:space="preserve">،المحلّى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2:151</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1:232</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2:151</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2:144</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2:144</w:t>
      </w:r>
      <w:r>
        <w:rPr>
          <w:rFonts w:ascii="IRNazanin" w:hAnsi="IRNazanin" w:eastAsia="IRNazanin"/>
          <w:b w:val="false"/>
          <w:b w:val="false"/>
          <w:bCs w:val="false"/>
          <w:i w:val="false"/>
          <w:i w:val="false"/>
          <w:iCs w:val="false"/>
          <w:color w:val="333333"/>
          <w:sz w:val="20"/>
          <w:sz w:val="20"/>
          <w:szCs w:val="20"/>
          <w:rtl w:val="true"/>
        </w:rPr>
        <w:t xml:space="preserve">،المدوّنة الكبرى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،بلغة السّالك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،المحلّى </w:t>
      </w:r>
      <w:r>
        <w:rPr>
          <w:rFonts w:eastAsia="IRNazanin" w:cs="IRNazanin"/>
          <w:b w:val="false"/>
          <w:bCs w:val="false"/>
          <w:i w:val="false"/>
          <w:iCs w:val="false"/>
          <w:color w:val="333333"/>
          <w:sz w:val="20"/>
          <w:szCs w:val="20"/>
        </w:rPr>
        <w:t>1:106</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1:194</w:t>
      </w:r>
      <w:r>
        <w:rPr>
          <w:rFonts w:ascii="IRNazanin" w:hAnsi="IRNazanin" w:eastAsia="IRNazanin"/>
          <w:b w:val="false"/>
          <w:b w:val="false"/>
          <w:bCs w:val="false"/>
          <w:i w:val="false"/>
          <w:i w:val="false"/>
          <w:iCs w:val="false"/>
          <w:color w:val="333333"/>
          <w:sz w:val="20"/>
          <w:sz w:val="20"/>
          <w:szCs w:val="20"/>
          <w:rtl w:val="true"/>
        </w:rPr>
        <w:t xml:space="preserve">،الكافي لابن قدامة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،عمدة القارئ </w:t>
      </w:r>
      <w:r>
        <w:rPr>
          <w:rFonts w:eastAsia="IRNazanin" w:cs="IRNazanin"/>
          <w:b w:val="false"/>
          <w:bCs w:val="false"/>
          <w:i w:val="false"/>
          <w:iCs w:val="false"/>
          <w:color w:val="333333"/>
          <w:sz w:val="20"/>
          <w:szCs w:val="20"/>
        </w:rPr>
        <w:t>3:219</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2:144</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1:213</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1:186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1:199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607</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1:115</w:t>
      </w:r>
      <w:r>
        <w:rPr>
          <w:rFonts w:ascii="IRNazanin" w:hAnsi="IRNazanin" w:eastAsia="IRNazanin"/>
          <w:b w:val="false"/>
          <w:b w:val="false"/>
          <w:bCs w:val="false"/>
          <w:i w:val="false"/>
          <w:i w:val="false"/>
          <w:iCs w:val="false"/>
          <w:color w:val="333333"/>
          <w:sz w:val="20"/>
          <w:sz w:val="20"/>
          <w:szCs w:val="20"/>
          <w:rtl w:val="true"/>
        </w:rPr>
        <w:t xml:space="preserve">،سنن الدّارمي </w:t>
      </w:r>
      <w:r>
        <w:rPr>
          <w:rFonts w:eastAsia="IRNazanin" w:cs="IRNazanin"/>
          <w:b w:val="false"/>
          <w:bCs w:val="false"/>
          <w:i w:val="false"/>
          <w:iCs w:val="false"/>
          <w:color w:val="333333"/>
          <w:sz w:val="20"/>
          <w:szCs w:val="20"/>
        </w:rPr>
        <w:t>1:194</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9:540</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27325</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2:140</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1:236</w:t>
      </w:r>
      <w:r>
        <w:rPr>
          <w:rFonts w:ascii="IRNazanin" w:hAnsi="IRNazanin" w:eastAsia="IRNazanin"/>
          <w:b w:val="false"/>
          <w:b w:val="false"/>
          <w:bCs w:val="false"/>
          <w:i w:val="false"/>
          <w:i w:val="false"/>
          <w:iCs w:val="false"/>
          <w:color w:val="333333"/>
          <w:sz w:val="20"/>
          <w:sz w:val="20"/>
          <w:szCs w:val="20"/>
          <w:rtl w:val="true"/>
        </w:rPr>
        <w:t xml:space="preserve">،ميزان الكبرى </w:t>
      </w:r>
      <w:r>
        <w:rPr>
          <w:rFonts w:eastAsia="IRNazanin" w:cs="IRNazanin"/>
          <w:b w:val="false"/>
          <w:bCs w:val="false"/>
          <w:i w:val="false"/>
          <w:iCs w:val="false"/>
          <w:color w:val="333333"/>
          <w:sz w:val="20"/>
          <w:szCs w:val="20"/>
        </w:rPr>
        <w:t>1:120</w:t>
      </w:r>
      <w:r>
        <w:rPr>
          <w:rFonts w:ascii="IRNazanin" w:hAnsi="IRNazanin" w:eastAsia="IRNazanin"/>
          <w:b w:val="false"/>
          <w:b w:val="false"/>
          <w:bCs w:val="false"/>
          <w:i w:val="false"/>
          <w:i w:val="false"/>
          <w:iCs w:val="false"/>
          <w:color w:val="333333"/>
          <w:sz w:val="20"/>
          <w:sz w:val="20"/>
          <w:szCs w:val="20"/>
          <w:rtl w:val="true"/>
        </w:rPr>
        <w:t xml:space="preserve">،رحمة الأمة بهامش ميزان الكبرى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،شرح الزّرقاني على موطّإ مالك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1:277</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6:239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1:199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608</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1:278</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1:278</w:t>
      </w:r>
      <w:r>
        <w:rPr>
          <w:rFonts w:ascii="IRNazanin" w:hAnsi="IRNazanin" w:eastAsia="IRNazanin"/>
          <w:b w:val="false"/>
          <w:b w:val="false"/>
          <w:bCs w:val="false"/>
          <w:i w:val="false"/>
          <w:i w:val="false"/>
          <w:iCs w:val="false"/>
          <w:color w:val="333333"/>
          <w:sz w:val="20"/>
          <w:sz w:val="20"/>
          <w:szCs w:val="20"/>
          <w:rtl w:val="true"/>
        </w:rPr>
        <w:t xml:space="preserve">،جامع الأصول </w:t>
      </w:r>
      <w:r>
        <w:rPr>
          <w:rFonts w:eastAsia="IRNazanin" w:cs="IRNazanin"/>
          <w:b w:val="false"/>
          <w:bCs w:val="false"/>
          <w:i w:val="false"/>
          <w:iCs w:val="false"/>
          <w:color w:val="333333"/>
          <w:sz w:val="20"/>
          <w:szCs w:val="20"/>
        </w:rPr>
        <w:t>8:160</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1:236</w:t>
      </w:r>
      <w:r>
        <w:rPr>
          <w:rFonts w:ascii="IRNazanin" w:hAnsi="IRNazanin" w:eastAsia="IRNazanin"/>
          <w:b w:val="false"/>
          <w:b w:val="false"/>
          <w:bCs w:val="false"/>
          <w:i w:val="false"/>
          <w:i w:val="false"/>
          <w:iCs w:val="false"/>
          <w:color w:val="333333"/>
          <w:sz w:val="20"/>
          <w:sz w:val="20"/>
          <w:szCs w:val="20"/>
          <w:rtl w:val="true"/>
        </w:rPr>
        <w:t xml:space="preserve">،عمدة القارئ </w:t>
      </w:r>
      <w:r>
        <w:rPr>
          <w:rFonts w:eastAsia="IRNazanin" w:cs="IRNazanin"/>
          <w:b w:val="false"/>
          <w:bCs w:val="false"/>
          <w:i w:val="false"/>
          <w:iCs w:val="false"/>
          <w:color w:val="333333"/>
          <w:sz w:val="20"/>
          <w:szCs w:val="20"/>
        </w:rPr>
        <w:t>3:354</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1:236</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في المعتبر </w:t>
      </w:r>
      <w:r>
        <w:rPr>
          <w:rFonts w:eastAsia="IRNazanin" w:cs="IRNazanin"/>
          <w:b w:val="false"/>
          <w:bCs w:val="false"/>
          <w:i w:val="false"/>
          <w:iCs w:val="false"/>
          <w:color w:val="333333"/>
          <w:sz w:val="20"/>
          <w:szCs w:val="20"/>
        </w:rPr>
        <w:t>1:180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2:136</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في المعتبر </w:t>
      </w:r>
      <w:r>
        <w:rPr>
          <w:rFonts w:eastAsia="IRNazanin" w:cs="IRNazanin"/>
          <w:b w:val="false"/>
          <w:bCs w:val="false"/>
          <w:i w:val="false"/>
          <w:iCs w:val="false"/>
          <w:color w:val="333333"/>
          <w:sz w:val="20"/>
          <w:szCs w:val="20"/>
        </w:rPr>
        <w:t>1:181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2:132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،شرح فتح القدير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1:238</w:t>
      </w:r>
      <w:r>
        <w:rPr>
          <w:rFonts w:ascii="IRNazanin" w:hAnsi="IRNazanin" w:eastAsia="IRNazanin"/>
          <w:b w:val="false"/>
          <w:b w:val="false"/>
          <w:bCs w:val="false"/>
          <w:i w:val="false"/>
          <w:i w:val="false"/>
          <w:iCs w:val="false"/>
          <w:color w:val="333333"/>
          <w:sz w:val="20"/>
          <w:sz w:val="20"/>
          <w:szCs w:val="20"/>
          <w:rtl w:val="true"/>
        </w:rPr>
        <w:t xml:space="preserve">،الكافي لابن قدامة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1:235</w:t>
      </w:r>
      <w:r>
        <w:rPr>
          <w:rFonts w:ascii="IRNazanin" w:hAnsi="IRNazanin" w:eastAsia="IRNazanin"/>
          <w:b w:val="false"/>
          <w:b w:val="false"/>
          <w:bCs w:val="false"/>
          <w:i w:val="false"/>
          <w:i w:val="false"/>
          <w:iCs w:val="false"/>
          <w:color w:val="333333"/>
          <w:sz w:val="20"/>
          <w:sz w:val="20"/>
          <w:szCs w:val="20"/>
          <w:rtl w:val="true"/>
        </w:rPr>
        <w:t xml:space="preserve">،منار السّبيل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2:136</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،الهداية للمرغيناني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،شرح فتح القدير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1:237</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1:235</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،الهداية للمرغيناني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،شرح فتح القدير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،عمدة القارئ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2:117</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1:237</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2:132</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،فتح الوهّاب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2:117</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1:237</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1:235</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فتح القدير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،عمدة القارئ </w:t>
      </w:r>
      <w:r>
        <w:rPr>
          <w:rFonts w:eastAsia="IRNazanin" w:cs="IRNazanin"/>
          <w:b w:val="false"/>
          <w:bCs w:val="false"/>
          <w:i w:val="false"/>
          <w:iCs w:val="false"/>
          <w:color w:val="333333"/>
          <w:sz w:val="20"/>
          <w:szCs w:val="20"/>
        </w:rPr>
        <w:t>3:253</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1:237</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2:136</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1:237</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2:137</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1:235</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لضرورة</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2:135</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2:132</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وطئ</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1:238</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6:239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1:238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القيامة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تناول</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2:152</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1:239</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1:239</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2:152</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1:282</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6:239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1:239</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1:282</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2:152</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4:199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1:240</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1:238</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2:153</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1:240</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1:238</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1:240</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1:238</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النّسخ،و الأنسب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بهيمة</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2:133</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لو استدخلت ذكر بهيمة</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2:151</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أفضاه،و لعلّ الأنسب ما أثبتناه</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2:151</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2:134</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2:118</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2:134</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2:119</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تقدّم في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بدأ به في</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تقدّم في الجزء الأوّل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1:175</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1:177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 تفاوت يسير</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ضفر رأسي</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 يسير</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أضفناه من المصدر</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القطر</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مختصر المزني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1:246</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المطلق،حديث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أضفناه من المصدر</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1108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1:254</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1:217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 يسير</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1:218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1:181</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1:147</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1:260</w:t>
      </w:r>
      <w:r>
        <w:rPr>
          <w:rFonts w:ascii="IRNazanin" w:hAnsi="IRNazanin" w:eastAsia="IRNazanin"/>
          <w:b w:val="false"/>
          <w:b w:val="false"/>
          <w:bCs w:val="false"/>
          <w:i w:val="false"/>
          <w:i w:val="false"/>
          <w:iCs w:val="false"/>
          <w:color w:val="333333"/>
          <w:sz w:val="20"/>
          <w:sz w:val="20"/>
          <w:szCs w:val="20"/>
          <w:rtl w:val="true"/>
        </w:rPr>
        <w:t xml:space="preserve">،التّفسير الكبير </w:t>
      </w:r>
      <w:r>
        <w:rPr>
          <w:rFonts w:eastAsia="IRNazanin" w:cs="IRNazanin"/>
          <w:b w:val="false"/>
          <w:bCs w:val="false"/>
          <w:i w:val="false"/>
          <w:iCs w:val="false"/>
          <w:color w:val="333333"/>
          <w:sz w:val="20"/>
          <w:szCs w:val="20"/>
        </w:rPr>
        <w:t>11:158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الامّ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1:260</w:t>
      </w:r>
      <w:r>
        <w:rPr>
          <w:rFonts w:ascii="IRNazanin" w:hAnsi="IRNazanin" w:eastAsia="IRNazanin"/>
          <w:b w:val="false"/>
          <w:b w:val="false"/>
          <w:bCs w:val="false"/>
          <w:i w:val="false"/>
          <w:i w:val="false"/>
          <w:iCs w:val="false"/>
          <w:color w:val="333333"/>
          <w:sz w:val="20"/>
          <w:sz w:val="20"/>
          <w:szCs w:val="20"/>
          <w:rtl w:val="true"/>
        </w:rPr>
        <w:t xml:space="preserve">،التّفسير الكبير </w:t>
      </w:r>
      <w:r>
        <w:rPr>
          <w:rFonts w:eastAsia="IRNazanin" w:cs="IRNazanin"/>
          <w:b w:val="false"/>
          <w:bCs w:val="false"/>
          <w:i w:val="false"/>
          <w:iCs w:val="false"/>
          <w:color w:val="333333"/>
          <w:sz w:val="20"/>
          <w:szCs w:val="20"/>
        </w:rPr>
        <w:t>11:158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1:260</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1:179</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9:553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27379</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1:260</w:t>
      </w:r>
      <w:r>
        <w:rPr>
          <w:rFonts w:ascii="IRNazanin" w:hAnsi="IRNazanin" w:eastAsia="IRNazanin"/>
          <w:b w:val="false"/>
          <w:b w:val="false"/>
          <w:bCs w:val="false"/>
          <w:i w:val="false"/>
          <w:i w:val="false"/>
          <w:iCs w:val="false"/>
          <w:color w:val="333333"/>
          <w:sz w:val="20"/>
          <w:sz w:val="20"/>
          <w:szCs w:val="20"/>
          <w:rtl w:val="true"/>
        </w:rPr>
        <w:t xml:space="preserve">،أحكام القرآن، للجصّاص </w:t>
      </w:r>
      <w:r>
        <w:rPr>
          <w:rFonts w:eastAsia="IRNazanin" w:cs="IRNazanin"/>
          <w:b w:val="false"/>
          <w:bCs w:val="false"/>
          <w:i w:val="false"/>
          <w:iCs w:val="false"/>
          <w:color w:val="333333"/>
          <w:sz w:val="20"/>
          <w:szCs w:val="20"/>
        </w:rPr>
        <w:t>3:376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1:311</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 ترجمته و القول فيه في الجزء الأوّل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1:261</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1:253</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1:252</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1:249</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الغسل</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1:253</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1:249</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الجزء الأوّل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في المعتبر </w:t>
      </w:r>
      <w:r>
        <w:rPr>
          <w:rFonts w:eastAsia="IRNazanin" w:cs="IRNazanin"/>
          <w:b w:val="false"/>
          <w:bCs w:val="false"/>
          <w:i w:val="false"/>
          <w:iCs w:val="false"/>
          <w:color w:val="333333"/>
          <w:sz w:val="20"/>
          <w:szCs w:val="20"/>
        </w:rPr>
        <w:t>1:185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الجمل و العقود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الجزء الأوّل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،الام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مختصر المزنيّ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2:197</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2:161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،السّراج الوهّاج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،التّفسير الكبير </w:t>
      </w:r>
      <w:r>
        <w:rPr>
          <w:rFonts w:eastAsia="IRNazanin" w:cs="IRNazanin"/>
          <w:b w:val="false"/>
          <w:bCs w:val="false"/>
          <w:i w:val="false"/>
          <w:iCs w:val="false"/>
          <w:color w:val="333333"/>
          <w:sz w:val="20"/>
          <w:szCs w:val="20"/>
        </w:rPr>
        <w:t>11:157</w:t>
      </w:r>
      <w:r>
        <w:rPr>
          <w:rFonts w:ascii="IRNazanin" w:hAnsi="IRNazanin" w:eastAsia="IRNazanin"/>
          <w:b w:val="false"/>
          <w:b w:val="false"/>
          <w:bCs w:val="false"/>
          <w:i w:val="false"/>
          <w:i w:val="false"/>
          <w:iCs w:val="false"/>
          <w:color w:val="333333"/>
          <w:sz w:val="20"/>
          <w:sz w:val="20"/>
          <w:szCs w:val="20"/>
          <w:rtl w:val="true"/>
        </w:rPr>
        <w:t xml:space="preserve">،المحلّى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1:132</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،الهداية للمرغيناني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فتح القدير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،عمدة القارئ </w:t>
      </w:r>
      <w:r>
        <w:rPr>
          <w:rFonts w:eastAsia="IRNazanin" w:cs="IRNazanin"/>
          <w:b w:val="false"/>
          <w:bCs w:val="false"/>
          <w:i w:val="false"/>
          <w:iCs w:val="false"/>
          <w:color w:val="333333"/>
          <w:sz w:val="20"/>
          <w:szCs w:val="20"/>
        </w:rPr>
        <w:t>3:194</w:t>
      </w:r>
      <w:r>
        <w:rPr>
          <w:rFonts w:ascii="IRNazanin" w:hAnsi="IRNazanin" w:eastAsia="IRNazanin"/>
          <w:b w:val="false"/>
          <w:b w:val="false"/>
          <w:bCs w:val="false"/>
          <w:i w:val="false"/>
          <w:i w:val="false"/>
          <w:iCs w:val="false"/>
          <w:color w:val="333333"/>
          <w:sz w:val="20"/>
          <w:sz w:val="20"/>
          <w:szCs w:val="20"/>
          <w:rtl w:val="true"/>
        </w:rPr>
        <w:t xml:space="preserve">،تفسير القرطبي </w:t>
      </w:r>
      <w:r>
        <w:rPr>
          <w:rFonts w:eastAsia="IRNazanin" w:cs="IRNazanin"/>
          <w:b w:val="false"/>
          <w:bCs w:val="false"/>
          <w:i w:val="false"/>
          <w:iCs w:val="false"/>
          <w:color w:val="333333"/>
          <w:sz w:val="20"/>
          <w:szCs w:val="20"/>
        </w:rPr>
        <w:t>5:212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،التّفسير الكبير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،المحلّى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،شرح الزّرقاني على موطّإ مالك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1:132</w:t>
      </w:r>
      <w:r>
        <w:rPr>
          <w:rFonts w:ascii="IRNazanin" w:hAnsi="IRNazanin" w:eastAsia="IRNazanin"/>
          <w:b w:val="false"/>
          <w:b w:val="false"/>
          <w:bCs w:val="false"/>
          <w:i w:val="false"/>
          <w:i w:val="false"/>
          <w:iCs w:val="false"/>
          <w:color w:val="333333"/>
          <w:sz w:val="20"/>
          <w:sz w:val="20"/>
          <w:szCs w:val="20"/>
          <w:rtl w:val="true"/>
        </w:rPr>
        <w:t xml:space="preserve">،التّفسير الكبير </w:t>
      </w:r>
      <w:r>
        <w:rPr>
          <w:rFonts w:eastAsia="IRNazanin" w:cs="IRNazanin"/>
          <w:b w:val="false"/>
          <w:bCs w:val="false"/>
          <w:i w:val="false"/>
          <w:iCs w:val="false"/>
          <w:color w:val="333333"/>
          <w:sz w:val="20"/>
          <w:szCs w:val="20"/>
        </w:rPr>
        <w:t>11:157</w:t>
      </w:r>
      <w:r>
        <w:rPr>
          <w:rFonts w:ascii="IRNazanin" w:hAnsi="IRNazanin" w:eastAsia="IRNazanin"/>
          <w:b w:val="false"/>
          <w:b w:val="false"/>
          <w:bCs w:val="false"/>
          <w:i w:val="false"/>
          <w:i w:val="false"/>
          <w:iCs w:val="false"/>
          <w:color w:val="333333"/>
          <w:sz w:val="20"/>
          <w:sz w:val="20"/>
          <w:szCs w:val="20"/>
          <w:rtl w:val="true"/>
        </w:rPr>
        <w:t xml:space="preserve">،تفسير القرطبي </w:t>
      </w:r>
      <w:r>
        <w:rPr>
          <w:rFonts w:eastAsia="IRNazanin" w:cs="IRNazanin"/>
          <w:b w:val="false"/>
          <w:bCs w:val="false"/>
          <w:i w:val="false"/>
          <w:iCs w:val="false"/>
          <w:color w:val="333333"/>
          <w:sz w:val="20"/>
          <w:szCs w:val="20"/>
        </w:rPr>
        <w:t>5:212</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1:363</w:t>
      </w:r>
      <w:r>
        <w:rPr>
          <w:rFonts w:ascii="IRNazanin" w:hAnsi="IRNazanin" w:eastAsia="IRNazanin"/>
          <w:b w:val="false"/>
          <w:b w:val="false"/>
          <w:bCs w:val="false"/>
          <w:i w:val="false"/>
          <w:i w:val="false"/>
          <w:iCs w:val="false"/>
          <w:color w:val="333333"/>
          <w:sz w:val="20"/>
          <w:sz w:val="20"/>
          <w:szCs w:val="20"/>
          <w:rtl w:val="true"/>
        </w:rPr>
        <w:t xml:space="preserve">،شرح الزّرقاني على موطّإ مالك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الجزء الأول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1:185</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1:251</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1:247</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2:185</w:t>
      </w:r>
      <w:r>
        <w:rPr>
          <w:rFonts w:ascii="IRNazanin" w:hAnsi="IRNazanin" w:eastAsia="IRNazanin"/>
          <w:b w:val="false"/>
          <w:b w:val="false"/>
          <w:bCs w:val="false"/>
          <w:i w:val="false"/>
          <w:i w:val="false"/>
          <w:iCs w:val="false"/>
          <w:color w:val="333333"/>
          <w:sz w:val="20"/>
          <w:sz w:val="20"/>
          <w:szCs w:val="20"/>
          <w:rtl w:val="true"/>
        </w:rPr>
        <w:t xml:space="preserve">،ميزان الكبرى </w:t>
      </w:r>
      <w:r>
        <w:rPr>
          <w:rFonts w:eastAsia="IRNazanin" w:cs="IRNazanin"/>
          <w:b w:val="false"/>
          <w:bCs w:val="false"/>
          <w:i w:val="false"/>
          <w:iCs w:val="false"/>
          <w:color w:val="333333"/>
          <w:sz w:val="20"/>
          <w:szCs w:val="20"/>
        </w:rPr>
        <w:t>1:121</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1:251</w:t>
      </w:r>
      <w:r>
        <w:rPr>
          <w:rFonts w:ascii="IRNazanin" w:hAnsi="IRNazanin" w:eastAsia="IRNazanin"/>
          <w:b w:val="false"/>
          <w:b w:val="false"/>
          <w:bCs w:val="false"/>
          <w:i w:val="false"/>
          <w:i w:val="false"/>
          <w:iCs w:val="false"/>
          <w:color w:val="333333"/>
          <w:sz w:val="20"/>
          <w:sz w:val="20"/>
          <w:szCs w:val="20"/>
          <w:rtl w:val="true"/>
        </w:rPr>
        <w:t xml:space="preserve">،إرشاد السّاري </w:t>
      </w:r>
      <w:r>
        <w:rPr>
          <w:rFonts w:eastAsia="IRNazanin" w:cs="IRNazanin"/>
          <w:b w:val="false"/>
          <w:bCs w:val="false"/>
          <w:i w:val="false"/>
          <w:iCs w:val="false"/>
          <w:color w:val="333333"/>
          <w:sz w:val="20"/>
          <w:szCs w:val="20"/>
        </w:rPr>
        <w:t>1:315</w:t>
      </w:r>
      <w:r>
        <w:rPr>
          <w:rFonts w:ascii="IRNazanin" w:hAnsi="IRNazanin" w:eastAsia="IRNazanin"/>
          <w:b w:val="false"/>
          <w:b w:val="false"/>
          <w:bCs w:val="false"/>
          <w:i w:val="false"/>
          <w:i w:val="false"/>
          <w:iCs w:val="false"/>
          <w:color w:val="333333"/>
          <w:sz w:val="20"/>
          <w:sz w:val="20"/>
          <w:szCs w:val="20"/>
          <w:rtl w:val="true"/>
        </w:rPr>
        <w:t xml:space="preserve">،رحمة الأمة بهامش ميزان الكبرى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1:251</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1:247</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،عمدة القارئ </w:t>
      </w:r>
      <w:r>
        <w:rPr>
          <w:rFonts w:eastAsia="IRNazanin" w:cs="IRNazanin"/>
          <w:b w:val="false"/>
          <w:bCs w:val="false"/>
          <w:i w:val="false"/>
          <w:iCs w:val="false"/>
          <w:color w:val="333333"/>
          <w:sz w:val="20"/>
          <w:szCs w:val="20"/>
        </w:rPr>
        <w:t>3:192</w:t>
      </w:r>
      <w:r>
        <w:rPr>
          <w:rFonts w:ascii="IRNazanin" w:hAnsi="IRNazanin" w:eastAsia="IRNazanin"/>
          <w:b w:val="false"/>
          <w:b w:val="false"/>
          <w:bCs w:val="false"/>
          <w:i w:val="false"/>
          <w:i w:val="false"/>
          <w:iCs w:val="false"/>
          <w:color w:val="333333"/>
          <w:sz w:val="20"/>
          <w:sz w:val="20"/>
          <w:szCs w:val="20"/>
          <w:rtl w:val="true"/>
        </w:rPr>
        <w:t xml:space="preserve">،المحلّى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1:251</w:t>
      </w:r>
      <w:r>
        <w:rPr>
          <w:rFonts w:ascii="IRNazanin" w:hAnsi="IRNazanin" w:eastAsia="IRNazanin"/>
          <w:b w:val="false"/>
          <w:b w:val="false"/>
          <w:bCs w:val="false"/>
          <w:i w:val="false"/>
          <w:i w:val="false"/>
          <w:iCs w:val="false"/>
          <w:color w:val="333333"/>
          <w:sz w:val="20"/>
          <w:sz w:val="20"/>
          <w:szCs w:val="20"/>
          <w:rtl w:val="true"/>
        </w:rPr>
        <w:t xml:space="preserve">،إرشاد السّاري </w:t>
      </w:r>
      <w:r>
        <w:rPr>
          <w:rFonts w:eastAsia="IRNazanin" w:cs="IRNazanin"/>
          <w:b w:val="false"/>
          <w:bCs w:val="false"/>
          <w:i w:val="false"/>
          <w:iCs w:val="false"/>
          <w:color w:val="333333"/>
          <w:sz w:val="20"/>
          <w:szCs w:val="20"/>
        </w:rPr>
        <w:t>1:315</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1:247</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المدوّنة الكبرى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،بلغة السّالك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،أحكام القرآن لابن العربي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xml:space="preserve">،تفسير القرطبي </w:t>
      </w:r>
      <w:r>
        <w:rPr>
          <w:rFonts w:eastAsia="IRNazanin" w:cs="IRNazanin"/>
          <w:b w:val="false"/>
          <w:bCs w:val="false"/>
          <w:i w:val="false"/>
          <w:iCs w:val="false"/>
          <w:color w:val="333333"/>
          <w:sz w:val="20"/>
          <w:szCs w:val="20"/>
        </w:rPr>
        <w:t>5:210</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1:251</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2:185</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2:185</w:t>
      </w:r>
      <w:r>
        <w:rPr>
          <w:rFonts w:ascii="IRNazanin" w:hAnsi="IRNazanin" w:eastAsia="IRNazanin"/>
          <w:b w:val="false"/>
          <w:b w:val="false"/>
          <w:bCs w:val="false"/>
          <w:i w:val="false"/>
          <w:i w:val="false"/>
          <w:iCs w:val="false"/>
          <w:color w:val="333333"/>
          <w:sz w:val="20"/>
          <w:sz w:val="20"/>
          <w:szCs w:val="20"/>
          <w:rtl w:val="true"/>
        </w:rPr>
        <w:t xml:space="preserve">،عمدة القارئ </w:t>
      </w:r>
      <w:r>
        <w:rPr>
          <w:rFonts w:eastAsia="IRNazanin" w:cs="IRNazanin"/>
          <w:b w:val="false"/>
          <w:bCs w:val="false"/>
          <w:i w:val="false"/>
          <w:iCs w:val="false"/>
          <w:color w:val="333333"/>
          <w:sz w:val="20"/>
          <w:szCs w:val="20"/>
        </w:rPr>
        <w:t>3:192</w:t>
      </w:r>
      <w:r>
        <w:rPr>
          <w:rFonts w:ascii="IRNazanin" w:hAnsi="IRNazanin" w:eastAsia="IRNazanin"/>
          <w:b w:val="false"/>
          <w:b w:val="false"/>
          <w:bCs w:val="false"/>
          <w:i w:val="false"/>
          <w:i w:val="false"/>
          <w:iCs w:val="false"/>
          <w:color w:val="333333"/>
          <w:sz w:val="20"/>
          <w:sz w:val="20"/>
          <w:szCs w:val="20"/>
          <w:rtl w:val="true"/>
        </w:rPr>
        <w:t xml:space="preserve">،ميزان الكبرى </w:t>
      </w:r>
      <w:r>
        <w:rPr>
          <w:rFonts w:eastAsia="IRNazanin" w:cs="IRNazanin"/>
          <w:b w:val="false"/>
          <w:bCs w:val="false"/>
          <w:i w:val="false"/>
          <w:iCs w:val="false"/>
          <w:color w:val="333333"/>
          <w:sz w:val="20"/>
          <w:szCs w:val="20"/>
        </w:rPr>
        <w:t>1:121</w:t>
      </w:r>
      <w:r>
        <w:rPr>
          <w:rFonts w:ascii="IRNazanin" w:hAnsi="IRNazanin" w:eastAsia="IRNazanin"/>
          <w:b w:val="false"/>
          <w:b w:val="false"/>
          <w:bCs w:val="false"/>
          <w:i w:val="false"/>
          <w:i w:val="false"/>
          <w:iCs w:val="false"/>
          <w:color w:val="333333"/>
          <w:sz w:val="20"/>
          <w:sz w:val="20"/>
          <w:szCs w:val="20"/>
          <w:rtl w:val="true"/>
        </w:rPr>
        <w:t xml:space="preserve">،المحلّى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فتح البارئ </w:t>
      </w:r>
      <w:r>
        <w:rPr>
          <w:rFonts w:eastAsia="IRNazanin" w:cs="IRNazanin"/>
          <w:b w:val="false"/>
          <w:bCs w:val="false"/>
          <w:i w:val="false"/>
          <w:iCs w:val="false"/>
          <w:color w:val="333333"/>
          <w:sz w:val="20"/>
          <w:szCs w:val="20"/>
        </w:rPr>
        <w:t>1:286</w:t>
      </w:r>
      <w:r>
        <w:rPr>
          <w:rFonts w:ascii="IRNazanin" w:hAnsi="IRNazanin" w:eastAsia="IRNazanin"/>
          <w:b w:val="false"/>
          <w:b w:val="false"/>
          <w:bCs w:val="false"/>
          <w:i w:val="false"/>
          <w:i w:val="false"/>
          <w:iCs w:val="false"/>
          <w:color w:val="333333"/>
          <w:sz w:val="20"/>
          <w:sz w:val="20"/>
          <w:szCs w:val="20"/>
          <w:rtl w:val="true"/>
        </w:rPr>
        <w:t xml:space="preserve">،إرشاد السّاري </w:t>
      </w:r>
      <w:r>
        <w:rPr>
          <w:rFonts w:eastAsia="IRNazanin" w:cs="IRNazanin"/>
          <w:b w:val="false"/>
          <w:bCs w:val="false"/>
          <w:i w:val="false"/>
          <w:iCs w:val="false"/>
          <w:color w:val="333333"/>
          <w:sz w:val="20"/>
          <w:szCs w:val="20"/>
        </w:rPr>
        <w:t>1:315</w:t>
      </w:r>
      <w:r>
        <w:rPr>
          <w:rFonts w:ascii="IRNazanin" w:hAnsi="IRNazanin" w:eastAsia="IRNazanin"/>
          <w:b w:val="false"/>
          <w:b w:val="false"/>
          <w:bCs w:val="false"/>
          <w:i w:val="false"/>
          <w:i w:val="false"/>
          <w:iCs w:val="false"/>
          <w:color w:val="333333"/>
          <w:sz w:val="20"/>
          <w:sz w:val="20"/>
          <w:szCs w:val="20"/>
          <w:rtl w:val="true"/>
        </w:rPr>
        <w:t xml:space="preserve">،شرح النّووي لصحيح مسلم بهامش إرشاد السّاري </w:t>
      </w:r>
      <w:r>
        <w:rPr>
          <w:rFonts w:eastAsia="IRNazanin" w:cs="IRNazanin"/>
          <w:b w:val="false"/>
          <w:bCs w:val="false"/>
          <w:i w:val="false"/>
          <w:iCs w:val="false"/>
          <w:color w:val="333333"/>
          <w:sz w:val="20"/>
          <w:szCs w:val="20"/>
        </w:rPr>
        <w:t>2:364</w:t>
      </w:r>
      <w:r>
        <w:rPr>
          <w:rFonts w:ascii="IRNazanin" w:hAnsi="IRNazanin" w:eastAsia="IRNazanin"/>
          <w:b w:val="false"/>
          <w:b w:val="false"/>
          <w:bCs w:val="false"/>
          <w:i w:val="false"/>
          <w:i w:val="false"/>
          <w:iCs w:val="false"/>
          <w:color w:val="333333"/>
          <w:sz w:val="20"/>
          <w:sz w:val="20"/>
          <w:szCs w:val="20"/>
          <w:rtl w:val="true"/>
        </w:rPr>
        <w:t xml:space="preserve">،التّفسير الكبير </w:t>
      </w:r>
      <w:r>
        <w:rPr>
          <w:rFonts w:eastAsia="IRNazanin" w:cs="IRNazanin"/>
          <w:b w:val="false"/>
          <w:bCs w:val="false"/>
          <w:i w:val="false"/>
          <w:iCs w:val="false"/>
          <w:color w:val="333333"/>
          <w:sz w:val="20"/>
          <w:szCs w:val="20"/>
        </w:rPr>
        <w:t>11:165</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1:247</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2:185</w:t>
      </w:r>
      <w:r>
        <w:rPr>
          <w:rFonts w:ascii="IRNazanin" w:hAnsi="IRNazanin" w:eastAsia="IRNazanin"/>
          <w:b w:val="false"/>
          <w:b w:val="false"/>
          <w:bCs w:val="false"/>
          <w:i w:val="false"/>
          <w:i w:val="false"/>
          <w:iCs w:val="false"/>
          <w:color w:val="333333"/>
          <w:sz w:val="20"/>
          <w:sz w:val="20"/>
          <w:szCs w:val="20"/>
          <w:rtl w:val="true"/>
        </w:rPr>
        <w:t xml:space="preserve">،شرح النّووي لصحيح مسلم بهامش إرشاد السّاري </w:t>
      </w:r>
      <w:r>
        <w:rPr>
          <w:rFonts w:eastAsia="IRNazanin" w:cs="IRNazanin"/>
          <w:b w:val="false"/>
          <w:bCs w:val="false"/>
          <w:i w:val="false"/>
          <w:iCs w:val="false"/>
          <w:color w:val="333333"/>
          <w:sz w:val="20"/>
          <w:szCs w:val="20"/>
        </w:rPr>
        <w:t>2:364</w:t>
      </w:r>
      <w:r>
        <w:rPr>
          <w:rFonts w:ascii="IRNazanin" w:hAnsi="IRNazanin" w:eastAsia="IRNazanin"/>
          <w:b w:val="false"/>
          <w:b w:val="false"/>
          <w:bCs w:val="false"/>
          <w:i w:val="false"/>
          <w:i w:val="false"/>
          <w:iCs w:val="false"/>
          <w:color w:val="333333"/>
          <w:sz w:val="20"/>
          <w:sz w:val="20"/>
          <w:szCs w:val="20"/>
          <w:rtl w:val="true"/>
        </w:rPr>
        <w:t xml:space="preserve">،تفسير القرطبي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،عمدة القارئ </w:t>
      </w:r>
      <w:r>
        <w:rPr>
          <w:rFonts w:eastAsia="IRNazanin" w:cs="IRNazanin"/>
          <w:b w:val="false"/>
          <w:bCs w:val="false"/>
          <w:i w:val="false"/>
          <w:iCs w:val="false"/>
          <w:color w:val="333333"/>
          <w:sz w:val="20"/>
          <w:szCs w:val="20"/>
        </w:rPr>
        <w:t>3:192</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،فتح البارئ </w:t>
      </w:r>
      <w:r>
        <w:rPr>
          <w:rFonts w:eastAsia="IRNazanin" w:cs="IRNazanin"/>
          <w:b w:val="false"/>
          <w:bCs w:val="false"/>
          <w:i w:val="false"/>
          <w:iCs w:val="false"/>
          <w:color w:val="333333"/>
          <w:sz w:val="20"/>
          <w:szCs w:val="20"/>
        </w:rPr>
        <w:t>1:286</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1:251</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1:248</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1:251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1:175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1:198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603</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1:131</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الجميع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ارتمس الجنب</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1:252</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1:248</w:t>
      </w:r>
      <w:r>
        <w:rPr>
          <w:rFonts w:ascii="IRNazanin" w:hAnsi="IRNazanin" w:eastAsia="IRNazanin"/>
          <w:b w:val="false"/>
          <w:b w:val="false"/>
          <w:bCs w:val="false"/>
          <w:i w:val="false"/>
          <w:i w:val="false"/>
          <w:iCs w:val="false"/>
          <w:color w:val="333333"/>
          <w:sz w:val="20"/>
          <w:sz w:val="20"/>
          <w:szCs w:val="20"/>
          <w:rtl w:val="true"/>
        </w:rPr>
        <w:t xml:space="preserve">،تفسير القرطبي </w:t>
      </w:r>
      <w:r>
        <w:rPr>
          <w:rFonts w:eastAsia="IRNazanin" w:cs="IRNazanin"/>
          <w:b w:val="false"/>
          <w:bCs w:val="false"/>
          <w:i w:val="false"/>
          <w:iCs w:val="false"/>
          <w:color w:val="333333"/>
          <w:sz w:val="20"/>
          <w:szCs w:val="20"/>
        </w:rPr>
        <w:t>5:210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أضفناه لاستقامة العبارة</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الام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مختصر المزني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2:189</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،السّراج الوهّاج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1:257</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1:258</w:t>
      </w:r>
      <w:r>
        <w:rPr>
          <w:rFonts w:ascii="IRNazanin" w:hAnsi="IRNazanin" w:eastAsia="IRNazanin"/>
          <w:b w:val="false"/>
          <w:b w:val="false"/>
          <w:bCs w:val="false"/>
          <w:i w:val="false"/>
          <w:i w:val="false"/>
          <w:iCs w:val="false"/>
          <w:color w:val="333333"/>
          <w:sz w:val="20"/>
          <w:sz w:val="20"/>
          <w:szCs w:val="20"/>
          <w:rtl w:val="true"/>
        </w:rPr>
        <w:t xml:space="preserve">،منار السّبيل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1:256</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2:191</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2:191</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قريبا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أثبتناه من المصدر</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قريبا</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1:256</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3:370</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9:309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26152</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1:195</w:t>
      </w:r>
      <w:r>
        <w:rPr>
          <w:rFonts w:ascii="IRNazanin" w:hAnsi="IRNazanin" w:eastAsia="IRNazanin"/>
          <w:b w:val="false"/>
          <w:b w:val="false"/>
          <w:bCs w:val="false"/>
          <w:i w:val="false"/>
          <w:i w:val="false"/>
          <w:iCs w:val="false"/>
          <w:color w:val="333333"/>
          <w:sz w:val="20"/>
          <w:sz w:val="20"/>
          <w:szCs w:val="20"/>
          <w:rtl w:val="true"/>
        </w:rPr>
        <w:t xml:space="preserve">،مستدرك الحاكم </w:t>
      </w:r>
      <w:r>
        <w:rPr>
          <w:rFonts w:eastAsia="IRNazanin" w:cs="IRNazanin"/>
          <w:b w:val="false"/>
          <w:bCs w:val="false"/>
          <w:i w:val="false"/>
          <w:iCs w:val="false"/>
          <w:color w:val="333333"/>
          <w:sz w:val="20"/>
          <w:szCs w:val="20"/>
        </w:rPr>
        <w:t>1:161</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1:256</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1:196</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1:137</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1:137</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أضفناه من المصدر</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1:255</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1:255</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1:258</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1:255</w:t>
      </w:r>
      <w:r>
        <w:rPr>
          <w:rFonts w:ascii="IRNazanin" w:hAnsi="IRNazanin" w:eastAsia="IRNazanin"/>
          <w:b w:val="false"/>
          <w:b w:val="false"/>
          <w:bCs w:val="false"/>
          <w:i w:val="false"/>
          <w:i w:val="false"/>
          <w:iCs w:val="false"/>
          <w:color w:val="333333"/>
          <w:sz w:val="20"/>
          <w:sz w:val="20"/>
          <w:szCs w:val="20"/>
          <w:rtl w:val="true"/>
        </w:rPr>
        <w:t xml:space="preserve">،عمدة القارئ </w:t>
      </w:r>
      <w:r>
        <w:rPr>
          <w:rFonts w:eastAsia="IRNazanin" w:cs="IRNazanin"/>
          <w:b w:val="false"/>
          <w:bCs w:val="false"/>
          <w:i w:val="false"/>
          <w:iCs w:val="false"/>
          <w:color w:val="333333"/>
          <w:sz w:val="20"/>
          <w:szCs w:val="20"/>
        </w:rPr>
        <w:t>3:196</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1:316</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انّ ثلاثة أمداد</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أضفناه من المصدر</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1130</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فضرب بيده بالماء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الأنسب</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1116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لقمان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سجدة لقمان تلي الم الّتي تلي لقمان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أثبتناه تلفيق بين النّسخ،و الموجود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وقع في كلام بعض الفقهاء القدماء و يحتمل أن يكون من سهو النّسّاخ</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1:165</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2:158</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1:195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يحجزه عن القرآن شيء إلاّ الجنابة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1:144</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1:283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1:236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1:196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596</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1132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الجنابة،حديث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الخلوة،حديث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هل يقرءان من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البسملة</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2:158</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،السّراج الوهّاج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الشّرح الكبير بهامش المغني </w:t>
      </w:r>
      <w:r>
        <w:rPr>
          <w:rFonts w:eastAsia="IRNazanin" w:cs="IRNazanin"/>
          <w:b w:val="false"/>
          <w:bCs w:val="false"/>
          <w:i w:val="false"/>
          <w:iCs w:val="false"/>
          <w:color w:val="333333"/>
          <w:sz w:val="20"/>
          <w:szCs w:val="20"/>
        </w:rPr>
        <w:t>1:240</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1:166</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1:284</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2:356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فتح العزيز هامش المجموع </w:t>
      </w:r>
      <w:r>
        <w:rPr>
          <w:rFonts w:eastAsia="IRNazanin" w:cs="IRNazanin"/>
          <w:b w:val="false"/>
          <w:bCs w:val="false"/>
          <w:i w:val="false"/>
          <w:iCs w:val="false"/>
          <w:color w:val="333333"/>
          <w:sz w:val="20"/>
          <w:szCs w:val="20"/>
        </w:rPr>
        <w:t>2:143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1:165</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1:165</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1:240</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1:165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المحلّى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1:240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2:158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المحلّى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،ميزان الكبرى </w:t>
      </w:r>
      <w:r>
        <w:rPr>
          <w:rFonts w:eastAsia="IRNazanin" w:cs="IRNazanin"/>
          <w:b w:val="false"/>
          <w:bCs w:val="false"/>
          <w:i w:val="false"/>
          <w:iCs w:val="false"/>
          <w:color w:val="333333"/>
          <w:sz w:val="20"/>
          <w:szCs w:val="20"/>
        </w:rPr>
        <w:t>1:121</w:t>
      </w:r>
      <w:r>
        <w:rPr>
          <w:rFonts w:ascii="IRNazanin" w:hAnsi="IRNazanin" w:eastAsia="IRNazanin"/>
          <w:b w:val="false"/>
          <w:b w:val="false"/>
          <w:bCs w:val="false"/>
          <w:i w:val="false"/>
          <w:i w:val="false"/>
          <w:iCs w:val="false"/>
          <w:color w:val="333333"/>
          <w:sz w:val="20"/>
          <w:sz w:val="20"/>
          <w:szCs w:val="20"/>
          <w:rtl w:val="true"/>
        </w:rPr>
        <w:t xml:space="preserve">،رحمة الأمة بهامش ميزان الكبرى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2:158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1:165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1:240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،الشّرح الصّغير بهامش بلغة السّالك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3:152</w:t>
      </w:r>
      <w:r>
        <w:rPr>
          <w:rFonts w:ascii="IRNazanin" w:hAnsi="IRNazanin" w:eastAsia="IRNazanin"/>
          <w:b w:val="false"/>
          <w:b w:val="false"/>
          <w:bCs w:val="false"/>
          <w:i w:val="false"/>
          <w:i w:val="false"/>
          <w:iCs w:val="false"/>
          <w:color w:val="333333"/>
          <w:sz w:val="20"/>
          <w:sz w:val="20"/>
          <w:szCs w:val="20"/>
          <w:rtl w:val="true"/>
        </w:rPr>
        <w:t xml:space="preserve">، المغني </w:t>
      </w:r>
      <w:r>
        <w:rPr>
          <w:rFonts w:eastAsia="IRNazanin" w:cs="IRNazanin"/>
          <w:b w:val="false"/>
          <w:bCs w:val="false"/>
          <w:i w:val="false"/>
          <w:iCs w:val="false"/>
          <w:color w:val="333333"/>
          <w:sz w:val="20"/>
          <w:szCs w:val="20"/>
        </w:rPr>
        <w:t>1:165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2:158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،فتح العزيز هامش المجموع </w:t>
      </w:r>
      <w:r>
        <w:rPr>
          <w:rFonts w:eastAsia="IRNazanin" w:cs="IRNazanin"/>
          <w:b w:val="false"/>
          <w:bCs w:val="false"/>
          <w:i w:val="false"/>
          <w:iCs w:val="false"/>
          <w:color w:val="333333"/>
          <w:sz w:val="20"/>
          <w:szCs w:val="20"/>
        </w:rPr>
        <w:t>2:143</w:t>
      </w:r>
      <w:r>
        <w:rPr>
          <w:rFonts w:ascii="IRNazanin" w:hAnsi="IRNazanin" w:eastAsia="IRNazanin"/>
          <w:b w:val="false"/>
          <w:b w:val="false"/>
          <w:bCs w:val="false"/>
          <w:i w:val="false"/>
          <w:i w:val="false"/>
          <w:iCs w:val="false"/>
          <w:color w:val="333333"/>
          <w:sz w:val="20"/>
          <w:sz w:val="20"/>
          <w:szCs w:val="20"/>
          <w:rtl w:val="true"/>
        </w:rPr>
        <w:t xml:space="preserve">،المحلّى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عمدة القارئ </w:t>
      </w:r>
      <w:r>
        <w:rPr>
          <w:rFonts w:eastAsia="IRNazanin" w:cs="IRNazanin"/>
          <w:b w:val="false"/>
          <w:bCs w:val="false"/>
          <w:i w:val="false"/>
          <w:iCs w:val="false"/>
          <w:color w:val="333333"/>
          <w:sz w:val="20"/>
          <w:szCs w:val="20"/>
        </w:rPr>
        <w:t>3:274</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2:158</w:t>
      </w:r>
      <w:r>
        <w:rPr>
          <w:rFonts w:ascii="IRNazanin" w:hAnsi="IRNazanin" w:eastAsia="IRNazanin"/>
          <w:b w:val="false"/>
          <w:b w:val="false"/>
          <w:bCs w:val="false"/>
          <w:i w:val="false"/>
          <w:i w:val="false"/>
          <w:iCs w:val="false"/>
          <w:color w:val="333333"/>
          <w:sz w:val="20"/>
          <w:sz w:val="20"/>
          <w:szCs w:val="20"/>
          <w:rtl w:val="true"/>
        </w:rPr>
        <w:t xml:space="preserve">،المحلّى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،رحمة الأمة بهامش ميزان الكبرى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،ميزان الكبرى </w:t>
      </w:r>
      <w:r>
        <w:rPr>
          <w:rFonts w:eastAsia="IRNazanin" w:cs="IRNazanin"/>
          <w:b w:val="false"/>
          <w:bCs w:val="false"/>
          <w:i w:val="false"/>
          <w:iCs w:val="false"/>
          <w:color w:val="333333"/>
          <w:sz w:val="20"/>
          <w:szCs w:val="20"/>
        </w:rPr>
        <w:t>1:121</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1:284</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1:165</w:t>
      </w:r>
      <w:r>
        <w:rPr>
          <w:rFonts w:ascii="IRNazanin" w:hAnsi="IRNazanin" w:eastAsia="IRNazanin"/>
          <w:b w:val="false"/>
          <w:b w:val="false"/>
          <w:bCs w:val="false"/>
          <w:i w:val="false"/>
          <w:i w:val="false"/>
          <w:iCs w:val="false"/>
          <w:color w:val="333333"/>
          <w:sz w:val="20"/>
          <w:sz w:val="20"/>
          <w:szCs w:val="20"/>
          <w:rtl w:val="true"/>
        </w:rPr>
        <w:t xml:space="preserve">،الكافي لابن قدامة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1:243</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الجازيّ،و في الوسائل</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الجازيّ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المحاربيّ</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2:139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ميزان الكبرى </w:t>
      </w:r>
      <w:r>
        <w:rPr>
          <w:rFonts w:eastAsia="IRNazanin" w:cs="IRNazanin"/>
          <w:b w:val="false"/>
          <w:bCs w:val="false"/>
          <w:i w:val="false"/>
          <w:iCs w:val="false"/>
          <w:color w:val="333333"/>
          <w:sz w:val="20"/>
          <w:szCs w:val="20"/>
        </w:rPr>
        <w:t>1:121</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3:152</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الحديث في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إسماعيل بن عيّاش،أبو عتبة الحمصي العَنْسي من أهل الشّام،روى عن شرحبيل بن مسلم،و روى عنه الأعمش و ابن المبارك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مات سنة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1:240</w:t>
      </w:r>
      <w:r>
        <w:rPr>
          <w:rFonts w:ascii="IRNazanin" w:hAnsi="IRNazanin" w:eastAsia="IRNazanin"/>
          <w:b w:val="false"/>
          <w:b w:val="false"/>
          <w:bCs w:val="false"/>
          <w:i w:val="false"/>
          <w:i w:val="false"/>
          <w:iCs w:val="false"/>
          <w:color w:val="333333"/>
          <w:sz w:val="20"/>
          <w:sz w:val="20"/>
          <w:szCs w:val="20"/>
          <w:rtl w:val="true"/>
        </w:rPr>
        <w:t xml:space="preserve">،المجروحين </w:t>
      </w:r>
      <w:r>
        <w:rPr>
          <w:rFonts w:eastAsia="IRNazanin" w:cs="IRNazanin"/>
          <w:b w:val="false"/>
          <w:bCs w:val="false"/>
          <w:i w:val="false"/>
          <w:iCs w:val="false"/>
          <w:color w:val="333333"/>
          <w:sz w:val="20"/>
          <w:szCs w:val="20"/>
        </w:rPr>
        <w:t>1:124</w:t>
      </w:r>
      <w:r>
        <w:rPr>
          <w:rFonts w:ascii="IRNazanin" w:hAnsi="IRNazanin" w:eastAsia="IRNazanin"/>
          <w:b w:val="false"/>
          <w:b w:val="false"/>
          <w:bCs w:val="false"/>
          <w:i w:val="false"/>
          <w:i w:val="false"/>
          <w:iCs w:val="false"/>
          <w:color w:val="333333"/>
          <w:sz w:val="20"/>
          <w:sz w:val="20"/>
          <w:szCs w:val="20"/>
          <w:rtl w:val="true"/>
        </w:rPr>
        <w:t xml:space="preserve">،الضّعفاء و المتروكين </w:t>
      </w:r>
      <w:r>
        <w:rPr>
          <w:rFonts w:eastAsia="IRNazanin" w:cs="IRNazanin"/>
          <w:b w:val="false"/>
          <w:bCs w:val="false"/>
          <w:i w:val="false"/>
          <w:iCs w:val="false"/>
          <w:color w:val="333333"/>
          <w:sz w:val="20"/>
          <w:szCs w:val="20"/>
        </w:rPr>
        <w:t>1:118</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عبد اللّه نافع العدويّ المدنيّ الدّيلميّ،فقيه المدينة مولى عبد اللّه بن عمر،و روى عنه و عن عائشة و أبي هريرة،و روى عنه أيّوب و ابن جريج و الأوزاعيّ و مالك و عقيل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مات سنة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الحفّاظ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،العبر </w:t>
      </w:r>
      <w:r>
        <w:rPr>
          <w:rFonts w:eastAsia="IRNazanin" w:cs="IRNazanin"/>
          <w:b w:val="false"/>
          <w:bCs w:val="false"/>
          <w:i w:val="false"/>
          <w:iCs w:val="false"/>
          <w:color w:val="333333"/>
          <w:sz w:val="20"/>
          <w:szCs w:val="20"/>
        </w:rPr>
        <w:t>1:113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شذرات الذّهب </w:t>
      </w:r>
      <w:r>
        <w:rPr>
          <w:rFonts w:eastAsia="IRNazanin" w:cs="IRNazanin"/>
          <w:b w:val="false"/>
          <w:bCs w:val="false"/>
          <w:i w:val="false"/>
          <w:iCs w:val="false"/>
          <w:color w:val="333333"/>
          <w:sz w:val="20"/>
          <w:szCs w:val="20"/>
        </w:rPr>
        <w:t>1:154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تضعيف البخاري له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1:165</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يظهر ذلك من كلام الشيخ في التّهذيب </w:t>
      </w:r>
      <w:r>
        <w:rPr>
          <w:rFonts w:eastAsia="IRNazanin" w:cs="IRNazanin"/>
          <w:b w:val="false"/>
          <w:bCs w:val="false"/>
          <w:i w:val="false"/>
          <w:iCs w:val="false"/>
          <w:color w:val="333333"/>
          <w:sz w:val="20"/>
          <w:szCs w:val="20"/>
        </w:rPr>
        <w:t>1:128</w:t>
      </w:r>
      <w:r>
        <w:rPr>
          <w:rFonts w:ascii="IRNazanin" w:hAnsi="IRNazanin" w:eastAsia="IRNazanin"/>
          <w:b w:val="false"/>
          <w:b w:val="false"/>
          <w:bCs w:val="false"/>
          <w:i w:val="false"/>
          <w:i w:val="false"/>
          <w:iCs w:val="false"/>
          <w:color w:val="333333"/>
          <w:sz w:val="20"/>
          <w:sz w:val="20"/>
          <w:szCs w:val="20"/>
          <w:rtl w:val="true"/>
        </w:rPr>
        <w:t xml:space="preserve">،و الاستبصار </w:t>
      </w:r>
      <w:r>
        <w:rPr>
          <w:rFonts w:eastAsia="IRNazanin" w:cs="IRNazanin"/>
          <w:b w:val="false"/>
          <w:bCs w:val="false"/>
          <w:i w:val="false"/>
          <w:iCs w:val="false"/>
          <w:color w:val="333333"/>
          <w:sz w:val="20"/>
          <w:szCs w:val="20"/>
        </w:rPr>
        <w:t>1:114</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الواقعة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الموطّأ </w:t>
      </w:r>
      <w:r>
        <w:rPr>
          <w:rFonts w:eastAsia="IRNazanin" w:cs="IRNazanin"/>
          <w:b w:val="false"/>
          <w:bCs w:val="false"/>
          <w:i w:val="false"/>
          <w:iCs w:val="false"/>
          <w:color w:val="333333"/>
          <w:sz w:val="20"/>
          <w:szCs w:val="20"/>
        </w:rPr>
        <w:t>1:199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،أحكام القرآن للجصّاص </w:t>
      </w:r>
      <w:r>
        <w:rPr>
          <w:rFonts w:eastAsia="IRNazanin" w:cs="IRNazanin"/>
          <w:b w:val="false"/>
          <w:bCs w:val="false"/>
          <w:i w:val="false"/>
          <w:iCs w:val="false"/>
          <w:color w:val="333333"/>
          <w:sz w:val="20"/>
          <w:szCs w:val="20"/>
        </w:rPr>
        <w:t>5:300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1:259</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التّهذيب و الاستبصار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بأيديهما</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،الجمل و العقود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عنه المحقّق في المعتبر </w:t>
      </w:r>
      <w:r>
        <w:rPr>
          <w:rFonts w:eastAsia="IRNazanin" w:cs="IRNazanin"/>
          <w:b w:val="false"/>
          <w:bCs w:val="false"/>
          <w:i w:val="false"/>
          <w:iCs w:val="false"/>
          <w:color w:val="333333"/>
          <w:sz w:val="20"/>
          <w:szCs w:val="20"/>
        </w:rPr>
        <w:t>1:188</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انظر قول الشّيخ الطّوسي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،و قول الشّيخ المفيد في 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قول محمّد بن عليّ بن بابويه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الهداية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،و قول والده نقله المحقّق في المعتبر </w:t>
      </w:r>
      <w:r>
        <w:rPr>
          <w:rFonts w:eastAsia="IRNazanin" w:cs="IRNazanin"/>
          <w:b w:val="false"/>
          <w:bCs w:val="false"/>
          <w:i w:val="false"/>
          <w:iCs w:val="false"/>
          <w:color w:val="333333"/>
          <w:sz w:val="20"/>
          <w:szCs w:val="20"/>
        </w:rPr>
        <w:t>1:190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عنه في المعتبر </w:t>
      </w:r>
      <w:r>
        <w:rPr>
          <w:rFonts w:eastAsia="IRNazanin" w:cs="IRNazanin"/>
          <w:b w:val="false"/>
          <w:bCs w:val="false"/>
          <w:i w:val="false"/>
          <w:iCs w:val="false"/>
          <w:color w:val="333333"/>
          <w:sz w:val="20"/>
          <w:szCs w:val="20"/>
        </w:rPr>
        <w:t>1:190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،فتح الوهّاب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1:168</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،تفسير القرطبي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3:152</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،الهداية للمرغيناني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،شرح فتح القدير </w:t>
      </w:r>
      <w:r>
        <w:rPr>
          <w:rFonts w:eastAsia="IRNazanin" w:cs="IRNazanin"/>
          <w:b w:val="false"/>
          <w:bCs w:val="false"/>
          <w:i w:val="false"/>
          <w:iCs w:val="false"/>
          <w:color w:val="333333"/>
          <w:sz w:val="20"/>
          <w:szCs w:val="20"/>
        </w:rPr>
        <w:t>1:149</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1:168</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،أحكام القرآن لابن العربي </w:t>
      </w:r>
      <w:r>
        <w:rPr>
          <w:rFonts w:eastAsia="IRNazanin" w:cs="IRNazanin"/>
          <w:b w:val="false"/>
          <w:bCs w:val="false"/>
          <w:i w:val="false"/>
          <w:iCs w:val="false"/>
          <w:color w:val="333333"/>
          <w:sz w:val="20"/>
          <w:szCs w:val="20"/>
        </w:rPr>
        <w:t>4:1739</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9:177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1:168</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الموطّأ </w:t>
      </w:r>
      <w:r>
        <w:rPr>
          <w:rFonts w:eastAsia="IRNazanin" w:cs="IRNazanin"/>
          <w:b w:val="false"/>
          <w:bCs w:val="false"/>
          <w:i w:val="false"/>
          <w:iCs w:val="false"/>
          <w:color w:val="333333"/>
          <w:sz w:val="20"/>
          <w:szCs w:val="20"/>
        </w:rPr>
        <w:t>1:199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أحكام القرآن للجصّاص </w:t>
      </w:r>
      <w:r>
        <w:rPr>
          <w:rFonts w:eastAsia="IRNazanin" w:cs="IRNazanin"/>
          <w:b w:val="false"/>
          <w:bCs w:val="false"/>
          <w:i w:val="false"/>
          <w:iCs w:val="false"/>
          <w:color w:val="333333"/>
          <w:sz w:val="20"/>
          <w:szCs w:val="20"/>
        </w:rPr>
        <w:t>5:300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1:259</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ترجمته و القول فيه في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،شرح فتح القدير </w:t>
      </w:r>
      <w:r>
        <w:rPr>
          <w:rFonts w:eastAsia="IRNazanin" w:cs="IRNazanin"/>
          <w:b w:val="false"/>
          <w:bCs w:val="false"/>
          <w:i w:val="false"/>
          <w:iCs w:val="false"/>
          <w:color w:val="333333"/>
          <w:sz w:val="20"/>
          <w:szCs w:val="20"/>
        </w:rPr>
        <w:t>1:149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فتح القدير </w:t>
      </w:r>
      <w:r>
        <w:rPr>
          <w:rFonts w:eastAsia="IRNazanin" w:cs="IRNazanin"/>
          <w:b w:val="false"/>
          <w:bCs w:val="false"/>
          <w:i w:val="false"/>
          <w:iCs w:val="false"/>
          <w:color w:val="333333"/>
          <w:sz w:val="20"/>
          <w:szCs w:val="20"/>
        </w:rPr>
        <w:t>1:149</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نعرف</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الخلوة،حديث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2:442</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أضفناه من المصدر</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1132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الجنابة،حديث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605</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1:166</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1:241</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2:160</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المدوّنة الكبرى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2:160</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1:166</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1:241</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الام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2:160</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2:146</w:t>
      </w:r>
      <w:r>
        <w:rPr>
          <w:rFonts w:ascii="IRNazanin" w:hAnsi="IRNazanin" w:eastAsia="IRNazanin"/>
          <w:b w:val="false"/>
          <w:b w:val="false"/>
          <w:bCs w:val="false"/>
          <w:i w:val="false"/>
          <w:i w:val="false"/>
          <w:iCs w:val="false"/>
          <w:color w:val="333333"/>
          <w:sz w:val="20"/>
          <w:sz w:val="20"/>
          <w:szCs w:val="20"/>
          <w:rtl w:val="true"/>
        </w:rPr>
        <w:t>، السّراج الوهّاج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1:166</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،الهداية للمرغيناني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لابن قدامة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1:244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1:166</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1:160</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1:118</w:t>
      </w:r>
      <w:r>
        <w:rPr>
          <w:rFonts w:ascii="IRNazanin" w:hAnsi="IRNazanin" w:eastAsia="IRNazanin"/>
          <w:b w:val="false"/>
          <w:b w:val="false"/>
          <w:bCs w:val="false"/>
          <w:i w:val="false"/>
          <w:i w:val="false"/>
          <w:iCs w:val="false"/>
          <w:color w:val="333333"/>
          <w:sz w:val="20"/>
          <w:sz w:val="20"/>
          <w:szCs w:val="20"/>
          <w:rtl w:val="true"/>
        </w:rPr>
        <w:t xml:space="preserve">،شرح العناية على الهداية بهامش شرح فتح القدير </w:t>
      </w:r>
      <w:r>
        <w:rPr>
          <w:rFonts w:eastAsia="IRNazanin" w:cs="IRNazanin"/>
          <w:b w:val="false"/>
          <w:bCs w:val="false"/>
          <w:i w:val="false"/>
          <w:iCs w:val="false"/>
          <w:color w:val="333333"/>
          <w:sz w:val="20"/>
          <w:szCs w:val="20"/>
        </w:rPr>
        <w:t>1:147</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2:166</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1:166</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2:160</w:t>
      </w:r>
      <w:r>
        <w:rPr>
          <w:rFonts w:ascii="IRNazanin" w:hAnsi="IRNazanin" w:eastAsia="IRNazanin"/>
          <w:b w:val="false"/>
          <w:b w:val="false"/>
          <w:bCs w:val="false"/>
          <w:i w:val="false"/>
          <w:i w:val="false"/>
          <w:iCs w:val="false"/>
          <w:color w:val="333333"/>
          <w:sz w:val="20"/>
          <w:sz w:val="20"/>
          <w:szCs w:val="20"/>
          <w:rtl w:val="true"/>
        </w:rPr>
        <w:t xml:space="preserve">،تفسير القرطبي </w:t>
      </w:r>
      <w:r>
        <w:rPr>
          <w:rFonts w:eastAsia="IRNazanin" w:cs="IRNazanin"/>
          <w:b w:val="false"/>
          <w:bCs w:val="false"/>
          <w:i w:val="false"/>
          <w:iCs w:val="false"/>
          <w:color w:val="333333"/>
          <w:sz w:val="20"/>
          <w:szCs w:val="20"/>
        </w:rPr>
        <w:t>5:206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1:241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1:207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632</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1:146</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2:443</w:t>
      </w:r>
      <w:r>
        <w:rPr>
          <w:rFonts w:ascii="IRNazanin" w:hAnsi="IRNazanin" w:eastAsia="IRNazanin"/>
          <w:b w:val="false"/>
          <w:b w:val="false"/>
          <w:bCs w:val="false"/>
          <w:i w:val="false"/>
          <w:i w:val="false"/>
          <w:iCs w:val="false"/>
          <w:color w:val="333333"/>
          <w:sz w:val="20"/>
          <w:sz w:val="20"/>
          <w:szCs w:val="20"/>
          <w:rtl w:val="true"/>
        </w:rPr>
        <w:t xml:space="preserve">،سنن الدّارمي </w:t>
      </w:r>
      <w:r>
        <w:rPr>
          <w:rFonts w:eastAsia="IRNazanin" w:cs="IRNazanin"/>
          <w:b w:val="false"/>
          <w:bCs w:val="false"/>
          <w:i w:val="false"/>
          <w:iCs w:val="false"/>
          <w:color w:val="333333"/>
          <w:sz w:val="20"/>
          <w:szCs w:val="20"/>
        </w:rPr>
        <w:t>1:265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8:323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23120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لفظيّ يسير</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أضفناه من المصدر</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1:288</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1:166</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تقدّمت الرّوايتان في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2:442</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1280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المراسم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1:167</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1:241</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1:167</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1:241</w:t>
      </w:r>
      <w:r>
        <w:rPr>
          <w:rFonts w:ascii="IRNazanin" w:hAnsi="IRNazanin" w:eastAsia="IRNazanin"/>
          <w:b w:val="false"/>
          <w:b w:val="false"/>
          <w:bCs w:val="false"/>
          <w:i w:val="false"/>
          <w:i w:val="false"/>
          <w:iCs w:val="false"/>
          <w:color w:val="333333"/>
          <w:sz w:val="20"/>
          <w:sz w:val="20"/>
          <w:szCs w:val="20"/>
          <w:rtl w:val="true"/>
        </w:rPr>
        <w:t xml:space="preserve">،تفسير القرطبي </w:t>
      </w:r>
      <w:r>
        <w:rPr>
          <w:rFonts w:eastAsia="IRNazanin" w:cs="IRNazanin"/>
          <w:b w:val="false"/>
          <w:bCs w:val="false"/>
          <w:i w:val="false"/>
          <w:iCs w:val="false"/>
          <w:color w:val="333333"/>
          <w:sz w:val="20"/>
          <w:szCs w:val="20"/>
        </w:rPr>
        <w:t>5:206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أحكام القرآن للجصّاص </w:t>
      </w:r>
      <w:r>
        <w:rPr>
          <w:rFonts w:eastAsia="IRNazanin" w:cs="IRNazanin"/>
          <w:b w:val="false"/>
          <w:bCs w:val="false"/>
          <w:i w:val="false"/>
          <w:iCs w:val="false"/>
          <w:color w:val="333333"/>
          <w:sz w:val="20"/>
          <w:szCs w:val="20"/>
        </w:rPr>
        <w:t>3:168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الإحكام في أصول الأحكام </w:t>
      </w:r>
      <w:r>
        <w:rPr>
          <w:rFonts w:eastAsia="IRNazanin" w:cs="IRNazanin"/>
          <w:b w:val="false"/>
          <w:bCs w:val="false"/>
          <w:i w:val="false"/>
          <w:iCs w:val="false"/>
          <w:color w:val="333333"/>
          <w:sz w:val="20"/>
          <w:szCs w:val="20"/>
        </w:rPr>
        <w:t>3:133</w:t>
      </w:r>
      <w:r>
        <w:rPr>
          <w:rFonts w:ascii="IRNazanin" w:hAnsi="IRNazanin" w:eastAsia="IRNazanin"/>
          <w:b w:val="false"/>
          <w:b w:val="false"/>
          <w:bCs w:val="false"/>
          <w:i w:val="false"/>
          <w:i w:val="false"/>
          <w:iCs w:val="false"/>
          <w:color w:val="333333"/>
          <w:sz w:val="20"/>
          <w:sz w:val="20"/>
          <w:szCs w:val="20"/>
          <w:rtl w:val="true"/>
        </w:rPr>
        <w:t xml:space="preserve">،المعتمد في أصول الفقه </w:t>
      </w:r>
      <w:r>
        <w:rPr>
          <w:rFonts w:eastAsia="IRNazanin" w:cs="IRNazanin"/>
          <w:b w:val="false"/>
          <w:bCs w:val="false"/>
          <w:i w:val="false"/>
          <w:iCs w:val="false"/>
          <w:color w:val="333333"/>
          <w:sz w:val="20"/>
          <w:szCs w:val="20"/>
        </w:rPr>
        <w:t>1:398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7:181</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3:1533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1932</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1933</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4:129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1560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1795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1796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3790</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3802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3803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2:236</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،سنن الدّارمي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الموطّأ </w:t>
      </w:r>
      <w:r>
        <w:rPr>
          <w:rFonts w:eastAsia="IRNazanin" w:cs="IRNazanin"/>
          <w:b w:val="false"/>
          <w:bCs w:val="false"/>
          <w:i w:val="false"/>
          <w:iCs w:val="false"/>
          <w:color w:val="333333"/>
          <w:sz w:val="20"/>
          <w:szCs w:val="20"/>
        </w:rPr>
        <w:t>2:496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طريق الخاصة،انظر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938</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16:388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الأطعمة المحرّمة،حديث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7:15</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2:1029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1408</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1030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1408</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2:224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2065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2066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3:432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1225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1:621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1929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1931</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2:179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489</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3:338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 طريق الخاصة،انظر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2:160</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1:168</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،أحكام القرآن للجصّاص </w:t>
      </w:r>
      <w:r>
        <w:rPr>
          <w:rFonts w:eastAsia="IRNazanin" w:cs="IRNazanin"/>
          <w:b w:val="false"/>
          <w:bCs w:val="false"/>
          <w:i w:val="false"/>
          <w:iCs w:val="false"/>
          <w:color w:val="333333"/>
          <w:sz w:val="20"/>
          <w:szCs w:val="20"/>
        </w:rPr>
        <w:t>3:168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1:288</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1:168</w:t>
      </w:r>
      <w:r>
        <w:rPr>
          <w:rFonts w:ascii="IRNazanin" w:hAnsi="IRNazanin" w:eastAsia="IRNazanin"/>
          <w:b w:val="false"/>
          <w:b w:val="false"/>
          <w:bCs w:val="false"/>
          <w:i w:val="false"/>
          <w:i w:val="false"/>
          <w:iCs w:val="false"/>
          <w:color w:val="333333"/>
          <w:sz w:val="20"/>
          <w:sz w:val="20"/>
          <w:szCs w:val="20"/>
          <w:rtl w:val="true"/>
        </w:rPr>
        <w:t xml:space="preserve">،الكافي لابن قدامة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1:246</w:t>
      </w:r>
      <w:r>
        <w:rPr>
          <w:rFonts w:ascii="IRNazanin" w:hAnsi="IRNazanin" w:eastAsia="IRNazanin"/>
          <w:b w:val="false"/>
          <w:b w:val="false"/>
          <w:bCs w:val="false"/>
          <w:i w:val="false"/>
          <w:i w:val="false"/>
          <w:iCs w:val="false"/>
          <w:color w:val="333333"/>
          <w:sz w:val="20"/>
          <w:sz w:val="20"/>
          <w:szCs w:val="20"/>
          <w:rtl w:val="true"/>
        </w:rPr>
        <w:t xml:space="preserve">،عمدة القارئ </w:t>
      </w:r>
      <w:r>
        <w:rPr>
          <w:rFonts w:eastAsia="IRNazanin" w:cs="IRNazanin"/>
          <w:b w:val="false"/>
          <w:bCs w:val="false"/>
          <w:i w:val="false"/>
          <w:iCs w:val="false"/>
          <w:color w:val="333333"/>
          <w:sz w:val="20"/>
          <w:szCs w:val="20"/>
        </w:rPr>
        <w:t>3:226</w:t>
      </w:r>
      <w:r>
        <w:rPr>
          <w:rFonts w:ascii="IRNazanin" w:hAnsi="IRNazanin" w:eastAsia="IRNazanin"/>
          <w:b w:val="false"/>
          <w:b w:val="false"/>
          <w:bCs w:val="false"/>
          <w:i w:val="false"/>
          <w:i w:val="false"/>
          <w:iCs w:val="false"/>
          <w:color w:val="333333"/>
          <w:sz w:val="20"/>
          <w:sz w:val="20"/>
          <w:szCs w:val="20"/>
          <w:rtl w:val="true"/>
        </w:rPr>
        <w:t xml:space="preserve">،منار السّبيل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2:160</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2:148</w:t>
      </w:r>
      <w:r>
        <w:rPr>
          <w:rFonts w:ascii="IRNazanin" w:hAnsi="IRNazanin" w:eastAsia="IRNazanin"/>
          <w:b w:val="false"/>
          <w:b w:val="false"/>
          <w:bCs w:val="false"/>
          <w:i w:val="false"/>
          <w:i w:val="false"/>
          <w:iCs w:val="false"/>
          <w:color w:val="333333"/>
          <w:sz w:val="20"/>
          <w:sz w:val="20"/>
          <w:szCs w:val="20"/>
          <w:rtl w:val="true"/>
        </w:rPr>
        <w:t xml:space="preserve">،تفسير القرطبي </w:t>
      </w:r>
      <w:r>
        <w:rPr>
          <w:rFonts w:eastAsia="IRNazanin" w:cs="IRNazanin"/>
          <w:b w:val="false"/>
          <w:bCs w:val="false"/>
          <w:i w:val="false"/>
          <w:iCs w:val="false"/>
          <w:color w:val="333333"/>
          <w:sz w:val="20"/>
          <w:szCs w:val="20"/>
        </w:rPr>
        <w:t>5:206</w:t>
      </w:r>
      <w:r>
        <w:rPr>
          <w:rFonts w:ascii="IRNazanin" w:hAnsi="IRNazanin" w:eastAsia="IRNazanin"/>
          <w:b w:val="false"/>
          <w:b w:val="false"/>
          <w:bCs w:val="false"/>
          <w:i w:val="false"/>
          <w:i w:val="false"/>
          <w:iCs w:val="false"/>
          <w:color w:val="333333"/>
          <w:sz w:val="20"/>
          <w:sz w:val="20"/>
          <w:szCs w:val="20"/>
          <w:rtl w:val="true"/>
        </w:rPr>
        <w:t xml:space="preserve">، نيل الأوطار </w:t>
      </w:r>
      <w:r>
        <w:rPr>
          <w:rFonts w:eastAsia="IRNazanin" w:cs="IRNazanin"/>
          <w:b w:val="false"/>
          <w:bCs w:val="false"/>
          <w:i w:val="false"/>
          <w:iCs w:val="false"/>
          <w:color w:val="333333"/>
          <w:sz w:val="20"/>
          <w:szCs w:val="20"/>
        </w:rPr>
        <w:t>1:288</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1:168</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1:288</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1134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الجنابة،حديث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1:261</w:t>
      </w:r>
      <w:r>
        <w:rPr>
          <w:rFonts w:ascii="IRNazanin" w:hAnsi="IRNazanin" w:eastAsia="IRNazanin"/>
          <w:b w:val="false"/>
          <w:b w:val="false"/>
          <w:bCs w:val="false"/>
          <w:i w:val="false"/>
          <w:i w:val="false"/>
          <w:iCs w:val="false"/>
          <w:color w:val="333333"/>
          <w:sz w:val="20"/>
          <w:sz w:val="20"/>
          <w:szCs w:val="20"/>
          <w:rtl w:val="true"/>
        </w:rPr>
        <w:t xml:space="preserve">،عمدة القارئ </w:t>
      </w:r>
      <w:r>
        <w:rPr>
          <w:rFonts w:eastAsia="IRNazanin" w:cs="IRNazanin"/>
          <w:b w:val="false"/>
          <w:bCs w:val="false"/>
          <w:i w:val="false"/>
          <w:iCs w:val="false"/>
          <w:color w:val="333333"/>
          <w:sz w:val="20"/>
          <w:szCs w:val="20"/>
        </w:rPr>
        <w:t>3:243</w:t>
      </w:r>
      <w:r>
        <w:rPr>
          <w:rFonts w:ascii="IRNazanin" w:hAnsi="IRNazanin" w:eastAsia="IRNazanin"/>
          <w:b w:val="false"/>
          <w:b w:val="false"/>
          <w:bCs w:val="false"/>
          <w:i w:val="false"/>
          <w:i w:val="false"/>
          <w:iCs w:val="false"/>
          <w:color w:val="333333"/>
          <w:sz w:val="20"/>
          <w:sz w:val="20"/>
          <w:szCs w:val="20"/>
          <w:rtl w:val="true"/>
        </w:rPr>
        <w:t xml:space="preserve">،جامع الأصول </w:t>
      </w:r>
      <w:r>
        <w:rPr>
          <w:rFonts w:eastAsia="IRNazanin" w:cs="IRNazanin"/>
          <w:b w:val="false"/>
          <w:bCs w:val="false"/>
          <w:i w:val="false"/>
          <w:iCs w:val="false"/>
          <w:color w:val="333333"/>
          <w:sz w:val="20"/>
          <w:szCs w:val="20"/>
        </w:rPr>
        <w:t>8:191</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2:158</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1:261</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2:158</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1:261</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2:158</w:t>
      </w:r>
      <w:r>
        <w:rPr>
          <w:rFonts w:ascii="IRNazanin" w:hAnsi="IRNazanin" w:eastAsia="IRNazanin"/>
          <w:b w:val="false"/>
          <w:b w:val="false"/>
          <w:bCs w:val="false"/>
          <w:i w:val="false"/>
          <w:i w:val="false"/>
          <w:iCs w:val="false"/>
          <w:color w:val="333333"/>
          <w:sz w:val="20"/>
          <w:sz w:val="20"/>
          <w:szCs w:val="20"/>
          <w:rtl w:val="true"/>
        </w:rPr>
        <w:t xml:space="preserve">،عمدة القارئ </w:t>
      </w:r>
      <w:r>
        <w:rPr>
          <w:rFonts w:eastAsia="IRNazanin" w:cs="IRNazanin"/>
          <w:b w:val="false"/>
          <w:bCs w:val="false"/>
          <w:i w:val="false"/>
          <w:iCs w:val="false"/>
          <w:color w:val="333333"/>
          <w:sz w:val="20"/>
          <w:szCs w:val="20"/>
        </w:rPr>
        <w:t>3:243</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1:206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1:193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585</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الأصول </w:t>
      </w:r>
      <w:r>
        <w:rPr>
          <w:rFonts w:eastAsia="IRNazanin" w:cs="IRNazanin"/>
          <w:b w:val="false"/>
          <w:bCs w:val="false"/>
          <w:i w:val="false"/>
          <w:iCs w:val="false"/>
          <w:color w:val="333333"/>
          <w:sz w:val="20"/>
          <w:szCs w:val="20"/>
        </w:rPr>
        <w:t>8:190</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1:202</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1:139</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1:203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الأصول </w:t>
      </w:r>
      <w:r>
        <w:rPr>
          <w:rFonts w:eastAsia="IRNazanin" w:cs="IRNazanin"/>
          <w:b w:val="false"/>
          <w:bCs w:val="false"/>
          <w:i w:val="false"/>
          <w:iCs w:val="false"/>
          <w:color w:val="333333"/>
          <w:sz w:val="20"/>
          <w:szCs w:val="20"/>
        </w:rPr>
        <w:t>8:189</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1:138</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1127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1137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أضفناه من المصدر</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1:202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1:192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581</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6:43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1:138</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1:202</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1:262</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قول المفيد نقله في المعتبر </w:t>
      </w:r>
      <w:r>
        <w:rPr>
          <w:rFonts w:eastAsia="IRNazanin" w:cs="IRNazanin"/>
          <w:b w:val="false"/>
          <w:bCs w:val="false"/>
          <w:i w:val="false"/>
          <w:iCs w:val="false"/>
          <w:color w:val="333333"/>
          <w:sz w:val="20"/>
          <w:szCs w:val="20"/>
        </w:rPr>
        <w:t>1:191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عنه في المعتبر </w:t>
      </w:r>
      <w:r>
        <w:rPr>
          <w:rFonts w:eastAsia="IRNazanin" w:cs="IRNazanin"/>
          <w:b w:val="false"/>
          <w:bCs w:val="false"/>
          <w:i w:val="false"/>
          <w:iCs w:val="false"/>
          <w:color w:val="333333"/>
          <w:sz w:val="20"/>
          <w:szCs w:val="20"/>
        </w:rPr>
        <w:t>1:191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1:261</w:t>
      </w:r>
      <w:r>
        <w:rPr>
          <w:rFonts w:ascii="IRNazanin" w:hAnsi="IRNazanin" w:eastAsia="IRNazanin"/>
          <w:b w:val="false"/>
          <w:b w:val="false"/>
          <w:bCs w:val="false"/>
          <w:i w:val="false"/>
          <w:i w:val="false"/>
          <w:iCs w:val="false"/>
          <w:color w:val="333333"/>
          <w:sz w:val="20"/>
          <w:sz w:val="20"/>
          <w:szCs w:val="20"/>
          <w:rtl w:val="true"/>
        </w:rPr>
        <w:t xml:space="preserve">،عمدة القارئ </w:t>
      </w:r>
      <w:r>
        <w:rPr>
          <w:rFonts w:eastAsia="IRNazanin" w:cs="IRNazanin"/>
          <w:b w:val="false"/>
          <w:bCs w:val="false"/>
          <w:i w:val="false"/>
          <w:iCs w:val="false"/>
          <w:color w:val="333333"/>
          <w:sz w:val="20"/>
          <w:szCs w:val="20"/>
        </w:rPr>
        <w:t>3:243</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1:273</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1:261</w:t>
      </w:r>
      <w:r>
        <w:rPr>
          <w:rFonts w:ascii="IRNazanin" w:hAnsi="IRNazanin" w:eastAsia="IRNazanin"/>
          <w:b w:val="false"/>
          <w:b w:val="false"/>
          <w:bCs w:val="false"/>
          <w:i w:val="false"/>
          <w:i w:val="false"/>
          <w:iCs w:val="false"/>
          <w:color w:val="333333"/>
          <w:sz w:val="20"/>
          <w:sz w:val="20"/>
          <w:szCs w:val="20"/>
          <w:rtl w:val="true"/>
        </w:rPr>
        <w:t xml:space="preserve">،عمدة القارئ </w:t>
      </w:r>
      <w:r>
        <w:rPr>
          <w:rFonts w:eastAsia="IRNazanin" w:cs="IRNazanin"/>
          <w:b w:val="false"/>
          <w:bCs w:val="false"/>
          <w:i w:val="false"/>
          <w:iCs w:val="false"/>
          <w:color w:val="333333"/>
          <w:sz w:val="20"/>
          <w:szCs w:val="20"/>
        </w:rPr>
        <w:t>3:243</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1:261</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1:261</w:t>
      </w:r>
      <w:r>
        <w:rPr>
          <w:rFonts w:ascii="IRNazanin" w:hAnsi="IRNazanin" w:eastAsia="IRNazanin"/>
          <w:b w:val="false"/>
          <w:b w:val="false"/>
          <w:bCs w:val="false"/>
          <w:i w:val="false"/>
          <w:i w:val="false"/>
          <w:iCs w:val="false"/>
          <w:color w:val="333333"/>
          <w:sz w:val="20"/>
          <w:sz w:val="20"/>
          <w:szCs w:val="20"/>
          <w:rtl w:val="true"/>
        </w:rPr>
        <w:t xml:space="preserve">،عمدة القارئ </w:t>
      </w:r>
      <w:r>
        <w:rPr>
          <w:rFonts w:eastAsia="IRNazanin" w:cs="IRNazanin"/>
          <w:b w:val="false"/>
          <w:bCs w:val="false"/>
          <w:i w:val="false"/>
          <w:iCs w:val="false"/>
          <w:color w:val="333333"/>
          <w:sz w:val="20"/>
          <w:szCs w:val="20"/>
        </w:rPr>
        <w:t>3:243</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1:261</w:t>
      </w:r>
      <w:r>
        <w:rPr>
          <w:rFonts w:ascii="IRNazanin" w:hAnsi="IRNazanin" w:eastAsia="IRNazanin"/>
          <w:b w:val="false"/>
          <w:b w:val="false"/>
          <w:bCs w:val="false"/>
          <w:i w:val="false"/>
          <w:i w:val="false"/>
          <w:iCs w:val="false"/>
          <w:color w:val="333333"/>
          <w:sz w:val="20"/>
          <w:sz w:val="20"/>
          <w:szCs w:val="20"/>
          <w:rtl w:val="true"/>
        </w:rPr>
        <w:t xml:space="preserve">،عمدة القارئ </w:t>
      </w:r>
      <w:r>
        <w:rPr>
          <w:rFonts w:eastAsia="IRNazanin" w:cs="IRNazanin"/>
          <w:b w:val="false"/>
          <w:bCs w:val="false"/>
          <w:i w:val="false"/>
          <w:iCs w:val="false"/>
          <w:color w:val="333333"/>
          <w:sz w:val="20"/>
          <w:szCs w:val="20"/>
        </w:rPr>
        <w:t>3:243</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1:273</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1:261</w:t>
      </w:r>
      <w:r>
        <w:rPr>
          <w:rFonts w:ascii="IRNazanin" w:hAnsi="IRNazanin" w:eastAsia="IRNazanin"/>
          <w:b w:val="false"/>
          <w:b w:val="false"/>
          <w:bCs w:val="false"/>
          <w:i w:val="false"/>
          <w:i w:val="false"/>
          <w:iCs w:val="false"/>
          <w:color w:val="333333"/>
          <w:sz w:val="20"/>
          <w:sz w:val="20"/>
          <w:szCs w:val="20"/>
          <w:rtl w:val="true"/>
        </w:rPr>
        <w:t xml:space="preserve">،عمدة القارئ </w:t>
      </w:r>
      <w:r>
        <w:rPr>
          <w:rFonts w:eastAsia="IRNazanin" w:cs="IRNazanin"/>
          <w:b w:val="false"/>
          <w:bCs w:val="false"/>
          <w:i w:val="false"/>
          <w:iCs w:val="false"/>
          <w:color w:val="333333"/>
          <w:sz w:val="20"/>
          <w:szCs w:val="20"/>
        </w:rPr>
        <w:t>3:243</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1:273</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1137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،الهداية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المصادر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مكان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يديه</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1212</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2:268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1:194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588</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1:259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،جامع الأصول </w:t>
      </w:r>
      <w:r>
        <w:rPr>
          <w:rFonts w:eastAsia="IRNazanin" w:cs="IRNazanin"/>
          <w:b w:val="false"/>
          <w:bCs w:val="false"/>
          <w:i w:val="false"/>
          <w:iCs w:val="false"/>
          <w:color w:val="333333"/>
          <w:sz w:val="20"/>
          <w:szCs w:val="20"/>
        </w:rPr>
        <w:t>8:180</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3:161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الدّارمي </w:t>
      </w:r>
      <w:r>
        <w:rPr>
          <w:rFonts w:eastAsia="IRNazanin" w:cs="IRNazanin"/>
          <w:b w:val="false"/>
          <w:bCs w:val="false"/>
          <w:i w:val="false"/>
          <w:iCs w:val="false"/>
          <w:color w:val="333333"/>
          <w:sz w:val="20"/>
          <w:szCs w:val="20"/>
        </w:rPr>
        <w:t>1:192</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1:204</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عنه في المعتبر </w:t>
      </w:r>
      <w:r>
        <w:rPr>
          <w:rFonts w:eastAsia="IRNazanin" w:cs="IRNazanin"/>
          <w:b w:val="false"/>
          <w:bCs w:val="false"/>
          <w:i w:val="false"/>
          <w:iCs w:val="false"/>
          <w:color w:val="333333"/>
          <w:sz w:val="20"/>
          <w:szCs w:val="20"/>
        </w:rPr>
        <w:t>1:192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518</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في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يغتسل،و ما أثبتناه من المصدر</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517</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519</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521</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525</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1138</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و آدابه،حديث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2:193</w:t>
      </w:r>
      <w:r>
        <w:rPr>
          <w:rFonts w:ascii="IRNazanin" w:hAnsi="IRNazanin" w:eastAsia="IRNazanin"/>
          <w:b w:val="false"/>
          <w:b w:val="false"/>
          <w:bCs w:val="false"/>
          <w:i w:val="false"/>
          <w:i w:val="false"/>
          <w:iCs w:val="false"/>
          <w:color w:val="333333"/>
          <w:sz w:val="20"/>
          <w:sz w:val="20"/>
          <w:szCs w:val="20"/>
          <w:rtl w:val="true"/>
        </w:rPr>
        <w:t>،السّراج الوهّاج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1:362</w:t>
      </w:r>
      <w:r>
        <w:rPr>
          <w:rFonts w:ascii="IRNazanin" w:hAnsi="IRNazanin" w:eastAsia="IRNazanin"/>
          <w:b w:val="false"/>
          <w:b w:val="false"/>
          <w:bCs w:val="false"/>
          <w:i w:val="false"/>
          <w:i w:val="false"/>
          <w:iCs w:val="false"/>
          <w:color w:val="333333"/>
          <w:sz w:val="20"/>
          <w:sz w:val="20"/>
          <w:szCs w:val="20"/>
          <w:rtl w:val="true"/>
        </w:rPr>
        <w:t xml:space="preserve">،عمدة القارئ </w:t>
      </w:r>
      <w:r>
        <w:rPr>
          <w:rFonts w:eastAsia="IRNazanin" w:cs="IRNazanin"/>
          <w:b w:val="false"/>
          <w:bCs w:val="false"/>
          <w:i w:val="false"/>
          <w:iCs w:val="false"/>
          <w:color w:val="333333"/>
          <w:sz w:val="20"/>
          <w:szCs w:val="20"/>
        </w:rPr>
        <w:t>3:191</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1:250</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2:194</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،السّراج الوهّاج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1:250</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1:250</w:t>
      </w:r>
      <w:r>
        <w:rPr>
          <w:rFonts w:ascii="IRNazanin" w:hAnsi="IRNazanin" w:eastAsia="IRNazanin"/>
          <w:b w:val="false"/>
          <w:b w:val="false"/>
          <w:bCs w:val="false"/>
          <w:i w:val="false"/>
          <w:i w:val="false"/>
          <w:iCs w:val="false"/>
          <w:color w:val="333333"/>
          <w:sz w:val="20"/>
          <w:sz w:val="20"/>
          <w:szCs w:val="20"/>
          <w:rtl w:val="true"/>
        </w:rPr>
        <w:t xml:space="preserve">،الكافي لابن قدامة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1:259</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1:306</w:t>
      </w:r>
      <w:r>
        <w:rPr>
          <w:rFonts w:ascii="IRNazanin" w:hAnsi="IRNazanin" w:eastAsia="IRNazanin"/>
          <w:b w:val="false"/>
          <w:b w:val="false"/>
          <w:bCs w:val="false"/>
          <w:i w:val="false"/>
          <w:i w:val="false"/>
          <w:iCs w:val="false"/>
          <w:color w:val="333333"/>
          <w:sz w:val="20"/>
          <w:sz w:val="20"/>
          <w:szCs w:val="20"/>
          <w:rtl w:val="true"/>
        </w:rPr>
        <w:t xml:space="preserve">،شرح الزّرقاني على موطإ مالك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،التّفسير الكبير </w:t>
      </w:r>
      <w:r>
        <w:rPr>
          <w:rFonts w:eastAsia="IRNazanin" w:cs="IRNazanin"/>
          <w:b w:val="false"/>
          <w:bCs w:val="false"/>
          <w:i w:val="false"/>
          <w:iCs w:val="false"/>
          <w:color w:val="333333"/>
          <w:sz w:val="20"/>
          <w:szCs w:val="20"/>
        </w:rPr>
        <w:t>11:165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Pr>
        <w:t>1:287</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1:191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579</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1:179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،جامع الأصول </w:t>
      </w:r>
      <w:r>
        <w:rPr>
          <w:rFonts w:eastAsia="IRNazanin" w:cs="IRNazanin"/>
          <w:b w:val="false"/>
          <w:bCs w:val="false"/>
          <w:i w:val="false"/>
          <w:iCs w:val="false"/>
          <w:color w:val="333333"/>
          <w:sz w:val="20"/>
          <w:szCs w:val="20"/>
        </w:rPr>
        <w:t>8:181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5327</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1:137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ترجمته و القول فيه في الجزء الأوّل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المصادر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يديه</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881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1:250</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1:257</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1:140</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2:186</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1:251</w:t>
      </w:r>
      <w:r>
        <w:rPr>
          <w:rFonts w:ascii="IRNazanin" w:hAnsi="IRNazanin" w:eastAsia="IRNazanin"/>
          <w:b w:val="false"/>
          <w:b w:val="false"/>
          <w:bCs w:val="false"/>
          <w:i w:val="false"/>
          <w:i w:val="false"/>
          <w:iCs w:val="false"/>
          <w:color w:val="333333"/>
          <w:sz w:val="20"/>
          <w:sz w:val="20"/>
          <w:szCs w:val="20"/>
          <w:rtl w:val="true"/>
        </w:rPr>
        <w:t xml:space="preserve">،الكافي لابن قدامة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1:252</w:t>
      </w:r>
      <w:r>
        <w:rPr>
          <w:rFonts w:ascii="IRNazanin" w:hAnsi="IRNazanin" w:eastAsia="IRNazanin"/>
          <w:b w:val="false"/>
          <w:b w:val="false"/>
          <w:bCs w:val="false"/>
          <w:i w:val="false"/>
          <w:i w:val="false"/>
          <w:iCs w:val="false"/>
          <w:color w:val="333333"/>
          <w:sz w:val="20"/>
          <w:sz w:val="20"/>
          <w:szCs w:val="20"/>
          <w:rtl w:val="true"/>
        </w:rPr>
        <w:t xml:space="preserve">،عمدة القارئ </w:t>
      </w:r>
      <w:r>
        <w:rPr>
          <w:rFonts w:eastAsia="IRNazanin" w:cs="IRNazanin"/>
          <w:b w:val="false"/>
          <w:bCs w:val="false"/>
          <w:i w:val="false"/>
          <w:iCs w:val="false"/>
          <w:color w:val="333333"/>
          <w:sz w:val="20"/>
          <w:szCs w:val="20"/>
        </w:rPr>
        <w:t>3:191</w:t>
      </w:r>
      <w:r>
        <w:rPr>
          <w:rFonts w:ascii="IRNazanin" w:hAnsi="IRNazanin" w:eastAsia="IRNazanin"/>
          <w:b w:val="false"/>
          <w:b w:val="false"/>
          <w:bCs w:val="false"/>
          <w:i w:val="false"/>
          <w:i w:val="false"/>
          <w:iCs w:val="false"/>
          <w:color w:val="333333"/>
          <w:sz w:val="20"/>
          <w:sz w:val="20"/>
          <w:szCs w:val="20"/>
          <w:rtl w:val="true"/>
        </w:rPr>
        <w:t xml:space="preserve">،المدوّنة الكبرى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1:251</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2:186</w:t>
      </w:r>
      <w:r>
        <w:rPr>
          <w:rFonts w:ascii="IRNazanin" w:hAnsi="IRNazanin" w:eastAsia="IRNazanin"/>
          <w:b w:val="false"/>
          <w:b w:val="false"/>
          <w:bCs w:val="false"/>
          <w:i w:val="false"/>
          <w:i w:val="false"/>
          <w:iCs w:val="false"/>
          <w:color w:val="333333"/>
          <w:sz w:val="20"/>
          <w:sz w:val="20"/>
          <w:szCs w:val="20"/>
          <w:rtl w:val="true"/>
        </w:rPr>
        <w:t xml:space="preserve">،عمدة القارئ </w:t>
      </w:r>
      <w:r>
        <w:rPr>
          <w:rFonts w:eastAsia="IRNazanin" w:cs="IRNazanin"/>
          <w:b w:val="false"/>
          <w:bCs w:val="false"/>
          <w:i w:val="false"/>
          <w:iCs w:val="false"/>
          <w:color w:val="333333"/>
          <w:sz w:val="20"/>
          <w:szCs w:val="20"/>
        </w:rPr>
        <w:t>3:191</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عنه في المعتبر </w:t>
      </w:r>
      <w:r>
        <w:rPr>
          <w:rFonts w:eastAsia="IRNazanin" w:cs="IRNazanin"/>
          <w:b w:val="false"/>
          <w:bCs w:val="false"/>
          <w:i w:val="false"/>
          <w:iCs w:val="false"/>
          <w:color w:val="333333"/>
          <w:sz w:val="20"/>
          <w:szCs w:val="20"/>
        </w:rPr>
        <w:t>1:196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لأمرين</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الجميع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يسأله عن الوضوء</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ترجمته و القول فيه في الجزء الأوّل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ترجمته و القول فيه في الجزء الأوّل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تقدّمت ترجمته و القول فيه في الجزء الأوّل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1:141</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1:253</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1:253</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1:250</w:t>
      </w:r>
      <w:r>
        <w:rPr>
          <w:rFonts w:ascii="IRNazanin" w:hAnsi="IRNazanin" w:eastAsia="IRNazanin"/>
          <w:b w:val="false"/>
          <w:b w:val="false"/>
          <w:bCs w:val="false"/>
          <w:i w:val="false"/>
          <w:i w:val="false"/>
          <w:iCs w:val="false"/>
          <w:color w:val="333333"/>
          <w:sz w:val="20"/>
          <w:sz w:val="20"/>
          <w:szCs w:val="20"/>
          <w:rtl w:val="true"/>
        </w:rPr>
        <w:t xml:space="preserve">،المحلّى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1:253</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1:250</w:t>
      </w:r>
      <w:r>
        <w:rPr>
          <w:rFonts w:ascii="IRNazanin" w:hAnsi="IRNazanin" w:eastAsia="IRNazanin"/>
          <w:b w:val="false"/>
          <w:b w:val="false"/>
          <w:bCs w:val="false"/>
          <w:i w:val="false"/>
          <w:i w:val="false"/>
          <w:iCs w:val="false"/>
          <w:color w:val="333333"/>
          <w:sz w:val="20"/>
          <w:sz w:val="20"/>
          <w:szCs w:val="20"/>
          <w:rtl w:val="true"/>
        </w:rPr>
        <w:t xml:space="preserve">،المحلّى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1:253</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1:250</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المحلّى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1:253</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1:250</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قريب منه في صحيح البخاري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1:209</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6:391</w:t>
      </w:r>
      <w:r>
        <w:rPr>
          <w:rFonts w:ascii="IRNazanin" w:hAnsi="IRNazanin" w:eastAsia="IRNazanin"/>
          <w:b w:val="false"/>
          <w:b w:val="false"/>
          <w:bCs w:val="false"/>
          <w:i w:val="false"/>
          <w:i w:val="false"/>
          <w:iCs w:val="false"/>
          <w:color w:val="333333"/>
          <w:sz w:val="20"/>
          <w:sz w:val="20"/>
          <w:szCs w:val="20"/>
          <w:rtl w:val="true"/>
        </w:rPr>
        <w:t xml:space="preserve">،و بهذا اللّفظ انظر المغني </w:t>
      </w:r>
      <w:r>
        <w:rPr>
          <w:rFonts w:eastAsia="IRNazanin" w:cs="IRNazanin"/>
          <w:b w:val="false"/>
          <w:bCs w:val="false"/>
          <w:i w:val="false"/>
          <w:iCs w:val="false"/>
          <w:color w:val="333333"/>
          <w:sz w:val="20"/>
          <w:szCs w:val="20"/>
        </w:rPr>
        <w:t>1:253</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جميل بن صالح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أثبتناه من المصدر</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1:113</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4:535</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4:535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1:113</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2:262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2201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2:1413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4227</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8:175</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3:1515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1907</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4:179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1647</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7:13</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4:534</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1:113</w:t>
      </w:r>
      <w:r>
        <w:rPr>
          <w:rFonts w:ascii="IRNazanin" w:hAnsi="IRNazanin" w:eastAsia="IRNazanin"/>
          <w:b w:val="false"/>
          <w:b w:val="false"/>
          <w:bCs w:val="false"/>
          <w:i w:val="false"/>
          <w:i w:val="false"/>
          <w:iCs w:val="false"/>
          <w:color w:val="333333"/>
          <w:sz w:val="20"/>
          <w:sz w:val="20"/>
          <w:szCs w:val="20"/>
          <w:rtl w:val="true"/>
        </w:rPr>
        <w:t>،الام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مختصر المزني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8:10</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المصادر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اغتسل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اغتسلت</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الام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2:139</w:t>
      </w:r>
      <w:r>
        <w:rPr>
          <w:rFonts w:ascii="IRNazanin" w:hAnsi="IRNazanin" w:eastAsia="IRNazanin"/>
          <w:b w:val="false"/>
          <w:b w:val="false"/>
          <w:bCs w:val="false"/>
          <w:i w:val="false"/>
          <w:i w:val="false"/>
          <w:iCs w:val="false"/>
          <w:color w:val="333333"/>
          <w:sz w:val="20"/>
          <w:sz w:val="20"/>
          <w:szCs w:val="20"/>
          <w:rtl w:val="true"/>
        </w:rPr>
        <w:t xml:space="preserve">،المحلّى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،ميزان الكبرى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2:125</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1:233</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1:234</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1:233</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1:234</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،شرح فتح القدير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2:139</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2:126</w:t>
      </w:r>
      <w:r>
        <w:rPr>
          <w:rFonts w:ascii="IRNazanin" w:hAnsi="IRNazanin" w:eastAsia="IRNazanin"/>
          <w:b w:val="false"/>
          <w:b w:val="false"/>
          <w:bCs w:val="false"/>
          <w:i w:val="false"/>
          <w:i w:val="false"/>
          <w:iCs w:val="false"/>
          <w:color w:val="333333"/>
          <w:sz w:val="20"/>
          <w:sz w:val="20"/>
          <w:szCs w:val="20"/>
          <w:rtl w:val="true"/>
        </w:rPr>
        <w:t xml:space="preserve">،ميزان الكبرى </w:t>
      </w:r>
      <w:r>
        <w:rPr>
          <w:rFonts w:eastAsia="IRNazanin" w:cs="IRNazanin"/>
          <w:b w:val="false"/>
          <w:bCs w:val="false"/>
          <w:i w:val="false"/>
          <w:iCs w:val="false"/>
          <w:color w:val="333333"/>
          <w:sz w:val="20"/>
          <w:szCs w:val="20"/>
        </w:rPr>
        <w:t>1:120</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1:233</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1:234</w:t>
      </w:r>
      <w:r>
        <w:rPr>
          <w:rFonts w:ascii="IRNazanin" w:hAnsi="IRNazanin" w:eastAsia="IRNazanin"/>
          <w:b w:val="false"/>
          <w:b w:val="false"/>
          <w:bCs w:val="false"/>
          <w:i w:val="false"/>
          <w:i w:val="false"/>
          <w:iCs w:val="false"/>
          <w:color w:val="333333"/>
          <w:sz w:val="20"/>
          <w:sz w:val="20"/>
          <w:szCs w:val="20"/>
          <w:rtl w:val="true"/>
        </w:rPr>
        <w:t xml:space="preserve">،المحلّى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1:233</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1:234</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1:231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2:139</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بلغة السّالك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،الشّرح الصّغير بهامش بلغة السّالك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2:139</w:t>
      </w:r>
      <w:r>
        <w:rPr>
          <w:rFonts w:ascii="IRNazanin" w:hAnsi="IRNazanin" w:eastAsia="IRNazanin"/>
          <w:b w:val="false"/>
          <w:b w:val="false"/>
          <w:bCs w:val="false"/>
          <w:i w:val="false"/>
          <w:i w:val="false"/>
          <w:iCs w:val="false"/>
          <w:color w:val="333333"/>
          <w:sz w:val="20"/>
          <w:sz w:val="20"/>
          <w:szCs w:val="20"/>
          <w:rtl w:val="true"/>
        </w:rPr>
        <w:t xml:space="preserve">،المحلّى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فتح العزيز بهامش المجموع </w:t>
      </w:r>
      <w:r>
        <w:rPr>
          <w:rFonts w:eastAsia="IRNazanin" w:cs="IRNazanin"/>
          <w:b w:val="false"/>
          <w:bCs w:val="false"/>
          <w:i w:val="false"/>
          <w:iCs w:val="false"/>
          <w:color w:val="333333"/>
          <w:sz w:val="20"/>
          <w:szCs w:val="20"/>
        </w:rPr>
        <w:t>2:125</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1:233</w:t>
      </w:r>
      <w:r>
        <w:rPr>
          <w:rFonts w:ascii="IRNazanin" w:hAnsi="IRNazanin" w:eastAsia="IRNazanin"/>
          <w:b w:val="false"/>
          <w:b w:val="false"/>
          <w:bCs w:val="false"/>
          <w:i w:val="false"/>
          <w:i w:val="false"/>
          <w:iCs w:val="false"/>
          <w:color w:val="333333"/>
          <w:sz w:val="20"/>
          <w:sz w:val="20"/>
          <w:szCs w:val="20"/>
          <w:rtl w:val="true"/>
        </w:rPr>
        <w:t xml:space="preserve">،ميزان الكبرى </w:t>
      </w:r>
      <w:r>
        <w:rPr>
          <w:rFonts w:eastAsia="IRNazanin" w:cs="IRNazanin"/>
          <w:b w:val="false"/>
          <w:bCs w:val="false"/>
          <w:i w:val="false"/>
          <w:iCs w:val="false"/>
          <w:color w:val="333333"/>
          <w:sz w:val="20"/>
          <w:szCs w:val="20"/>
        </w:rPr>
        <w:t>1:120</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1:233</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2:139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1:186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الأصول </w:t>
      </w:r>
      <w:r>
        <w:rPr>
          <w:rFonts w:eastAsia="IRNazanin" w:cs="IRNazanin"/>
          <w:b w:val="false"/>
          <w:bCs w:val="false"/>
          <w:i w:val="false"/>
          <w:iCs w:val="false"/>
          <w:color w:val="333333"/>
          <w:sz w:val="20"/>
          <w:szCs w:val="20"/>
        </w:rPr>
        <w:t>8:163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5303</w:t>
      </w:r>
      <w:r>
        <w:rPr>
          <w:rFonts w:ascii="IRNazanin" w:hAnsi="IRNazanin" w:eastAsia="IRNazanin"/>
          <w:b w:val="false"/>
          <w:b w:val="false"/>
          <w:bCs w:val="false"/>
          <w:i w:val="false"/>
          <w:i w:val="false"/>
          <w:iCs w:val="false"/>
          <w:color w:val="333333"/>
          <w:sz w:val="20"/>
          <w:sz w:val="20"/>
          <w:szCs w:val="20"/>
          <w:rtl w:val="true"/>
        </w:rPr>
        <w:t>،و بتفاوت يسير،انظر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1:199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607</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1:115</w:t>
      </w:r>
      <w:r>
        <w:rPr>
          <w:rFonts w:ascii="IRNazanin" w:hAnsi="IRNazanin" w:eastAsia="IRNazanin"/>
          <w:b w:val="false"/>
          <w:b w:val="false"/>
          <w:bCs w:val="false"/>
          <w:i w:val="false"/>
          <w:i w:val="false"/>
          <w:iCs w:val="false"/>
          <w:color w:val="333333"/>
          <w:sz w:val="20"/>
          <w:sz w:val="20"/>
          <w:szCs w:val="20"/>
          <w:rtl w:val="true"/>
        </w:rPr>
        <w:t xml:space="preserve">،سنن الدّارمي </w:t>
      </w:r>
      <w:r>
        <w:rPr>
          <w:rFonts w:eastAsia="IRNazanin" w:cs="IRNazanin"/>
          <w:b w:val="false"/>
          <w:bCs w:val="false"/>
          <w:i w:val="false"/>
          <w:iCs w:val="false"/>
          <w:color w:val="333333"/>
          <w:sz w:val="20"/>
          <w:szCs w:val="20"/>
        </w:rPr>
        <w:t>1:194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1:232</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1:234</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2:139</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المعتاد</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ترجمته و القول فيه في الجزء الأوّل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ترجمته و القول فيه في الجزء الأوّل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ترجمته و القول فيه في الجزء الأوّل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الجميع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سألته عن رجل أجنب</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الجنابة،حديث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1:517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،الهداية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قول عليّ بن بابويه في المعتبر </w:t>
      </w:r>
      <w:r>
        <w:rPr>
          <w:rFonts w:eastAsia="IRNazanin" w:cs="IRNazanin"/>
          <w:b w:val="false"/>
          <w:bCs w:val="false"/>
          <w:i w:val="false"/>
          <w:iCs w:val="false"/>
          <w:color w:val="333333"/>
          <w:sz w:val="20"/>
          <w:szCs w:val="20"/>
        </w:rPr>
        <w:t>1:196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2:200</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الفقه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في المعتبر </w:t>
      </w:r>
      <w:r>
        <w:rPr>
          <w:rFonts w:eastAsia="IRNazanin" w:cs="IRNazanin"/>
          <w:b w:val="false"/>
          <w:bCs w:val="false"/>
          <w:i w:val="false"/>
          <w:iCs w:val="false"/>
          <w:color w:val="333333"/>
          <w:sz w:val="20"/>
          <w:szCs w:val="20"/>
        </w:rPr>
        <w:t>1:196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2:200</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فقه القرآن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أسنده إلى السيد المرتضى في الذريعة</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الموطّأ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1:200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611</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1:180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1:163</w:t>
      </w:r>
      <w:r>
        <w:rPr>
          <w:rFonts w:ascii="IRNazanin" w:hAnsi="IRNazanin" w:eastAsia="IRNazanin"/>
          <w:b w:val="false"/>
          <w:b w:val="false"/>
          <w:bCs w:val="false"/>
          <w:i w:val="false"/>
          <w:i w:val="false"/>
          <w:iCs w:val="false"/>
          <w:color w:val="333333"/>
          <w:sz w:val="20"/>
          <w:sz w:val="20"/>
          <w:szCs w:val="20"/>
          <w:rtl w:val="true"/>
        </w:rPr>
        <w:t xml:space="preserve">،جامع الأصول </w:t>
      </w:r>
      <w:r>
        <w:rPr>
          <w:rFonts w:eastAsia="IRNazanin" w:cs="IRNazanin"/>
          <w:b w:val="false"/>
          <w:bCs w:val="false"/>
          <w:i w:val="false"/>
          <w:iCs w:val="false"/>
          <w:color w:val="333333"/>
          <w:sz w:val="20"/>
          <w:szCs w:val="20"/>
        </w:rPr>
        <w:t>8:161</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2:178</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6:239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 في الجميع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 طريق الخاصّة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الجميع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الرّجم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مكان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الجلد</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1128</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1224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1:194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588</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1:259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،جامع الأصول </w:t>
      </w:r>
      <w:r>
        <w:rPr>
          <w:rFonts w:eastAsia="IRNazanin" w:cs="IRNazanin"/>
          <w:b w:val="false"/>
          <w:bCs w:val="false"/>
          <w:i w:val="false"/>
          <w:iCs w:val="false"/>
          <w:color w:val="333333"/>
          <w:sz w:val="20"/>
          <w:szCs w:val="20"/>
        </w:rPr>
        <w:t>8:180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5324</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7:192</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1:204</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3:161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المقصود</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أضفناه من المصدر</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1135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الحمّام،حديث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1136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الحمّام،حديث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1122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2:1077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1123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يصببن الماء صبّا</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المدوّنة الكبرى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،بلغة السّالك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1:251</w:t>
      </w:r>
      <w:r>
        <w:rPr>
          <w:rFonts w:ascii="IRNazanin" w:hAnsi="IRNazanin" w:eastAsia="IRNazanin"/>
          <w:b w:val="false"/>
          <w:b w:val="false"/>
          <w:bCs w:val="false"/>
          <w:i w:val="false"/>
          <w:i w:val="false"/>
          <w:iCs w:val="false"/>
          <w:color w:val="333333"/>
          <w:sz w:val="20"/>
          <w:sz w:val="20"/>
          <w:szCs w:val="20"/>
          <w:rtl w:val="true"/>
        </w:rPr>
        <w:t xml:space="preserve">،المحلّى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،ميزان الكبرى </w:t>
      </w:r>
      <w:r>
        <w:rPr>
          <w:rFonts w:eastAsia="IRNazanin" w:cs="IRNazanin"/>
          <w:b w:val="false"/>
          <w:bCs w:val="false"/>
          <w:i w:val="false"/>
          <w:iCs w:val="false"/>
          <w:color w:val="333333"/>
          <w:sz w:val="20"/>
          <w:szCs w:val="20"/>
        </w:rPr>
        <w:t>1:121</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2:185</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2:185</w:t>
      </w:r>
      <w:r>
        <w:rPr>
          <w:rFonts w:ascii="IRNazanin" w:hAnsi="IRNazanin" w:eastAsia="IRNazanin"/>
          <w:b w:val="false"/>
          <w:b w:val="false"/>
          <w:bCs w:val="false"/>
          <w:i w:val="false"/>
          <w:i w:val="false"/>
          <w:iCs w:val="false"/>
          <w:color w:val="333333"/>
          <w:sz w:val="20"/>
          <w:sz w:val="20"/>
          <w:szCs w:val="20"/>
          <w:rtl w:val="true"/>
        </w:rPr>
        <w:t xml:space="preserve">،عمدة القارئ </w:t>
      </w:r>
      <w:r>
        <w:rPr>
          <w:rFonts w:eastAsia="IRNazanin" w:cs="IRNazanin"/>
          <w:b w:val="false"/>
          <w:bCs w:val="false"/>
          <w:i w:val="false"/>
          <w:iCs w:val="false"/>
          <w:color w:val="333333"/>
          <w:sz w:val="20"/>
          <w:szCs w:val="20"/>
        </w:rPr>
        <w:t>3:192</w:t>
      </w:r>
      <w:r>
        <w:rPr>
          <w:rFonts w:ascii="IRNazanin" w:hAnsi="IRNazanin" w:eastAsia="IRNazanin"/>
          <w:b w:val="false"/>
          <w:b w:val="false"/>
          <w:bCs w:val="false"/>
          <w:i w:val="false"/>
          <w:i w:val="false"/>
          <w:iCs w:val="false"/>
          <w:color w:val="333333"/>
          <w:sz w:val="20"/>
          <w:sz w:val="20"/>
          <w:szCs w:val="20"/>
          <w:rtl w:val="true"/>
        </w:rPr>
        <w:t xml:space="preserve">،التّفسير الكبير </w:t>
      </w:r>
      <w:r>
        <w:rPr>
          <w:rFonts w:eastAsia="IRNazanin" w:cs="IRNazanin"/>
          <w:b w:val="false"/>
          <w:bCs w:val="false"/>
          <w:i w:val="false"/>
          <w:iCs w:val="false"/>
          <w:color w:val="333333"/>
          <w:sz w:val="20"/>
          <w:szCs w:val="20"/>
        </w:rPr>
        <w:t>11:165</w:t>
      </w:r>
      <w:r>
        <w:rPr>
          <w:rFonts w:ascii="IRNazanin" w:hAnsi="IRNazanin" w:eastAsia="IRNazanin"/>
          <w:b w:val="false"/>
          <w:b w:val="false"/>
          <w:bCs w:val="false"/>
          <w:i w:val="false"/>
          <w:i w:val="false"/>
          <w:iCs w:val="false"/>
          <w:color w:val="333333"/>
          <w:sz w:val="20"/>
          <w:sz w:val="20"/>
          <w:szCs w:val="20"/>
          <w:rtl w:val="true"/>
        </w:rPr>
        <w:t xml:space="preserve">،رحمة الأمّة بهامش ميزان الكبرى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تقدّمت ترجمته و القول فيه في الجزء الأوّل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1133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الحمّام،حديث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938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آداب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الحمّام،حديث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أضفناه من المصدر</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فرضي اللّه فيه بالوضوء</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1:369</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1:118</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1:162</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التّفسير الكبير </w:t>
      </w:r>
      <w:r>
        <w:rPr>
          <w:rFonts w:eastAsia="IRNazanin" w:cs="IRNazanin"/>
          <w:b w:val="false"/>
          <w:bCs w:val="false"/>
          <w:i w:val="false"/>
          <w:iCs w:val="false"/>
          <w:color w:val="333333"/>
          <w:sz w:val="20"/>
          <w:szCs w:val="20"/>
        </w:rPr>
        <w:t>11:157</w:t>
      </w:r>
      <w:r>
        <w:rPr>
          <w:rFonts w:ascii="IRNazanin" w:hAnsi="IRNazanin" w:eastAsia="IRNazanin"/>
          <w:b w:val="false"/>
          <w:b w:val="false"/>
          <w:bCs w:val="false"/>
          <w:i w:val="false"/>
          <w:i w:val="false"/>
          <w:iCs w:val="false"/>
          <w:color w:val="333333"/>
          <w:sz w:val="20"/>
          <w:sz w:val="20"/>
          <w:szCs w:val="20"/>
          <w:rtl w:val="true"/>
        </w:rPr>
        <w:t xml:space="preserve">،الام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1:118</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،أحكام القرآن للجصّاص </w:t>
      </w:r>
      <w:r>
        <w:rPr>
          <w:rFonts w:eastAsia="IRNazanin" w:cs="IRNazanin"/>
          <w:b w:val="false"/>
          <w:bCs w:val="false"/>
          <w:i w:val="false"/>
          <w:iCs w:val="false"/>
          <w:color w:val="333333"/>
          <w:sz w:val="20"/>
          <w:szCs w:val="20"/>
        </w:rPr>
        <w:t>3:377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القرطبي </w:t>
      </w:r>
      <w:r>
        <w:rPr>
          <w:rFonts w:eastAsia="IRNazanin" w:cs="IRNazanin"/>
          <w:b w:val="false"/>
          <w:bCs w:val="false"/>
          <w:i w:val="false"/>
          <w:iCs w:val="false"/>
          <w:color w:val="333333"/>
          <w:sz w:val="20"/>
          <w:szCs w:val="20"/>
        </w:rPr>
        <w:t>6:84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الموطّأ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،شرح فتح القدير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،منار السّبيل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1:247</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،الكافي لابن قدامة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2:191</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2:191</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1:247</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،المحلّى </w:t>
      </w:r>
      <w:r>
        <w:rPr>
          <w:rFonts w:eastAsia="IRNazanin" w:cs="IRNazanin"/>
          <w:b w:val="false"/>
          <w:bCs w:val="false"/>
          <w:i w:val="false"/>
          <w:iCs w:val="false"/>
          <w:color w:val="333333"/>
          <w:sz w:val="20"/>
          <w:szCs w:val="20"/>
        </w:rPr>
        <w:t>1:212</w:t>
      </w:r>
      <w:r>
        <w:rPr>
          <w:rFonts w:ascii="IRNazanin" w:hAnsi="IRNazanin" w:eastAsia="IRNazanin"/>
          <w:b w:val="false"/>
          <w:b w:val="false"/>
          <w:bCs w:val="false"/>
          <w:i w:val="false"/>
          <w:i w:val="false"/>
          <w:iCs w:val="false"/>
          <w:color w:val="333333"/>
          <w:sz w:val="20"/>
          <w:sz w:val="20"/>
          <w:szCs w:val="20"/>
          <w:rtl w:val="true"/>
        </w:rPr>
        <w:t xml:space="preserve">،الكافي لابن قدامة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عيثم،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عشيم،و الصّحيح ما أثبتناه</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1:247</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1:247</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،الكافي لابن قدامة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1:247</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2:191</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 قطني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6:330</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روي بمعناه عن بعض أزواج 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1:132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،سنن الدّارمي </w:t>
      </w:r>
      <w:r>
        <w:rPr>
          <w:rFonts w:eastAsia="IRNazanin" w:cs="IRNazanin"/>
          <w:b w:val="false"/>
          <w:bCs w:val="false"/>
          <w:i w:val="false"/>
          <w:iCs w:val="false"/>
          <w:color w:val="333333"/>
          <w:sz w:val="20"/>
          <w:szCs w:val="20"/>
        </w:rPr>
        <w:t>1:187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1:159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الجزء الأوّل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الجزء الأوّل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1:248</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،الكافي لابن قدامة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1:248</w:t>
      </w:r>
      <w:r>
        <w:rPr>
          <w:rFonts w:ascii="IRNazanin" w:hAnsi="IRNazanin" w:eastAsia="IRNazanin"/>
          <w:b w:val="false"/>
          <w:b w:val="false"/>
          <w:bCs w:val="false"/>
          <w:i w:val="false"/>
          <w:i w:val="false"/>
          <w:iCs w:val="false"/>
          <w:color w:val="333333"/>
          <w:sz w:val="20"/>
          <w:sz w:val="20"/>
          <w:szCs w:val="20"/>
          <w:rtl w:val="true"/>
        </w:rPr>
        <w:t xml:space="preserve">،الكافي لابن قدامة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1:248</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1:248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1:248</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1:248</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1:248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حقانه</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على هذه الرّواية في المصادر الحديثيّة المتوفّرة لدينا،غير أنّ السّرخسيّ أوردها في مبسوطه </w:t>
      </w:r>
      <w:r>
        <w:rPr>
          <w:rFonts w:eastAsia="IRNazanin" w:cs="IRNazanin"/>
          <w:b w:val="false"/>
          <w:bCs w:val="false"/>
          <w:i w:val="false"/>
          <w:iCs w:val="false"/>
          <w:color w:val="333333"/>
          <w:sz w:val="20"/>
          <w:szCs w:val="20"/>
        </w:rPr>
        <w:t>3:150</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ليس يخرجان</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،الموطّأ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1:336</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 و في المصادر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مستنقعة</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1184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1185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 انّ الشّيخ رواه بعكس ذلك</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2:560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في المعتبر </w:t>
      </w:r>
      <w:r>
        <w:rPr>
          <w:rFonts w:eastAsia="IRNazanin" w:cs="IRNazanin"/>
          <w:b w:val="false"/>
          <w:bCs w:val="false"/>
          <w:i w:val="false"/>
          <w:iCs w:val="false"/>
          <w:color w:val="333333"/>
          <w:sz w:val="20"/>
          <w:szCs w:val="20"/>
        </w:rPr>
        <w:t>1:199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2:579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2:373</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1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1:407</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1:352</w:t>
      </w:r>
      <w:r>
        <w:rPr>
          <w:rFonts w:eastAsia="IRNazanin" w:cs="IRNazanin"/>
          <w:b w:val="false"/>
          <w:bCs w:val="false"/>
          <w:i w:val="false"/>
          <w:iCs w:val="false"/>
          <w:color w:val="333333"/>
          <w:sz w:val="20"/>
          <w:szCs w:val="20"/>
          <w:rtl w:val="true"/>
        </w:rPr>
        <w:t>.</w:t>
      </w:r>
    </w:p>
  </w:footnote>
  <w:footnote w:id="1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3:149</w:t>
      </w:r>
      <w:r>
        <w:rPr>
          <w:rFonts w:eastAsia="IRNazanin" w:cs="IRNazanin"/>
          <w:b w:val="false"/>
          <w:bCs w:val="false"/>
          <w:i w:val="false"/>
          <w:iCs w:val="false"/>
          <w:color w:val="333333"/>
          <w:sz w:val="20"/>
          <w:szCs w:val="20"/>
          <w:rtl w:val="true"/>
        </w:rPr>
        <w:t>.</w:t>
      </w:r>
    </w:p>
  </w:footnote>
  <w:footnote w:id="1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494</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2:259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1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3:149</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1:408</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1:352</w:t>
      </w:r>
      <w:r>
        <w:rPr>
          <w:rFonts w:eastAsia="IRNazanin" w:cs="IRNazanin"/>
          <w:b w:val="false"/>
          <w:bCs w:val="false"/>
          <w:i w:val="false"/>
          <w:iCs w:val="false"/>
          <w:color w:val="333333"/>
          <w:sz w:val="20"/>
          <w:szCs w:val="20"/>
          <w:rtl w:val="true"/>
        </w:rPr>
        <w:t>.</w:t>
      </w:r>
    </w:p>
  </w:footnote>
  <w:footnote w:id="1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حديث،سنن ابن ماجه </w:t>
      </w:r>
      <w:r>
        <w:rPr>
          <w:rFonts w:eastAsia="IRNazanin" w:cs="IRNazanin"/>
          <w:b w:val="false"/>
          <w:bCs w:val="false"/>
          <w:i w:val="false"/>
          <w:iCs w:val="false"/>
          <w:color w:val="333333"/>
          <w:sz w:val="20"/>
          <w:szCs w:val="20"/>
        </w:rPr>
        <w:t>1:205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626</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1:117</w:t>
      </w:r>
      <w:r>
        <w:rPr>
          <w:rFonts w:ascii="IRNazanin" w:hAnsi="IRNazanin" w:eastAsia="IRNazanin"/>
          <w:b w:val="false"/>
          <w:b w:val="false"/>
          <w:bCs w:val="false"/>
          <w:i w:val="false"/>
          <w:i w:val="false"/>
          <w:iCs w:val="false"/>
          <w:color w:val="333333"/>
          <w:sz w:val="20"/>
          <w:sz w:val="20"/>
          <w:szCs w:val="20"/>
          <w:rtl w:val="true"/>
        </w:rPr>
        <w:t xml:space="preserve">،سنن الدّارمي </w:t>
      </w:r>
      <w:r>
        <w:rPr>
          <w:rFonts w:eastAsia="IRNazanin" w:cs="IRNazanin"/>
          <w:b w:val="false"/>
          <w:bCs w:val="false"/>
          <w:i w:val="false"/>
          <w:iCs w:val="false"/>
          <w:color w:val="333333"/>
          <w:sz w:val="20"/>
          <w:szCs w:val="20"/>
        </w:rPr>
        <w:t>1:196</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6:141</w:t>
      </w:r>
      <w:r>
        <w:rPr>
          <w:rFonts w:eastAsia="IRNazanin" w:cs="IRNazanin"/>
          <w:b w:val="false"/>
          <w:bCs w:val="false"/>
          <w:i w:val="false"/>
          <w:iCs w:val="false"/>
          <w:color w:val="333333"/>
          <w:sz w:val="20"/>
          <w:szCs w:val="20"/>
          <w:rtl w:val="true"/>
        </w:rPr>
        <w:t>.</w:t>
      </w:r>
    </w:p>
  </w:footnote>
  <w:footnote w:id="1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1235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2:580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ترجمته و القول فيه في الجزء 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1237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2:580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1236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2:580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على هذا القول في كتب الشّيخ،و لكنّه قول المفيد في 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1:406</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1:353</w:t>
      </w:r>
      <w:r>
        <w:rPr>
          <w:rFonts w:eastAsia="IRNazanin" w:cs="IRNazanin"/>
          <w:b w:val="false"/>
          <w:bCs w:val="false"/>
          <w:i w:val="false"/>
          <w:iCs w:val="false"/>
          <w:color w:val="333333"/>
          <w:sz w:val="20"/>
          <w:szCs w:val="20"/>
          <w:rtl w:val="true"/>
        </w:rPr>
        <w:t>.</w:t>
      </w:r>
    </w:p>
  </w:footnote>
  <w:footnote w:id="1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3:149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نسب في المعتبر </w:t>
      </w:r>
      <w:r>
        <w:rPr>
          <w:rFonts w:eastAsia="IRNazanin" w:cs="IRNazanin"/>
          <w:b w:val="false"/>
          <w:bCs w:val="false"/>
          <w:i w:val="false"/>
          <w:iCs w:val="false"/>
          <w:color w:val="333333"/>
          <w:sz w:val="20"/>
          <w:szCs w:val="20"/>
        </w:rPr>
        <w:t>1:200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القول إلى المفيد في المقنعة،و الموجود فيها هكذا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لأنّ من النّساء من يرتفع حيضهنّ قبل حملهنّ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في المعتبر </w:t>
      </w:r>
      <w:r>
        <w:rPr>
          <w:rFonts w:eastAsia="IRNazanin" w:cs="IRNazanin"/>
          <w:b w:val="false"/>
          <w:bCs w:val="false"/>
          <w:i w:val="false"/>
          <w:iCs w:val="false"/>
          <w:color w:val="333333"/>
          <w:sz w:val="20"/>
          <w:szCs w:val="20"/>
        </w:rPr>
        <w:t>1:200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1:405</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2:386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1:353</w:t>
      </w:r>
      <w:r>
        <w:rPr>
          <w:rFonts w:eastAsia="IRNazanin" w:cs="IRNazanin"/>
          <w:b w:val="false"/>
          <w:bCs w:val="false"/>
          <w:i w:val="false"/>
          <w:iCs w:val="false"/>
          <w:color w:val="333333"/>
          <w:sz w:val="20"/>
          <w:szCs w:val="20"/>
          <w:rtl w:val="true"/>
        </w:rPr>
        <w:t>.</w:t>
      </w:r>
    </w:p>
  </w:footnote>
  <w:footnote w:id="1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3:149</w:t>
      </w:r>
      <w:r>
        <w:rPr>
          <w:rFonts w:ascii="IRNazanin" w:hAnsi="IRNazanin" w:eastAsia="IRNazanin"/>
          <w:b w:val="false"/>
          <w:b w:val="false"/>
          <w:bCs w:val="false"/>
          <w:i w:val="false"/>
          <w:i w:val="false"/>
          <w:iCs w:val="false"/>
          <w:color w:val="333333"/>
          <w:sz w:val="20"/>
          <w:sz w:val="20"/>
          <w:szCs w:val="20"/>
          <w:rtl w:val="true"/>
        </w:rPr>
        <w:t xml:space="preserve">،الهداية للمرغيناني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،شرح فتح القدير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2:576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2:386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1:405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1:353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1:405</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1:353</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2:386</w:t>
      </w:r>
      <w:r>
        <w:rPr>
          <w:rFonts w:eastAsia="IRNazanin" w:cs="IRNazanin"/>
          <w:b w:val="false"/>
          <w:bCs w:val="false"/>
          <w:i w:val="false"/>
          <w:iCs w:val="false"/>
          <w:color w:val="333333"/>
          <w:sz w:val="20"/>
          <w:szCs w:val="20"/>
          <w:rtl w:val="true"/>
        </w:rPr>
        <w:t>.</w:t>
      </w:r>
    </w:p>
  </w:footnote>
  <w:footnote w:id="1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2:384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1:119</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2:576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النّاصريّات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قول عليّ بن بابويه في المعتبر </w:t>
      </w:r>
      <w:r>
        <w:rPr>
          <w:rFonts w:eastAsia="IRNazanin" w:cs="IRNazanin"/>
          <w:b w:val="false"/>
          <w:bCs w:val="false"/>
          <w:i w:val="false"/>
          <w:iCs w:val="false"/>
          <w:color w:val="333333"/>
          <w:sz w:val="20"/>
          <w:szCs w:val="20"/>
        </w:rPr>
        <w:t>1:200</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عليّ بن بابويه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المقنع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2:384</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2:577</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1:118</w:t>
      </w:r>
      <w:r>
        <w:rPr>
          <w:rFonts w:ascii="IRNazanin" w:hAnsi="IRNazanin" w:eastAsia="IRNazanin"/>
          <w:b w:val="false"/>
          <w:b w:val="false"/>
          <w:bCs w:val="false"/>
          <w:i w:val="false"/>
          <w:i w:val="false"/>
          <w:iCs w:val="false"/>
          <w:color w:val="333333"/>
          <w:sz w:val="20"/>
          <w:sz w:val="20"/>
          <w:szCs w:val="20"/>
          <w:rtl w:val="true"/>
        </w:rPr>
        <w:t>،السّراج الوهّاج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،ميزان الكبرى </w:t>
      </w:r>
      <w:r>
        <w:rPr>
          <w:rFonts w:eastAsia="IRNazanin" w:cs="IRNazanin"/>
          <w:b w:val="false"/>
          <w:bCs w:val="false"/>
          <w:i w:val="false"/>
          <w:iCs w:val="false"/>
          <w:color w:val="333333"/>
          <w:sz w:val="20"/>
          <w:szCs w:val="20"/>
        </w:rPr>
        <w:t>1:130</w:t>
      </w:r>
      <w:r>
        <w:rPr>
          <w:rFonts w:ascii="IRNazanin" w:hAnsi="IRNazanin" w:eastAsia="IRNazanin"/>
          <w:b w:val="false"/>
          <w:b w:val="false"/>
          <w:bCs w:val="false"/>
          <w:i w:val="false"/>
          <w:i w:val="false"/>
          <w:iCs w:val="false"/>
          <w:color w:val="333333"/>
          <w:sz w:val="20"/>
          <w:sz w:val="20"/>
          <w:szCs w:val="20"/>
          <w:rtl w:val="true"/>
        </w:rPr>
        <w:t xml:space="preserve">،رحمة الأمة بهامش ميزان الكبرى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المغني </w:t>
      </w:r>
      <w:r>
        <w:rPr>
          <w:rFonts w:eastAsia="IRNazanin" w:cs="IRNazanin"/>
          <w:b w:val="false"/>
          <w:bCs w:val="false"/>
          <w:i w:val="false"/>
          <w:iCs w:val="false"/>
          <w:color w:val="333333"/>
          <w:sz w:val="20"/>
          <w:szCs w:val="20"/>
        </w:rPr>
        <w:t>1:405</w:t>
      </w:r>
      <w:r>
        <w:rPr>
          <w:rFonts w:eastAsia="IRNazanin" w:cs="IRNazanin"/>
          <w:b w:val="false"/>
          <w:bCs w:val="false"/>
          <w:i w:val="false"/>
          <w:iCs w:val="false"/>
          <w:color w:val="333333"/>
          <w:sz w:val="20"/>
          <w:szCs w:val="20"/>
          <w:rtl w:val="true"/>
        </w:rPr>
        <w:t>.</w:t>
      </w:r>
    </w:p>
  </w:footnote>
  <w:footnote w:id="1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2:386</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1:405</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2:577</w:t>
      </w:r>
      <w:r>
        <w:rPr>
          <w:rFonts w:eastAsia="IRNazanin" w:cs="IRNazanin"/>
          <w:b w:val="false"/>
          <w:bCs w:val="false"/>
          <w:i w:val="false"/>
          <w:iCs w:val="false"/>
          <w:color w:val="333333"/>
          <w:sz w:val="20"/>
          <w:szCs w:val="20"/>
          <w:rtl w:val="true"/>
        </w:rPr>
        <w:t>.</w:t>
      </w:r>
    </w:p>
  </w:footnote>
  <w:footnote w:id="1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1:405</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1:353</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4:386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الدّارمي </w:t>
      </w:r>
      <w:r>
        <w:rPr>
          <w:rFonts w:eastAsia="IRNazanin" w:cs="IRNazanin"/>
          <w:b w:val="false"/>
          <w:bCs w:val="false"/>
          <w:i w:val="false"/>
          <w:iCs w:val="false"/>
          <w:color w:val="333333"/>
          <w:sz w:val="20"/>
          <w:szCs w:val="20"/>
        </w:rPr>
        <w:t>1:225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الأصول </w:t>
      </w:r>
      <w:r>
        <w:rPr>
          <w:rFonts w:eastAsia="IRNazanin" w:cs="IRNazanin"/>
          <w:b w:val="false"/>
          <w:bCs w:val="false"/>
          <w:i w:val="false"/>
          <w:iCs w:val="false"/>
          <w:color w:val="333333"/>
          <w:sz w:val="20"/>
          <w:szCs w:val="20"/>
        </w:rPr>
        <w:t>8:223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5400</w:t>
      </w:r>
      <w:r>
        <w:rPr>
          <w:rFonts w:ascii="IRNazanin" w:hAnsi="IRNazanin" w:eastAsia="IRNazanin"/>
          <w:b w:val="false"/>
          <w:b w:val="false"/>
          <w:bCs w:val="false"/>
          <w:i w:val="false"/>
          <w:i w:val="false"/>
          <w:iCs w:val="false"/>
          <w:color w:val="333333"/>
          <w:sz w:val="20"/>
          <w:sz w:val="20"/>
          <w:szCs w:val="20"/>
          <w:rtl w:val="true"/>
        </w:rPr>
        <w:t xml:space="preserve">،الموطّأ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1189</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476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1186</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473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2:578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1187</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474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2:576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1188</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475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2:578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1190</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477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2:578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الحيض،حديث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1191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1192</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2:578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الجميع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 تصلّي ذينك اليومين</w:t>
      </w:r>
      <w:r>
        <w:rPr>
          <w:rFonts w:eastAsia="IRNazanin" w:cs="IRNazanin"/>
          <w:b w:val="false"/>
          <w:bCs w:val="false"/>
          <w:i w:val="false"/>
          <w:iCs w:val="false"/>
          <w:color w:val="333333"/>
          <w:sz w:val="20"/>
          <w:szCs w:val="20"/>
          <w:rtl w:val="true"/>
        </w:rPr>
        <w:t>.</w:t>
      </w:r>
    </w:p>
  </w:footnote>
  <w:footnote w:id="1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1193</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478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1194</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479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2:578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2:579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الحيض،حديث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2:579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2:579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الحيض،حديث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1:405</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1:353</w:t>
      </w:r>
      <w:r>
        <w:rPr>
          <w:rFonts w:eastAsia="IRNazanin" w:cs="IRNazanin"/>
          <w:b w:val="false"/>
          <w:bCs w:val="false"/>
          <w:i w:val="false"/>
          <w:iCs w:val="false"/>
          <w:color w:val="333333"/>
          <w:sz w:val="20"/>
          <w:szCs w:val="20"/>
          <w:rtl w:val="true"/>
        </w:rPr>
        <w:t>.</w:t>
      </w:r>
    </w:p>
  </w:footnote>
  <w:footnote w:id="1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2:248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2157</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6:301</w:t>
      </w:r>
      <w:r>
        <w:rPr>
          <w:rFonts w:eastAsia="IRNazanin" w:cs="IRNazanin"/>
          <w:b w:val="false"/>
          <w:bCs w:val="false"/>
          <w:i w:val="false"/>
          <w:iCs w:val="false"/>
          <w:color w:val="333333"/>
          <w:sz w:val="20"/>
          <w:szCs w:val="20"/>
          <w:rtl w:val="true"/>
        </w:rPr>
        <w:t>.</w:t>
      </w:r>
    </w:p>
  </w:footnote>
  <w:footnote w:id="1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2:1095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1471</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3:479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1176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1:652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2023</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6:141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 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2182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7:52</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6:193</w:t>
      </w:r>
      <w:r>
        <w:rPr>
          <w:rFonts w:eastAsia="IRNazanin" w:cs="IRNazanin"/>
          <w:b w:val="false"/>
          <w:bCs w:val="false"/>
          <w:i w:val="false"/>
          <w:iCs w:val="false"/>
          <w:color w:val="333333"/>
          <w:sz w:val="20"/>
          <w:szCs w:val="20"/>
          <w:rtl w:val="true"/>
        </w:rPr>
        <w:t>.</w:t>
      </w:r>
    </w:p>
  </w:footnote>
  <w:footnote w:id="1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1196</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481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2:579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1:140</w:t>
      </w:r>
      <w:r>
        <w:rPr>
          <w:rFonts w:eastAsia="IRNazanin" w:cs="IRNazanin"/>
          <w:b w:val="false"/>
          <w:bCs w:val="false"/>
          <w:i w:val="false"/>
          <w:iCs w:val="false"/>
          <w:color w:val="333333"/>
          <w:sz w:val="20"/>
          <w:szCs w:val="20"/>
          <w:rtl w:val="true"/>
        </w:rPr>
        <w:t>.</w:t>
      </w:r>
    </w:p>
  </w:footnote>
  <w:footnote w:id="1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 و في المصادر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الحسين،و هو الصّحيح</w:t>
      </w:r>
      <w:r>
        <w:rPr>
          <w:rFonts w:eastAsia="IRNazanin" w:cs="IRNazanin"/>
          <w:b w:val="false"/>
          <w:bCs w:val="false"/>
          <w:i w:val="false"/>
          <w:iCs w:val="false"/>
          <w:color w:val="333333"/>
          <w:sz w:val="20"/>
          <w:szCs w:val="20"/>
          <w:rtl w:val="true"/>
        </w:rPr>
        <w:t>.</w:t>
      </w:r>
    </w:p>
  </w:footnote>
  <w:footnote w:id="1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أضفناها من المصدر</w:t>
      </w:r>
      <w:r>
        <w:rPr>
          <w:rFonts w:eastAsia="IRNazanin" w:cs="IRNazanin"/>
          <w:b w:val="false"/>
          <w:bCs w:val="false"/>
          <w:i w:val="false"/>
          <w:iCs w:val="false"/>
          <w:color w:val="333333"/>
          <w:sz w:val="20"/>
          <w:szCs w:val="20"/>
          <w:rtl w:val="true"/>
        </w:rPr>
        <w:t>.</w:t>
      </w:r>
    </w:p>
  </w:footnote>
  <w:footnote w:id="1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482</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482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الجميع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تستثفر</w:t>
      </w:r>
      <w:r>
        <w:rPr>
          <w:rFonts w:eastAsia="IRNazanin" w:cs="IRNazanin"/>
          <w:b w:val="false"/>
          <w:bCs w:val="false"/>
          <w:i w:val="false"/>
          <w:iCs w:val="false"/>
          <w:color w:val="333333"/>
          <w:sz w:val="20"/>
          <w:szCs w:val="20"/>
          <w:rtl w:val="true"/>
        </w:rPr>
        <w:t>.</w:t>
      </w:r>
    </w:p>
  </w:footnote>
  <w:footnote w:id="1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فرع</w:t>
      </w:r>
      <w:r>
        <w:rPr>
          <w:rFonts w:eastAsia="IRNazanin" w:cs="IRNazanin"/>
          <w:b w:val="false"/>
          <w:bCs w:val="false"/>
          <w:i w:val="false"/>
          <w:iCs w:val="false"/>
          <w:color w:val="333333"/>
          <w:sz w:val="20"/>
          <w:szCs w:val="20"/>
          <w:rtl w:val="true"/>
        </w:rPr>
        <w:t>.</w:t>
      </w:r>
    </w:p>
  </w:footnote>
  <w:footnote w:id="1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2:521</w:t>
      </w:r>
      <w:r>
        <w:rPr>
          <w:rFonts w:eastAsia="IRNazanin" w:cs="IRNazanin"/>
          <w:b w:val="false"/>
          <w:bCs w:val="false"/>
          <w:i w:val="false"/>
          <w:iCs w:val="false"/>
          <w:color w:val="333333"/>
          <w:sz w:val="20"/>
          <w:szCs w:val="20"/>
          <w:rtl w:val="true"/>
        </w:rPr>
        <w:t>.</w:t>
      </w:r>
    </w:p>
  </w:footnote>
  <w:footnote w:id="1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2:519</w:t>
      </w:r>
      <w:r>
        <w:rPr>
          <w:rFonts w:eastAsia="IRNazanin" w:cs="IRNazanin"/>
          <w:b w:val="false"/>
          <w:bCs w:val="false"/>
          <w:i w:val="false"/>
          <w:iCs w:val="false"/>
          <w:color w:val="333333"/>
          <w:sz w:val="20"/>
          <w:szCs w:val="20"/>
          <w:rtl w:val="true"/>
        </w:rPr>
        <w:t>.</w:t>
      </w:r>
    </w:p>
  </w:footnote>
  <w:footnote w:id="1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1:354</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3:147</w:t>
      </w:r>
      <w:r>
        <w:rPr>
          <w:rFonts w:ascii="IRNazanin" w:hAnsi="IRNazanin" w:eastAsia="IRNazanin"/>
          <w:b w:val="false"/>
          <w:b w:val="false"/>
          <w:bCs w:val="false"/>
          <w:i w:val="false"/>
          <w:i w:val="false"/>
          <w:iCs w:val="false"/>
          <w:color w:val="333333"/>
          <w:sz w:val="20"/>
          <w:sz w:val="20"/>
          <w:szCs w:val="20"/>
          <w:rtl w:val="true"/>
        </w:rPr>
        <w:t xml:space="preserve">،الهداية للمرغيناني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المجموع </w:t>
      </w:r>
      <w:r>
        <w:rPr>
          <w:rFonts w:eastAsia="IRNazanin" w:cs="IRNazanin"/>
          <w:b w:val="false"/>
          <w:bCs w:val="false"/>
          <w:i w:val="false"/>
          <w:iCs w:val="false"/>
          <w:color w:val="333333"/>
          <w:sz w:val="20"/>
          <w:szCs w:val="20"/>
        </w:rPr>
        <w:t>2:381</w:t>
      </w:r>
      <w:r>
        <w:rPr>
          <w:rFonts w:ascii="IRNazanin" w:hAnsi="IRNazanin" w:eastAsia="IRNazanin"/>
          <w:b w:val="false"/>
          <w:b w:val="false"/>
          <w:bCs w:val="false"/>
          <w:i w:val="false"/>
          <w:i w:val="false"/>
          <w:iCs w:val="false"/>
          <w:color w:val="333333"/>
          <w:sz w:val="20"/>
          <w:sz w:val="20"/>
          <w:szCs w:val="20"/>
          <w:rtl w:val="true"/>
        </w:rPr>
        <w:t xml:space="preserve">،المحلّى </w:t>
      </w:r>
      <w:r>
        <w:rPr>
          <w:rFonts w:eastAsia="IRNazanin" w:cs="IRNazanin"/>
          <w:b w:val="false"/>
          <w:bCs w:val="false"/>
          <w:i w:val="false"/>
          <w:iCs w:val="false"/>
          <w:color w:val="333333"/>
          <w:sz w:val="20"/>
          <w:szCs w:val="20"/>
        </w:rPr>
        <w:t>2:193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،عمدة القارئ </w:t>
      </w:r>
      <w:r>
        <w:rPr>
          <w:rFonts w:eastAsia="IRNazanin" w:cs="IRNazanin"/>
          <w:b w:val="false"/>
          <w:bCs w:val="false"/>
          <w:i w:val="false"/>
          <w:iCs w:val="false"/>
          <w:color w:val="333333"/>
          <w:sz w:val="20"/>
          <w:szCs w:val="20"/>
        </w:rPr>
        <w:t>3:307</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،شرح فتح القدير </w:t>
      </w:r>
      <w:r>
        <w:rPr>
          <w:rFonts w:eastAsia="IRNazanin" w:cs="IRNazanin"/>
          <w:b w:val="false"/>
          <w:bCs w:val="false"/>
          <w:i w:val="false"/>
          <w:iCs w:val="false"/>
          <w:color w:val="333333"/>
          <w:sz w:val="20"/>
          <w:szCs w:val="20"/>
        </w:rPr>
        <w:t>1:142</w:t>
      </w:r>
      <w:r>
        <w:rPr>
          <w:rFonts w:eastAsia="IRNazanin" w:cs="IRNazanin"/>
          <w:b w:val="false"/>
          <w:bCs w:val="false"/>
          <w:i w:val="false"/>
          <w:iCs w:val="false"/>
          <w:color w:val="333333"/>
          <w:sz w:val="20"/>
          <w:szCs w:val="20"/>
          <w:rtl w:val="true"/>
        </w:rPr>
        <w:t>.</w:t>
      </w:r>
    </w:p>
  </w:footnote>
  <w:footnote w:id="1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1:354</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2:381</w:t>
      </w:r>
      <w:r>
        <w:rPr>
          <w:rFonts w:eastAsia="IRNazanin" w:cs="IRNazanin"/>
          <w:b w:val="false"/>
          <w:bCs w:val="false"/>
          <w:i w:val="false"/>
          <w:iCs w:val="false"/>
          <w:color w:val="333333"/>
          <w:sz w:val="20"/>
          <w:szCs w:val="20"/>
          <w:rtl w:val="true"/>
        </w:rPr>
        <w:t>.</w:t>
      </w:r>
    </w:p>
  </w:footnote>
  <w:footnote w:id="1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3:147</w:t>
      </w:r>
      <w:r>
        <w:rPr>
          <w:rFonts w:ascii="IRNazanin" w:hAnsi="IRNazanin" w:eastAsia="IRNazanin"/>
          <w:b w:val="false"/>
          <w:b w:val="false"/>
          <w:bCs w:val="false"/>
          <w:i w:val="false"/>
          <w:i w:val="false"/>
          <w:iCs w:val="false"/>
          <w:color w:val="333333"/>
          <w:sz w:val="20"/>
          <w:sz w:val="20"/>
          <w:szCs w:val="20"/>
          <w:rtl w:val="true"/>
        </w:rPr>
        <w:t xml:space="preserve">،شرح العناية بهامش شرح فتح القدير </w:t>
      </w:r>
      <w:r>
        <w:rPr>
          <w:rFonts w:eastAsia="IRNazanin" w:cs="IRNazanin"/>
          <w:b w:val="false"/>
          <w:bCs w:val="false"/>
          <w:i w:val="false"/>
          <w:iCs w:val="false"/>
          <w:color w:val="333333"/>
          <w:sz w:val="20"/>
          <w:szCs w:val="20"/>
        </w:rPr>
        <w:t>1:142</w:t>
      </w:r>
      <w:r>
        <w:rPr>
          <w:rFonts w:eastAsia="IRNazanin" w:cs="IRNazanin"/>
          <w:b w:val="false"/>
          <w:bCs w:val="false"/>
          <w:i w:val="false"/>
          <w:iCs w:val="false"/>
          <w:color w:val="333333"/>
          <w:sz w:val="20"/>
          <w:szCs w:val="20"/>
          <w:rtl w:val="true"/>
        </w:rPr>
        <w:t>.</w:t>
      </w:r>
    </w:p>
  </w:footnote>
  <w:footnote w:id="1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2:375</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2:411</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1:109</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،الام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مختصر المزني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2:381</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1:354</w:t>
      </w:r>
      <w:r>
        <w:rPr>
          <w:rFonts w:eastAsia="IRNazanin" w:cs="IRNazanin"/>
          <w:b w:val="false"/>
          <w:bCs w:val="false"/>
          <w:i w:val="false"/>
          <w:iCs w:val="false"/>
          <w:color w:val="333333"/>
          <w:sz w:val="20"/>
          <w:szCs w:val="20"/>
          <w:rtl w:val="true"/>
        </w:rPr>
        <w:t>.</w:t>
      </w:r>
    </w:p>
  </w:footnote>
  <w:footnote w:id="1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مختصر المزني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8:217</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2:375</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1:353</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المحلّى </w:t>
      </w:r>
      <w:r>
        <w:rPr>
          <w:rFonts w:eastAsia="IRNazanin" w:cs="IRNazanin"/>
          <w:b w:val="false"/>
          <w:bCs w:val="false"/>
          <w:i w:val="false"/>
          <w:iCs w:val="false"/>
          <w:color w:val="333333"/>
          <w:sz w:val="20"/>
          <w:szCs w:val="20"/>
        </w:rPr>
        <w:t>2:193</w:t>
      </w:r>
      <w:r>
        <w:rPr>
          <w:rFonts w:eastAsia="IRNazanin" w:cs="IRNazanin"/>
          <w:b w:val="false"/>
          <w:bCs w:val="false"/>
          <w:i w:val="false"/>
          <w:iCs w:val="false"/>
          <w:color w:val="333333"/>
          <w:sz w:val="20"/>
          <w:szCs w:val="20"/>
          <w:rtl w:val="true"/>
        </w:rPr>
        <w:t>.</w:t>
      </w:r>
    </w:p>
  </w:footnote>
  <w:footnote w:id="1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1:352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1:354</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1:358</w:t>
      </w:r>
      <w:r>
        <w:rPr>
          <w:rFonts w:ascii="IRNazanin" w:hAnsi="IRNazanin" w:eastAsia="IRNazanin"/>
          <w:b w:val="false"/>
          <w:b w:val="false"/>
          <w:bCs w:val="false"/>
          <w:i w:val="false"/>
          <w:i w:val="false"/>
          <w:iCs w:val="false"/>
          <w:color w:val="333333"/>
          <w:sz w:val="20"/>
          <w:sz w:val="20"/>
          <w:szCs w:val="20"/>
          <w:rtl w:val="true"/>
        </w:rPr>
        <w:t xml:space="preserve">،الكافي لابن قدامة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2:381</w:t>
      </w:r>
      <w:r>
        <w:rPr>
          <w:rFonts w:ascii="IRNazanin" w:hAnsi="IRNazanin" w:eastAsia="IRNazanin"/>
          <w:b w:val="false"/>
          <w:b w:val="false"/>
          <w:bCs w:val="false"/>
          <w:i w:val="false"/>
          <w:i w:val="false"/>
          <w:iCs w:val="false"/>
          <w:color w:val="333333"/>
          <w:sz w:val="20"/>
          <w:sz w:val="20"/>
          <w:szCs w:val="20"/>
          <w:rtl w:val="true"/>
        </w:rPr>
        <w:t xml:space="preserve">،المحلّى </w:t>
      </w:r>
      <w:r>
        <w:rPr>
          <w:rFonts w:eastAsia="IRNazanin" w:cs="IRNazanin"/>
          <w:b w:val="false"/>
          <w:bCs w:val="false"/>
          <w:i w:val="false"/>
          <w:iCs w:val="false"/>
          <w:color w:val="333333"/>
          <w:sz w:val="20"/>
          <w:szCs w:val="20"/>
        </w:rPr>
        <w:t>2:199</w:t>
      </w:r>
      <w:r>
        <w:rPr>
          <w:rFonts w:eastAsia="IRNazanin" w:cs="IRNazanin"/>
          <w:b w:val="false"/>
          <w:bCs w:val="false"/>
          <w:i w:val="false"/>
          <w:iCs w:val="false"/>
          <w:color w:val="333333"/>
          <w:sz w:val="20"/>
          <w:szCs w:val="20"/>
          <w:rtl w:val="true"/>
        </w:rPr>
        <w:t>.</w:t>
      </w:r>
    </w:p>
  </w:footnote>
  <w:footnote w:id="1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1:352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1:354</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1:358</w:t>
      </w:r>
      <w:r>
        <w:rPr>
          <w:rFonts w:ascii="IRNazanin" w:hAnsi="IRNazanin" w:eastAsia="IRNazanin"/>
          <w:b w:val="false"/>
          <w:b w:val="false"/>
          <w:bCs w:val="false"/>
          <w:i w:val="false"/>
          <w:i w:val="false"/>
          <w:iCs w:val="false"/>
          <w:color w:val="333333"/>
          <w:sz w:val="20"/>
          <w:sz w:val="20"/>
          <w:szCs w:val="20"/>
          <w:rtl w:val="true"/>
        </w:rPr>
        <w:t xml:space="preserve">،الكافي لابن قدامة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2:381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المحلّى </w:t>
      </w:r>
      <w:r>
        <w:rPr>
          <w:rFonts w:eastAsia="IRNazanin" w:cs="IRNazanin"/>
          <w:b w:val="false"/>
          <w:bCs w:val="false"/>
          <w:i w:val="false"/>
          <w:iCs w:val="false"/>
          <w:color w:val="333333"/>
          <w:sz w:val="20"/>
          <w:szCs w:val="20"/>
        </w:rPr>
        <w:t>2:199</w:t>
      </w:r>
      <w:r>
        <w:rPr>
          <w:rFonts w:eastAsia="IRNazanin" w:cs="IRNazanin"/>
          <w:b w:val="false"/>
          <w:bCs w:val="false"/>
          <w:i w:val="false"/>
          <w:iCs w:val="false"/>
          <w:color w:val="333333"/>
          <w:sz w:val="20"/>
          <w:szCs w:val="20"/>
          <w:rtl w:val="true"/>
        </w:rPr>
        <w:t>.</w:t>
      </w:r>
    </w:p>
  </w:footnote>
  <w:footnote w:id="1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1:353</w:t>
      </w:r>
      <w:r>
        <w:rPr>
          <w:rFonts w:ascii="IRNazanin" w:hAnsi="IRNazanin" w:eastAsia="IRNazanin"/>
          <w:b w:val="false"/>
          <w:b w:val="false"/>
          <w:bCs w:val="false"/>
          <w:i w:val="false"/>
          <w:i w:val="false"/>
          <w:iCs w:val="false"/>
          <w:color w:val="333333"/>
          <w:sz w:val="20"/>
          <w:sz w:val="20"/>
          <w:szCs w:val="20"/>
          <w:rtl w:val="true"/>
        </w:rPr>
        <w:t xml:space="preserve">،المحلّى </w:t>
      </w:r>
      <w:r>
        <w:rPr>
          <w:rFonts w:eastAsia="IRNazanin" w:cs="IRNazanin"/>
          <w:b w:val="false"/>
          <w:bCs w:val="false"/>
          <w:i w:val="false"/>
          <w:iCs w:val="false"/>
          <w:color w:val="333333"/>
          <w:sz w:val="20"/>
          <w:szCs w:val="20"/>
        </w:rPr>
        <w:t>2:198</w:t>
      </w:r>
      <w:r>
        <w:rPr>
          <w:rFonts w:ascii="IRNazanin" w:hAnsi="IRNazanin" w:eastAsia="IRNazanin"/>
          <w:b w:val="false"/>
          <w:b w:val="false"/>
          <w:bCs w:val="false"/>
          <w:i w:val="false"/>
          <w:i w:val="false"/>
          <w:iCs w:val="false"/>
          <w:color w:val="333333"/>
          <w:sz w:val="20"/>
          <w:sz w:val="20"/>
          <w:szCs w:val="20"/>
          <w:rtl w:val="true"/>
        </w:rPr>
        <w:t xml:space="preserve">،سنن الدّارمي </w:t>
      </w:r>
      <w:r>
        <w:rPr>
          <w:rFonts w:eastAsia="IRNazanin" w:cs="IRNazanin"/>
          <w:b w:val="false"/>
          <w:bCs w:val="false"/>
          <w:i w:val="false"/>
          <w:iCs w:val="false"/>
          <w:color w:val="333333"/>
          <w:sz w:val="20"/>
          <w:szCs w:val="20"/>
        </w:rPr>
        <w:t>1:209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المدوّنة الكبرى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1:354</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2:381</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3:147</w:t>
      </w:r>
      <w:r>
        <w:rPr>
          <w:rFonts w:ascii="IRNazanin" w:hAnsi="IRNazanin" w:eastAsia="IRNazanin"/>
          <w:b w:val="false"/>
          <w:b w:val="false"/>
          <w:bCs w:val="false"/>
          <w:i w:val="false"/>
          <w:i w:val="false"/>
          <w:iCs w:val="false"/>
          <w:color w:val="333333"/>
          <w:sz w:val="20"/>
          <w:sz w:val="20"/>
          <w:szCs w:val="20"/>
          <w:rtl w:val="true"/>
        </w:rPr>
        <w:t xml:space="preserve">،المحلّى </w:t>
      </w:r>
      <w:r>
        <w:rPr>
          <w:rFonts w:eastAsia="IRNazanin" w:cs="IRNazanin"/>
          <w:b w:val="false"/>
          <w:bCs w:val="false"/>
          <w:i w:val="false"/>
          <w:iCs w:val="false"/>
          <w:color w:val="333333"/>
          <w:sz w:val="20"/>
          <w:szCs w:val="20"/>
        </w:rPr>
        <w:t>2:192</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،بلغة السّالك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2:412</w:t>
      </w:r>
      <w:r>
        <w:rPr>
          <w:rFonts w:ascii="IRNazanin" w:hAnsi="IRNazanin" w:eastAsia="IRNazanin"/>
          <w:b w:val="false"/>
          <w:b w:val="false"/>
          <w:bCs w:val="false"/>
          <w:i w:val="false"/>
          <w:i w:val="false"/>
          <w:iCs w:val="false"/>
          <w:color w:val="333333"/>
          <w:sz w:val="20"/>
          <w:sz w:val="20"/>
          <w:szCs w:val="20"/>
          <w:rtl w:val="true"/>
        </w:rPr>
        <w:t xml:space="preserve">،مقدّمات ابن رشد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3:147</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2:381</w:t>
      </w:r>
      <w:r>
        <w:rPr>
          <w:rFonts w:ascii="IRNazanin" w:hAnsi="IRNazanin" w:eastAsia="IRNazanin"/>
          <w:b w:val="false"/>
          <w:b w:val="false"/>
          <w:bCs w:val="false"/>
          <w:i w:val="false"/>
          <w:i w:val="false"/>
          <w:iCs w:val="false"/>
          <w:color w:val="333333"/>
          <w:sz w:val="20"/>
          <w:sz w:val="20"/>
          <w:szCs w:val="20"/>
          <w:rtl w:val="true"/>
        </w:rPr>
        <w:t xml:space="preserve">،الهداية للمرغيناني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عمدة القارئ </w:t>
      </w:r>
      <w:r>
        <w:rPr>
          <w:rFonts w:eastAsia="IRNazanin" w:cs="IRNazanin"/>
          <w:b w:val="false"/>
          <w:bCs w:val="false"/>
          <w:i w:val="false"/>
          <w:iCs w:val="false"/>
          <w:color w:val="333333"/>
          <w:sz w:val="20"/>
          <w:szCs w:val="20"/>
        </w:rPr>
        <w:t>3:307</w:t>
      </w:r>
      <w:r>
        <w:rPr>
          <w:rFonts w:ascii="IRNazanin" w:hAnsi="IRNazanin" w:eastAsia="IRNazanin"/>
          <w:b w:val="false"/>
          <w:b w:val="false"/>
          <w:bCs w:val="false"/>
          <w:i w:val="false"/>
          <w:i w:val="false"/>
          <w:iCs w:val="false"/>
          <w:color w:val="333333"/>
          <w:sz w:val="20"/>
          <w:sz w:val="20"/>
          <w:szCs w:val="20"/>
          <w:rtl w:val="true"/>
        </w:rPr>
        <w:t xml:space="preserve">،شرح فتح القدير </w:t>
      </w:r>
      <w:r>
        <w:rPr>
          <w:rFonts w:eastAsia="IRNazanin" w:cs="IRNazanin"/>
          <w:b w:val="false"/>
          <w:bCs w:val="false"/>
          <w:i w:val="false"/>
          <w:iCs w:val="false"/>
          <w:color w:val="333333"/>
          <w:sz w:val="20"/>
          <w:szCs w:val="20"/>
        </w:rPr>
        <w:t>1:142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 قطني </w:t>
      </w:r>
      <w:r>
        <w:rPr>
          <w:rFonts w:eastAsia="IRNazanin" w:cs="IRNazanin"/>
          <w:b w:val="false"/>
          <w:bCs w:val="false"/>
          <w:i w:val="false"/>
          <w:iCs w:val="false"/>
          <w:color w:val="333333"/>
          <w:sz w:val="20"/>
          <w:szCs w:val="20"/>
        </w:rPr>
        <w:t>1:219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 قطني </w:t>
      </w:r>
      <w:r>
        <w:rPr>
          <w:rFonts w:eastAsia="IRNazanin" w:cs="IRNazanin"/>
          <w:b w:val="false"/>
          <w:bCs w:val="false"/>
          <w:i w:val="false"/>
          <w:iCs w:val="false"/>
          <w:color w:val="333333"/>
          <w:sz w:val="20"/>
          <w:szCs w:val="20"/>
        </w:rPr>
        <w:t>1:218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9:408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26725</w:t>
      </w:r>
      <w:r>
        <w:rPr>
          <w:rFonts w:eastAsia="IRNazanin" w:cs="IRNazanin"/>
          <w:b w:val="false"/>
          <w:bCs w:val="false"/>
          <w:i w:val="false"/>
          <w:iCs w:val="false"/>
          <w:color w:val="333333"/>
          <w:sz w:val="20"/>
          <w:szCs w:val="20"/>
          <w:rtl w:val="true"/>
        </w:rPr>
        <w:t>.</w:t>
      </w:r>
    </w:p>
  </w:footnote>
  <w:footnote w:id="1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1:354</w:t>
      </w:r>
      <w:r>
        <w:rPr>
          <w:rFonts w:ascii="IRNazanin" w:hAnsi="IRNazanin" w:eastAsia="IRNazanin"/>
          <w:b w:val="false"/>
          <w:b w:val="false"/>
          <w:bCs w:val="false"/>
          <w:i w:val="false"/>
          <w:i w:val="false"/>
          <w:iCs w:val="false"/>
          <w:color w:val="333333"/>
          <w:sz w:val="20"/>
          <w:sz w:val="20"/>
          <w:szCs w:val="20"/>
          <w:rtl w:val="true"/>
        </w:rPr>
        <w:t>،و بمضمونه،انظر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الدّارمي </w:t>
      </w:r>
      <w:r>
        <w:rPr>
          <w:rFonts w:eastAsia="IRNazanin" w:cs="IRNazanin"/>
          <w:b w:val="false"/>
          <w:bCs w:val="false"/>
          <w:i w:val="false"/>
          <w:iCs w:val="false"/>
          <w:color w:val="333333"/>
          <w:sz w:val="20"/>
          <w:szCs w:val="20"/>
        </w:rPr>
        <w:t>1:210</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1:280</w:t>
      </w:r>
      <w:r>
        <w:rPr>
          <w:rFonts w:eastAsia="IRNazanin" w:cs="IRNazanin"/>
          <w:b w:val="false"/>
          <w:bCs w:val="false"/>
          <w:i w:val="false"/>
          <w:iCs w:val="false"/>
          <w:color w:val="333333"/>
          <w:sz w:val="20"/>
          <w:szCs w:val="20"/>
          <w:rtl w:val="true"/>
        </w:rPr>
        <w:t>.</w:t>
      </w:r>
    </w:p>
  </w:footnote>
  <w:footnote w:id="1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449</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450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1178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1181</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471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450</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1:157</w:t>
      </w:r>
      <w:r>
        <w:rPr>
          <w:rFonts w:eastAsia="IRNazanin" w:cs="IRNazanin"/>
          <w:b w:val="false"/>
          <w:bCs w:val="false"/>
          <w:i w:val="false"/>
          <w:iCs w:val="false"/>
          <w:color w:val="333333"/>
          <w:sz w:val="20"/>
          <w:szCs w:val="20"/>
          <w:rtl w:val="true"/>
        </w:rPr>
        <w:t>.</w:t>
      </w:r>
    </w:p>
  </w:footnote>
  <w:footnote w:id="1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أحكام القرآن للجصّاص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دعي الصّلاة أيّام أقرائك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بهذا المضمون،انظر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1:220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1:203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620</w:t>
      </w:r>
      <w:r>
        <w:rPr>
          <w:rFonts w:ascii="IRNazanin" w:hAnsi="IRNazanin" w:eastAsia="IRNazanin"/>
          <w:b w:val="false"/>
          <w:b w:val="false"/>
          <w:bCs w:val="false"/>
          <w:i w:val="false"/>
          <w:i w:val="false"/>
          <w:iCs w:val="false"/>
          <w:color w:val="333333"/>
          <w:sz w:val="20"/>
          <w:sz w:val="20"/>
          <w:szCs w:val="20"/>
          <w:rtl w:val="true"/>
        </w:rPr>
        <w:t xml:space="preserve">،سنن الدّارمي </w:t>
      </w:r>
      <w:r>
        <w:rPr>
          <w:rFonts w:eastAsia="IRNazanin" w:cs="IRNazanin"/>
          <w:b w:val="false"/>
          <w:bCs w:val="false"/>
          <w:i w:val="false"/>
          <w:iCs w:val="false"/>
          <w:color w:val="333333"/>
          <w:sz w:val="20"/>
          <w:szCs w:val="20"/>
        </w:rPr>
        <w:t>1:203</w:t>
      </w:r>
      <w:r>
        <w:rPr>
          <w:rFonts w:eastAsia="IRNazanin" w:cs="IRNazanin"/>
          <w:b w:val="false"/>
          <w:bCs w:val="false"/>
          <w:i w:val="false"/>
          <w:iCs w:val="false"/>
          <w:color w:val="333333"/>
          <w:sz w:val="20"/>
          <w:szCs w:val="20"/>
          <w:rtl w:val="true"/>
        </w:rPr>
        <w:t>.</w:t>
      </w:r>
    </w:p>
  </w:footnote>
  <w:footnote w:id="1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2:412</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2:375</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1:354</w:t>
      </w:r>
      <w:r>
        <w:rPr>
          <w:rFonts w:ascii="IRNazanin" w:hAnsi="IRNazanin" w:eastAsia="IRNazanin"/>
          <w:b w:val="false"/>
          <w:b w:val="false"/>
          <w:bCs w:val="false"/>
          <w:i w:val="false"/>
          <w:i w:val="false"/>
          <w:iCs w:val="false"/>
          <w:color w:val="333333"/>
          <w:sz w:val="20"/>
          <w:sz w:val="20"/>
          <w:szCs w:val="20"/>
          <w:rtl w:val="true"/>
        </w:rPr>
        <w:t xml:space="preserve">،الكافي لابن قدامة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سنة،و ما أثبتناه من المصدر</w:t>
      </w:r>
      <w:r>
        <w:rPr>
          <w:rFonts w:eastAsia="IRNazanin" w:cs="IRNazanin"/>
          <w:b w:val="false"/>
          <w:bCs w:val="false"/>
          <w:i w:val="false"/>
          <w:iCs w:val="false"/>
          <w:color w:val="333333"/>
          <w:sz w:val="20"/>
          <w:szCs w:val="20"/>
          <w:rtl w:val="true"/>
        </w:rPr>
        <w:t>.</w:t>
      </w:r>
    </w:p>
  </w:footnote>
  <w:footnote w:id="1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1:354</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1:355</w:t>
      </w:r>
      <w:r>
        <w:rPr>
          <w:rFonts w:eastAsia="IRNazanin" w:cs="IRNazanin"/>
          <w:b w:val="false"/>
          <w:bCs w:val="false"/>
          <w:i w:val="false"/>
          <w:iCs w:val="false"/>
          <w:color w:val="333333"/>
          <w:sz w:val="20"/>
          <w:szCs w:val="20"/>
          <w:rtl w:val="true"/>
        </w:rPr>
        <w:t>.</w:t>
      </w:r>
    </w:p>
  </w:footnote>
  <w:footnote w:id="1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1:355</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2:411</w:t>
      </w:r>
      <w:r>
        <w:rPr>
          <w:rFonts w:eastAsia="IRNazanin" w:cs="IRNazanin"/>
          <w:b w:val="false"/>
          <w:bCs w:val="false"/>
          <w:i w:val="false"/>
          <w:iCs w:val="false"/>
          <w:color w:val="333333"/>
          <w:sz w:val="20"/>
          <w:szCs w:val="20"/>
          <w:rtl w:val="true"/>
        </w:rPr>
        <w:t>.</w:t>
      </w:r>
    </w:p>
  </w:footnote>
  <w:footnote w:id="1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1:355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2:411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1:355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1:355</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2:382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أحكام القرآن للجصّاص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3:148</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،شرح فتح القدير </w:t>
      </w:r>
      <w:r>
        <w:rPr>
          <w:rFonts w:eastAsia="IRNazanin" w:cs="IRNazanin"/>
          <w:b w:val="false"/>
          <w:bCs w:val="false"/>
          <w:i w:val="false"/>
          <w:iCs w:val="false"/>
          <w:color w:val="333333"/>
          <w:sz w:val="20"/>
          <w:szCs w:val="20"/>
        </w:rPr>
        <w:t>1:143</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2:413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التّفسير الكبير </w:t>
      </w:r>
      <w:r>
        <w:rPr>
          <w:rFonts w:eastAsia="IRNazanin" w:cs="IRNazanin"/>
          <w:b w:val="false"/>
          <w:bCs w:val="false"/>
          <w:i w:val="false"/>
          <w:iCs w:val="false"/>
          <w:color w:val="333333"/>
          <w:sz w:val="20"/>
          <w:szCs w:val="20"/>
        </w:rPr>
        <w:t>6:66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2:1326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4003</w:t>
      </w:r>
      <w:r>
        <w:rPr>
          <w:rFonts w:ascii="IRNazanin" w:hAnsi="IRNazanin" w:eastAsia="IRNazanin"/>
          <w:b w:val="false"/>
          <w:b w:val="false"/>
          <w:bCs w:val="false"/>
          <w:i w:val="false"/>
          <w:i w:val="false"/>
          <w:iCs w:val="false"/>
          <w:color w:val="333333"/>
          <w:sz w:val="20"/>
          <w:sz w:val="20"/>
          <w:szCs w:val="20"/>
          <w:rtl w:val="true"/>
        </w:rPr>
        <w:t xml:space="preserve">،أحكام القرآن للجصّاص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2:373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 يسير في الجميع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الرّواية عن 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انظر بمضمونه عن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نهج البلاغة تحقيق صبحي الصّالح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1:354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1:354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الجمل و العقود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1:202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في المعتبر </w:t>
      </w:r>
      <w:r>
        <w:rPr>
          <w:rFonts w:eastAsia="IRNazanin" w:cs="IRNazanin"/>
          <w:b w:val="false"/>
          <w:bCs w:val="false"/>
          <w:i w:val="false"/>
          <w:iCs w:val="false"/>
          <w:color w:val="333333"/>
          <w:sz w:val="20"/>
          <w:szCs w:val="20"/>
        </w:rPr>
        <w:t>1:202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3:154</w:t>
      </w:r>
      <w:r>
        <w:rPr>
          <w:rFonts w:ascii="IRNazanin" w:hAnsi="IRNazanin" w:eastAsia="IRNazanin"/>
          <w:b w:val="false"/>
          <w:b w:val="false"/>
          <w:bCs w:val="false"/>
          <w:i w:val="false"/>
          <w:i w:val="false"/>
          <w:iCs w:val="false"/>
          <w:color w:val="333333"/>
          <w:sz w:val="20"/>
          <w:sz w:val="20"/>
          <w:szCs w:val="20"/>
          <w:rtl w:val="true"/>
        </w:rPr>
        <w:t xml:space="preserve">،الهداية للمرغيناني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،شرح فتح القدير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449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مرّت ترجمته في الجزء الأوّل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،الموطّأ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9:624</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27712</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1:336</w:t>
      </w:r>
      <w:r>
        <w:rPr>
          <w:rFonts w:eastAsia="IRNazanin" w:cs="IRNazanin"/>
          <w:b w:val="false"/>
          <w:bCs w:val="false"/>
          <w:i w:val="false"/>
          <w:iCs w:val="false"/>
          <w:color w:val="333333"/>
          <w:sz w:val="20"/>
          <w:szCs w:val="20"/>
          <w:rtl w:val="true"/>
        </w:rPr>
        <w:t>.</w:t>
      </w:r>
    </w:p>
  </w:footnote>
  <w:footnote w:id="1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462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462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في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1:356</w:t>
      </w:r>
      <w:r>
        <w:rPr>
          <w:rFonts w:ascii="IRNazanin" w:hAnsi="IRNazanin" w:eastAsia="IRNazanin"/>
          <w:b w:val="false"/>
          <w:b w:val="false"/>
          <w:bCs w:val="false"/>
          <w:i w:val="false"/>
          <w:i w:val="false"/>
          <w:iCs w:val="false"/>
          <w:color w:val="333333"/>
          <w:sz w:val="20"/>
          <w:sz w:val="20"/>
          <w:szCs w:val="20"/>
          <w:rtl w:val="true"/>
        </w:rPr>
        <w:t xml:space="preserve">،مقدّمات ابن رشد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،بلغة السّالك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،أحكام القرآن للجصّاص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2:381</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1:356</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1:356</w:t>
      </w:r>
      <w:r>
        <w:rPr>
          <w:rFonts w:eastAsia="IRNazanin" w:cs="IRNazanin"/>
          <w:b w:val="false"/>
          <w:bCs w:val="false"/>
          <w:i w:val="false"/>
          <w:iCs w:val="false"/>
          <w:color w:val="333333"/>
          <w:sz w:val="20"/>
          <w:szCs w:val="20"/>
          <w:rtl w:val="true"/>
        </w:rPr>
        <w:t>.</w:t>
      </w:r>
    </w:p>
  </w:footnote>
  <w:footnote w:id="1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2:376</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،ميزان الكبرى </w:t>
      </w:r>
      <w:r>
        <w:rPr>
          <w:rFonts w:eastAsia="IRNazanin" w:cs="IRNazanin"/>
          <w:b w:val="false"/>
          <w:bCs w:val="false"/>
          <w:i w:val="false"/>
          <w:iCs w:val="false"/>
          <w:color w:val="333333"/>
          <w:sz w:val="20"/>
          <w:szCs w:val="20"/>
        </w:rPr>
        <w:t>1:128</w:t>
      </w:r>
      <w:r>
        <w:rPr>
          <w:rFonts w:ascii="IRNazanin" w:hAnsi="IRNazanin" w:eastAsia="IRNazanin"/>
          <w:b w:val="false"/>
          <w:b w:val="false"/>
          <w:bCs w:val="false"/>
          <w:i w:val="false"/>
          <w:i w:val="false"/>
          <w:iCs w:val="false"/>
          <w:color w:val="333333"/>
          <w:sz w:val="20"/>
          <w:sz w:val="20"/>
          <w:szCs w:val="20"/>
          <w:rtl w:val="true"/>
        </w:rPr>
        <w:t xml:space="preserve">،فتح الوهّاب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1:109</w:t>
      </w:r>
      <w:r>
        <w:rPr>
          <w:rFonts w:ascii="IRNazanin" w:hAnsi="IRNazanin" w:eastAsia="IRNazanin"/>
          <w:b w:val="false"/>
          <w:b w:val="false"/>
          <w:bCs w:val="false"/>
          <w:i w:val="false"/>
          <w:i w:val="false"/>
          <w:iCs w:val="false"/>
          <w:color w:val="333333"/>
          <w:sz w:val="20"/>
          <w:sz w:val="20"/>
          <w:szCs w:val="20"/>
          <w:rtl w:val="true"/>
        </w:rPr>
        <w:t>،السّراج الوهّاج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،الام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،المحلّى </w:t>
      </w:r>
      <w:r>
        <w:rPr>
          <w:rFonts w:eastAsia="IRNazanin" w:cs="IRNazanin"/>
          <w:b w:val="false"/>
          <w:bCs w:val="false"/>
          <w:i w:val="false"/>
          <w:iCs w:val="false"/>
          <w:color w:val="333333"/>
          <w:sz w:val="20"/>
          <w:szCs w:val="20"/>
        </w:rPr>
        <w:t>2:200</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المغني </w:t>
      </w:r>
      <w:r>
        <w:rPr>
          <w:rFonts w:eastAsia="IRNazanin" w:cs="IRNazanin"/>
          <w:b w:val="false"/>
          <w:bCs w:val="false"/>
          <w:i w:val="false"/>
          <w:iCs w:val="false"/>
          <w:color w:val="333333"/>
          <w:sz w:val="20"/>
          <w:szCs w:val="20"/>
        </w:rPr>
        <w:t>1:356</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3:148</w:t>
      </w:r>
      <w:r>
        <w:rPr>
          <w:rFonts w:eastAsia="IRNazanin" w:cs="IRNazanin"/>
          <w:b w:val="false"/>
          <w:bCs w:val="false"/>
          <w:i w:val="false"/>
          <w:iCs w:val="false"/>
          <w:color w:val="333333"/>
          <w:sz w:val="20"/>
          <w:szCs w:val="20"/>
          <w:rtl w:val="true"/>
        </w:rPr>
        <w:t>.</w:t>
      </w:r>
    </w:p>
  </w:footnote>
  <w:footnote w:id="1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3:148</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،عمدة القارئ </w:t>
      </w:r>
      <w:r>
        <w:rPr>
          <w:rFonts w:eastAsia="IRNazanin" w:cs="IRNazanin"/>
          <w:b w:val="false"/>
          <w:bCs w:val="false"/>
          <w:i w:val="false"/>
          <w:iCs w:val="false"/>
          <w:color w:val="333333"/>
          <w:sz w:val="20"/>
          <w:szCs w:val="20"/>
        </w:rPr>
        <w:t>3:306</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1:356</w:t>
      </w:r>
      <w:r>
        <w:rPr>
          <w:rFonts w:ascii="IRNazanin" w:hAnsi="IRNazanin" w:eastAsia="IRNazanin"/>
          <w:b w:val="false"/>
          <w:b w:val="false"/>
          <w:bCs w:val="false"/>
          <w:i w:val="false"/>
          <w:i w:val="false"/>
          <w:iCs w:val="false"/>
          <w:color w:val="333333"/>
          <w:sz w:val="20"/>
          <w:sz w:val="20"/>
          <w:szCs w:val="20"/>
          <w:rtl w:val="true"/>
        </w:rPr>
        <w:t xml:space="preserve">، بداية المجتهد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،ميزان الكبرى </w:t>
      </w:r>
      <w:r>
        <w:rPr>
          <w:rFonts w:eastAsia="IRNazanin" w:cs="IRNazanin"/>
          <w:b w:val="false"/>
          <w:bCs w:val="false"/>
          <w:i w:val="false"/>
          <w:iCs w:val="false"/>
          <w:color w:val="333333"/>
          <w:sz w:val="20"/>
          <w:szCs w:val="20"/>
        </w:rPr>
        <w:t>1:128</w:t>
      </w:r>
      <w:r>
        <w:rPr>
          <w:rFonts w:ascii="IRNazanin" w:hAnsi="IRNazanin" w:eastAsia="IRNazanin"/>
          <w:b w:val="false"/>
          <w:b w:val="false"/>
          <w:bCs w:val="false"/>
          <w:i w:val="false"/>
          <w:i w:val="false"/>
          <w:iCs w:val="false"/>
          <w:color w:val="333333"/>
          <w:sz w:val="20"/>
          <w:sz w:val="20"/>
          <w:szCs w:val="20"/>
          <w:rtl w:val="true"/>
        </w:rPr>
        <w:t xml:space="preserve">،المحلّى </w:t>
      </w:r>
      <w:r>
        <w:rPr>
          <w:rFonts w:eastAsia="IRNazanin" w:cs="IRNazanin"/>
          <w:b w:val="false"/>
          <w:bCs w:val="false"/>
          <w:i w:val="false"/>
          <w:iCs w:val="false"/>
          <w:color w:val="333333"/>
          <w:sz w:val="20"/>
          <w:szCs w:val="20"/>
        </w:rPr>
        <w:t>2:200</w:t>
      </w:r>
      <w:r>
        <w:rPr>
          <w:rFonts w:eastAsia="IRNazanin" w:cs="IRNazanin"/>
          <w:b w:val="false"/>
          <w:bCs w:val="false"/>
          <w:i w:val="false"/>
          <w:iCs w:val="false"/>
          <w:color w:val="333333"/>
          <w:sz w:val="20"/>
          <w:szCs w:val="20"/>
          <w:rtl w:val="true"/>
        </w:rPr>
        <w:t>.</w:t>
      </w:r>
    </w:p>
  </w:footnote>
  <w:footnote w:id="1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1:356</w:t>
      </w:r>
      <w:r>
        <w:rPr>
          <w:rFonts w:ascii="IRNazanin" w:hAnsi="IRNazanin" w:eastAsia="IRNazanin"/>
          <w:b w:val="false"/>
          <w:b w:val="false"/>
          <w:bCs w:val="false"/>
          <w:i w:val="false"/>
          <w:i w:val="false"/>
          <w:iCs w:val="false"/>
          <w:color w:val="333333"/>
          <w:sz w:val="20"/>
          <w:sz w:val="20"/>
          <w:szCs w:val="20"/>
          <w:rtl w:val="true"/>
        </w:rPr>
        <w:t xml:space="preserve">،الكافي لابن قدامة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،منار السّبيل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2:382</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2:412</w:t>
      </w:r>
      <w:r>
        <w:rPr>
          <w:rFonts w:ascii="IRNazanin" w:hAnsi="IRNazanin" w:eastAsia="IRNazanin"/>
          <w:b w:val="false"/>
          <w:b w:val="false"/>
          <w:bCs w:val="false"/>
          <w:i w:val="false"/>
          <w:i w:val="false"/>
          <w:iCs w:val="false"/>
          <w:color w:val="333333"/>
          <w:sz w:val="20"/>
          <w:sz w:val="20"/>
          <w:szCs w:val="20"/>
          <w:rtl w:val="true"/>
        </w:rPr>
        <w:t xml:space="preserve">،ميزان الكبرى </w:t>
      </w:r>
      <w:r>
        <w:rPr>
          <w:rFonts w:eastAsia="IRNazanin" w:cs="IRNazanin"/>
          <w:b w:val="false"/>
          <w:bCs w:val="false"/>
          <w:i w:val="false"/>
          <w:iCs w:val="false"/>
          <w:color w:val="333333"/>
          <w:sz w:val="20"/>
          <w:szCs w:val="20"/>
        </w:rPr>
        <w:t>1:128</w:t>
      </w:r>
      <w:r>
        <w:rPr>
          <w:rFonts w:eastAsia="IRNazanin" w:cs="IRNazanin"/>
          <w:b w:val="false"/>
          <w:bCs w:val="false"/>
          <w:i w:val="false"/>
          <w:iCs w:val="false"/>
          <w:color w:val="333333"/>
          <w:sz w:val="20"/>
          <w:szCs w:val="20"/>
          <w:rtl w:val="true"/>
        </w:rPr>
        <w:t>.</w:t>
      </w:r>
    </w:p>
  </w:footnote>
  <w:footnote w:id="1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1:356</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1:356</w:t>
      </w:r>
      <w:r>
        <w:rPr>
          <w:rFonts w:eastAsia="IRNazanin" w:cs="IRNazanin"/>
          <w:b w:val="false"/>
          <w:bCs w:val="false"/>
          <w:i w:val="false"/>
          <w:iCs w:val="false"/>
          <w:color w:val="333333"/>
          <w:sz w:val="20"/>
          <w:szCs w:val="20"/>
          <w:rtl w:val="true"/>
        </w:rPr>
        <w:t>.</w:t>
      </w:r>
    </w:p>
  </w:footnote>
  <w:footnote w:id="1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أحكام القرآن للجصّاص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2:382</w:t>
      </w:r>
      <w:r>
        <w:rPr>
          <w:rFonts w:eastAsia="IRNazanin" w:cs="IRNazanin"/>
          <w:b w:val="false"/>
          <w:bCs w:val="false"/>
          <w:i w:val="false"/>
          <w:iCs w:val="false"/>
          <w:color w:val="333333"/>
          <w:sz w:val="20"/>
          <w:szCs w:val="20"/>
          <w:rtl w:val="true"/>
        </w:rPr>
        <w:t>.</w:t>
      </w:r>
    </w:p>
  </w:footnote>
  <w:footnote w:id="1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1:357</w:t>
      </w:r>
      <w:r>
        <w:rPr>
          <w:rFonts w:ascii="IRNazanin" w:hAnsi="IRNazanin" w:eastAsia="IRNazanin"/>
          <w:b w:val="false"/>
          <w:b w:val="false"/>
          <w:bCs w:val="false"/>
          <w:i w:val="false"/>
          <w:i w:val="false"/>
          <w:iCs w:val="false"/>
          <w:color w:val="333333"/>
          <w:sz w:val="20"/>
          <w:sz w:val="20"/>
          <w:szCs w:val="20"/>
          <w:rtl w:val="true"/>
        </w:rPr>
        <w:t>،و بتفاوت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،سنن الدّارمي </w:t>
      </w:r>
      <w:r>
        <w:rPr>
          <w:rFonts w:eastAsia="IRNazanin" w:cs="IRNazanin"/>
          <w:b w:val="false"/>
          <w:bCs w:val="false"/>
          <w:i w:val="false"/>
          <w:iCs w:val="false"/>
          <w:color w:val="333333"/>
          <w:sz w:val="20"/>
          <w:szCs w:val="20"/>
        </w:rPr>
        <w:t>1:212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1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2613</w:t>
      </w:r>
      <w:r>
        <w:rPr>
          <w:rFonts w:ascii="IRNazanin" w:hAnsi="IRNazanin" w:eastAsia="IRNazanin"/>
          <w:b w:val="false"/>
          <w:b w:val="false"/>
          <w:bCs w:val="false"/>
          <w:i w:val="false"/>
          <w:i w:val="false"/>
          <w:iCs w:val="false"/>
          <w:color w:val="333333"/>
          <w:sz w:val="20"/>
          <w:sz w:val="20"/>
          <w:szCs w:val="20"/>
          <w:rtl w:val="true"/>
        </w:rPr>
        <w:t xml:space="preserve">، سنن ابن ماجه </w:t>
      </w:r>
      <w:r>
        <w:rPr>
          <w:rFonts w:eastAsia="IRNazanin" w:cs="IRNazanin"/>
          <w:b w:val="false"/>
          <w:bCs w:val="false"/>
          <w:i w:val="false"/>
          <w:iCs w:val="false"/>
          <w:color w:val="333333"/>
          <w:sz w:val="20"/>
          <w:szCs w:val="20"/>
        </w:rPr>
        <w:t>2:1326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4003</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2:374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 يسير في الجميع</w:t>
      </w:r>
      <w:r>
        <w:rPr>
          <w:rFonts w:eastAsia="IRNazanin" w:cs="IRNazanin"/>
          <w:b w:val="false"/>
          <w:bCs w:val="false"/>
          <w:i w:val="false"/>
          <w:iCs w:val="false"/>
          <w:color w:val="333333"/>
          <w:sz w:val="20"/>
          <w:szCs w:val="20"/>
          <w:rtl w:val="true"/>
        </w:rPr>
        <w:t>.</w:t>
      </w:r>
    </w:p>
  </w:footnote>
  <w:footnote w:id="1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576</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1277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2:596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للمرغيناني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،شرح فتح القدير </w:t>
      </w:r>
      <w:r>
        <w:rPr>
          <w:rFonts w:eastAsia="IRNazanin" w:cs="IRNazanin"/>
          <w:b w:val="false"/>
          <w:bCs w:val="false"/>
          <w:i w:val="false"/>
          <w:iCs w:val="false"/>
          <w:color w:val="333333"/>
          <w:sz w:val="20"/>
          <w:szCs w:val="20"/>
        </w:rPr>
        <w:t>1:155</w:t>
      </w:r>
      <w:r>
        <w:rPr>
          <w:rFonts w:ascii="IRNazanin" w:hAnsi="IRNazanin" w:eastAsia="IRNazanin"/>
          <w:b w:val="false"/>
          <w:b w:val="false"/>
          <w:bCs w:val="false"/>
          <w:i w:val="false"/>
          <w:i w:val="false"/>
          <w:iCs w:val="false"/>
          <w:color w:val="333333"/>
          <w:sz w:val="20"/>
          <w:sz w:val="20"/>
          <w:szCs w:val="20"/>
          <w:rtl w:val="true"/>
        </w:rPr>
        <w:t xml:space="preserve">،أحكام القرآن للجصّاص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فلزم</w:t>
      </w:r>
      <w:r>
        <w:rPr>
          <w:rFonts w:eastAsia="IRNazanin" w:cs="IRNazanin"/>
          <w:b w:val="false"/>
          <w:bCs w:val="false"/>
          <w:i w:val="false"/>
          <w:iCs w:val="false"/>
          <w:color w:val="333333"/>
          <w:sz w:val="20"/>
          <w:szCs w:val="20"/>
          <w:rtl w:val="true"/>
        </w:rPr>
        <w:t>.</w:t>
      </w:r>
    </w:p>
  </w:footnote>
  <w:footnote w:id="1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للمرغيناني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3:150</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،شرح فتح القدير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،عمدة القارئ </w:t>
      </w:r>
      <w:r>
        <w:rPr>
          <w:rFonts w:eastAsia="IRNazanin" w:cs="IRNazanin"/>
          <w:b w:val="false"/>
          <w:bCs w:val="false"/>
          <w:i w:val="false"/>
          <w:iCs w:val="false"/>
          <w:color w:val="333333"/>
          <w:sz w:val="20"/>
          <w:szCs w:val="20"/>
        </w:rPr>
        <w:t>3:309</w:t>
      </w:r>
      <w:r>
        <w:rPr>
          <w:rFonts w:eastAsia="IRNazanin" w:cs="IRNazanin"/>
          <w:b w:val="false"/>
          <w:bCs w:val="false"/>
          <w:i w:val="false"/>
          <w:iCs w:val="false"/>
          <w:color w:val="333333"/>
          <w:sz w:val="20"/>
          <w:szCs w:val="20"/>
          <w:rtl w:val="true"/>
        </w:rPr>
        <w:t>.</w:t>
      </w:r>
    </w:p>
  </w:footnote>
  <w:footnote w:id="1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للمرغيناني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3:150</w:t>
      </w:r>
      <w:r>
        <w:rPr>
          <w:rFonts w:ascii="IRNazanin" w:hAnsi="IRNazanin" w:eastAsia="IRNazanin"/>
          <w:b w:val="false"/>
          <w:b w:val="false"/>
          <w:bCs w:val="false"/>
          <w:i w:val="false"/>
          <w:i w:val="false"/>
          <w:iCs w:val="false"/>
          <w:color w:val="333333"/>
          <w:sz w:val="20"/>
          <w:sz w:val="20"/>
          <w:szCs w:val="20"/>
          <w:rtl w:val="true"/>
        </w:rPr>
        <w:t xml:space="preserve">،شرح فتح القدير </w:t>
      </w:r>
      <w:r>
        <w:rPr>
          <w:rFonts w:eastAsia="IRNazanin" w:cs="IRNazanin"/>
          <w:b w:val="false"/>
          <w:bCs w:val="false"/>
          <w:i w:val="false"/>
          <w:iCs w:val="false"/>
          <w:color w:val="333333"/>
          <w:sz w:val="20"/>
          <w:szCs w:val="20"/>
        </w:rPr>
        <w:t>1:144</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،عمدة القارئ </w:t>
      </w:r>
      <w:r>
        <w:rPr>
          <w:rFonts w:eastAsia="IRNazanin" w:cs="IRNazanin"/>
          <w:b w:val="false"/>
          <w:bCs w:val="false"/>
          <w:i w:val="false"/>
          <w:iCs w:val="false"/>
          <w:color w:val="333333"/>
          <w:sz w:val="20"/>
          <w:szCs w:val="20"/>
        </w:rPr>
        <w:t>3:309</w:t>
      </w:r>
      <w:r>
        <w:rPr>
          <w:rFonts w:ascii="IRNazanin" w:hAnsi="IRNazanin" w:eastAsia="IRNazanin"/>
          <w:b w:val="false"/>
          <w:b w:val="false"/>
          <w:bCs w:val="false"/>
          <w:i w:val="false"/>
          <w:i w:val="false"/>
          <w:iCs w:val="false"/>
          <w:color w:val="333333"/>
          <w:sz w:val="20"/>
          <w:sz w:val="20"/>
          <w:szCs w:val="20"/>
          <w:rtl w:val="true"/>
        </w:rPr>
        <w:t xml:space="preserve">،أحكام القرآن للجصّاص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2:395</w:t>
      </w:r>
      <w:r>
        <w:rPr>
          <w:rFonts w:ascii="IRNazanin" w:hAnsi="IRNazanin" w:eastAsia="IRNazanin"/>
          <w:b w:val="false"/>
          <w:b w:val="false"/>
          <w:bCs w:val="false"/>
          <w:i w:val="false"/>
          <w:i w:val="false"/>
          <w:iCs w:val="false"/>
          <w:color w:val="333333"/>
          <w:sz w:val="20"/>
          <w:sz w:val="20"/>
          <w:szCs w:val="20"/>
          <w:rtl w:val="true"/>
        </w:rPr>
        <w:t xml:space="preserve">،المحلّى </w:t>
      </w:r>
      <w:r>
        <w:rPr>
          <w:rFonts w:eastAsia="IRNazanin" w:cs="IRNazanin"/>
          <w:b w:val="false"/>
          <w:bCs w:val="false"/>
          <w:i w:val="false"/>
          <w:iCs w:val="false"/>
          <w:color w:val="333333"/>
          <w:sz w:val="20"/>
          <w:szCs w:val="20"/>
        </w:rPr>
        <w:t>2:168</w:t>
      </w:r>
      <w:r>
        <w:rPr>
          <w:rFonts w:ascii="IRNazanin" w:hAnsi="IRNazanin" w:eastAsia="IRNazanin"/>
          <w:b w:val="false"/>
          <w:b w:val="false"/>
          <w:bCs w:val="false"/>
          <w:i w:val="false"/>
          <w:i w:val="false"/>
          <w:iCs w:val="false"/>
          <w:color w:val="333333"/>
          <w:sz w:val="20"/>
          <w:sz w:val="20"/>
          <w:szCs w:val="20"/>
          <w:rtl w:val="true"/>
        </w:rPr>
        <w:t xml:space="preserve">،إرشاد السّاري </w:t>
      </w:r>
      <w:r>
        <w:rPr>
          <w:rFonts w:eastAsia="IRNazanin" w:cs="IRNazanin"/>
          <w:b w:val="false"/>
          <w:bCs w:val="false"/>
          <w:i w:val="false"/>
          <w:iCs w:val="false"/>
          <w:color w:val="333333"/>
          <w:sz w:val="20"/>
          <w:szCs w:val="20"/>
        </w:rPr>
        <w:t>1:362</w:t>
      </w:r>
      <w:r>
        <w:rPr>
          <w:rFonts w:ascii="IRNazanin" w:hAnsi="IRNazanin" w:eastAsia="IRNazanin"/>
          <w:b w:val="false"/>
          <w:b w:val="false"/>
          <w:bCs w:val="false"/>
          <w:i w:val="false"/>
          <w:i w:val="false"/>
          <w:iCs w:val="false"/>
          <w:color w:val="333333"/>
          <w:sz w:val="20"/>
          <w:sz w:val="20"/>
          <w:szCs w:val="20"/>
          <w:rtl w:val="true"/>
        </w:rPr>
        <w:t xml:space="preserve">،مقدّمات ابن رشد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للمرغيناني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3:150</w:t>
      </w:r>
      <w:r>
        <w:rPr>
          <w:rFonts w:ascii="IRNazanin" w:hAnsi="IRNazanin" w:eastAsia="IRNazanin"/>
          <w:b w:val="false"/>
          <w:b w:val="false"/>
          <w:bCs w:val="false"/>
          <w:i w:val="false"/>
          <w:i w:val="false"/>
          <w:iCs w:val="false"/>
          <w:color w:val="333333"/>
          <w:sz w:val="20"/>
          <w:sz w:val="20"/>
          <w:szCs w:val="20"/>
          <w:rtl w:val="true"/>
        </w:rPr>
        <w:t xml:space="preserve">،شرح فتح القدير </w:t>
      </w:r>
      <w:r>
        <w:rPr>
          <w:rFonts w:eastAsia="IRNazanin" w:cs="IRNazanin"/>
          <w:b w:val="false"/>
          <w:bCs w:val="false"/>
          <w:i w:val="false"/>
          <w:iCs w:val="false"/>
          <w:color w:val="333333"/>
          <w:sz w:val="20"/>
          <w:szCs w:val="20"/>
        </w:rPr>
        <w:t>1:144</w:t>
      </w:r>
      <w:r>
        <w:rPr>
          <w:rFonts w:ascii="IRNazanin" w:hAnsi="IRNazanin" w:eastAsia="IRNazanin"/>
          <w:b w:val="false"/>
          <w:b w:val="false"/>
          <w:bCs w:val="false"/>
          <w:i w:val="false"/>
          <w:i w:val="false"/>
          <w:iCs w:val="false"/>
          <w:color w:val="333333"/>
          <w:sz w:val="20"/>
          <w:sz w:val="20"/>
          <w:szCs w:val="20"/>
          <w:rtl w:val="true"/>
        </w:rPr>
        <w:t xml:space="preserve">،أحكام القرآن للجصّاص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،عمدة القارئ </w:t>
      </w:r>
      <w:r>
        <w:rPr>
          <w:rFonts w:eastAsia="IRNazanin" w:cs="IRNazanin"/>
          <w:b w:val="false"/>
          <w:bCs w:val="false"/>
          <w:i w:val="false"/>
          <w:iCs w:val="false"/>
          <w:color w:val="333333"/>
          <w:sz w:val="20"/>
          <w:szCs w:val="20"/>
        </w:rPr>
        <w:t>3:310</w:t>
      </w:r>
      <w:r>
        <w:rPr>
          <w:rFonts w:ascii="IRNazanin" w:hAnsi="IRNazanin" w:eastAsia="IRNazanin"/>
          <w:b w:val="false"/>
          <w:b w:val="false"/>
          <w:bCs w:val="false"/>
          <w:i w:val="false"/>
          <w:i w:val="false"/>
          <w:iCs w:val="false"/>
          <w:color w:val="333333"/>
          <w:sz w:val="20"/>
          <w:sz w:val="20"/>
          <w:szCs w:val="20"/>
          <w:rtl w:val="true"/>
        </w:rPr>
        <w:t xml:space="preserve">،المحلّى </w:t>
      </w:r>
      <w:r>
        <w:rPr>
          <w:rFonts w:eastAsia="IRNazanin" w:cs="IRNazanin"/>
          <w:b w:val="false"/>
          <w:bCs w:val="false"/>
          <w:i w:val="false"/>
          <w:iCs w:val="false"/>
          <w:color w:val="333333"/>
          <w:sz w:val="20"/>
          <w:szCs w:val="20"/>
        </w:rPr>
        <w:t>2:169</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مقدّمات ابن رشد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3:150</w:t>
      </w:r>
      <w:r>
        <w:rPr>
          <w:rFonts w:ascii="IRNazanin" w:hAnsi="IRNazanin" w:eastAsia="IRNazanin"/>
          <w:b w:val="false"/>
          <w:b w:val="false"/>
          <w:bCs w:val="false"/>
          <w:i w:val="false"/>
          <w:i w:val="false"/>
          <w:iCs w:val="false"/>
          <w:color w:val="333333"/>
          <w:sz w:val="20"/>
          <w:sz w:val="20"/>
          <w:szCs w:val="20"/>
          <w:rtl w:val="true"/>
        </w:rPr>
        <w:t xml:space="preserve">،شرح فتح القدير </w:t>
      </w:r>
      <w:r>
        <w:rPr>
          <w:rFonts w:eastAsia="IRNazanin" w:cs="IRNazanin"/>
          <w:b w:val="false"/>
          <w:bCs w:val="false"/>
          <w:i w:val="false"/>
          <w:iCs w:val="false"/>
          <w:color w:val="333333"/>
          <w:sz w:val="20"/>
          <w:szCs w:val="20"/>
        </w:rPr>
        <w:t>1:144</w:t>
      </w:r>
      <w:r>
        <w:rPr>
          <w:rFonts w:ascii="IRNazanin" w:hAnsi="IRNazanin" w:eastAsia="IRNazanin"/>
          <w:b w:val="false"/>
          <w:b w:val="false"/>
          <w:bCs w:val="false"/>
          <w:i w:val="false"/>
          <w:i w:val="false"/>
          <w:iCs w:val="false"/>
          <w:color w:val="333333"/>
          <w:sz w:val="20"/>
          <w:sz w:val="20"/>
          <w:szCs w:val="20"/>
          <w:rtl w:val="true"/>
        </w:rPr>
        <w:t xml:space="preserve">،أحكام القرآن للجصّاص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2:395</w:t>
      </w:r>
      <w:r>
        <w:rPr>
          <w:rFonts w:ascii="IRNazanin" w:hAnsi="IRNazanin" w:eastAsia="IRNazanin"/>
          <w:b w:val="false"/>
          <w:b w:val="false"/>
          <w:bCs w:val="false"/>
          <w:i w:val="false"/>
          <w:i w:val="false"/>
          <w:iCs w:val="false"/>
          <w:color w:val="333333"/>
          <w:sz w:val="20"/>
          <w:sz w:val="20"/>
          <w:szCs w:val="20"/>
          <w:rtl w:val="true"/>
        </w:rPr>
        <w:t xml:space="preserve">،عمدة القارئ </w:t>
      </w:r>
      <w:r>
        <w:rPr>
          <w:rFonts w:eastAsia="IRNazanin" w:cs="IRNazanin"/>
          <w:b w:val="false"/>
          <w:bCs w:val="false"/>
          <w:i w:val="false"/>
          <w:iCs w:val="false"/>
          <w:color w:val="333333"/>
          <w:sz w:val="20"/>
          <w:szCs w:val="20"/>
        </w:rPr>
        <w:t>3:309</w:t>
      </w:r>
      <w:r>
        <w:rPr>
          <w:rFonts w:eastAsia="IRNazanin" w:cs="IRNazanin"/>
          <w:b w:val="false"/>
          <w:bCs w:val="false"/>
          <w:i w:val="false"/>
          <w:iCs w:val="false"/>
          <w:color w:val="333333"/>
          <w:sz w:val="20"/>
          <w:szCs w:val="20"/>
          <w:rtl w:val="true"/>
        </w:rPr>
        <w:t>.</w:t>
      </w:r>
    </w:p>
  </w:footnote>
  <w:footnote w:id="1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w:t>
      </w:r>
    </w:p>
  </w:footnote>
  <w:footnote w:id="1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2:395</w:t>
      </w:r>
      <w:r>
        <w:rPr>
          <w:rFonts w:ascii="IRNazanin" w:hAnsi="IRNazanin" w:eastAsia="IRNazanin"/>
          <w:b w:val="false"/>
          <w:b w:val="false"/>
          <w:bCs w:val="false"/>
          <w:i w:val="false"/>
          <w:i w:val="false"/>
          <w:iCs w:val="false"/>
          <w:color w:val="333333"/>
          <w:sz w:val="20"/>
          <w:sz w:val="20"/>
          <w:szCs w:val="20"/>
          <w:rtl w:val="true"/>
        </w:rPr>
        <w:t xml:space="preserve">،عمدة القارئ </w:t>
      </w:r>
      <w:r>
        <w:rPr>
          <w:rFonts w:eastAsia="IRNazanin" w:cs="IRNazanin"/>
          <w:b w:val="false"/>
          <w:bCs w:val="false"/>
          <w:i w:val="false"/>
          <w:iCs w:val="false"/>
          <w:color w:val="333333"/>
          <w:sz w:val="20"/>
          <w:szCs w:val="20"/>
        </w:rPr>
        <w:t>3:310</w:t>
      </w:r>
      <w:r>
        <w:rPr>
          <w:rFonts w:eastAsia="IRNazanin" w:cs="IRNazanin"/>
          <w:b w:val="false"/>
          <w:bCs w:val="false"/>
          <w:i w:val="false"/>
          <w:iCs w:val="false"/>
          <w:color w:val="333333"/>
          <w:sz w:val="20"/>
          <w:szCs w:val="20"/>
          <w:rtl w:val="true"/>
        </w:rPr>
        <w:t>.</w:t>
      </w:r>
    </w:p>
  </w:footnote>
  <w:footnote w:id="1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المدوّنة الكبرى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،مقدّمات ابن رشد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،بلغة السّالك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أحكام القرآن للجصّاص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2:395</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 xml:space="preserve">،عمدة القارئ </w:t>
      </w:r>
      <w:r>
        <w:rPr>
          <w:rFonts w:eastAsia="IRNazanin" w:cs="IRNazanin"/>
          <w:b w:val="false"/>
          <w:bCs w:val="false"/>
          <w:i w:val="false"/>
          <w:iCs w:val="false"/>
          <w:color w:val="333333"/>
          <w:sz w:val="20"/>
          <w:szCs w:val="20"/>
        </w:rPr>
        <w:t>3:310</w:t>
      </w:r>
      <w:r>
        <w:rPr>
          <w:rFonts w:ascii="IRNazanin" w:hAnsi="IRNazanin" w:eastAsia="IRNazanin"/>
          <w:b w:val="false"/>
          <w:b w:val="false"/>
          <w:bCs w:val="false"/>
          <w:i w:val="false"/>
          <w:i w:val="false"/>
          <w:iCs w:val="false"/>
          <w:color w:val="333333"/>
          <w:sz w:val="20"/>
          <w:sz w:val="20"/>
          <w:szCs w:val="20"/>
          <w:rtl w:val="true"/>
        </w:rPr>
        <w:t xml:space="preserve">، إرشاد السّاري </w:t>
      </w:r>
      <w:r>
        <w:rPr>
          <w:rFonts w:eastAsia="IRNazanin" w:cs="IRNazanin"/>
          <w:b w:val="false"/>
          <w:bCs w:val="false"/>
          <w:i w:val="false"/>
          <w:iCs w:val="false"/>
          <w:color w:val="333333"/>
          <w:sz w:val="20"/>
          <w:szCs w:val="20"/>
        </w:rPr>
        <w:t>1:362</w:t>
      </w:r>
      <w:r>
        <w:rPr>
          <w:rFonts w:ascii="IRNazanin" w:hAnsi="IRNazanin" w:eastAsia="IRNazanin"/>
          <w:b w:val="false"/>
          <w:b w:val="false"/>
          <w:bCs w:val="false"/>
          <w:i w:val="false"/>
          <w:i w:val="false"/>
          <w:iCs w:val="false"/>
          <w:color w:val="333333"/>
          <w:sz w:val="20"/>
          <w:sz w:val="20"/>
          <w:szCs w:val="20"/>
          <w:rtl w:val="true"/>
        </w:rPr>
        <w:t xml:space="preserve">،المحلّى </w:t>
      </w:r>
      <w:r>
        <w:rPr>
          <w:rFonts w:eastAsia="IRNazanin" w:cs="IRNazanin"/>
          <w:b w:val="false"/>
          <w:bCs w:val="false"/>
          <w:i w:val="false"/>
          <w:iCs w:val="false"/>
          <w:color w:val="333333"/>
          <w:sz w:val="20"/>
          <w:szCs w:val="20"/>
        </w:rPr>
        <w:t>2:169</w:t>
      </w:r>
      <w:r>
        <w:rPr>
          <w:rFonts w:eastAsia="IRNazanin" w:cs="IRNazanin"/>
          <w:b w:val="false"/>
          <w:bCs w:val="false"/>
          <w:i w:val="false"/>
          <w:iCs w:val="false"/>
          <w:color w:val="333333"/>
          <w:sz w:val="20"/>
          <w:szCs w:val="20"/>
          <w:rtl w:val="true"/>
        </w:rPr>
        <w:t>.</w:t>
      </w:r>
    </w:p>
  </w:footnote>
  <w:footnote w:id="1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2:395</w:t>
      </w:r>
      <w:r>
        <w:rPr>
          <w:rFonts w:ascii="IRNazanin" w:hAnsi="IRNazanin" w:eastAsia="IRNazanin"/>
          <w:b w:val="false"/>
          <w:b w:val="false"/>
          <w:bCs w:val="false"/>
          <w:i w:val="false"/>
          <w:i w:val="false"/>
          <w:iCs w:val="false"/>
          <w:color w:val="333333"/>
          <w:sz w:val="20"/>
          <w:sz w:val="20"/>
          <w:szCs w:val="20"/>
          <w:rtl w:val="true"/>
        </w:rPr>
        <w:t xml:space="preserve">،المحلّى </w:t>
      </w:r>
      <w:r>
        <w:rPr>
          <w:rFonts w:eastAsia="IRNazanin" w:cs="IRNazanin"/>
          <w:b w:val="false"/>
          <w:bCs w:val="false"/>
          <w:i w:val="false"/>
          <w:iCs w:val="false"/>
          <w:color w:val="333333"/>
          <w:sz w:val="20"/>
          <w:szCs w:val="20"/>
        </w:rPr>
        <w:t>2:168</w:t>
      </w:r>
      <w:r>
        <w:rPr>
          <w:rFonts w:ascii="IRNazanin" w:hAnsi="IRNazanin" w:eastAsia="IRNazanin"/>
          <w:b w:val="false"/>
          <w:b w:val="false"/>
          <w:bCs w:val="false"/>
          <w:i w:val="false"/>
          <w:i w:val="false"/>
          <w:iCs w:val="false"/>
          <w:color w:val="333333"/>
          <w:sz w:val="20"/>
          <w:sz w:val="20"/>
          <w:szCs w:val="20"/>
          <w:rtl w:val="true"/>
        </w:rPr>
        <w:t xml:space="preserve">،عمدة القارئ </w:t>
      </w:r>
      <w:r>
        <w:rPr>
          <w:rFonts w:eastAsia="IRNazanin" w:cs="IRNazanin"/>
          <w:b w:val="false"/>
          <w:bCs w:val="false"/>
          <w:i w:val="false"/>
          <w:iCs w:val="false"/>
          <w:color w:val="333333"/>
          <w:sz w:val="20"/>
          <w:szCs w:val="20"/>
        </w:rPr>
        <w:t>3:310</w:t>
      </w:r>
      <w:r>
        <w:rPr>
          <w:rFonts w:eastAsia="IRNazanin" w:cs="IRNazanin"/>
          <w:b w:val="false"/>
          <w:bCs w:val="false"/>
          <w:i w:val="false"/>
          <w:iCs w:val="false"/>
          <w:color w:val="333333"/>
          <w:sz w:val="20"/>
          <w:szCs w:val="20"/>
          <w:rtl w:val="true"/>
        </w:rPr>
        <w:t>.</w:t>
      </w:r>
    </w:p>
  </w:footnote>
  <w:footnote w:id="1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 xml:space="preserve">،المحلّى </w:t>
      </w:r>
      <w:r>
        <w:rPr>
          <w:rFonts w:eastAsia="IRNazanin" w:cs="IRNazanin"/>
          <w:b w:val="false"/>
          <w:bCs w:val="false"/>
          <w:i w:val="false"/>
          <w:iCs w:val="false"/>
          <w:color w:val="333333"/>
          <w:sz w:val="20"/>
          <w:szCs w:val="20"/>
        </w:rPr>
        <w:t>2:168</w:t>
      </w:r>
      <w:r>
        <w:rPr>
          <w:rFonts w:eastAsia="IRNazanin" w:cs="IRNazanin"/>
          <w:b w:val="false"/>
          <w:bCs w:val="false"/>
          <w:i w:val="false"/>
          <w:iCs w:val="false"/>
          <w:color w:val="333333"/>
          <w:sz w:val="20"/>
          <w:szCs w:val="20"/>
          <w:rtl w:val="true"/>
        </w:rPr>
        <w:t>.</w:t>
      </w:r>
    </w:p>
  </w:footnote>
  <w:footnote w:id="1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2:393</w:t>
      </w:r>
      <w:r>
        <w:rPr>
          <w:rFonts w:ascii="IRNazanin" w:hAnsi="IRNazanin" w:eastAsia="IRNazanin"/>
          <w:b w:val="false"/>
          <w:b w:val="false"/>
          <w:bCs w:val="false"/>
          <w:i w:val="false"/>
          <w:i w:val="false"/>
          <w:iCs w:val="false"/>
          <w:color w:val="333333"/>
          <w:sz w:val="20"/>
          <w:sz w:val="20"/>
          <w:szCs w:val="20"/>
          <w:rtl w:val="true"/>
        </w:rPr>
        <w:t>،الام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مختصر المزني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8:11</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2:485</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1:113</w:t>
      </w:r>
      <w:r>
        <w:rPr>
          <w:rFonts w:ascii="IRNazanin" w:hAnsi="IRNazanin" w:eastAsia="IRNazanin"/>
          <w:b w:val="false"/>
          <w:b w:val="false"/>
          <w:bCs w:val="false"/>
          <w:i w:val="false"/>
          <w:i w:val="false"/>
          <w:iCs w:val="false"/>
          <w:color w:val="333333"/>
          <w:sz w:val="20"/>
          <w:sz w:val="20"/>
          <w:szCs w:val="20"/>
          <w:rtl w:val="true"/>
        </w:rPr>
        <w:t xml:space="preserve">،مقدّمات ابن رشد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،عمدة القارئ </w:t>
      </w:r>
      <w:r>
        <w:rPr>
          <w:rFonts w:eastAsia="IRNazanin" w:cs="IRNazanin"/>
          <w:b w:val="false"/>
          <w:bCs w:val="false"/>
          <w:i w:val="false"/>
          <w:iCs w:val="false"/>
          <w:color w:val="333333"/>
          <w:sz w:val="20"/>
          <w:szCs w:val="20"/>
        </w:rPr>
        <w:t>3:310</w:t>
      </w:r>
      <w:r>
        <w:rPr>
          <w:rFonts w:ascii="IRNazanin" w:hAnsi="IRNazanin" w:eastAsia="IRNazanin"/>
          <w:b w:val="false"/>
          <w:b w:val="false"/>
          <w:bCs w:val="false"/>
          <w:i w:val="false"/>
          <w:i w:val="false"/>
          <w:iCs w:val="false"/>
          <w:color w:val="333333"/>
          <w:sz w:val="20"/>
          <w:sz w:val="20"/>
          <w:szCs w:val="20"/>
          <w:rtl w:val="true"/>
        </w:rPr>
        <w:t xml:space="preserve">،إرشاد السّاري </w:t>
      </w:r>
      <w:r>
        <w:rPr>
          <w:rFonts w:eastAsia="IRNazanin" w:cs="IRNazanin"/>
          <w:b w:val="false"/>
          <w:bCs w:val="false"/>
          <w:i w:val="false"/>
          <w:iCs w:val="false"/>
          <w:color w:val="333333"/>
          <w:sz w:val="20"/>
          <w:szCs w:val="20"/>
        </w:rPr>
        <w:t>1:362</w:t>
      </w:r>
      <w:r>
        <w:rPr>
          <w:rFonts w:ascii="IRNazanin" w:hAnsi="IRNazanin" w:eastAsia="IRNazanin"/>
          <w:b w:val="false"/>
          <w:b w:val="false"/>
          <w:bCs w:val="false"/>
          <w:i w:val="false"/>
          <w:i w:val="false"/>
          <w:iCs w:val="false"/>
          <w:color w:val="333333"/>
          <w:sz w:val="20"/>
          <w:sz w:val="20"/>
          <w:szCs w:val="20"/>
          <w:rtl w:val="true"/>
        </w:rPr>
        <w:t xml:space="preserve">،أحكام القرآن للجصّاص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المحلّى </w:t>
      </w:r>
      <w:r>
        <w:rPr>
          <w:rFonts w:eastAsia="IRNazanin" w:cs="IRNazanin"/>
          <w:b w:val="false"/>
          <w:bCs w:val="false"/>
          <w:i w:val="false"/>
          <w:iCs w:val="false"/>
          <w:color w:val="333333"/>
          <w:sz w:val="20"/>
          <w:szCs w:val="20"/>
        </w:rPr>
        <w:t>2:168</w:t>
      </w:r>
      <w:r>
        <w:rPr>
          <w:rFonts w:eastAsia="IRNazanin" w:cs="IRNazanin"/>
          <w:b w:val="false"/>
          <w:bCs w:val="false"/>
          <w:i w:val="false"/>
          <w:iCs w:val="false"/>
          <w:color w:val="333333"/>
          <w:sz w:val="20"/>
          <w:szCs w:val="20"/>
          <w:rtl w:val="true"/>
        </w:rPr>
        <w:t>.</w:t>
      </w:r>
    </w:p>
  </w:footnote>
  <w:footnote w:id="1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2:395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المحلّى </w:t>
      </w:r>
      <w:r>
        <w:rPr>
          <w:rFonts w:eastAsia="IRNazanin" w:cs="IRNazanin"/>
          <w:b w:val="false"/>
          <w:bCs w:val="false"/>
          <w:i w:val="false"/>
          <w:iCs w:val="false"/>
          <w:color w:val="333333"/>
          <w:sz w:val="20"/>
          <w:szCs w:val="20"/>
        </w:rPr>
        <w:t>2:168</w:t>
      </w:r>
      <w:r>
        <w:rPr>
          <w:rFonts w:ascii="IRNazanin" w:hAnsi="IRNazanin" w:eastAsia="IRNazanin"/>
          <w:b w:val="false"/>
          <w:b w:val="false"/>
          <w:bCs w:val="false"/>
          <w:i w:val="false"/>
          <w:i w:val="false"/>
          <w:iCs w:val="false"/>
          <w:color w:val="333333"/>
          <w:sz w:val="20"/>
          <w:sz w:val="20"/>
          <w:szCs w:val="20"/>
          <w:rtl w:val="true"/>
        </w:rPr>
        <w:t xml:space="preserve">،عمدة القارئ </w:t>
      </w:r>
      <w:r>
        <w:rPr>
          <w:rFonts w:eastAsia="IRNazanin" w:cs="IRNazanin"/>
          <w:b w:val="false"/>
          <w:bCs w:val="false"/>
          <w:i w:val="false"/>
          <w:iCs w:val="false"/>
          <w:color w:val="333333"/>
          <w:sz w:val="20"/>
          <w:szCs w:val="20"/>
        </w:rPr>
        <w:t>3:310</w:t>
      </w:r>
      <w:r>
        <w:rPr>
          <w:rFonts w:eastAsia="IRNazanin" w:cs="IRNazanin"/>
          <w:b w:val="false"/>
          <w:bCs w:val="false"/>
          <w:i w:val="false"/>
          <w:iCs w:val="false"/>
          <w:color w:val="333333"/>
          <w:sz w:val="20"/>
          <w:szCs w:val="20"/>
          <w:rtl w:val="true"/>
        </w:rPr>
        <w:t>.</w:t>
      </w:r>
    </w:p>
  </w:footnote>
  <w:footnote w:id="1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2:396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عمدة القارئ </w:t>
      </w:r>
      <w:r>
        <w:rPr>
          <w:rFonts w:eastAsia="IRNazanin" w:cs="IRNazanin"/>
          <w:b w:val="false"/>
          <w:bCs w:val="false"/>
          <w:i w:val="false"/>
          <w:iCs w:val="false"/>
          <w:color w:val="333333"/>
          <w:sz w:val="20"/>
          <w:szCs w:val="20"/>
        </w:rPr>
        <w:t>3:310</w:t>
      </w:r>
      <w:r>
        <w:rPr>
          <w:rFonts w:eastAsia="IRNazanin" w:cs="IRNazanin"/>
          <w:b w:val="false"/>
          <w:bCs w:val="false"/>
          <w:i w:val="false"/>
          <w:iCs w:val="false"/>
          <w:color w:val="333333"/>
          <w:sz w:val="20"/>
          <w:szCs w:val="20"/>
          <w:rtl w:val="true"/>
        </w:rPr>
        <w:t>.</w:t>
      </w:r>
    </w:p>
  </w:footnote>
  <w:footnote w:id="1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،الموطّأ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الأصول </w:t>
      </w:r>
      <w:r>
        <w:rPr>
          <w:rFonts w:eastAsia="IRNazanin" w:cs="IRNazanin"/>
          <w:b w:val="false"/>
          <w:bCs w:val="false"/>
          <w:i w:val="false"/>
          <w:iCs w:val="false"/>
          <w:color w:val="333333"/>
          <w:sz w:val="20"/>
          <w:szCs w:val="20"/>
        </w:rPr>
        <w:t>8:239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4223</w:t>
      </w:r>
      <w:r>
        <w:rPr>
          <w:rFonts w:eastAsia="IRNazanin" w:cs="IRNazanin"/>
          <w:b w:val="false"/>
          <w:bCs w:val="false"/>
          <w:i w:val="false"/>
          <w:iCs w:val="false"/>
          <w:color w:val="333333"/>
          <w:sz w:val="20"/>
          <w:szCs w:val="20"/>
          <w:rtl w:val="true"/>
        </w:rPr>
        <w:t>.</w:t>
      </w:r>
    </w:p>
  </w:footnote>
  <w:footnote w:id="1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1230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1231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1232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ترجمته و القول فيه في الجزء الأوّل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2:388</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1:113</w:t>
      </w:r>
      <w:r>
        <w:rPr>
          <w:rFonts w:eastAsia="IRNazanin" w:cs="IRNazanin"/>
          <w:b w:val="false"/>
          <w:bCs w:val="false"/>
          <w:i w:val="false"/>
          <w:iCs w:val="false"/>
          <w:color w:val="333333"/>
          <w:sz w:val="20"/>
          <w:szCs w:val="20"/>
          <w:rtl w:val="true"/>
        </w:rPr>
        <w:t>.</w:t>
      </w:r>
    </w:p>
  </w:footnote>
  <w:footnote w:id="1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1:212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647</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1:186</w:t>
      </w:r>
      <w:r>
        <w:rPr>
          <w:rFonts w:ascii="IRNazanin" w:hAnsi="IRNazanin" w:eastAsia="IRNazanin"/>
          <w:b w:val="false"/>
          <w:b w:val="false"/>
          <w:bCs w:val="false"/>
          <w:i w:val="false"/>
          <w:i w:val="false"/>
          <w:iCs w:val="false"/>
          <w:color w:val="333333"/>
          <w:sz w:val="20"/>
          <w:sz w:val="20"/>
          <w:szCs w:val="20"/>
          <w:rtl w:val="true"/>
        </w:rPr>
        <w:t xml:space="preserve">،سنن الدّارمي </w:t>
      </w:r>
      <w:r>
        <w:rPr>
          <w:rFonts w:eastAsia="IRNazanin" w:cs="IRNazanin"/>
          <w:b w:val="false"/>
          <w:bCs w:val="false"/>
          <w:i w:val="false"/>
          <w:iCs w:val="false"/>
          <w:color w:val="333333"/>
          <w:sz w:val="20"/>
          <w:szCs w:val="20"/>
        </w:rPr>
        <w:t>1:215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الجمل و العقود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عنهما في المعتبر </w:t>
      </w:r>
      <w:r>
        <w:rPr>
          <w:rFonts w:eastAsia="IRNazanin" w:cs="IRNazanin"/>
          <w:b w:val="false"/>
          <w:bCs w:val="false"/>
          <w:i w:val="false"/>
          <w:iCs w:val="false"/>
          <w:color w:val="333333"/>
          <w:sz w:val="20"/>
          <w:szCs w:val="20"/>
        </w:rPr>
        <w:t>1:212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كأبي الصّلاح الحلبيّ في الكافي في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،و ابن إدريس في السّرائر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1:366</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2:431</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2:478</w:t>
      </w:r>
      <w:r>
        <w:rPr>
          <w:rFonts w:eastAsia="IRNazanin" w:cs="IRNazanin"/>
          <w:b w:val="false"/>
          <w:bCs w:val="false"/>
          <w:i w:val="false"/>
          <w:iCs w:val="false"/>
          <w:color w:val="333333"/>
          <w:sz w:val="20"/>
          <w:szCs w:val="20"/>
          <w:rtl w:val="true"/>
        </w:rPr>
        <w:t>.</w:t>
      </w:r>
    </w:p>
  </w:footnote>
  <w:footnote w:id="1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2:431</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2:478</w:t>
      </w:r>
      <w:r>
        <w:rPr>
          <w:rFonts w:eastAsia="IRNazanin" w:cs="IRNazanin"/>
          <w:b w:val="false"/>
          <w:bCs w:val="false"/>
          <w:i w:val="false"/>
          <w:iCs w:val="false"/>
          <w:color w:val="333333"/>
          <w:sz w:val="20"/>
          <w:szCs w:val="20"/>
          <w:rtl w:val="true"/>
        </w:rPr>
        <w:t>.</w:t>
      </w:r>
    </w:p>
  </w:footnote>
  <w:footnote w:id="1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2:433</w:t>
      </w:r>
      <w:r>
        <w:rPr>
          <w:rFonts w:eastAsia="IRNazanin" w:cs="IRNazanin"/>
          <w:b w:val="false"/>
          <w:bCs w:val="false"/>
          <w:i w:val="false"/>
          <w:iCs w:val="false"/>
          <w:color w:val="333333"/>
          <w:sz w:val="20"/>
          <w:szCs w:val="20"/>
          <w:rtl w:val="true"/>
        </w:rPr>
        <w:t>.</w:t>
      </w:r>
    </w:p>
  </w:footnote>
  <w:footnote w:id="1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2:431</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2:476</w:t>
      </w:r>
      <w:r>
        <w:rPr>
          <w:rFonts w:eastAsia="IRNazanin" w:cs="IRNazanin"/>
          <w:b w:val="false"/>
          <w:bCs w:val="false"/>
          <w:i w:val="false"/>
          <w:iCs w:val="false"/>
          <w:color w:val="333333"/>
          <w:sz w:val="20"/>
          <w:szCs w:val="20"/>
          <w:rtl w:val="true"/>
        </w:rPr>
        <w:t>.</w:t>
      </w:r>
    </w:p>
  </w:footnote>
  <w:footnote w:id="1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2:431</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2:476</w:t>
      </w:r>
      <w:r>
        <w:rPr>
          <w:rFonts w:eastAsia="IRNazanin" w:cs="IRNazanin"/>
          <w:b w:val="false"/>
          <w:bCs w:val="false"/>
          <w:i w:val="false"/>
          <w:iCs w:val="false"/>
          <w:color w:val="333333"/>
          <w:sz w:val="20"/>
          <w:szCs w:val="20"/>
          <w:rtl w:val="true"/>
        </w:rPr>
        <w:t>.</w:t>
      </w:r>
    </w:p>
  </w:footnote>
  <w:footnote w:id="1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2:431</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1:366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السّراج الوهّاج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1:115</w:t>
      </w:r>
      <w:r>
        <w:rPr>
          <w:rFonts w:eastAsia="IRNazanin" w:cs="IRNazanin"/>
          <w:b w:val="false"/>
          <w:bCs w:val="false"/>
          <w:i w:val="false"/>
          <w:iCs w:val="false"/>
          <w:color w:val="333333"/>
          <w:sz w:val="20"/>
          <w:szCs w:val="20"/>
          <w:rtl w:val="true"/>
        </w:rPr>
        <w:t>.</w:t>
      </w:r>
    </w:p>
  </w:footnote>
  <w:footnote w:id="1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1:366</w:t>
      </w:r>
      <w:r>
        <w:rPr>
          <w:rFonts w:ascii="IRNazanin" w:hAnsi="IRNazanin" w:eastAsia="IRNazanin"/>
          <w:b w:val="false"/>
          <w:b w:val="false"/>
          <w:bCs w:val="false"/>
          <w:i w:val="false"/>
          <w:i w:val="false"/>
          <w:iCs w:val="false"/>
          <w:color w:val="333333"/>
          <w:sz w:val="20"/>
          <w:sz w:val="20"/>
          <w:szCs w:val="20"/>
          <w:rtl w:val="true"/>
        </w:rPr>
        <w:t xml:space="preserve">،الكافي لابن قدامة </w:t>
      </w:r>
      <w:r>
        <w:rPr>
          <w:rFonts w:eastAsia="IRNazanin" w:cs="IRNazanin"/>
          <w:b w:val="false"/>
          <w:bCs w:val="false"/>
          <w:i w:val="false"/>
          <w:iCs w:val="false"/>
          <w:color w:val="333333"/>
          <w:sz w:val="20"/>
          <w:szCs w:val="20"/>
        </w:rPr>
        <w:t>1:100</w:t>
      </w:r>
      <w:r>
        <w:rPr>
          <w:rFonts w:eastAsia="IRNazanin" w:cs="IRNazanin"/>
          <w:b w:val="false"/>
          <w:bCs w:val="false"/>
          <w:i w:val="false"/>
          <w:iCs w:val="false"/>
          <w:color w:val="333333"/>
          <w:sz w:val="20"/>
          <w:szCs w:val="20"/>
          <w:rtl w:val="true"/>
        </w:rPr>
        <w:t>.</w:t>
      </w:r>
    </w:p>
  </w:footnote>
  <w:footnote w:id="1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2:431</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2:476</w:t>
      </w:r>
      <w:r>
        <w:rPr>
          <w:rFonts w:eastAsia="IRNazanin" w:cs="IRNazanin"/>
          <w:b w:val="false"/>
          <w:bCs w:val="false"/>
          <w:i w:val="false"/>
          <w:iCs w:val="false"/>
          <w:color w:val="333333"/>
          <w:sz w:val="20"/>
          <w:szCs w:val="20"/>
          <w:rtl w:val="true"/>
        </w:rPr>
        <w:t>.</w:t>
      </w:r>
    </w:p>
  </w:footnote>
  <w:footnote w:id="1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2:433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1:340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،جامع الأصول </w:t>
      </w:r>
      <w:r>
        <w:rPr>
          <w:rFonts w:eastAsia="IRNazanin" w:cs="IRNazanin"/>
          <w:b w:val="false"/>
          <w:bCs w:val="false"/>
          <w:i w:val="false"/>
          <w:iCs w:val="false"/>
          <w:color w:val="333333"/>
          <w:sz w:val="20"/>
          <w:szCs w:val="20"/>
        </w:rPr>
        <w:t>8:225</w:t>
      </w:r>
      <w:r>
        <w:rPr>
          <w:rFonts w:eastAsia="IRNazanin" w:cs="IRNazanin"/>
          <w:b w:val="false"/>
          <w:bCs w:val="false"/>
          <w:i w:val="false"/>
          <w:iCs w:val="false"/>
          <w:color w:val="333333"/>
          <w:sz w:val="20"/>
          <w:szCs w:val="20"/>
          <w:rtl w:val="true"/>
        </w:rPr>
        <w:t>.</w:t>
      </w:r>
    </w:p>
  </w:footnote>
  <w:footnote w:id="1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الموطّأ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1:204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623</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1:182</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6:293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1:341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9:633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27753</w:t>
      </w:r>
      <w:r>
        <w:rPr>
          <w:rFonts w:ascii="IRNazanin" w:hAnsi="IRNazanin" w:eastAsia="IRNazanin"/>
          <w:b w:val="false"/>
          <w:b w:val="false"/>
          <w:bCs w:val="false"/>
          <w:i w:val="false"/>
          <w:i w:val="false"/>
          <w:iCs w:val="false"/>
          <w:color w:val="333333"/>
          <w:sz w:val="20"/>
          <w:sz w:val="20"/>
          <w:szCs w:val="20"/>
          <w:rtl w:val="true"/>
        </w:rPr>
        <w:t xml:space="preserve">،جامع الأصول </w:t>
      </w:r>
      <w:r>
        <w:rPr>
          <w:rFonts w:eastAsia="IRNazanin" w:cs="IRNazanin"/>
          <w:b w:val="false"/>
          <w:bCs w:val="false"/>
          <w:i w:val="false"/>
          <w:iCs w:val="false"/>
          <w:color w:val="333333"/>
          <w:sz w:val="20"/>
          <w:szCs w:val="20"/>
        </w:rPr>
        <w:t>8:234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5411</w:t>
      </w:r>
      <w:r>
        <w:rPr>
          <w:rFonts w:eastAsia="IRNazanin" w:cs="IRNazanin"/>
          <w:b w:val="false"/>
          <w:bCs w:val="false"/>
          <w:i w:val="false"/>
          <w:iCs w:val="false"/>
          <w:color w:val="333333"/>
          <w:sz w:val="20"/>
          <w:szCs w:val="20"/>
          <w:rtl w:val="true"/>
        </w:rPr>
        <w:t>.</w:t>
      </w:r>
    </w:p>
  </w:footnote>
  <w:footnote w:id="1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إسحاق بن جرير عن حريز</w:t>
      </w:r>
      <w:r>
        <w:rPr>
          <w:rFonts w:eastAsia="IRNazanin" w:cs="IRNazanin"/>
          <w:b w:val="false"/>
          <w:bCs w:val="false"/>
          <w:i w:val="false"/>
          <w:iCs w:val="false"/>
          <w:color w:val="333333"/>
          <w:sz w:val="20"/>
          <w:szCs w:val="20"/>
          <w:rtl w:val="true"/>
        </w:rPr>
        <w:t>.</w:t>
      </w:r>
    </w:p>
  </w:footnote>
  <w:footnote w:id="1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482</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482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488</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512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2:607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الاستحاضة،حديث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 يسير</w:t>
      </w:r>
      <w:r>
        <w:rPr>
          <w:rFonts w:eastAsia="IRNazanin" w:cs="IRNazanin"/>
          <w:b w:val="false"/>
          <w:bCs w:val="false"/>
          <w:i w:val="false"/>
          <w:iCs w:val="false"/>
          <w:color w:val="333333"/>
          <w:sz w:val="20"/>
          <w:szCs w:val="20"/>
          <w:rtl w:val="true"/>
        </w:rPr>
        <w:t>.</w:t>
      </w:r>
    </w:p>
  </w:footnote>
  <w:footnote w:id="1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492</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515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491</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514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1183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يسير</w:t>
      </w:r>
      <w:r>
        <w:rPr>
          <w:rFonts w:eastAsia="IRNazanin" w:cs="IRNazanin"/>
          <w:b w:val="false"/>
          <w:bCs w:val="false"/>
          <w:i w:val="false"/>
          <w:iCs w:val="false"/>
          <w:color w:val="333333"/>
          <w:sz w:val="20"/>
          <w:szCs w:val="20"/>
          <w:rtl w:val="true"/>
        </w:rPr>
        <w:t>.</w:t>
      </w:r>
    </w:p>
  </w:footnote>
  <w:footnote w:id="1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1:359</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2:431</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2:476</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1:115</w:t>
      </w:r>
      <w:r>
        <w:rPr>
          <w:rFonts w:ascii="IRNazanin" w:hAnsi="IRNazanin" w:eastAsia="IRNazanin"/>
          <w:b w:val="false"/>
          <w:b w:val="false"/>
          <w:bCs w:val="false"/>
          <w:i w:val="false"/>
          <w:i w:val="false"/>
          <w:iCs w:val="false"/>
          <w:color w:val="333333"/>
          <w:sz w:val="20"/>
          <w:sz w:val="20"/>
          <w:szCs w:val="20"/>
          <w:rtl w:val="true"/>
        </w:rPr>
        <w:t xml:space="preserve">، بداية المجتهد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1:185</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1:341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9:409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26729</w:t>
      </w:r>
      <w:r>
        <w:rPr>
          <w:rFonts w:ascii="IRNazanin" w:hAnsi="IRNazanin" w:eastAsia="IRNazanin"/>
          <w:b w:val="false"/>
          <w:b w:val="false"/>
          <w:bCs w:val="false"/>
          <w:i w:val="false"/>
          <w:i w:val="false"/>
          <w:iCs w:val="false"/>
          <w:color w:val="333333"/>
          <w:sz w:val="20"/>
          <w:sz w:val="20"/>
          <w:szCs w:val="20"/>
          <w:rtl w:val="true"/>
        </w:rPr>
        <w:t xml:space="preserve">،جامع الأصول </w:t>
      </w:r>
      <w:r>
        <w:rPr>
          <w:rFonts w:eastAsia="IRNazanin" w:cs="IRNazanin"/>
          <w:b w:val="false"/>
          <w:bCs w:val="false"/>
          <w:i w:val="false"/>
          <w:iCs w:val="false"/>
          <w:color w:val="333333"/>
          <w:sz w:val="20"/>
          <w:szCs w:val="20"/>
        </w:rPr>
        <w:t>8:227</w:t>
      </w:r>
      <w:r>
        <w:rPr>
          <w:rFonts w:ascii="IRNazanin" w:hAnsi="IRNazanin" w:eastAsia="IRNazanin"/>
          <w:b w:val="false"/>
          <w:b w:val="false"/>
          <w:bCs w:val="false"/>
          <w:i w:val="false"/>
          <w:i w:val="false"/>
          <w:iCs w:val="false"/>
          <w:color w:val="333333"/>
          <w:sz w:val="20"/>
          <w:sz w:val="20"/>
          <w:szCs w:val="20"/>
          <w:rtl w:val="true"/>
        </w:rPr>
        <w:t xml:space="preserve">،مستدرك الحاكم </w:t>
      </w:r>
      <w:r>
        <w:rPr>
          <w:rFonts w:eastAsia="IRNazanin" w:cs="IRNazanin"/>
          <w:b w:val="false"/>
          <w:bCs w:val="false"/>
          <w:i w:val="false"/>
          <w:iCs w:val="false"/>
          <w:color w:val="333333"/>
          <w:sz w:val="20"/>
          <w:szCs w:val="20"/>
        </w:rPr>
        <w:t>1:174</w:t>
      </w:r>
      <w:r>
        <w:rPr>
          <w:rFonts w:ascii="IRNazanin" w:hAnsi="IRNazanin" w:eastAsia="IRNazanin"/>
          <w:b w:val="false"/>
          <w:b w:val="false"/>
          <w:bCs w:val="false"/>
          <w:i w:val="false"/>
          <w:i w:val="false"/>
          <w:iCs w:val="false"/>
          <w:color w:val="333333"/>
          <w:sz w:val="20"/>
          <w:sz w:val="20"/>
          <w:szCs w:val="20"/>
          <w:rtl w:val="true"/>
        </w:rPr>
        <w:t xml:space="preserve">،التّلخيص في ذيل المستدرك </w:t>
      </w:r>
      <w:r>
        <w:rPr>
          <w:rFonts w:eastAsia="IRNazanin" w:cs="IRNazanin"/>
          <w:b w:val="false"/>
          <w:bCs w:val="false"/>
          <w:i w:val="false"/>
          <w:iCs w:val="false"/>
          <w:color w:val="333333"/>
          <w:sz w:val="20"/>
          <w:szCs w:val="20"/>
        </w:rPr>
        <w:t>1:173</w:t>
      </w:r>
      <w:r>
        <w:rPr>
          <w:rFonts w:eastAsia="IRNazanin" w:cs="IRNazanin"/>
          <w:b w:val="false"/>
          <w:bCs w:val="false"/>
          <w:i w:val="false"/>
          <w:iCs w:val="false"/>
          <w:color w:val="333333"/>
          <w:sz w:val="20"/>
          <w:szCs w:val="20"/>
          <w:rtl w:val="true"/>
        </w:rPr>
        <w:t>.</w:t>
      </w:r>
    </w:p>
  </w:footnote>
  <w:footnote w:id="1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،سنن الدّارميّ </w:t>
      </w:r>
      <w:r>
        <w:rPr>
          <w:rFonts w:eastAsia="IRNazanin" w:cs="IRNazanin"/>
          <w:b w:val="false"/>
          <w:bCs w:val="false"/>
          <w:i w:val="false"/>
          <w:iCs w:val="false"/>
          <w:color w:val="333333"/>
          <w:sz w:val="20"/>
          <w:szCs w:val="20"/>
        </w:rPr>
        <w:t>1:203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1:359</w:t>
      </w:r>
      <w:r>
        <w:rPr>
          <w:rFonts w:ascii="IRNazanin" w:hAnsi="IRNazanin" w:eastAsia="IRNazanin"/>
          <w:b w:val="false"/>
          <w:b w:val="false"/>
          <w:bCs w:val="false"/>
          <w:i w:val="false"/>
          <w:i w:val="false"/>
          <w:iCs w:val="false"/>
          <w:color w:val="333333"/>
          <w:sz w:val="20"/>
          <w:sz w:val="20"/>
          <w:szCs w:val="20"/>
          <w:rtl w:val="true"/>
        </w:rPr>
        <w:t xml:space="preserve">،الكافي لابن قدامة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1:217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1:184</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1:203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621</w:t>
      </w:r>
      <w:r>
        <w:rPr>
          <w:rFonts w:ascii="IRNazanin" w:hAnsi="IRNazanin" w:eastAsia="IRNazanin"/>
          <w:b w:val="false"/>
          <w:b w:val="false"/>
          <w:bCs w:val="false"/>
          <w:i w:val="false"/>
          <w:i w:val="false"/>
          <w:iCs w:val="false"/>
          <w:color w:val="333333"/>
          <w:sz w:val="20"/>
          <w:sz w:val="20"/>
          <w:szCs w:val="20"/>
          <w:rtl w:val="true"/>
        </w:rPr>
        <w:t xml:space="preserve">،سنن الدّارميّ </w:t>
      </w:r>
      <w:r>
        <w:rPr>
          <w:rFonts w:eastAsia="IRNazanin" w:cs="IRNazanin"/>
          <w:b w:val="false"/>
          <w:bCs w:val="false"/>
          <w:i w:val="false"/>
          <w:iCs w:val="false"/>
          <w:color w:val="333333"/>
          <w:sz w:val="20"/>
          <w:szCs w:val="20"/>
        </w:rPr>
        <w:t>1:198</w:t>
      </w:r>
      <w:r>
        <w:rPr>
          <w:rFonts w:ascii="IRNazanin" w:hAnsi="IRNazanin" w:eastAsia="IRNazanin"/>
          <w:b w:val="false"/>
          <w:b w:val="false"/>
          <w:bCs w:val="false"/>
          <w:i w:val="false"/>
          <w:i w:val="false"/>
          <w:iCs w:val="false"/>
          <w:color w:val="333333"/>
          <w:sz w:val="20"/>
          <w:sz w:val="20"/>
          <w:szCs w:val="20"/>
          <w:rtl w:val="true"/>
        </w:rPr>
        <w:t xml:space="preserve">،الموطّأ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،جامع الأصول </w:t>
      </w:r>
      <w:r>
        <w:rPr>
          <w:rFonts w:eastAsia="IRNazanin" w:cs="IRNazanin"/>
          <w:b w:val="false"/>
          <w:bCs w:val="false"/>
          <w:i w:val="false"/>
          <w:iCs w:val="false"/>
          <w:color w:val="333333"/>
          <w:sz w:val="20"/>
          <w:szCs w:val="20"/>
        </w:rPr>
        <w:t>8:226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5403</w:t>
      </w:r>
      <w:r>
        <w:rPr>
          <w:rFonts w:ascii="IRNazanin" w:hAnsi="IRNazanin" w:eastAsia="IRNazanin"/>
          <w:b w:val="false"/>
          <w:b w:val="false"/>
          <w:bCs w:val="false"/>
          <w:i w:val="false"/>
          <w:i w:val="false"/>
          <w:iCs w:val="false"/>
          <w:color w:val="333333"/>
          <w:sz w:val="20"/>
          <w:sz w:val="20"/>
          <w:szCs w:val="20"/>
          <w:rtl w:val="true"/>
        </w:rPr>
        <w:t xml:space="preserve">، نيل الأوطار </w:t>
      </w:r>
      <w:r>
        <w:rPr>
          <w:rFonts w:eastAsia="IRNazanin" w:cs="IRNazanin"/>
          <w:b w:val="false"/>
          <w:bCs w:val="false"/>
          <w:i w:val="false"/>
          <w:iCs w:val="false"/>
          <w:color w:val="333333"/>
          <w:sz w:val="20"/>
          <w:szCs w:val="20"/>
        </w:rPr>
        <w:t>1:338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9:631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27742</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1:366</w:t>
      </w:r>
      <w:r>
        <w:rPr>
          <w:rFonts w:eastAsia="IRNazanin" w:cs="IRNazanin"/>
          <w:b w:val="false"/>
          <w:bCs w:val="false"/>
          <w:i w:val="false"/>
          <w:iCs w:val="false"/>
          <w:color w:val="333333"/>
          <w:sz w:val="20"/>
          <w:szCs w:val="20"/>
          <w:rtl w:val="true"/>
        </w:rPr>
        <w:t>.</w:t>
      </w:r>
    </w:p>
  </w:footnote>
  <w:footnote w:id="1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تقدّم بيانه في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في المعتبر </w:t>
      </w:r>
      <w:r>
        <w:rPr>
          <w:rFonts w:eastAsia="IRNazanin" w:cs="IRNazanin"/>
          <w:b w:val="false"/>
          <w:bCs w:val="false"/>
          <w:i w:val="false"/>
          <w:iCs w:val="false"/>
          <w:color w:val="333333"/>
          <w:sz w:val="20"/>
          <w:szCs w:val="20"/>
        </w:rPr>
        <w:t>1:207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2:461</w:t>
      </w:r>
      <w:r>
        <w:rPr>
          <w:rFonts w:eastAsia="IRNazanin" w:cs="IRNazanin"/>
          <w:b w:val="false"/>
          <w:bCs w:val="false"/>
          <w:i w:val="false"/>
          <w:iCs w:val="false"/>
          <w:color w:val="333333"/>
          <w:sz w:val="20"/>
          <w:szCs w:val="20"/>
          <w:rtl w:val="true"/>
        </w:rPr>
        <w:t>.</w:t>
      </w:r>
    </w:p>
  </w:footnote>
  <w:footnote w:id="1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2:402</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1:357</w:t>
      </w:r>
      <w:r>
        <w:rPr>
          <w:rFonts w:eastAsia="IRNazanin" w:cs="IRNazanin"/>
          <w:b w:val="false"/>
          <w:bCs w:val="false"/>
          <w:i w:val="false"/>
          <w:iCs w:val="false"/>
          <w:color w:val="333333"/>
          <w:sz w:val="20"/>
          <w:szCs w:val="20"/>
          <w:rtl w:val="true"/>
        </w:rPr>
        <w:t>.</w:t>
      </w:r>
    </w:p>
  </w:footnote>
  <w:footnote w:id="1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2:398</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2:458</w:t>
      </w:r>
      <w:r>
        <w:rPr>
          <w:rFonts w:ascii="IRNazanin" w:hAnsi="IRNazanin" w:eastAsia="IRNazanin"/>
          <w:b w:val="false"/>
          <w:b w:val="false"/>
          <w:bCs w:val="false"/>
          <w:i w:val="false"/>
          <w:i w:val="false"/>
          <w:iCs w:val="false"/>
          <w:color w:val="333333"/>
          <w:sz w:val="20"/>
          <w:sz w:val="20"/>
          <w:szCs w:val="20"/>
          <w:rtl w:val="true"/>
        </w:rPr>
        <w:t>،السّراج الوهّاج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3:154</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1:114</w:t>
      </w:r>
      <w:r>
        <w:rPr>
          <w:rFonts w:ascii="IRNazanin" w:hAnsi="IRNazanin" w:eastAsia="IRNazanin"/>
          <w:b w:val="false"/>
          <w:b w:val="false"/>
          <w:bCs w:val="false"/>
          <w:i w:val="false"/>
          <w:i w:val="false"/>
          <w:iCs w:val="false"/>
          <w:color w:val="333333"/>
          <w:sz w:val="20"/>
          <w:sz w:val="20"/>
          <w:szCs w:val="20"/>
          <w:rtl w:val="true"/>
        </w:rPr>
        <w:t xml:space="preserve">،شرح النّوويّ لصحيح مسلم بهامش إرشاد السّاري </w:t>
      </w:r>
      <w:r>
        <w:rPr>
          <w:rFonts w:eastAsia="IRNazanin" w:cs="IRNazanin"/>
          <w:b w:val="false"/>
          <w:bCs w:val="false"/>
          <w:i w:val="false"/>
          <w:iCs w:val="false"/>
          <w:color w:val="333333"/>
          <w:sz w:val="20"/>
          <w:szCs w:val="20"/>
        </w:rPr>
        <w:t>2:391</w:t>
      </w:r>
      <w:r>
        <w:rPr>
          <w:rFonts w:ascii="IRNazanin" w:hAnsi="IRNazanin" w:eastAsia="IRNazanin"/>
          <w:b w:val="false"/>
          <w:b w:val="false"/>
          <w:bCs w:val="false"/>
          <w:i w:val="false"/>
          <w:i w:val="false"/>
          <w:iCs w:val="false"/>
          <w:color w:val="333333"/>
          <w:sz w:val="20"/>
          <w:sz w:val="20"/>
          <w:szCs w:val="20"/>
          <w:rtl w:val="true"/>
        </w:rPr>
        <w:t xml:space="preserve">،رحمة الأمّة بهامش ميزان الكبرى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الام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2:398</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2:458</w:t>
      </w:r>
      <w:r>
        <w:rPr>
          <w:rFonts w:ascii="IRNazanin" w:hAnsi="IRNazanin" w:eastAsia="IRNazanin"/>
          <w:b w:val="false"/>
          <w:b w:val="false"/>
          <w:bCs w:val="false"/>
          <w:i w:val="false"/>
          <w:i w:val="false"/>
          <w:iCs w:val="false"/>
          <w:color w:val="333333"/>
          <w:sz w:val="20"/>
          <w:sz w:val="20"/>
          <w:szCs w:val="20"/>
          <w:rtl w:val="true"/>
        </w:rPr>
        <w:t xml:space="preserve">، مغني المحتاج </w:t>
      </w:r>
      <w:r>
        <w:rPr>
          <w:rFonts w:eastAsia="IRNazanin" w:cs="IRNazanin"/>
          <w:b w:val="false"/>
          <w:bCs w:val="false"/>
          <w:i w:val="false"/>
          <w:iCs w:val="false"/>
          <w:color w:val="333333"/>
          <w:sz w:val="20"/>
          <w:szCs w:val="20"/>
        </w:rPr>
        <w:t>1:114</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3:154</w:t>
      </w:r>
      <w:r>
        <w:rPr>
          <w:rFonts w:ascii="IRNazanin" w:hAnsi="IRNazanin" w:eastAsia="IRNazanin"/>
          <w:b w:val="false"/>
          <w:b w:val="false"/>
          <w:bCs w:val="false"/>
          <w:i w:val="false"/>
          <w:i w:val="false"/>
          <w:iCs w:val="false"/>
          <w:color w:val="333333"/>
          <w:sz w:val="20"/>
          <w:sz w:val="20"/>
          <w:szCs w:val="20"/>
          <w:rtl w:val="true"/>
        </w:rPr>
        <w:t>،السّراج الوهّاج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،المحلّى </w:t>
      </w:r>
      <w:r>
        <w:rPr>
          <w:rFonts w:eastAsia="IRNazanin" w:cs="IRNazanin"/>
          <w:b w:val="false"/>
          <w:bCs w:val="false"/>
          <w:i w:val="false"/>
          <w:iCs w:val="false"/>
          <w:color w:val="333333"/>
          <w:sz w:val="20"/>
          <w:szCs w:val="20"/>
        </w:rPr>
        <w:t>2:210</w:t>
      </w:r>
      <w:r>
        <w:rPr>
          <w:rFonts w:ascii="IRNazanin" w:hAnsi="IRNazanin" w:eastAsia="IRNazanin"/>
          <w:b w:val="false"/>
          <w:b w:val="false"/>
          <w:bCs w:val="false"/>
          <w:i w:val="false"/>
          <w:i w:val="false"/>
          <w:iCs w:val="false"/>
          <w:color w:val="333333"/>
          <w:sz w:val="20"/>
          <w:sz w:val="20"/>
          <w:szCs w:val="20"/>
          <w:rtl w:val="true"/>
        </w:rPr>
        <w:t xml:space="preserve">،فتح الوهّاب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،إرشاد السّاري </w:t>
      </w:r>
      <w:r>
        <w:rPr>
          <w:rFonts w:eastAsia="IRNazanin" w:cs="IRNazanin"/>
          <w:b w:val="false"/>
          <w:bCs w:val="false"/>
          <w:i w:val="false"/>
          <w:iCs w:val="false"/>
          <w:color w:val="333333"/>
          <w:sz w:val="20"/>
          <w:szCs w:val="20"/>
        </w:rPr>
        <w:t>1:349</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1:228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النّوويّ لصحيح مسلم بهامش إرشاد السّاري </w:t>
      </w:r>
      <w:r>
        <w:rPr>
          <w:rFonts w:eastAsia="IRNazanin" w:cs="IRNazanin"/>
          <w:b w:val="false"/>
          <w:bCs w:val="false"/>
          <w:i w:val="false"/>
          <w:iCs w:val="false"/>
          <w:color w:val="333333"/>
          <w:sz w:val="20"/>
          <w:szCs w:val="20"/>
        </w:rPr>
        <w:t>2:391</w:t>
      </w:r>
      <w:r>
        <w:rPr>
          <w:rFonts w:eastAsia="IRNazanin" w:cs="IRNazanin"/>
          <w:b w:val="false"/>
          <w:bCs w:val="false"/>
          <w:i w:val="false"/>
          <w:iCs w:val="false"/>
          <w:color w:val="333333"/>
          <w:sz w:val="20"/>
          <w:szCs w:val="20"/>
          <w:rtl w:val="true"/>
        </w:rPr>
        <w:t>.</w:t>
      </w:r>
    </w:p>
  </w:footnote>
  <w:footnote w:id="1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،الكافي لابن قدامة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2:402</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 xml:space="preserve">،المحلّى </w:t>
      </w:r>
      <w:r>
        <w:rPr>
          <w:rFonts w:eastAsia="IRNazanin" w:cs="IRNazanin"/>
          <w:b w:val="false"/>
          <w:bCs w:val="false"/>
          <w:i w:val="false"/>
          <w:iCs w:val="false"/>
          <w:color w:val="333333"/>
          <w:sz w:val="20"/>
          <w:szCs w:val="20"/>
        </w:rPr>
        <w:t>2:210</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1:360</w:t>
      </w:r>
      <w:r>
        <w:rPr>
          <w:rFonts w:eastAsia="IRNazanin" w:cs="IRNazanin"/>
          <w:b w:val="false"/>
          <w:bCs w:val="false"/>
          <w:i w:val="false"/>
          <w:iCs w:val="false"/>
          <w:color w:val="333333"/>
          <w:sz w:val="20"/>
          <w:szCs w:val="20"/>
          <w:rtl w:val="true"/>
        </w:rPr>
        <w:t>.</w:t>
      </w:r>
    </w:p>
  </w:footnote>
  <w:footnote w:id="1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2:402</w:t>
      </w:r>
      <w:r>
        <w:rPr>
          <w:rFonts w:eastAsia="IRNazanin" w:cs="IRNazanin"/>
          <w:b w:val="false"/>
          <w:bCs w:val="false"/>
          <w:i w:val="false"/>
          <w:iCs w:val="false"/>
          <w:color w:val="333333"/>
          <w:sz w:val="20"/>
          <w:szCs w:val="20"/>
          <w:rtl w:val="true"/>
        </w:rPr>
        <w:t>.</w:t>
      </w:r>
    </w:p>
  </w:footnote>
  <w:footnote w:id="1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مقدّمات ابن رشد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2:461</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3:154</w:t>
      </w:r>
      <w:r>
        <w:rPr>
          <w:rFonts w:eastAsia="IRNazanin" w:cs="IRNazanin"/>
          <w:b w:val="false"/>
          <w:bCs w:val="false"/>
          <w:i w:val="false"/>
          <w:iCs w:val="false"/>
          <w:color w:val="333333"/>
          <w:sz w:val="20"/>
          <w:szCs w:val="20"/>
          <w:rtl w:val="true"/>
        </w:rPr>
        <w:t>.</w:t>
      </w:r>
    </w:p>
  </w:footnote>
  <w:footnote w:id="1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3:153</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،رحمة الأمّة بهامش ميزان الكبرى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المغنيّ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2:402</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2:460</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مقدّمات ابن رشد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2:402</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1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،الكافي لابن قدامة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1:360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1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3:154</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2:402</w:t>
      </w:r>
      <w:r>
        <w:rPr>
          <w:rFonts w:eastAsia="IRNazanin" w:cs="IRNazanin"/>
          <w:b w:val="false"/>
          <w:bCs w:val="false"/>
          <w:i w:val="false"/>
          <w:iCs w:val="false"/>
          <w:color w:val="333333"/>
          <w:sz w:val="20"/>
          <w:szCs w:val="20"/>
          <w:rtl w:val="true"/>
        </w:rPr>
        <w:t>.</w:t>
      </w:r>
    </w:p>
  </w:footnote>
  <w:footnote w:id="1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1181</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471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ترجمتهما و القول فيهما في الجزء الأوّل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أضفناه من المصدر</w:t>
      </w:r>
      <w:r>
        <w:rPr>
          <w:rFonts w:eastAsia="IRNazanin" w:cs="IRNazanin"/>
          <w:b w:val="false"/>
          <w:bCs w:val="false"/>
          <w:i w:val="false"/>
          <w:iCs w:val="false"/>
          <w:color w:val="333333"/>
          <w:sz w:val="20"/>
          <w:szCs w:val="20"/>
          <w:rtl w:val="true"/>
        </w:rPr>
        <w:t>.</w:t>
      </w:r>
    </w:p>
  </w:footnote>
  <w:footnote w:id="1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1252</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472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ترجمته و القول فيه في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،الجمل و العقود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1182</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الام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2:398</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2:458</w:t>
      </w:r>
      <w:r>
        <w:rPr>
          <w:rFonts w:ascii="IRNazanin" w:hAnsi="IRNazanin" w:eastAsia="IRNazanin"/>
          <w:b w:val="false"/>
          <w:b w:val="false"/>
          <w:bCs w:val="false"/>
          <w:i w:val="false"/>
          <w:i w:val="false"/>
          <w:iCs w:val="false"/>
          <w:color w:val="333333"/>
          <w:sz w:val="20"/>
          <w:sz w:val="20"/>
          <w:szCs w:val="20"/>
          <w:rtl w:val="true"/>
        </w:rPr>
        <w:t xml:space="preserve">، مغني المحتاج </w:t>
      </w:r>
      <w:r>
        <w:rPr>
          <w:rFonts w:eastAsia="IRNazanin" w:cs="IRNazanin"/>
          <w:b w:val="false"/>
          <w:bCs w:val="false"/>
          <w:i w:val="false"/>
          <w:iCs w:val="false"/>
          <w:color w:val="333333"/>
          <w:sz w:val="20"/>
          <w:szCs w:val="20"/>
        </w:rPr>
        <w:t>1:114</w:t>
      </w:r>
      <w:r>
        <w:rPr>
          <w:rFonts w:ascii="IRNazanin" w:hAnsi="IRNazanin" w:eastAsia="IRNazanin"/>
          <w:b w:val="false"/>
          <w:b w:val="false"/>
          <w:bCs w:val="false"/>
          <w:i w:val="false"/>
          <w:i w:val="false"/>
          <w:iCs w:val="false"/>
          <w:color w:val="333333"/>
          <w:sz w:val="20"/>
          <w:sz w:val="20"/>
          <w:szCs w:val="20"/>
          <w:rtl w:val="true"/>
        </w:rPr>
        <w:t xml:space="preserve">،شرح النّوويّ لصحيح مسلم بهامش إرشاد السّاري </w:t>
      </w:r>
      <w:r>
        <w:rPr>
          <w:rFonts w:eastAsia="IRNazanin" w:cs="IRNazanin"/>
          <w:b w:val="false"/>
          <w:bCs w:val="false"/>
          <w:i w:val="false"/>
          <w:iCs w:val="false"/>
          <w:color w:val="333333"/>
          <w:sz w:val="20"/>
          <w:szCs w:val="20"/>
        </w:rPr>
        <w:t>2:391</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3:154</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w:t>
      </w:r>
    </w:p>
  </w:footnote>
  <w:footnote w:id="1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،الكافي لابن قدامة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1:360</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2:461</w:t>
      </w:r>
      <w:r>
        <w:rPr>
          <w:rFonts w:eastAsia="IRNazanin" w:cs="IRNazanin"/>
          <w:b w:val="false"/>
          <w:bCs w:val="false"/>
          <w:i w:val="false"/>
          <w:iCs w:val="false"/>
          <w:color w:val="333333"/>
          <w:sz w:val="20"/>
          <w:szCs w:val="20"/>
          <w:rtl w:val="true"/>
        </w:rPr>
        <w:t>.</w:t>
      </w:r>
    </w:p>
  </w:footnote>
  <w:footnote w:id="1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قول ابن الجنيد نقله عنه المصنّف في المختلف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،الكافي لابن قدامة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2:402</w:t>
      </w:r>
      <w:r>
        <w:rPr>
          <w:rFonts w:ascii="IRNazanin" w:hAnsi="IRNazanin" w:eastAsia="IRNazanin"/>
          <w:b w:val="false"/>
          <w:b w:val="false"/>
          <w:bCs w:val="false"/>
          <w:i w:val="false"/>
          <w:i w:val="false"/>
          <w:iCs w:val="false"/>
          <w:color w:val="333333"/>
          <w:sz w:val="20"/>
          <w:sz w:val="20"/>
          <w:szCs w:val="20"/>
          <w:rtl w:val="true"/>
        </w:rPr>
        <w:t xml:space="preserve">،فتح العزيز بهامش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2:461</w:t>
      </w:r>
      <w:r>
        <w:rPr>
          <w:rFonts w:ascii="IRNazanin" w:hAnsi="IRNazanin" w:eastAsia="IRNazanin"/>
          <w:b w:val="false"/>
          <w:b w:val="false"/>
          <w:bCs w:val="false"/>
          <w:i w:val="false"/>
          <w:i w:val="false"/>
          <w:iCs w:val="false"/>
          <w:color w:val="333333"/>
          <w:sz w:val="20"/>
          <w:sz w:val="20"/>
          <w:szCs w:val="20"/>
          <w:rtl w:val="true"/>
        </w:rPr>
        <w:t xml:space="preserve">، المحلّى </w:t>
      </w:r>
      <w:r>
        <w:rPr>
          <w:rFonts w:eastAsia="IRNazanin" w:cs="IRNazanin"/>
          <w:b w:val="false"/>
          <w:bCs w:val="false"/>
          <w:i w:val="false"/>
          <w:iCs w:val="false"/>
          <w:color w:val="333333"/>
          <w:sz w:val="20"/>
          <w:szCs w:val="20"/>
        </w:rPr>
        <w:t>2:210</w:t>
      </w:r>
      <w:r>
        <w:rPr>
          <w:rFonts w:eastAsia="IRNazanin" w:cs="IRNazanin"/>
          <w:b w:val="false"/>
          <w:bCs w:val="false"/>
          <w:i w:val="false"/>
          <w:iCs w:val="false"/>
          <w:color w:val="333333"/>
          <w:sz w:val="20"/>
          <w:szCs w:val="20"/>
          <w:rtl w:val="true"/>
        </w:rPr>
        <w:t>.</w:t>
      </w:r>
    </w:p>
  </w:footnote>
  <w:footnote w:id="1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2:398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2:458</w:t>
      </w:r>
      <w:r>
        <w:rPr>
          <w:rFonts w:ascii="IRNazanin" w:hAnsi="IRNazanin" w:eastAsia="IRNazanin"/>
          <w:b w:val="false"/>
          <w:b w:val="false"/>
          <w:bCs w:val="false"/>
          <w:i w:val="false"/>
          <w:i w:val="false"/>
          <w:iCs w:val="false"/>
          <w:color w:val="333333"/>
          <w:sz w:val="20"/>
          <w:sz w:val="20"/>
          <w:szCs w:val="20"/>
          <w:rtl w:val="true"/>
        </w:rPr>
        <w:t xml:space="preserve">، المبسوط للسّرخسيّ </w:t>
      </w:r>
      <w:r>
        <w:rPr>
          <w:rFonts w:eastAsia="IRNazanin" w:cs="IRNazanin"/>
          <w:b w:val="false"/>
          <w:bCs w:val="false"/>
          <w:i w:val="false"/>
          <w:iCs w:val="false"/>
          <w:color w:val="333333"/>
          <w:sz w:val="20"/>
          <w:szCs w:val="20"/>
        </w:rPr>
        <w:t>3:153</w:t>
      </w:r>
      <w:r>
        <w:rPr>
          <w:rFonts w:ascii="IRNazanin" w:hAnsi="IRNazanin" w:eastAsia="IRNazanin"/>
          <w:b w:val="false"/>
          <w:b w:val="false"/>
          <w:bCs w:val="false"/>
          <w:i w:val="false"/>
          <w:i w:val="false"/>
          <w:iCs w:val="false"/>
          <w:color w:val="333333"/>
          <w:sz w:val="20"/>
          <w:sz w:val="20"/>
          <w:szCs w:val="20"/>
          <w:rtl w:val="true"/>
        </w:rPr>
        <w:t>،السّراج الوهّاج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1:114</w:t>
      </w:r>
      <w:r>
        <w:rPr>
          <w:rFonts w:ascii="IRNazanin" w:hAnsi="IRNazanin" w:eastAsia="IRNazanin"/>
          <w:b w:val="false"/>
          <w:b w:val="false"/>
          <w:bCs w:val="false"/>
          <w:i w:val="false"/>
          <w:i w:val="false"/>
          <w:iCs w:val="false"/>
          <w:color w:val="333333"/>
          <w:sz w:val="20"/>
          <w:sz w:val="20"/>
          <w:szCs w:val="20"/>
          <w:rtl w:val="true"/>
        </w:rPr>
        <w:t xml:space="preserve">،المحلّى </w:t>
      </w:r>
      <w:r>
        <w:rPr>
          <w:rFonts w:eastAsia="IRNazanin" w:cs="IRNazanin"/>
          <w:b w:val="false"/>
          <w:bCs w:val="false"/>
          <w:i w:val="false"/>
          <w:iCs w:val="false"/>
          <w:color w:val="333333"/>
          <w:sz w:val="20"/>
          <w:szCs w:val="20"/>
        </w:rPr>
        <w:t>2:210</w:t>
      </w:r>
      <w:r>
        <w:rPr>
          <w:rFonts w:ascii="IRNazanin" w:hAnsi="IRNazanin" w:eastAsia="IRNazanin"/>
          <w:b w:val="false"/>
          <w:b w:val="false"/>
          <w:bCs w:val="false"/>
          <w:i w:val="false"/>
          <w:i w:val="false"/>
          <w:iCs w:val="false"/>
          <w:color w:val="333333"/>
          <w:sz w:val="20"/>
          <w:sz w:val="20"/>
          <w:szCs w:val="20"/>
          <w:rtl w:val="true"/>
        </w:rPr>
        <w:t xml:space="preserve">،فتح الوهّاب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،شرح النّوويّ لصحيح مسلم بهامش إرشاد السّاري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1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3:153</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،عمدة القارئ </w:t>
      </w:r>
      <w:r>
        <w:rPr>
          <w:rFonts w:eastAsia="IRNazanin" w:cs="IRNazanin"/>
          <w:b w:val="false"/>
          <w:bCs w:val="false"/>
          <w:i w:val="false"/>
          <w:iCs w:val="false"/>
          <w:color w:val="333333"/>
          <w:sz w:val="20"/>
          <w:szCs w:val="20"/>
        </w:rPr>
        <w:t>3:308</w:t>
      </w:r>
      <w:r>
        <w:rPr>
          <w:rFonts w:ascii="IRNazanin" w:hAnsi="IRNazanin" w:eastAsia="IRNazanin"/>
          <w:b w:val="false"/>
          <w:b w:val="false"/>
          <w:bCs w:val="false"/>
          <w:i w:val="false"/>
          <w:i w:val="false"/>
          <w:iCs w:val="false"/>
          <w:color w:val="333333"/>
          <w:sz w:val="20"/>
          <w:sz w:val="20"/>
          <w:szCs w:val="20"/>
          <w:rtl w:val="true"/>
        </w:rPr>
        <w:t xml:space="preserve">،المحلّى </w:t>
      </w:r>
      <w:r>
        <w:rPr>
          <w:rFonts w:eastAsia="IRNazanin" w:cs="IRNazanin"/>
          <w:b w:val="false"/>
          <w:bCs w:val="false"/>
          <w:i w:val="false"/>
          <w:iCs w:val="false"/>
          <w:color w:val="333333"/>
          <w:sz w:val="20"/>
          <w:szCs w:val="20"/>
        </w:rPr>
        <w:t>2:210</w:t>
      </w:r>
      <w:r>
        <w:rPr>
          <w:rFonts w:ascii="IRNazanin" w:hAnsi="IRNazanin" w:eastAsia="IRNazanin"/>
          <w:b w:val="false"/>
          <w:b w:val="false"/>
          <w:bCs w:val="false"/>
          <w:i w:val="false"/>
          <w:i w:val="false"/>
          <w:iCs w:val="false"/>
          <w:color w:val="333333"/>
          <w:sz w:val="20"/>
          <w:sz w:val="20"/>
          <w:szCs w:val="20"/>
          <w:rtl w:val="true"/>
        </w:rPr>
        <w:t xml:space="preserve">، المغنيّ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2:402</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2:460</w:t>
      </w:r>
      <w:r>
        <w:rPr>
          <w:rFonts w:eastAsia="IRNazanin" w:cs="IRNazanin"/>
          <w:b w:val="false"/>
          <w:bCs w:val="false"/>
          <w:i w:val="false"/>
          <w:iCs w:val="false"/>
          <w:color w:val="333333"/>
          <w:sz w:val="20"/>
          <w:szCs w:val="20"/>
          <w:rtl w:val="true"/>
        </w:rPr>
        <w:t>.</w:t>
      </w:r>
    </w:p>
  </w:footnote>
  <w:footnote w:id="1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xml:space="preserve">،الكافي كابن قدامة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1:364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1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،الوسيلة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p>
  </w:footnote>
  <w:footnote w:id="1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رواية الجمهور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1:221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سنن ابن ماجه </w:t>
      </w:r>
      <w:r>
        <w:rPr>
          <w:rFonts w:eastAsia="IRNazanin" w:cs="IRNazanin"/>
          <w:b w:val="false"/>
          <w:bCs w:val="false"/>
          <w:i w:val="false"/>
          <w:iCs w:val="false"/>
          <w:color w:val="333333"/>
          <w:sz w:val="20"/>
          <w:szCs w:val="20"/>
        </w:rPr>
        <w:t>1:205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627</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6:381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1:342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9:629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27741</w:t>
      </w:r>
      <w:r>
        <w:rPr>
          <w:rFonts w:ascii="IRNazanin" w:hAnsi="IRNazanin" w:eastAsia="IRNazanin"/>
          <w:b w:val="false"/>
          <w:b w:val="false"/>
          <w:bCs w:val="false"/>
          <w:i w:val="false"/>
          <w:i w:val="false"/>
          <w:iCs w:val="false"/>
          <w:color w:val="333333"/>
          <w:sz w:val="20"/>
          <w:sz w:val="20"/>
          <w:szCs w:val="20"/>
          <w:rtl w:val="true"/>
        </w:rPr>
        <w:t xml:space="preserve">،جامع الأصول </w:t>
      </w:r>
      <w:r>
        <w:rPr>
          <w:rFonts w:eastAsia="IRNazanin" w:cs="IRNazanin"/>
          <w:b w:val="false"/>
          <w:bCs w:val="false"/>
          <w:i w:val="false"/>
          <w:iCs w:val="false"/>
          <w:color w:val="333333"/>
          <w:sz w:val="20"/>
          <w:szCs w:val="20"/>
        </w:rPr>
        <w:t>8:231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5405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من طريق الخاصّة انظر رواية يونس المتقدّمة في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1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المتوسّط</w:t>
      </w:r>
      <w:r>
        <w:rPr>
          <w:rFonts w:eastAsia="IRNazanin" w:cs="IRNazanin"/>
          <w:b w:val="false"/>
          <w:bCs w:val="false"/>
          <w:i w:val="false"/>
          <w:iCs w:val="false"/>
          <w:color w:val="333333"/>
          <w:sz w:val="20"/>
          <w:szCs w:val="20"/>
          <w:rtl w:val="true"/>
        </w:rPr>
        <w:t>.</w:t>
      </w:r>
    </w:p>
  </w:footnote>
  <w:footnote w:id="1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1251</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470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الجميع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انّها تنتظر بالصلاة</w:t>
      </w:r>
      <w:r>
        <w:rPr>
          <w:rFonts w:eastAsia="IRNazanin" w:cs="IRNazanin"/>
          <w:b w:val="false"/>
          <w:bCs w:val="false"/>
          <w:i w:val="false"/>
          <w:iCs w:val="false"/>
          <w:color w:val="333333"/>
          <w:sz w:val="20"/>
          <w:szCs w:val="20"/>
          <w:rtl w:val="true"/>
        </w:rPr>
        <w:t>.</w:t>
      </w:r>
    </w:p>
  </w:footnote>
  <w:footnote w:id="1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1182</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،الكافي لابن قدامة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2:458</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3:154</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1:114</w:t>
      </w:r>
      <w:r>
        <w:rPr>
          <w:rFonts w:eastAsia="IRNazanin" w:cs="IRNazanin"/>
          <w:b w:val="false"/>
          <w:bCs w:val="false"/>
          <w:i w:val="false"/>
          <w:iCs w:val="false"/>
          <w:color w:val="333333"/>
          <w:sz w:val="20"/>
          <w:szCs w:val="20"/>
          <w:rtl w:val="true"/>
        </w:rPr>
        <w:t>.</w:t>
      </w:r>
    </w:p>
  </w:footnote>
  <w:footnote w:id="1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ترجمته و القول فيه في الجزء الأوّل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w:t>
      </w:r>
    </w:p>
  </w:footnote>
  <w:footnote w:id="1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w:t>
      </w:r>
    </w:p>
  </w:footnote>
  <w:footnote w:id="1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أضفناه من المصدر</w:t>
      </w:r>
      <w:r>
        <w:rPr>
          <w:rFonts w:eastAsia="IRNazanin" w:cs="IRNazanin"/>
          <w:b w:val="false"/>
          <w:bCs w:val="false"/>
          <w:i w:val="false"/>
          <w:iCs w:val="false"/>
          <w:color w:val="333333"/>
          <w:sz w:val="20"/>
          <w:szCs w:val="20"/>
          <w:rtl w:val="true"/>
        </w:rPr>
        <w:t>.</w:t>
      </w:r>
    </w:p>
  </w:footnote>
  <w:footnote w:id="1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الرّواية رواها الشّيخ في التّهذيب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يونس</w:t>
      </w:r>
      <w:r>
        <w:rPr>
          <w:rFonts w:eastAsia="IRNazanin" w:cs="IRNazanin"/>
          <w:b w:val="false"/>
          <w:bCs w:val="false"/>
          <w:i w:val="false"/>
          <w:iCs w:val="false"/>
          <w:color w:val="333333"/>
          <w:sz w:val="20"/>
          <w:szCs w:val="20"/>
          <w:rtl w:val="true"/>
        </w:rPr>
        <w:t>.</w:t>
      </w:r>
    </w:p>
  </w:footnote>
  <w:footnote w:id="1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2:433</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1:371</w:t>
      </w:r>
      <w:r>
        <w:rPr>
          <w:rFonts w:ascii="IRNazanin" w:hAnsi="IRNazanin" w:eastAsia="IRNazanin"/>
          <w:b w:val="false"/>
          <w:b w:val="false"/>
          <w:bCs w:val="false"/>
          <w:i w:val="false"/>
          <w:i w:val="false"/>
          <w:iCs w:val="false"/>
          <w:color w:val="333333"/>
          <w:sz w:val="20"/>
          <w:sz w:val="20"/>
          <w:szCs w:val="20"/>
          <w:rtl w:val="true"/>
        </w:rPr>
        <w:t>،السّراج الوهّاج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،فتح الوهّاب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1:117</w:t>
      </w:r>
      <w:r>
        <w:rPr>
          <w:rFonts w:eastAsia="IRNazanin" w:cs="IRNazanin"/>
          <w:b w:val="false"/>
          <w:bCs w:val="false"/>
          <w:i w:val="false"/>
          <w:iCs w:val="false"/>
          <w:color w:val="333333"/>
          <w:sz w:val="20"/>
          <w:szCs w:val="20"/>
          <w:rtl w:val="true"/>
        </w:rPr>
        <w:t>.</w:t>
      </w:r>
    </w:p>
  </w:footnote>
  <w:footnote w:id="1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سنن ابن ماجه </w:t>
      </w:r>
      <w:r>
        <w:rPr>
          <w:rFonts w:eastAsia="IRNazanin" w:cs="IRNazanin"/>
          <w:b w:val="false"/>
          <w:bCs w:val="false"/>
          <w:i w:val="false"/>
          <w:iCs w:val="false"/>
          <w:color w:val="333333"/>
          <w:sz w:val="20"/>
          <w:szCs w:val="20"/>
        </w:rPr>
        <w:t>1:205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626</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1:183</w:t>
      </w:r>
      <w:r>
        <w:rPr>
          <w:rFonts w:ascii="IRNazanin" w:hAnsi="IRNazanin" w:eastAsia="IRNazanin"/>
          <w:b w:val="false"/>
          <w:b w:val="false"/>
          <w:bCs w:val="false"/>
          <w:i w:val="false"/>
          <w:i w:val="false"/>
          <w:iCs w:val="false"/>
          <w:color w:val="333333"/>
          <w:sz w:val="20"/>
          <w:sz w:val="20"/>
          <w:szCs w:val="20"/>
          <w:rtl w:val="true"/>
        </w:rPr>
        <w:t xml:space="preserve">،سنن الدّارميّ </w:t>
      </w:r>
      <w:r>
        <w:rPr>
          <w:rFonts w:eastAsia="IRNazanin" w:cs="IRNazanin"/>
          <w:b w:val="false"/>
          <w:bCs w:val="false"/>
          <w:i w:val="false"/>
          <w:iCs w:val="false"/>
          <w:color w:val="333333"/>
          <w:sz w:val="20"/>
          <w:szCs w:val="20"/>
        </w:rPr>
        <w:t>1:196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w:t>
      </w:r>
    </w:p>
  </w:footnote>
  <w:footnote w:id="1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1182</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1:362</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1:363</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2:433</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2:469</w:t>
      </w:r>
      <w:r>
        <w:rPr>
          <w:rFonts w:eastAsia="IRNazanin" w:cs="IRNazanin"/>
          <w:b w:val="false"/>
          <w:bCs w:val="false"/>
          <w:i w:val="false"/>
          <w:iCs w:val="false"/>
          <w:color w:val="333333"/>
          <w:sz w:val="20"/>
          <w:szCs w:val="20"/>
          <w:rtl w:val="true"/>
        </w:rPr>
        <w:t>.</w:t>
      </w:r>
    </w:p>
  </w:footnote>
  <w:footnote w:id="1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الموطّأ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6:320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1:182</w:t>
      </w:r>
      <w:r>
        <w:rPr>
          <w:rFonts w:ascii="IRNazanin" w:hAnsi="IRNazanin" w:eastAsia="IRNazanin"/>
          <w:b w:val="false"/>
          <w:b w:val="false"/>
          <w:bCs w:val="false"/>
          <w:i w:val="false"/>
          <w:i w:val="false"/>
          <w:iCs w:val="false"/>
          <w:color w:val="333333"/>
          <w:sz w:val="20"/>
          <w:sz w:val="20"/>
          <w:szCs w:val="20"/>
          <w:rtl w:val="true"/>
        </w:rPr>
        <w:t xml:space="preserve">،جامع الأصول </w:t>
      </w:r>
      <w:r>
        <w:rPr>
          <w:rFonts w:eastAsia="IRNazanin" w:cs="IRNazanin"/>
          <w:b w:val="false"/>
          <w:bCs w:val="false"/>
          <w:i w:val="false"/>
          <w:iCs w:val="false"/>
          <w:color w:val="333333"/>
          <w:sz w:val="20"/>
          <w:szCs w:val="20"/>
        </w:rPr>
        <w:t>8:234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5411</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1:341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27753</w:t>
      </w:r>
      <w:r>
        <w:rPr>
          <w:rFonts w:ascii="IRNazanin" w:hAnsi="IRNazanin" w:eastAsia="IRNazanin"/>
          <w:b w:val="false"/>
          <w:b w:val="false"/>
          <w:bCs w:val="false"/>
          <w:i w:val="false"/>
          <w:i w:val="false"/>
          <w:iCs w:val="false"/>
          <w:color w:val="333333"/>
          <w:sz w:val="20"/>
          <w:sz w:val="20"/>
          <w:szCs w:val="20"/>
          <w:rtl w:val="true"/>
        </w:rPr>
        <w:t xml:space="preserve">،سنن الدّارمي </w:t>
      </w:r>
      <w:r>
        <w:rPr>
          <w:rFonts w:eastAsia="IRNazanin" w:cs="IRNazanin"/>
          <w:b w:val="false"/>
          <w:bCs w:val="false"/>
          <w:i w:val="false"/>
          <w:iCs w:val="false"/>
          <w:color w:val="333333"/>
          <w:sz w:val="20"/>
          <w:szCs w:val="20"/>
        </w:rPr>
        <w:t>1:199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1:332</w:t>
      </w:r>
      <w:r>
        <w:rPr>
          <w:rFonts w:eastAsia="IRNazanin" w:cs="IRNazanin"/>
          <w:b w:val="false"/>
          <w:bCs w:val="false"/>
          <w:i w:val="false"/>
          <w:iCs w:val="false"/>
          <w:color w:val="333333"/>
          <w:sz w:val="20"/>
          <w:szCs w:val="20"/>
          <w:rtl w:val="true"/>
        </w:rPr>
        <w:t>.</w:t>
      </w:r>
    </w:p>
  </w:footnote>
  <w:footnote w:id="1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6:222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1:182</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1:340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،جامع الأصول </w:t>
      </w:r>
      <w:r>
        <w:rPr>
          <w:rFonts w:eastAsia="IRNazanin" w:cs="IRNazanin"/>
          <w:b w:val="false"/>
          <w:bCs w:val="false"/>
          <w:i w:val="false"/>
          <w:iCs w:val="false"/>
          <w:color w:val="333333"/>
          <w:sz w:val="20"/>
          <w:szCs w:val="20"/>
        </w:rPr>
        <w:t>8:225</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 في الجميع</w:t>
      </w:r>
      <w:r>
        <w:rPr>
          <w:rFonts w:eastAsia="IRNazanin" w:cs="IRNazanin"/>
          <w:b w:val="false"/>
          <w:bCs w:val="false"/>
          <w:i w:val="false"/>
          <w:iCs w:val="false"/>
          <w:color w:val="333333"/>
          <w:sz w:val="20"/>
          <w:szCs w:val="20"/>
          <w:rtl w:val="true"/>
        </w:rPr>
        <w:t>.</w:t>
      </w:r>
    </w:p>
  </w:footnote>
  <w:footnote w:id="1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،سنن الدّارمي </w:t>
      </w:r>
      <w:r>
        <w:rPr>
          <w:rFonts w:eastAsia="IRNazanin" w:cs="IRNazanin"/>
          <w:b w:val="false"/>
          <w:bCs w:val="false"/>
          <w:i w:val="false"/>
          <w:iCs w:val="false"/>
          <w:color w:val="333333"/>
          <w:sz w:val="20"/>
          <w:szCs w:val="20"/>
        </w:rPr>
        <w:t>1:202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بتفاوت،سنن التّرمذي </w:t>
      </w:r>
      <w:r>
        <w:rPr>
          <w:rFonts w:eastAsia="IRNazanin" w:cs="IRNazanin"/>
          <w:b w:val="false"/>
          <w:bCs w:val="false"/>
          <w:i w:val="false"/>
          <w:iCs w:val="false"/>
          <w:color w:val="333333"/>
          <w:sz w:val="20"/>
          <w:szCs w:val="20"/>
        </w:rPr>
        <w:t>1:220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1:204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w:t>
      </w:r>
    </w:p>
  </w:footnote>
  <w:footnote w:id="1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484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2:604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الاستحاضة،حديث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المصادر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تنظر أيّامها</w:t>
      </w:r>
      <w:r>
        <w:rPr>
          <w:rFonts w:eastAsia="IRNazanin" w:cs="IRNazanin"/>
          <w:b w:val="false"/>
          <w:bCs w:val="false"/>
          <w:i w:val="false"/>
          <w:iCs w:val="false"/>
          <w:color w:val="333333"/>
          <w:sz w:val="20"/>
          <w:szCs w:val="20"/>
          <w:rtl w:val="true"/>
        </w:rPr>
        <w:t>.</w:t>
      </w:r>
    </w:p>
  </w:footnote>
  <w:footnote w:id="1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487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2:605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الاستحاضة،حديث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فيعتزلها</w:t>
      </w:r>
      <w:r>
        <w:rPr>
          <w:rFonts w:eastAsia="IRNazanin" w:cs="IRNazanin"/>
          <w:b w:val="false"/>
          <w:bCs w:val="false"/>
          <w:i w:val="false"/>
          <w:iCs w:val="false"/>
          <w:color w:val="333333"/>
          <w:sz w:val="20"/>
          <w:szCs w:val="20"/>
          <w:rtl w:val="true"/>
        </w:rPr>
        <w:t>.</w:t>
      </w:r>
    </w:p>
  </w:footnote>
  <w:footnote w:id="1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1:362</w:t>
      </w:r>
      <w:r>
        <w:rPr>
          <w:rFonts w:ascii="IRNazanin" w:hAnsi="IRNazanin" w:eastAsia="IRNazanin"/>
          <w:b w:val="false"/>
          <w:b w:val="false"/>
          <w:bCs w:val="false"/>
          <w:i w:val="false"/>
          <w:i w:val="false"/>
          <w:iCs w:val="false"/>
          <w:color w:val="333333"/>
          <w:sz w:val="20"/>
          <w:sz w:val="20"/>
          <w:szCs w:val="20"/>
          <w:rtl w:val="true"/>
        </w:rPr>
        <w:t xml:space="preserve">،الشّرح الكبير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بهامش المغني </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w:t>
      </w:r>
    </w:p>
  </w:footnote>
  <w:footnote w:id="1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1:185</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9:409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26729</w:t>
      </w:r>
      <w:r>
        <w:rPr>
          <w:rFonts w:ascii="IRNazanin" w:hAnsi="IRNazanin" w:eastAsia="IRNazanin"/>
          <w:b w:val="false"/>
          <w:b w:val="false"/>
          <w:bCs w:val="false"/>
          <w:i w:val="false"/>
          <w:i w:val="false"/>
          <w:iCs w:val="false"/>
          <w:color w:val="333333"/>
          <w:sz w:val="20"/>
          <w:sz w:val="20"/>
          <w:szCs w:val="20"/>
          <w:rtl w:val="true"/>
        </w:rPr>
        <w:t xml:space="preserve">،مستدرك الحاكم </w:t>
      </w:r>
      <w:r>
        <w:rPr>
          <w:rFonts w:eastAsia="IRNazanin" w:cs="IRNazanin"/>
          <w:b w:val="false"/>
          <w:bCs w:val="false"/>
          <w:i w:val="false"/>
          <w:iCs w:val="false"/>
          <w:color w:val="333333"/>
          <w:sz w:val="20"/>
          <w:szCs w:val="20"/>
        </w:rPr>
        <w:t>1:174</w:t>
      </w:r>
      <w:r>
        <w:rPr>
          <w:rFonts w:eastAsia="IRNazanin" w:cs="IRNazanin"/>
          <w:b w:val="false"/>
          <w:bCs w:val="false"/>
          <w:i w:val="false"/>
          <w:iCs w:val="false"/>
          <w:color w:val="333333"/>
          <w:sz w:val="20"/>
          <w:szCs w:val="20"/>
          <w:rtl w:val="true"/>
        </w:rPr>
        <w:t>.</w:t>
      </w:r>
    </w:p>
  </w:footnote>
  <w:footnote w:id="1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1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2:417</w:t>
      </w:r>
      <w:r>
        <w:rPr>
          <w:rFonts w:ascii="IRNazanin" w:hAnsi="IRNazanin" w:eastAsia="IRNazanin"/>
          <w:b w:val="false"/>
          <w:b w:val="false"/>
          <w:bCs w:val="false"/>
          <w:i w:val="false"/>
          <w:i w:val="false"/>
          <w:iCs w:val="false"/>
          <w:color w:val="333333"/>
          <w:sz w:val="20"/>
          <w:sz w:val="20"/>
          <w:szCs w:val="20"/>
          <w:rtl w:val="true"/>
        </w:rPr>
        <w:t xml:space="preserve">،فتح الوهّاب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،السّراج الوهّاج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1:115</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w:t>
      </w:r>
    </w:p>
  </w:footnote>
  <w:footnote w:id="1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2:418</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2:470</w:t>
      </w:r>
      <w:r>
        <w:rPr>
          <w:rFonts w:eastAsia="IRNazanin" w:cs="IRNazanin"/>
          <w:b w:val="false"/>
          <w:bCs w:val="false"/>
          <w:i w:val="false"/>
          <w:iCs w:val="false"/>
          <w:color w:val="333333"/>
          <w:sz w:val="20"/>
          <w:szCs w:val="20"/>
          <w:rtl w:val="true"/>
        </w:rPr>
        <w:t>.</w:t>
      </w:r>
    </w:p>
  </w:footnote>
  <w:footnote w:id="1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2:418</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2:470</w:t>
      </w:r>
      <w:r>
        <w:rPr>
          <w:rFonts w:eastAsia="IRNazanin" w:cs="IRNazanin"/>
          <w:b w:val="false"/>
          <w:bCs w:val="false"/>
          <w:i w:val="false"/>
          <w:iCs w:val="false"/>
          <w:color w:val="333333"/>
          <w:sz w:val="20"/>
          <w:szCs w:val="20"/>
          <w:rtl w:val="true"/>
        </w:rPr>
        <w:t>.</w:t>
      </w:r>
    </w:p>
  </w:footnote>
  <w:footnote w:id="1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2:419</w:t>
      </w:r>
      <w:r>
        <w:rPr>
          <w:rFonts w:ascii="IRNazanin" w:hAnsi="IRNazanin" w:eastAsia="IRNazanin"/>
          <w:b w:val="false"/>
          <w:b w:val="false"/>
          <w:bCs w:val="false"/>
          <w:i w:val="false"/>
          <w:i w:val="false"/>
          <w:iCs w:val="false"/>
          <w:color w:val="333333"/>
          <w:sz w:val="20"/>
          <w:sz w:val="20"/>
          <w:szCs w:val="20"/>
          <w:rtl w:val="true"/>
        </w:rPr>
        <w:t xml:space="preserve">،شرح فتح القدير </w:t>
      </w:r>
      <w:r>
        <w:rPr>
          <w:rFonts w:eastAsia="IRNazanin" w:cs="IRNazanin"/>
          <w:b w:val="false"/>
          <w:bCs w:val="false"/>
          <w:i w:val="false"/>
          <w:iCs w:val="false"/>
          <w:color w:val="333333"/>
          <w:sz w:val="20"/>
          <w:szCs w:val="20"/>
        </w:rPr>
        <w:t>1:157</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3:175</w:t>
      </w:r>
      <w:r>
        <w:rPr>
          <w:rFonts w:eastAsia="IRNazanin" w:cs="IRNazanin"/>
          <w:b w:val="false"/>
          <w:bCs w:val="false"/>
          <w:i w:val="false"/>
          <w:iCs w:val="false"/>
          <w:color w:val="333333"/>
          <w:sz w:val="20"/>
          <w:szCs w:val="20"/>
          <w:rtl w:val="true"/>
        </w:rPr>
        <w:t>.</w:t>
      </w:r>
    </w:p>
  </w:footnote>
  <w:footnote w:id="1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2:418</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2:470</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w:t>
      </w:r>
    </w:p>
  </w:footnote>
  <w:footnote w:id="1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1:363</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1:361</w:t>
      </w:r>
      <w:r>
        <w:rPr>
          <w:rFonts w:ascii="IRNazanin" w:hAnsi="IRNazanin" w:eastAsia="IRNazanin"/>
          <w:b w:val="false"/>
          <w:b w:val="false"/>
          <w:bCs w:val="false"/>
          <w:i w:val="false"/>
          <w:i w:val="false"/>
          <w:iCs w:val="false"/>
          <w:color w:val="333333"/>
          <w:sz w:val="20"/>
          <w:sz w:val="20"/>
          <w:szCs w:val="20"/>
          <w:rtl w:val="true"/>
        </w:rPr>
        <w:t xml:space="preserve">،الكافي لابن قدامة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2:419</w:t>
      </w:r>
      <w:r>
        <w:rPr>
          <w:rFonts w:eastAsia="IRNazanin" w:cs="IRNazanin"/>
          <w:b w:val="false"/>
          <w:bCs w:val="false"/>
          <w:i w:val="false"/>
          <w:iCs w:val="false"/>
          <w:color w:val="333333"/>
          <w:sz w:val="20"/>
          <w:szCs w:val="20"/>
          <w:rtl w:val="true"/>
        </w:rPr>
        <w:t>.</w:t>
      </w:r>
    </w:p>
  </w:footnote>
  <w:footnote w:id="1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2:418</w:t>
      </w:r>
      <w:r>
        <w:rPr>
          <w:rFonts w:eastAsia="IRNazanin" w:cs="IRNazanin"/>
          <w:b w:val="false"/>
          <w:bCs w:val="false"/>
          <w:i w:val="false"/>
          <w:iCs w:val="false"/>
          <w:color w:val="333333"/>
          <w:sz w:val="20"/>
          <w:szCs w:val="20"/>
          <w:rtl w:val="true"/>
        </w:rPr>
        <w:t>.</w:t>
      </w:r>
    </w:p>
  </w:footnote>
  <w:footnote w:id="1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أحكام القرآن للجصّاص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طريق الخاصّة،انظر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1183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2:546</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1178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2:559</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ترجمته و القول فيه في الجزء الأوّل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ترجمته و القول فيه في الجزء الأوّل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1183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1:401</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1253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2:608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الاستحاضة،حديث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1257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2:609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الاستحاضة،حديث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2:418</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2:470</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1:115</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w:t>
      </w:r>
    </w:p>
  </w:footnote>
  <w:footnote w:id="1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الموطّأ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6:293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سنن النّسائي </w:t>
      </w:r>
      <w:r>
        <w:rPr>
          <w:rFonts w:eastAsia="IRNazanin" w:cs="IRNazanin"/>
          <w:b w:val="false"/>
          <w:bCs w:val="false"/>
          <w:i w:val="false"/>
          <w:iCs w:val="false"/>
          <w:color w:val="333333"/>
          <w:sz w:val="20"/>
          <w:szCs w:val="20"/>
        </w:rPr>
        <w:t>1:182</w:t>
      </w:r>
      <w:r>
        <w:rPr>
          <w:rFonts w:ascii="IRNazanin" w:hAnsi="IRNazanin" w:eastAsia="IRNazanin"/>
          <w:b w:val="false"/>
          <w:b w:val="false"/>
          <w:bCs w:val="false"/>
          <w:i w:val="false"/>
          <w:i w:val="false"/>
          <w:iCs w:val="false"/>
          <w:color w:val="333333"/>
          <w:sz w:val="20"/>
          <w:sz w:val="20"/>
          <w:szCs w:val="20"/>
          <w:rtl w:val="true"/>
        </w:rPr>
        <w:t xml:space="preserve">،جامع الأصول </w:t>
      </w:r>
      <w:r>
        <w:rPr>
          <w:rFonts w:eastAsia="IRNazanin" w:cs="IRNazanin"/>
          <w:b w:val="false"/>
          <w:bCs w:val="false"/>
          <w:i w:val="false"/>
          <w:iCs w:val="false"/>
          <w:color w:val="333333"/>
          <w:sz w:val="20"/>
          <w:szCs w:val="20"/>
        </w:rPr>
        <w:t>8:234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5411</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1:341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9:633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27752</w:t>
      </w:r>
      <w:r>
        <w:rPr>
          <w:rFonts w:ascii="IRNazanin" w:hAnsi="IRNazanin" w:eastAsia="IRNazanin"/>
          <w:b w:val="false"/>
          <w:b w:val="false"/>
          <w:bCs w:val="false"/>
          <w:i w:val="false"/>
          <w:i w:val="false"/>
          <w:iCs w:val="false"/>
          <w:color w:val="333333"/>
          <w:sz w:val="20"/>
          <w:sz w:val="20"/>
          <w:szCs w:val="20"/>
          <w:rtl w:val="true"/>
        </w:rPr>
        <w:t xml:space="preserve">،سنن الدّارمي </w:t>
      </w:r>
      <w:r>
        <w:rPr>
          <w:rFonts w:eastAsia="IRNazanin" w:cs="IRNazanin"/>
          <w:b w:val="false"/>
          <w:bCs w:val="false"/>
          <w:i w:val="false"/>
          <w:iCs w:val="false"/>
          <w:color w:val="333333"/>
          <w:sz w:val="20"/>
          <w:szCs w:val="20"/>
        </w:rPr>
        <w:t>1:199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1:332</w:t>
      </w:r>
      <w:r>
        <w:rPr>
          <w:rFonts w:eastAsia="IRNazanin" w:cs="IRNazanin"/>
          <w:b w:val="false"/>
          <w:bCs w:val="false"/>
          <w:i w:val="false"/>
          <w:iCs w:val="false"/>
          <w:color w:val="333333"/>
          <w:sz w:val="20"/>
          <w:szCs w:val="20"/>
          <w:rtl w:val="true"/>
        </w:rPr>
        <w:t>.</w:t>
      </w:r>
    </w:p>
  </w:footnote>
  <w:footnote w:id="1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1:220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1:204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w:t>
      </w:r>
    </w:p>
  </w:footnote>
  <w:footnote w:id="1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1183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في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ثالثة،و الصّواب ما أثبتناه</w:t>
      </w:r>
      <w:r>
        <w:rPr>
          <w:rFonts w:eastAsia="IRNazanin" w:cs="IRNazanin"/>
          <w:b w:val="false"/>
          <w:bCs w:val="false"/>
          <w:i w:val="false"/>
          <w:iCs w:val="false"/>
          <w:color w:val="333333"/>
          <w:sz w:val="20"/>
          <w:szCs w:val="20"/>
          <w:rtl w:val="true"/>
        </w:rPr>
        <w:t>.</w:t>
      </w:r>
    </w:p>
  </w:footnote>
  <w:footnote w:id="1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لثالثة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لثلاثة</w:t>
      </w:r>
      <w:r>
        <w:rPr>
          <w:rFonts w:eastAsia="IRNazanin" w:cs="IRNazanin"/>
          <w:b w:val="false"/>
          <w:bCs w:val="false"/>
          <w:i w:val="false"/>
          <w:iCs w:val="false"/>
          <w:color w:val="333333"/>
          <w:sz w:val="20"/>
          <w:szCs w:val="20"/>
          <w:rtl w:val="true"/>
        </w:rPr>
        <w:t>.</w:t>
      </w:r>
    </w:p>
  </w:footnote>
  <w:footnote w:id="1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1:364</w:t>
      </w:r>
      <w:r>
        <w:rPr>
          <w:rFonts w:eastAsia="IRNazanin" w:cs="IRNazanin"/>
          <w:b w:val="false"/>
          <w:bCs w:val="false"/>
          <w:i w:val="false"/>
          <w:iCs w:val="false"/>
          <w:color w:val="333333"/>
          <w:sz w:val="20"/>
          <w:szCs w:val="20"/>
          <w:rtl w:val="true"/>
        </w:rPr>
        <w:t>.</w:t>
      </w:r>
    </w:p>
  </w:footnote>
  <w:footnote w:id="1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1:365</w:t>
      </w:r>
      <w:r>
        <w:rPr>
          <w:rFonts w:eastAsia="IRNazanin" w:cs="IRNazanin"/>
          <w:b w:val="false"/>
          <w:bCs w:val="false"/>
          <w:i w:val="false"/>
          <w:iCs w:val="false"/>
          <w:color w:val="333333"/>
          <w:sz w:val="20"/>
          <w:szCs w:val="20"/>
          <w:rtl w:val="true"/>
        </w:rPr>
        <w:t>.</w:t>
      </w:r>
    </w:p>
  </w:footnote>
  <w:footnote w:id="1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لثبوته</w:t>
      </w:r>
      <w:r>
        <w:rPr>
          <w:rFonts w:eastAsia="IRNazanin" w:cs="IRNazanin"/>
          <w:b w:val="false"/>
          <w:bCs w:val="false"/>
          <w:i w:val="false"/>
          <w:iCs w:val="false"/>
          <w:color w:val="333333"/>
          <w:sz w:val="20"/>
          <w:szCs w:val="20"/>
          <w:rtl w:val="true"/>
        </w:rPr>
        <w:t>.</w:t>
      </w:r>
    </w:p>
  </w:footnote>
  <w:footnote w:id="1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عنهما في المعتبر </w:t>
      </w:r>
      <w:r>
        <w:rPr>
          <w:rFonts w:eastAsia="IRNazanin" w:cs="IRNazanin"/>
          <w:b w:val="false"/>
          <w:bCs w:val="false"/>
          <w:i w:val="false"/>
          <w:iCs w:val="false"/>
          <w:color w:val="333333"/>
          <w:sz w:val="20"/>
          <w:szCs w:val="20"/>
        </w:rPr>
        <w:t>1:214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عنه في المعتبر </w:t>
      </w:r>
      <w:r>
        <w:rPr>
          <w:rFonts w:eastAsia="IRNazanin" w:cs="IRNazanin"/>
          <w:b w:val="false"/>
          <w:bCs w:val="false"/>
          <w:i w:val="false"/>
          <w:iCs w:val="false"/>
          <w:color w:val="333333"/>
          <w:sz w:val="20"/>
          <w:szCs w:val="20"/>
        </w:rPr>
        <w:t>1:214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الجمل و العقود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،بلغة السّالك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،تفسير القرطبي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3:154</w:t>
      </w:r>
      <w:r>
        <w:rPr>
          <w:rFonts w:ascii="IRNazanin" w:hAnsi="IRNazanin" w:eastAsia="IRNazanin"/>
          <w:b w:val="false"/>
          <w:b w:val="false"/>
          <w:bCs w:val="false"/>
          <w:i w:val="false"/>
          <w:i w:val="false"/>
          <w:iCs w:val="false"/>
          <w:color w:val="333333"/>
          <w:sz w:val="20"/>
          <w:sz w:val="20"/>
          <w:szCs w:val="20"/>
          <w:rtl w:val="true"/>
        </w:rPr>
        <w:t xml:space="preserve">، المحلّى </w:t>
      </w:r>
      <w:r>
        <w:rPr>
          <w:rFonts w:eastAsia="IRNazanin" w:cs="IRNazanin"/>
          <w:b w:val="false"/>
          <w:bCs w:val="false"/>
          <w:i w:val="false"/>
          <w:iCs w:val="false"/>
          <w:color w:val="333333"/>
          <w:sz w:val="20"/>
          <w:szCs w:val="20"/>
        </w:rPr>
        <w:t>2:216</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1:362</w:t>
      </w:r>
      <w:r>
        <w:rPr>
          <w:rFonts w:eastAsia="IRNazanin" w:cs="IRNazanin"/>
          <w:b w:val="false"/>
          <w:bCs w:val="false"/>
          <w:i w:val="false"/>
          <w:iCs w:val="false"/>
          <w:color w:val="333333"/>
          <w:sz w:val="20"/>
          <w:szCs w:val="20"/>
          <w:rtl w:val="true"/>
        </w:rPr>
        <w:t>.</w:t>
      </w:r>
    </w:p>
  </w:footnote>
  <w:footnote w:id="1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المحلّى </w:t>
      </w:r>
      <w:r>
        <w:rPr>
          <w:rFonts w:eastAsia="IRNazanin" w:cs="IRNazanin"/>
          <w:b w:val="false"/>
          <w:bCs w:val="false"/>
          <w:i w:val="false"/>
          <w:iCs w:val="false"/>
          <w:color w:val="333333"/>
          <w:sz w:val="20"/>
          <w:szCs w:val="20"/>
        </w:rPr>
        <w:t>2:217</w:t>
      </w:r>
      <w:r>
        <w:rPr>
          <w:rFonts w:ascii="IRNazanin" w:hAnsi="IRNazanin" w:eastAsia="IRNazanin"/>
          <w:b w:val="false"/>
          <w:b w:val="false"/>
          <w:bCs w:val="false"/>
          <w:i w:val="false"/>
          <w:i w:val="false"/>
          <w:iCs w:val="false"/>
          <w:color w:val="333333"/>
          <w:sz w:val="20"/>
          <w:sz w:val="20"/>
          <w:szCs w:val="20"/>
          <w:rtl w:val="true"/>
        </w:rPr>
        <w:t xml:space="preserve">،تفسير القرطبي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3:154</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1:362</w:t>
      </w:r>
      <w:r>
        <w:rPr>
          <w:rFonts w:eastAsia="IRNazanin" w:cs="IRNazanin"/>
          <w:b w:val="false"/>
          <w:bCs w:val="false"/>
          <w:i w:val="false"/>
          <w:iCs w:val="false"/>
          <w:color w:val="333333"/>
          <w:sz w:val="20"/>
          <w:szCs w:val="20"/>
          <w:rtl w:val="true"/>
        </w:rPr>
        <w:t>.</w:t>
      </w:r>
    </w:p>
  </w:footnote>
  <w:footnote w:id="1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الحيض،حديث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الحيض،حديث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الاستحاضة،حديث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ترجمته و القول فيه في الجزء الأوّل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488</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512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الحيض،حديث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من أبواب الاستحاضة،حديث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489</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514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490</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513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ترجمته و القول فيه في الجزء الأوّل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491</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515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أضفناه من المصدر</w:t>
      </w:r>
      <w:r>
        <w:rPr>
          <w:rFonts w:eastAsia="IRNazanin" w:cs="IRNazanin"/>
          <w:b w:val="false"/>
          <w:bCs w:val="false"/>
          <w:i w:val="false"/>
          <w:iCs w:val="false"/>
          <w:color w:val="333333"/>
          <w:sz w:val="20"/>
          <w:szCs w:val="20"/>
          <w:rtl w:val="true"/>
        </w:rPr>
        <w:t>.</w:t>
      </w:r>
    </w:p>
  </w:footnote>
  <w:footnote w:id="1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494</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518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الحيض،حديث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1190</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477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الحيض،حديث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1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1253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2:608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الاستحاضة،حديث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بيوم أو اثنين</w:t>
      </w:r>
      <w:r>
        <w:rPr>
          <w:rFonts w:eastAsia="IRNazanin" w:cs="IRNazanin"/>
          <w:b w:val="false"/>
          <w:bCs w:val="false"/>
          <w:i w:val="false"/>
          <w:iCs w:val="false"/>
          <w:color w:val="333333"/>
          <w:sz w:val="20"/>
          <w:szCs w:val="20"/>
          <w:rtl w:val="true"/>
        </w:rPr>
        <w:t>.</w:t>
      </w:r>
    </w:p>
  </w:footnote>
  <w:footnote w:id="1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1256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في المعتبر </w:t>
      </w:r>
      <w:r>
        <w:rPr>
          <w:rFonts w:eastAsia="IRNazanin" w:cs="IRNazanin"/>
          <w:b w:val="false"/>
          <w:bCs w:val="false"/>
          <w:i w:val="false"/>
          <w:iCs w:val="false"/>
          <w:color w:val="333333"/>
          <w:sz w:val="20"/>
          <w:szCs w:val="20"/>
        </w:rPr>
        <w:t>1:215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493</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517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دمها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أثبتناه من المصدر</w:t>
      </w:r>
      <w:r>
        <w:rPr>
          <w:rFonts w:eastAsia="IRNazanin" w:cs="IRNazanin"/>
          <w:b w:val="false"/>
          <w:bCs w:val="false"/>
          <w:i w:val="false"/>
          <w:iCs w:val="false"/>
          <w:color w:val="333333"/>
          <w:sz w:val="20"/>
          <w:szCs w:val="20"/>
          <w:rtl w:val="true"/>
        </w:rPr>
        <w:t>.</w:t>
      </w:r>
    </w:p>
  </w:footnote>
  <w:footnote w:id="1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1259</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516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2:607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الاستحاضة،حديث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يغشاها فيما سوى ذلك</w:t>
      </w:r>
      <w:r>
        <w:rPr>
          <w:rFonts w:eastAsia="IRNazanin" w:cs="IRNazanin"/>
          <w:b w:val="false"/>
          <w:bCs w:val="false"/>
          <w:i w:val="false"/>
          <w:iCs w:val="false"/>
          <w:color w:val="333333"/>
          <w:sz w:val="20"/>
          <w:szCs w:val="20"/>
          <w:rtl w:val="true"/>
        </w:rPr>
        <w:t>.</w:t>
      </w:r>
    </w:p>
  </w:footnote>
  <w:footnote w:id="1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تقدّمت ترجمته،و القول فيه في الجزء الأوّل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1257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الاستحاضة،حديث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1258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2:608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الاستحاضة،حديث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مضت أيّام أقرائها</w:t>
      </w:r>
      <w:r>
        <w:rPr>
          <w:rFonts w:eastAsia="IRNazanin" w:cs="IRNazanin"/>
          <w:b w:val="false"/>
          <w:bCs w:val="false"/>
          <w:i w:val="false"/>
          <w:iCs w:val="false"/>
          <w:color w:val="333333"/>
          <w:sz w:val="20"/>
          <w:szCs w:val="20"/>
          <w:rtl w:val="true"/>
        </w:rPr>
        <w:t>.</w:t>
      </w:r>
    </w:p>
  </w:footnote>
  <w:footnote w:id="1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صلاة،و ما أثبتناه من المصدر</w:t>
      </w:r>
      <w:r>
        <w:rPr>
          <w:rFonts w:eastAsia="IRNazanin" w:cs="IRNazanin"/>
          <w:b w:val="false"/>
          <w:bCs w:val="false"/>
          <w:i w:val="false"/>
          <w:iCs w:val="false"/>
          <w:color w:val="333333"/>
          <w:sz w:val="20"/>
          <w:szCs w:val="20"/>
          <w:rtl w:val="true"/>
        </w:rPr>
        <w:t>.</w:t>
      </w:r>
    </w:p>
  </w:footnote>
  <w:footnote w:id="1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عنه في المعتبر </w:t>
      </w:r>
      <w:r>
        <w:rPr>
          <w:rFonts w:eastAsia="IRNazanin" w:cs="IRNazanin"/>
          <w:b w:val="false"/>
          <w:bCs w:val="false"/>
          <w:i w:val="false"/>
          <w:iCs w:val="false"/>
          <w:color w:val="333333"/>
          <w:sz w:val="20"/>
          <w:szCs w:val="20"/>
        </w:rPr>
        <w:t>1:214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1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w:t>
      </w:r>
      <w:r>
        <w:rPr>
          <w:rFonts w:eastAsia="IRNazanin" w:cs="IRNazanin"/>
          <w:b w:val="false"/>
          <w:bCs w:val="false"/>
          <w:i w:val="false"/>
          <w:iCs w:val="false"/>
          <w:color w:val="333333"/>
          <w:sz w:val="20"/>
          <w:szCs w:val="20"/>
          <w:rtl w:val="true"/>
        </w:rPr>
        <w:t>.</w:t>
      </w:r>
    </w:p>
  </w:footnote>
  <w:footnote w:id="1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2:432</w:t>
      </w:r>
      <w:r>
        <w:rPr>
          <w:rFonts w:ascii="IRNazanin" w:hAnsi="IRNazanin" w:eastAsia="IRNazanin"/>
          <w:b w:val="false"/>
          <w:b w:val="false"/>
          <w:bCs w:val="false"/>
          <w:i w:val="false"/>
          <w:i w:val="false"/>
          <w:iCs w:val="false"/>
          <w:color w:val="333333"/>
          <w:sz w:val="20"/>
          <w:sz w:val="20"/>
          <w:szCs w:val="20"/>
          <w:rtl w:val="true"/>
        </w:rPr>
        <w:t>،السّراج الوهّاج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،رحمة الأمّة بهامش ميزان الكبرى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1:359</w:t>
      </w:r>
      <w:r>
        <w:rPr>
          <w:rFonts w:ascii="IRNazanin" w:hAnsi="IRNazanin" w:eastAsia="IRNazanin"/>
          <w:b w:val="false"/>
          <w:b w:val="false"/>
          <w:bCs w:val="false"/>
          <w:i w:val="false"/>
          <w:i w:val="false"/>
          <w:iCs w:val="false"/>
          <w:color w:val="333333"/>
          <w:sz w:val="20"/>
          <w:sz w:val="20"/>
          <w:szCs w:val="20"/>
          <w:rtl w:val="true"/>
        </w:rPr>
        <w:t xml:space="preserve">،المحلّى </w:t>
      </w:r>
      <w:r>
        <w:rPr>
          <w:rFonts w:eastAsia="IRNazanin" w:cs="IRNazanin"/>
          <w:b w:val="false"/>
          <w:bCs w:val="false"/>
          <w:i w:val="false"/>
          <w:iCs w:val="false"/>
          <w:color w:val="333333"/>
          <w:sz w:val="20"/>
          <w:szCs w:val="20"/>
        </w:rPr>
        <w:t>2:216</w:t>
      </w:r>
      <w:r>
        <w:rPr>
          <w:rFonts w:eastAsia="IRNazanin" w:cs="IRNazanin"/>
          <w:b w:val="false"/>
          <w:bCs w:val="false"/>
          <w:i w:val="false"/>
          <w:iCs w:val="false"/>
          <w:color w:val="333333"/>
          <w:sz w:val="20"/>
          <w:szCs w:val="20"/>
          <w:rtl w:val="true"/>
        </w:rPr>
        <w:t>.</w:t>
      </w:r>
    </w:p>
  </w:footnote>
  <w:footnote w:id="1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1:358</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2:432</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1:365</w:t>
      </w:r>
      <w:r>
        <w:rPr>
          <w:rFonts w:ascii="IRNazanin" w:hAnsi="IRNazanin" w:eastAsia="IRNazanin"/>
          <w:b w:val="false"/>
          <w:b w:val="false"/>
          <w:bCs w:val="false"/>
          <w:i w:val="false"/>
          <w:i w:val="false"/>
          <w:iCs w:val="false"/>
          <w:color w:val="333333"/>
          <w:sz w:val="20"/>
          <w:sz w:val="20"/>
          <w:szCs w:val="20"/>
          <w:rtl w:val="true"/>
        </w:rPr>
        <w:t xml:space="preserve">،الكافي لابن قدامة </w:t>
      </w:r>
      <w:r>
        <w:rPr>
          <w:rFonts w:eastAsia="IRNazanin" w:cs="IRNazanin"/>
          <w:b w:val="false"/>
          <w:bCs w:val="false"/>
          <w:i w:val="false"/>
          <w:iCs w:val="false"/>
          <w:color w:val="333333"/>
          <w:sz w:val="20"/>
          <w:szCs w:val="20"/>
        </w:rPr>
        <w:t>1:100</w:t>
      </w:r>
      <w:r>
        <w:rPr>
          <w:rFonts w:ascii="IRNazanin" w:hAnsi="IRNazanin" w:eastAsia="IRNazanin"/>
          <w:b w:val="false"/>
          <w:b w:val="false"/>
          <w:bCs w:val="false"/>
          <w:i w:val="false"/>
          <w:i w:val="false"/>
          <w:iCs w:val="false"/>
          <w:color w:val="333333"/>
          <w:sz w:val="20"/>
          <w:sz w:val="20"/>
          <w:szCs w:val="20"/>
          <w:rtl w:val="true"/>
        </w:rPr>
        <w:t xml:space="preserve">،المحلّى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1:359</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2:433</w:t>
      </w:r>
      <w:r>
        <w:rPr>
          <w:rFonts w:ascii="IRNazanin" w:hAnsi="IRNazanin" w:eastAsia="IRNazanin"/>
          <w:b w:val="false"/>
          <w:b w:val="false"/>
          <w:bCs w:val="false"/>
          <w:i w:val="false"/>
          <w:i w:val="false"/>
          <w:iCs w:val="false"/>
          <w:color w:val="333333"/>
          <w:sz w:val="20"/>
          <w:sz w:val="20"/>
          <w:szCs w:val="20"/>
          <w:rtl w:val="true"/>
        </w:rPr>
        <w:t xml:space="preserve">،بلغة السّالك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،رحمة الأمّة بهامش ميزان الكبرى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،المحلّى </w:t>
      </w:r>
      <w:r>
        <w:rPr>
          <w:rFonts w:eastAsia="IRNazanin" w:cs="IRNazanin"/>
          <w:b w:val="false"/>
          <w:bCs w:val="false"/>
          <w:i w:val="false"/>
          <w:iCs w:val="false"/>
          <w:color w:val="333333"/>
          <w:sz w:val="20"/>
          <w:szCs w:val="20"/>
        </w:rPr>
        <w:t>2:215</w:t>
      </w:r>
      <w:r>
        <w:rPr>
          <w:rFonts w:eastAsia="IRNazanin" w:cs="IRNazanin"/>
          <w:b w:val="false"/>
          <w:bCs w:val="false"/>
          <w:i w:val="false"/>
          <w:iCs w:val="false"/>
          <w:color w:val="333333"/>
          <w:sz w:val="20"/>
          <w:szCs w:val="20"/>
          <w:rtl w:val="true"/>
        </w:rPr>
        <w:t>.</w:t>
      </w:r>
    </w:p>
  </w:footnote>
  <w:footnote w:id="1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رحمة الأمّة بهامش ميزان الكبرى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،المحلّى </w:t>
      </w:r>
      <w:r>
        <w:rPr>
          <w:rFonts w:eastAsia="IRNazanin" w:cs="IRNazanin"/>
          <w:b w:val="false"/>
          <w:bCs w:val="false"/>
          <w:i w:val="false"/>
          <w:iCs w:val="false"/>
          <w:color w:val="333333"/>
          <w:sz w:val="20"/>
          <w:szCs w:val="20"/>
        </w:rPr>
        <w:t>2:215</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2:433</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1:359</w:t>
      </w:r>
      <w:r>
        <w:rPr>
          <w:rFonts w:eastAsia="IRNazanin" w:cs="IRNazanin"/>
          <w:b w:val="false"/>
          <w:bCs w:val="false"/>
          <w:i w:val="false"/>
          <w:iCs w:val="false"/>
          <w:color w:val="333333"/>
          <w:sz w:val="20"/>
          <w:szCs w:val="20"/>
          <w:rtl w:val="true"/>
        </w:rPr>
        <w:t>.</w:t>
      </w:r>
    </w:p>
  </w:footnote>
  <w:footnote w:id="1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فاغتسلي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أثبتناه من المصدر</w:t>
      </w:r>
      <w:r>
        <w:rPr>
          <w:rFonts w:eastAsia="IRNazanin" w:cs="IRNazanin"/>
          <w:b w:val="false"/>
          <w:bCs w:val="false"/>
          <w:i w:val="false"/>
          <w:iCs w:val="false"/>
          <w:color w:val="333333"/>
          <w:sz w:val="20"/>
          <w:szCs w:val="20"/>
          <w:rtl w:val="true"/>
        </w:rPr>
        <w:t>.</w:t>
      </w:r>
    </w:p>
  </w:footnote>
  <w:footnote w:id="1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سنن التّرمذي </w:t>
      </w:r>
      <w:r>
        <w:rPr>
          <w:rFonts w:eastAsia="IRNazanin" w:cs="IRNazanin"/>
          <w:b w:val="false"/>
          <w:bCs w:val="false"/>
          <w:i w:val="false"/>
          <w:iCs w:val="false"/>
          <w:color w:val="333333"/>
          <w:sz w:val="20"/>
          <w:szCs w:val="20"/>
        </w:rPr>
        <w:t>1:217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1:184</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1:203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621</w:t>
      </w:r>
      <w:r>
        <w:rPr>
          <w:rFonts w:ascii="IRNazanin" w:hAnsi="IRNazanin" w:eastAsia="IRNazanin"/>
          <w:b w:val="false"/>
          <w:b w:val="false"/>
          <w:bCs w:val="false"/>
          <w:i w:val="false"/>
          <w:i w:val="false"/>
          <w:iCs w:val="false"/>
          <w:color w:val="333333"/>
          <w:sz w:val="20"/>
          <w:sz w:val="20"/>
          <w:szCs w:val="20"/>
          <w:rtl w:val="true"/>
        </w:rPr>
        <w:t xml:space="preserve">، سنن الدّارمي </w:t>
      </w:r>
      <w:r>
        <w:rPr>
          <w:rFonts w:eastAsia="IRNazanin" w:cs="IRNazanin"/>
          <w:b w:val="false"/>
          <w:bCs w:val="false"/>
          <w:i w:val="false"/>
          <w:iCs w:val="false"/>
          <w:color w:val="333333"/>
          <w:sz w:val="20"/>
          <w:szCs w:val="20"/>
        </w:rPr>
        <w:t>1:198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6:194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الأصول </w:t>
      </w:r>
      <w:r>
        <w:rPr>
          <w:rFonts w:eastAsia="IRNazanin" w:cs="IRNazanin"/>
          <w:b w:val="false"/>
          <w:bCs w:val="false"/>
          <w:i w:val="false"/>
          <w:iCs w:val="false"/>
          <w:color w:val="333333"/>
          <w:sz w:val="20"/>
          <w:szCs w:val="20"/>
        </w:rPr>
        <w:t>8:226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5403</w:t>
      </w:r>
      <w:r>
        <w:rPr>
          <w:rFonts w:ascii="IRNazanin" w:hAnsi="IRNazanin" w:eastAsia="IRNazanin"/>
          <w:b w:val="false"/>
          <w:b w:val="false"/>
          <w:bCs w:val="false"/>
          <w:i w:val="false"/>
          <w:i w:val="false"/>
          <w:iCs w:val="false"/>
          <w:color w:val="333333"/>
          <w:sz w:val="20"/>
          <w:sz w:val="20"/>
          <w:szCs w:val="20"/>
          <w:rtl w:val="true"/>
        </w:rPr>
        <w:t xml:space="preserve">،الموطّأ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9:415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26752</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1:338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1:359</w:t>
      </w:r>
      <w:r>
        <w:rPr>
          <w:rFonts w:ascii="IRNazanin" w:hAnsi="IRNazanin" w:eastAsia="IRNazanin"/>
          <w:b w:val="false"/>
          <w:b w:val="false"/>
          <w:bCs w:val="false"/>
          <w:i w:val="false"/>
          <w:i w:val="false"/>
          <w:iCs w:val="false"/>
          <w:color w:val="333333"/>
          <w:sz w:val="20"/>
          <w:sz w:val="20"/>
          <w:szCs w:val="20"/>
          <w:rtl w:val="true"/>
        </w:rPr>
        <w:t xml:space="preserve">،الكافي لابن قدامة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1:185</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9:409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26729</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1:341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،مستدرك الحاكم </w:t>
      </w:r>
      <w:r>
        <w:rPr>
          <w:rFonts w:eastAsia="IRNazanin" w:cs="IRNazanin"/>
          <w:b w:val="false"/>
          <w:bCs w:val="false"/>
          <w:i w:val="false"/>
          <w:iCs w:val="false"/>
          <w:color w:val="333333"/>
          <w:sz w:val="20"/>
          <w:szCs w:val="20"/>
        </w:rPr>
        <w:t>1:174</w:t>
      </w:r>
      <w:r>
        <w:rPr>
          <w:rFonts w:eastAsia="IRNazanin" w:cs="IRNazanin"/>
          <w:b w:val="false"/>
          <w:bCs w:val="false"/>
          <w:i w:val="false"/>
          <w:iCs w:val="false"/>
          <w:color w:val="333333"/>
          <w:sz w:val="20"/>
          <w:szCs w:val="20"/>
          <w:rtl w:val="true"/>
        </w:rPr>
        <w:t>.</w:t>
      </w:r>
    </w:p>
  </w:footnote>
  <w:footnote w:id="1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1183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اللّغة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1:359</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2:431</w:t>
      </w:r>
      <w:r>
        <w:rPr>
          <w:rFonts w:eastAsia="IRNazanin" w:cs="IRNazanin"/>
          <w:b w:val="false"/>
          <w:bCs w:val="false"/>
          <w:i w:val="false"/>
          <w:iCs w:val="false"/>
          <w:color w:val="333333"/>
          <w:sz w:val="20"/>
          <w:szCs w:val="20"/>
          <w:rtl w:val="true"/>
        </w:rPr>
        <w:t>.</w:t>
      </w:r>
    </w:p>
  </w:footnote>
  <w:footnote w:id="1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1:182</w:t>
      </w:r>
      <w:r>
        <w:rPr>
          <w:rFonts w:ascii="IRNazanin" w:hAnsi="IRNazanin" w:eastAsia="IRNazanin"/>
          <w:b w:val="false"/>
          <w:b w:val="false"/>
          <w:bCs w:val="false"/>
          <w:i w:val="false"/>
          <w:i w:val="false"/>
          <w:iCs w:val="false"/>
          <w:color w:val="333333"/>
          <w:sz w:val="20"/>
          <w:sz w:val="20"/>
          <w:szCs w:val="20"/>
          <w:rtl w:val="true"/>
        </w:rPr>
        <w:t xml:space="preserve">،الموطّأ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الأصول </w:t>
      </w:r>
      <w:r>
        <w:rPr>
          <w:rFonts w:eastAsia="IRNazanin" w:cs="IRNazanin"/>
          <w:b w:val="false"/>
          <w:bCs w:val="false"/>
          <w:i w:val="false"/>
          <w:iCs w:val="false"/>
          <w:color w:val="333333"/>
          <w:sz w:val="20"/>
          <w:szCs w:val="20"/>
        </w:rPr>
        <w:t>8:234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5411</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9:633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27753</w:t>
      </w:r>
      <w:r>
        <w:rPr>
          <w:rFonts w:eastAsia="IRNazanin" w:cs="IRNazanin"/>
          <w:b w:val="false"/>
          <w:bCs w:val="false"/>
          <w:i w:val="false"/>
          <w:iCs w:val="false"/>
          <w:color w:val="333333"/>
          <w:sz w:val="20"/>
          <w:szCs w:val="20"/>
          <w:rtl w:val="true"/>
        </w:rPr>
        <w:t>.</w:t>
      </w:r>
    </w:p>
  </w:footnote>
  <w:footnote w:id="1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2:421</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1:360</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1:369</w:t>
      </w:r>
      <w:r>
        <w:rPr>
          <w:rFonts w:eastAsia="IRNazanin" w:cs="IRNazanin"/>
          <w:b w:val="false"/>
          <w:bCs w:val="false"/>
          <w:i w:val="false"/>
          <w:iCs w:val="false"/>
          <w:color w:val="333333"/>
          <w:sz w:val="20"/>
          <w:szCs w:val="20"/>
          <w:rtl w:val="true"/>
        </w:rPr>
        <w:t>.</w:t>
      </w:r>
    </w:p>
  </w:footnote>
  <w:footnote w:id="1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1:359</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1:369</w:t>
      </w:r>
      <w:r>
        <w:rPr>
          <w:rFonts w:eastAsia="IRNazanin" w:cs="IRNazanin"/>
          <w:b w:val="false"/>
          <w:bCs w:val="false"/>
          <w:i w:val="false"/>
          <w:iCs w:val="false"/>
          <w:color w:val="333333"/>
          <w:sz w:val="20"/>
          <w:szCs w:val="20"/>
          <w:rtl w:val="true"/>
        </w:rPr>
        <w:t>.</w:t>
      </w:r>
    </w:p>
  </w:footnote>
  <w:footnote w:id="1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1:360</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1:369</w:t>
      </w:r>
      <w:r>
        <w:rPr>
          <w:rFonts w:eastAsia="IRNazanin" w:cs="IRNazanin"/>
          <w:b w:val="false"/>
          <w:bCs w:val="false"/>
          <w:i w:val="false"/>
          <w:iCs w:val="false"/>
          <w:color w:val="333333"/>
          <w:sz w:val="20"/>
          <w:szCs w:val="20"/>
          <w:rtl w:val="true"/>
        </w:rPr>
        <w:t>.</w:t>
      </w:r>
    </w:p>
  </w:footnote>
  <w:footnote w:id="1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2:502</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1:361</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2:537</w:t>
      </w:r>
      <w:r>
        <w:rPr>
          <w:rFonts w:eastAsia="IRNazanin" w:cs="IRNazanin"/>
          <w:b w:val="false"/>
          <w:bCs w:val="false"/>
          <w:i w:val="false"/>
          <w:iCs w:val="false"/>
          <w:color w:val="333333"/>
          <w:sz w:val="20"/>
          <w:szCs w:val="20"/>
          <w:rtl w:val="true"/>
        </w:rPr>
        <w:t>.</w:t>
      </w:r>
    </w:p>
  </w:footnote>
  <w:footnote w:id="1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1:206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1:363</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1:361</w:t>
      </w:r>
      <w:r>
        <w:rPr>
          <w:rFonts w:ascii="IRNazanin" w:hAnsi="IRNazanin" w:eastAsia="IRNazanin"/>
          <w:b w:val="false"/>
          <w:b w:val="false"/>
          <w:bCs w:val="false"/>
          <w:i w:val="false"/>
          <w:i w:val="false"/>
          <w:iCs w:val="false"/>
          <w:color w:val="333333"/>
          <w:sz w:val="20"/>
          <w:sz w:val="20"/>
          <w:szCs w:val="20"/>
          <w:rtl w:val="true"/>
        </w:rPr>
        <w:t xml:space="preserve">،الكافي لابن قدامة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2:419</w:t>
      </w:r>
      <w:r>
        <w:rPr>
          <w:rFonts w:eastAsia="IRNazanin" w:cs="IRNazanin"/>
          <w:b w:val="false"/>
          <w:bCs w:val="false"/>
          <w:i w:val="false"/>
          <w:iCs w:val="false"/>
          <w:color w:val="333333"/>
          <w:sz w:val="20"/>
          <w:szCs w:val="20"/>
          <w:rtl w:val="true"/>
        </w:rPr>
        <w:t>.</w:t>
      </w:r>
    </w:p>
  </w:footnote>
  <w:footnote w:id="1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1:362</w:t>
      </w:r>
      <w:r>
        <w:rPr>
          <w:rFonts w:eastAsia="IRNazanin" w:cs="IRNazanin"/>
          <w:b w:val="false"/>
          <w:bCs w:val="false"/>
          <w:i w:val="false"/>
          <w:iCs w:val="false"/>
          <w:color w:val="333333"/>
          <w:sz w:val="20"/>
          <w:szCs w:val="20"/>
          <w:rtl w:val="true"/>
        </w:rPr>
        <w:t>.</w:t>
      </w:r>
    </w:p>
  </w:footnote>
  <w:footnote w:id="1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449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1179</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1180</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1:132</w:t>
      </w:r>
      <w:r>
        <w:rPr>
          <w:rFonts w:eastAsia="IRNazanin" w:cs="IRNazanin"/>
          <w:b w:val="false"/>
          <w:bCs w:val="false"/>
          <w:i w:val="false"/>
          <w:iCs w:val="false"/>
          <w:color w:val="333333"/>
          <w:sz w:val="20"/>
          <w:szCs w:val="20"/>
          <w:rtl w:val="true"/>
        </w:rPr>
        <w:t>.</w:t>
      </w:r>
    </w:p>
  </w:footnote>
  <w:footnote w:id="1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1:399</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3:175</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1:399</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3:175</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1:399</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3:175</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3:175</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2:417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2:470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فتح،الوهّاب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،السّراج الوهّاج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1:115</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w:t>
      </w:r>
    </w:p>
  </w:footnote>
  <w:footnote w:id="1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3:157</w:t>
      </w:r>
      <w:r>
        <w:rPr>
          <w:rFonts w:eastAsia="IRNazanin" w:cs="IRNazanin"/>
          <w:b w:val="false"/>
          <w:bCs w:val="false"/>
          <w:i w:val="false"/>
          <w:iCs w:val="false"/>
          <w:color w:val="333333"/>
          <w:sz w:val="20"/>
          <w:szCs w:val="20"/>
          <w:rtl w:val="true"/>
        </w:rPr>
        <w:t>.</w:t>
      </w:r>
    </w:p>
  </w:footnote>
  <w:footnote w:id="1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وقته</w:t>
      </w:r>
      <w:r>
        <w:rPr>
          <w:rFonts w:eastAsia="IRNazanin" w:cs="IRNazanin"/>
          <w:b w:val="false"/>
          <w:bCs w:val="false"/>
          <w:i w:val="false"/>
          <w:iCs w:val="false"/>
          <w:color w:val="333333"/>
          <w:sz w:val="20"/>
          <w:szCs w:val="20"/>
          <w:rtl w:val="true"/>
        </w:rPr>
        <w:t>.</w:t>
      </w:r>
    </w:p>
  </w:footnote>
  <w:footnote w:id="1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،سنن الدّارمي </w:t>
      </w:r>
      <w:r>
        <w:rPr>
          <w:rFonts w:eastAsia="IRNazanin" w:cs="IRNazanin"/>
          <w:b w:val="false"/>
          <w:bCs w:val="false"/>
          <w:i w:val="false"/>
          <w:iCs w:val="false"/>
          <w:color w:val="333333"/>
          <w:sz w:val="20"/>
          <w:szCs w:val="20"/>
        </w:rPr>
        <w:t>1:243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6:294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2:873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1211</w:t>
      </w:r>
      <w:r>
        <w:rPr>
          <w:rFonts w:eastAsia="IRNazanin" w:cs="IRNazanin"/>
          <w:b w:val="false"/>
          <w:bCs w:val="false"/>
          <w:i w:val="false"/>
          <w:iCs w:val="false"/>
          <w:color w:val="333333"/>
          <w:sz w:val="20"/>
          <w:szCs w:val="20"/>
          <w:rtl w:val="true"/>
        </w:rPr>
        <w:t>.</w:t>
      </w:r>
    </w:p>
  </w:footnote>
  <w:footnote w:id="1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3:179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3:179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3:182</w:t>
      </w:r>
      <w:r>
        <w:rPr>
          <w:rFonts w:eastAsia="IRNazanin" w:cs="IRNazanin"/>
          <w:b w:val="false"/>
          <w:bCs w:val="false"/>
          <w:i w:val="false"/>
          <w:iCs w:val="false"/>
          <w:color w:val="333333"/>
          <w:sz w:val="20"/>
          <w:szCs w:val="20"/>
          <w:rtl w:val="true"/>
        </w:rPr>
        <w:t>.</w:t>
      </w:r>
    </w:p>
  </w:footnote>
  <w:footnote w:id="1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3:180</w:t>
      </w:r>
      <w:r>
        <w:rPr>
          <w:rFonts w:eastAsia="IRNazanin" w:cs="IRNazanin"/>
          <w:b w:val="false"/>
          <w:bCs w:val="false"/>
          <w:i w:val="false"/>
          <w:iCs w:val="false"/>
          <w:color w:val="333333"/>
          <w:sz w:val="20"/>
          <w:szCs w:val="20"/>
          <w:rtl w:val="true"/>
        </w:rPr>
        <w:t>.</w:t>
      </w:r>
    </w:p>
  </w:footnote>
  <w:footnote w:id="1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3:181</w:t>
      </w:r>
      <w:r>
        <w:rPr>
          <w:rFonts w:eastAsia="IRNazanin" w:cs="IRNazanin"/>
          <w:b w:val="false"/>
          <w:bCs w:val="false"/>
          <w:i w:val="false"/>
          <w:iCs w:val="false"/>
          <w:color w:val="333333"/>
          <w:sz w:val="20"/>
          <w:szCs w:val="20"/>
          <w:rtl w:val="true"/>
        </w:rPr>
        <w:t>.</w:t>
      </w:r>
    </w:p>
  </w:footnote>
  <w:footnote w:id="1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1:397</w:t>
      </w:r>
      <w:r>
        <w:rPr>
          <w:rFonts w:eastAsia="IRNazanin" w:cs="IRNazanin"/>
          <w:b w:val="false"/>
          <w:bCs w:val="false"/>
          <w:i w:val="false"/>
          <w:iCs w:val="false"/>
          <w:color w:val="333333"/>
          <w:sz w:val="20"/>
          <w:szCs w:val="20"/>
          <w:rtl w:val="true"/>
        </w:rPr>
        <w:t>.</w:t>
      </w:r>
    </w:p>
  </w:footnote>
  <w:footnote w:id="1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1:396</w:t>
      </w:r>
      <w:r>
        <w:rPr>
          <w:rFonts w:eastAsia="IRNazanin" w:cs="IRNazanin"/>
          <w:b w:val="false"/>
          <w:bCs w:val="false"/>
          <w:i w:val="false"/>
          <w:iCs w:val="false"/>
          <w:color w:val="333333"/>
          <w:sz w:val="20"/>
          <w:szCs w:val="20"/>
          <w:rtl w:val="true"/>
        </w:rPr>
        <w:t>.</w:t>
      </w:r>
    </w:p>
  </w:footnote>
  <w:footnote w:id="1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3:181</w:t>
      </w:r>
      <w:r>
        <w:rPr>
          <w:rFonts w:eastAsia="IRNazanin" w:cs="IRNazanin"/>
          <w:b w:val="false"/>
          <w:bCs w:val="false"/>
          <w:i w:val="false"/>
          <w:iCs w:val="false"/>
          <w:color w:val="333333"/>
          <w:sz w:val="20"/>
          <w:szCs w:val="20"/>
          <w:rtl w:val="true"/>
        </w:rPr>
        <w:t>.</w:t>
      </w:r>
    </w:p>
  </w:footnote>
  <w:footnote w:id="1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w:t>
      </w:r>
    </w:p>
  </w:footnote>
  <w:footnote w:id="1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2:493</w:t>
      </w:r>
      <w:r>
        <w:rPr>
          <w:rFonts w:ascii="IRNazanin" w:hAnsi="IRNazanin" w:eastAsia="IRNazanin"/>
          <w:b w:val="false"/>
          <w:b w:val="false"/>
          <w:bCs w:val="false"/>
          <w:i w:val="false"/>
          <w:i w:val="false"/>
          <w:iCs w:val="false"/>
          <w:color w:val="333333"/>
          <w:sz w:val="20"/>
          <w:sz w:val="20"/>
          <w:szCs w:val="20"/>
          <w:rtl w:val="true"/>
        </w:rPr>
        <w:t>،السّراج الوهّاج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1:117</w:t>
      </w:r>
      <w:r>
        <w:rPr>
          <w:rFonts w:eastAsia="IRNazanin" w:cs="IRNazanin"/>
          <w:b w:val="false"/>
          <w:bCs w:val="false"/>
          <w:i w:val="false"/>
          <w:iCs w:val="false"/>
          <w:color w:val="333333"/>
          <w:sz w:val="20"/>
          <w:szCs w:val="20"/>
          <w:rtl w:val="true"/>
        </w:rPr>
        <w:t>.</w:t>
      </w:r>
    </w:p>
  </w:footnote>
  <w:footnote w:id="1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الأوّل</w:t>
      </w:r>
      <w:r>
        <w:rPr>
          <w:rFonts w:eastAsia="IRNazanin" w:cs="IRNazanin"/>
          <w:b w:val="false"/>
          <w:bCs w:val="false"/>
          <w:i w:val="false"/>
          <w:iCs w:val="false"/>
          <w:color w:val="333333"/>
          <w:sz w:val="20"/>
          <w:szCs w:val="20"/>
          <w:rtl w:val="true"/>
        </w:rPr>
        <w:t>.</w:t>
      </w:r>
    </w:p>
  </w:footnote>
  <w:footnote w:id="1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تنعكس</w:t>
      </w:r>
      <w:r>
        <w:rPr>
          <w:rFonts w:eastAsia="IRNazanin" w:cs="IRNazanin"/>
          <w:b w:val="false"/>
          <w:bCs w:val="false"/>
          <w:i w:val="false"/>
          <w:iCs w:val="false"/>
          <w:color w:val="333333"/>
          <w:sz w:val="20"/>
          <w:szCs w:val="20"/>
          <w:rtl w:val="true"/>
        </w:rPr>
        <w:t>.</w:t>
      </w:r>
    </w:p>
  </w:footnote>
  <w:footnote w:id="1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،الموطّأ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9:624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27712</w:t>
      </w:r>
      <w:r>
        <w:rPr>
          <w:rFonts w:ascii="IRNazanin" w:hAnsi="IRNazanin" w:eastAsia="IRNazanin"/>
          <w:b w:val="false"/>
          <w:b w:val="false"/>
          <w:bCs w:val="false"/>
          <w:i w:val="false"/>
          <w:i w:val="false"/>
          <w:iCs w:val="false"/>
          <w:color w:val="333333"/>
          <w:sz w:val="20"/>
          <w:sz w:val="20"/>
          <w:szCs w:val="20"/>
          <w:rtl w:val="true"/>
        </w:rPr>
        <w:t xml:space="preserve">،جامع الأصول </w:t>
      </w:r>
      <w:r>
        <w:rPr>
          <w:rFonts w:eastAsia="IRNazanin" w:cs="IRNazanin"/>
          <w:b w:val="false"/>
          <w:bCs w:val="false"/>
          <w:i w:val="false"/>
          <w:iCs w:val="false"/>
          <w:color w:val="333333"/>
          <w:sz w:val="20"/>
          <w:szCs w:val="20"/>
        </w:rPr>
        <w:t>8:239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5423</w:t>
      </w:r>
      <w:r>
        <w:rPr>
          <w:rFonts w:eastAsia="IRNazanin" w:cs="IRNazanin"/>
          <w:b w:val="false"/>
          <w:bCs w:val="false"/>
          <w:i w:val="false"/>
          <w:iCs w:val="false"/>
          <w:color w:val="333333"/>
          <w:sz w:val="20"/>
          <w:szCs w:val="20"/>
          <w:rtl w:val="true"/>
        </w:rPr>
        <w:t>.</w:t>
      </w:r>
    </w:p>
  </w:footnote>
  <w:footnote w:id="1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1:400</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،النّهاية لابن الأثير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1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3:156</w:t>
      </w:r>
      <w:r>
        <w:rPr>
          <w:rFonts w:ascii="IRNazanin" w:hAnsi="IRNazanin" w:eastAsia="IRNazanin"/>
          <w:b w:val="false"/>
          <w:b w:val="false"/>
          <w:bCs w:val="false"/>
          <w:i w:val="false"/>
          <w:i w:val="false"/>
          <w:iCs w:val="false"/>
          <w:color w:val="333333"/>
          <w:sz w:val="20"/>
          <w:sz w:val="20"/>
          <w:szCs w:val="20"/>
          <w:rtl w:val="true"/>
        </w:rPr>
        <w:t xml:space="preserve">،الهداية للمرغيناني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،شرح فتح القدير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2:502</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2:539</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1:400</w:t>
      </w:r>
      <w:r>
        <w:rPr>
          <w:rFonts w:eastAsia="IRNazanin" w:cs="IRNazanin"/>
          <w:b w:val="false"/>
          <w:bCs w:val="false"/>
          <w:i w:val="false"/>
          <w:iCs w:val="false"/>
          <w:color w:val="333333"/>
          <w:sz w:val="20"/>
          <w:szCs w:val="20"/>
          <w:rtl w:val="true"/>
        </w:rPr>
        <w:t>.</w:t>
      </w:r>
    </w:p>
  </w:footnote>
  <w:footnote w:id="1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2:501</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2:539</w:t>
      </w:r>
      <w:r>
        <w:rPr>
          <w:rFonts w:ascii="IRNazanin" w:hAnsi="IRNazanin" w:eastAsia="IRNazanin"/>
          <w:b w:val="false"/>
          <w:b w:val="false"/>
          <w:bCs w:val="false"/>
          <w:i w:val="false"/>
          <w:i w:val="false"/>
          <w:iCs w:val="false"/>
          <w:color w:val="333333"/>
          <w:sz w:val="20"/>
          <w:sz w:val="20"/>
          <w:szCs w:val="20"/>
          <w:rtl w:val="true"/>
        </w:rPr>
        <w:t xml:space="preserve">، ميزان الكبرى </w:t>
      </w:r>
      <w:r>
        <w:rPr>
          <w:rFonts w:eastAsia="IRNazanin" w:cs="IRNazanin"/>
          <w:b w:val="false"/>
          <w:bCs w:val="false"/>
          <w:i w:val="false"/>
          <w:iCs w:val="false"/>
          <w:color w:val="333333"/>
          <w:sz w:val="20"/>
          <w:szCs w:val="20"/>
        </w:rPr>
        <w:t>1:130</w:t>
      </w:r>
      <w:r>
        <w:rPr>
          <w:rFonts w:ascii="IRNazanin" w:hAnsi="IRNazanin" w:eastAsia="IRNazanin"/>
          <w:b w:val="false"/>
          <w:b w:val="false"/>
          <w:bCs w:val="false"/>
          <w:i w:val="false"/>
          <w:i w:val="false"/>
          <w:iCs w:val="false"/>
          <w:color w:val="333333"/>
          <w:sz w:val="20"/>
          <w:sz w:val="20"/>
          <w:szCs w:val="20"/>
          <w:rtl w:val="true"/>
        </w:rPr>
        <w:t xml:space="preserve">،فتح الوهّاب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،السّراج الوهّاج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1:119</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1:400</w:t>
      </w:r>
      <w:r>
        <w:rPr>
          <w:rFonts w:eastAsia="IRNazanin" w:cs="IRNazanin"/>
          <w:b w:val="false"/>
          <w:bCs w:val="false"/>
          <w:i w:val="false"/>
          <w:iCs w:val="false"/>
          <w:color w:val="333333"/>
          <w:sz w:val="20"/>
          <w:szCs w:val="20"/>
          <w:rtl w:val="true"/>
        </w:rPr>
        <w:t>.</w:t>
      </w:r>
    </w:p>
  </w:footnote>
  <w:footnote w:id="1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2:501</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2:536</w:t>
      </w:r>
      <w:r>
        <w:rPr>
          <w:rFonts w:ascii="IRNazanin" w:hAnsi="IRNazanin" w:eastAsia="IRNazanin"/>
          <w:b w:val="false"/>
          <w:b w:val="false"/>
          <w:bCs w:val="false"/>
          <w:i w:val="false"/>
          <w:i w:val="false"/>
          <w:iCs w:val="false"/>
          <w:color w:val="333333"/>
          <w:sz w:val="20"/>
          <w:sz w:val="20"/>
          <w:szCs w:val="20"/>
          <w:rtl w:val="true"/>
        </w:rPr>
        <w:t>،السّراج الوهّاج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1:119</w:t>
      </w:r>
      <w:r>
        <w:rPr>
          <w:rFonts w:eastAsia="IRNazanin" w:cs="IRNazanin"/>
          <w:b w:val="false"/>
          <w:bCs w:val="false"/>
          <w:i w:val="false"/>
          <w:iCs w:val="false"/>
          <w:color w:val="333333"/>
          <w:sz w:val="20"/>
          <w:szCs w:val="20"/>
          <w:rtl w:val="true"/>
        </w:rPr>
        <w:t>.</w:t>
      </w:r>
    </w:p>
  </w:footnote>
  <w:footnote w:id="1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1:400</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w:t>
      </w:r>
    </w:p>
  </w:footnote>
  <w:footnote w:id="1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1:400</w:t>
      </w:r>
      <w:r>
        <w:rPr>
          <w:rFonts w:eastAsia="IRNazanin" w:cs="IRNazanin"/>
          <w:b w:val="false"/>
          <w:bCs w:val="false"/>
          <w:i w:val="false"/>
          <w:iCs w:val="false"/>
          <w:color w:val="333333"/>
          <w:sz w:val="20"/>
          <w:szCs w:val="20"/>
          <w:rtl w:val="true"/>
        </w:rPr>
        <w:t>.</w:t>
      </w:r>
    </w:p>
  </w:footnote>
  <w:footnote w:id="1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1:400</w:t>
      </w:r>
      <w:r>
        <w:rPr>
          <w:rFonts w:eastAsia="IRNazanin" w:cs="IRNazanin"/>
          <w:b w:val="false"/>
          <w:bCs w:val="false"/>
          <w:i w:val="false"/>
          <w:iCs w:val="false"/>
          <w:color w:val="333333"/>
          <w:sz w:val="20"/>
          <w:szCs w:val="20"/>
          <w:rtl w:val="true"/>
        </w:rPr>
        <w:t>.</w:t>
      </w:r>
    </w:p>
  </w:footnote>
  <w:footnote w:id="1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1:400</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xml:space="preserve">،الكافي لابن قدامة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1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2:507</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3:154</w:t>
      </w:r>
      <w:r>
        <w:rPr>
          <w:rFonts w:eastAsia="IRNazanin" w:cs="IRNazanin"/>
          <w:b w:val="false"/>
          <w:bCs w:val="false"/>
          <w:i w:val="false"/>
          <w:iCs w:val="false"/>
          <w:color w:val="333333"/>
          <w:sz w:val="20"/>
          <w:szCs w:val="20"/>
          <w:rtl w:val="true"/>
        </w:rPr>
        <w:t>.</w:t>
      </w:r>
    </w:p>
  </w:footnote>
  <w:footnote w:id="1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1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للاطّلاع على الأقوال 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1:400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w:t>
      </w:r>
    </w:p>
  </w:footnote>
  <w:footnote w:id="1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منهم الشّيخ في المبسوط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 الحلي في المعتبر </w:t>
      </w:r>
      <w:r>
        <w:rPr>
          <w:rFonts w:eastAsia="IRNazanin" w:cs="IRNazanin"/>
          <w:b w:val="false"/>
          <w:bCs w:val="false"/>
          <w:i w:val="false"/>
          <w:iCs w:val="false"/>
          <w:color w:val="333333"/>
          <w:sz w:val="20"/>
          <w:szCs w:val="20"/>
        </w:rPr>
        <w:t>1:202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،و سلار في المراسم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و أبو الصلاح الحلبي في الكافي في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،و ابن إدريس في السّرائر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،و يحيى بن سعيد في الجامع للشّرائع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2:501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502</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2:537</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1:400</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1:354</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3:147</w:t>
      </w:r>
      <w:r>
        <w:rPr>
          <w:rFonts w:ascii="IRNazanin" w:hAnsi="IRNazanin" w:eastAsia="IRNazanin"/>
          <w:b w:val="false"/>
          <w:b w:val="false"/>
          <w:bCs w:val="false"/>
          <w:i w:val="false"/>
          <w:i w:val="false"/>
          <w:iCs w:val="false"/>
          <w:color w:val="333333"/>
          <w:sz w:val="20"/>
          <w:sz w:val="20"/>
          <w:szCs w:val="20"/>
          <w:rtl w:val="true"/>
        </w:rPr>
        <w:t xml:space="preserve">،الهداية للمرغيناني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المجموع </w:t>
      </w:r>
      <w:r>
        <w:rPr>
          <w:rFonts w:eastAsia="IRNazanin" w:cs="IRNazanin"/>
          <w:b w:val="false"/>
          <w:bCs w:val="false"/>
          <w:i w:val="false"/>
          <w:iCs w:val="false"/>
          <w:color w:val="333333"/>
          <w:sz w:val="20"/>
          <w:szCs w:val="20"/>
        </w:rPr>
        <w:t>2:380</w:t>
      </w:r>
      <w:r>
        <w:rPr>
          <w:rFonts w:ascii="IRNazanin" w:hAnsi="IRNazanin" w:eastAsia="IRNazanin"/>
          <w:b w:val="false"/>
          <w:b w:val="false"/>
          <w:bCs w:val="false"/>
          <w:i w:val="false"/>
          <w:i w:val="false"/>
          <w:iCs w:val="false"/>
          <w:color w:val="333333"/>
          <w:sz w:val="20"/>
          <w:sz w:val="20"/>
          <w:szCs w:val="20"/>
          <w:rtl w:val="true"/>
        </w:rPr>
        <w:t xml:space="preserve">،المحلّى </w:t>
      </w:r>
      <w:r>
        <w:rPr>
          <w:rFonts w:eastAsia="IRNazanin" w:cs="IRNazanin"/>
          <w:b w:val="false"/>
          <w:bCs w:val="false"/>
          <w:i w:val="false"/>
          <w:iCs w:val="false"/>
          <w:color w:val="333333"/>
          <w:sz w:val="20"/>
          <w:szCs w:val="20"/>
        </w:rPr>
        <w:t>2:193</w:t>
      </w:r>
      <w:r>
        <w:rPr>
          <w:rFonts w:ascii="IRNazanin" w:hAnsi="IRNazanin" w:eastAsia="IRNazanin"/>
          <w:b w:val="false"/>
          <w:b w:val="false"/>
          <w:bCs w:val="false"/>
          <w:i w:val="false"/>
          <w:i w:val="false"/>
          <w:iCs w:val="false"/>
          <w:color w:val="333333"/>
          <w:sz w:val="20"/>
          <w:sz w:val="20"/>
          <w:szCs w:val="20"/>
          <w:rtl w:val="true"/>
        </w:rPr>
        <w:t xml:space="preserve">،عمدة القارئ </w:t>
      </w:r>
      <w:r>
        <w:rPr>
          <w:rFonts w:eastAsia="IRNazanin" w:cs="IRNazanin"/>
          <w:b w:val="false"/>
          <w:bCs w:val="false"/>
          <w:i w:val="false"/>
          <w:iCs w:val="false"/>
          <w:color w:val="333333"/>
          <w:sz w:val="20"/>
          <w:szCs w:val="20"/>
        </w:rPr>
        <w:t>3:307</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1:228</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2:412</w:t>
      </w:r>
      <w:r>
        <w:rPr>
          <w:rFonts w:ascii="IRNazanin" w:hAnsi="IRNazanin" w:eastAsia="IRNazanin"/>
          <w:b w:val="false"/>
          <w:b w:val="false"/>
          <w:bCs w:val="false"/>
          <w:i w:val="false"/>
          <w:i w:val="false"/>
          <w:iCs w:val="false"/>
          <w:color w:val="333333"/>
          <w:sz w:val="20"/>
          <w:sz w:val="20"/>
          <w:szCs w:val="20"/>
          <w:rtl w:val="true"/>
        </w:rPr>
        <w:t xml:space="preserve">،شرح فتح القدير </w:t>
      </w:r>
      <w:r>
        <w:rPr>
          <w:rFonts w:eastAsia="IRNazanin" w:cs="IRNazanin"/>
          <w:b w:val="false"/>
          <w:bCs w:val="false"/>
          <w:i w:val="false"/>
          <w:iCs w:val="false"/>
          <w:color w:val="333333"/>
          <w:sz w:val="20"/>
          <w:szCs w:val="20"/>
        </w:rPr>
        <w:t>1:142</w:t>
      </w:r>
      <w:r>
        <w:rPr>
          <w:rFonts w:eastAsia="IRNazanin" w:cs="IRNazanin"/>
          <w:b w:val="false"/>
          <w:bCs w:val="false"/>
          <w:i w:val="false"/>
          <w:iCs w:val="false"/>
          <w:color w:val="333333"/>
          <w:sz w:val="20"/>
          <w:szCs w:val="20"/>
          <w:rtl w:val="true"/>
        </w:rPr>
        <w:t>.</w:t>
      </w:r>
    </w:p>
  </w:footnote>
  <w:footnote w:id="1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3:154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،شرح فتح القدير </w:t>
      </w:r>
      <w:r>
        <w:rPr>
          <w:rFonts w:eastAsia="IRNazanin" w:cs="IRNazanin"/>
          <w:b w:val="false"/>
          <w:bCs w:val="false"/>
          <w:i w:val="false"/>
          <w:iCs w:val="false"/>
          <w:color w:val="333333"/>
          <w:sz w:val="20"/>
          <w:szCs w:val="20"/>
        </w:rPr>
        <w:t>1:152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،الهداية للمرغيناني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3:155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،شرح فتح القدير </w:t>
      </w:r>
      <w:r>
        <w:rPr>
          <w:rFonts w:eastAsia="IRNazanin" w:cs="IRNazanin"/>
          <w:b w:val="false"/>
          <w:bCs w:val="false"/>
          <w:i w:val="false"/>
          <w:iCs w:val="false"/>
          <w:color w:val="333333"/>
          <w:sz w:val="20"/>
          <w:szCs w:val="20"/>
        </w:rPr>
        <w:t>1:153</w:t>
      </w:r>
      <w:r>
        <w:rPr>
          <w:rFonts w:eastAsia="IRNazanin" w:cs="IRNazanin"/>
          <w:b w:val="false"/>
          <w:bCs w:val="false"/>
          <w:i w:val="false"/>
          <w:iCs w:val="false"/>
          <w:color w:val="333333"/>
          <w:sz w:val="20"/>
          <w:szCs w:val="20"/>
          <w:rtl w:val="true"/>
        </w:rPr>
        <w:t>.</w:t>
      </w:r>
    </w:p>
  </w:footnote>
  <w:footnote w:id="1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3:153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،شرح فتح القدير </w:t>
      </w:r>
      <w:r>
        <w:rPr>
          <w:rFonts w:eastAsia="IRNazanin" w:cs="IRNazanin"/>
          <w:b w:val="false"/>
          <w:bCs w:val="false"/>
          <w:i w:val="false"/>
          <w:iCs w:val="false"/>
          <w:color w:val="333333"/>
          <w:sz w:val="20"/>
          <w:szCs w:val="20"/>
        </w:rPr>
        <w:t>1:153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3:156</w:t>
      </w:r>
      <w:r>
        <w:rPr>
          <w:rFonts w:ascii="IRNazanin" w:hAnsi="IRNazanin" w:eastAsia="IRNazanin"/>
          <w:b w:val="false"/>
          <w:b w:val="false"/>
          <w:bCs w:val="false"/>
          <w:i w:val="false"/>
          <w:i w:val="false"/>
          <w:iCs w:val="false"/>
          <w:color w:val="333333"/>
          <w:sz w:val="20"/>
          <w:sz w:val="20"/>
          <w:szCs w:val="20"/>
          <w:rtl w:val="true"/>
        </w:rPr>
        <w:t xml:space="preserve">،شرح فتح القدير </w:t>
      </w:r>
      <w:r>
        <w:rPr>
          <w:rFonts w:eastAsia="IRNazanin" w:cs="IRNazanin"/>
          <w:b w:val="false"/>
          <w:bCs w:val="false"/>
          <w:i w:val="false"/>
          <w:iCs w:val="false"/>
          <w:color w:val="333333"/>
          <w:sz w:val="20"/>
          <w:szCs w:val="20"/>
        </w:rPr>
        <w:t>1:153</w:t>
      </w:r>
      <w:r>
        <w:rPr>
          <w:rFonts w:eastAsia="IRNazanin" w:cs="IRNazanin"/>
          <w:b w:val="false"/>
          <w:bCs w:val="false"/>
          <w:i w:val="false"/>
          <w:iCs w:val="false"/>
          <w:color w:val="333333"/>
          <w:sz w:val="20"/>
          <w:szCs w:val="20"/>
          <w:rtl w:val="true"/>
        </w:rPr>
        <w:t>.</w:t>
      </w:r>
    </w:p>
  </w:footnote>
  <w:footnote w:id="1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3:157</w:t>
      </w:r>
      <w:r>
        <w:rPr>
          <w:rFonts w:ascii="IRNazanin" w:hAnsi="IRNazanin" w:eastAsia="IRNazanin"/>
          <w:b w:val="false"/>
          <w:b w:val="false"/>
          <w:bCs w:val="false"/>
          <w:i w:val="false"/>
          <w:i w:val="false"/>
          <w:iCs w:val="false"/>
          <w:color w:val="333333"/>
          <w:sz w:val="20"/>
          <w:sz w:val="20"/>
          <w:szCs w:val="20"/>
          <w:rtl w:val="true"/>
        </w:rPr>
        <w:t xml:space="preserve">،شرح فتح القدير </w:t>
      </w:r>
      <w:r>
        <w:rPr>
          <w:rFonts w:eastAsia="IRNazanin" w:cs="IRNazanin"/>
          <w:b w:val="false"/>
          <w:bCs w:val="false"/>
          <w:i w:val="false"/>
          <w:iCs w:val="false"/>
          <w:color w:val="333333"/>
          <w:sz w:val="20"/>
          <w:szCs w:val="20"/>
        </w:rPr>
        <w:t>1:154</w:t>
      </w:r>
      <w:r>
        <w:rPr>
          <w:rFonts w:eastAsia="IRNazanin" w:cs="IRNazanin"/>
          <w:b w:val="false"/>
          <w:bCs w:val="false"/>
          <w:i w:val="false"/>
          <w:iCs w:val="false"/>
          <w:color w:val="333333"/>
          <w:sz w:val="20"/>
          <w:szCs w:val="20"/>
          <w:rtl w:val="true"/>
        </w:rPr>
        <w:t>.</w:t>
      </w:r>
    </w:p>
  </w:footnote>
  <w:footnote w:id="1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3:157</w:t>
      </w:r>
      <w:r>
        <w:rPr>
          <w:rFonts w:ascii="IRNazanin" w:hAnsi="IRNazanin" w:eastAsia="IRNazanin"/>
          <w:b w:val="false"/>
          <w:b w:val="false"/>
          <w:bCs w:val="false"/>
          <w:i w:val="false"/>
          <w:i w:val="false"/>
          <w:iCs w:val="false"/>
          <w:color w:val="333333"/>
          <w:sz w:val="20"/>
          <w:sz w:val="20"/>
          <w:szCs w:val="20"/>
          <w:rtl w:val="true"/>
        </w:rPr>
        <w:t xml:space="preserve">،شرح فتح القدير </w:t>
      </w:r>
      <w:r>
        <w:rPr>
          <w:rFonts w:eastAsia="IRNazanin" w:cs="IRNazanin"/>
          <w:b w:val="false"/>
          <w:bCs w:val="false"/>
          <w:i w:val="false"/>
          <w:iCs w:val="false"/>
          <w:color w:val="333333"/>
          <w:sz w:val="20"/>
          <w:szCs w:val="20"/>
        </w:rPr>
        <w:t>1:154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3:157</w:t>
      </w:r>
      <w:r>
        <w:rPr>
          <w:rFonts w:ascii="IRNazanin" w:hAnsi="IRNazanin" w:eastAsia="IRNazanin"/>
          <w:b w:val="false"/>
          <w:b w:val="false"/>
          <w:bCs w:val="false"/>
          <w:i w:val="false"/>
          <w:i w:val="false"/>
          <w:iCs w:val="false"/>
          <w:color w:val="333333"/>
          <w:sz w:val="20"/>
          <w:sz w:val="20"/>
          <w:szCs w:val="20"/>
          <w:rtl w:val="true"/>
        </w:rPr>
        <w:t xml:space="preserve">،شرح فتح القدير </w:t>
      </w:r>
      <w:r>
        <w:rPr>
          <w:rFonts w:eastAsia="IRNazanin" w:cs="IRNazanin"/>
          <w:b w:val="false"/>
          <w:bCs w:val="false"/>
          <w:i w:val="false"/>
          <w:iCs w:val="false"/>
          <w:color w:val="333333"/>
          <w:sz w:val="20"/>
          <w:szCs w:val="20"/>
        </w:rPr>
        <w:t>1:154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1:155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،شرح فتح القدير </w:t>
      </w:r>
      <w:r>
        <w:rPr>
          <w:rFonts w:eastAsia="IRNazanin" w:cs="IRNazanin"/>
          <w:b w:val="false"/>
          <w:bCs w:val="false"/>
          <w:i w:val="false"/>
          <w:iCs w:val="false"/>
          <w:color w:val="333333"/>
          <w:sz w:val="20"/>
          <w:szCs w:val="20"/>
        </w:rPr>
        <w:t>1:153</w:t>
      </w:r>
      <w:r>
        <w:rPr>
          <w:rFonts w:eastAsia="IRNazanin" w:cs="IRNazanin"/>
          <w:b w:val="false"/>
          <w:bCs w:val="false"/>
          <w:i w:val="false"/>
          <w:iCs w:val="false"/>
          <w:color w:val="333333"/>
          <w:sz w:val="20"/>
          <w:szCs w:val="20"/>
          <w:rtl w:val="true"/>
        </w:rPr>
        <w:t>.</w:t>
      </w:r>
    </w:p>
  </w:footnote>
  <w:footnote w:id="1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1:155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،شرح فتح القدير </w:t>
      </w:r>
      <w:r>
        <w:rPr>
          <w:rFonts w:eastAsia="IRNazanin" w:cs="IRNazanin"/>
          <w:b w:val="false"/>
          <w:bCs w:val="false"/>
          <w:i w:val="false"/>
          <w:iCs w:val="false"/>
          <w:color w:val="333333"/>
          <w:sz w:val="20"/>
          <w:szCs w:val="20"/>
        </w:rPr>
        <w:t>1:153</w:t>
      </w:r>
      <w:r>
        <w:rPr>
          <w:rFonts w:eastAsia="IRNazanin" w:cs="IRNazanin"/>
          <w:b w:val="false"/>
          <w:bCs w:val="false"/>
          <w:i w:val="false"/>
          <w:iCs w:val="false"/>
          <w:color w:val="333333"/>
          <w:sz w:val="20"/>
          <w:szCs w:val="20"/>
          <w:rtl w:val="true"/>
        </w:rPr>
        <w:t>.</w:t>
      </w:r>
    </w:p>
  </w:footnote>
  <w:footnote w:id="1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3:155</w:t>
      </w:r>
      <w:r>
        <w:rPr>
          <w:rFonts w:ascii="IRNazanin" w:hAnsi="IRNazanin" w:eastAsia="IRNazanin"/>
          <w:b w:val="false"/>
          <w:b w:val="false"/>
          <w:bCs w:val="false"/>
          <w:i w:val="false"/>
          <w:i w:val="false"/>
          <w:iCs w:val="false"/>
          <w:color w:val="333333"/>
          <w:sz w:val="20"/>
          <w:sz w:val="20"/>
          <w:szCs w:val="20"/>
          <w:rtl w:val="true"/>
        </w:rPr>
        <w:t xml:space="preserve">،شرح فتح القدير </w:t>
      </w:r>
      <w:r>
        <w:rPr>
          <w:rFonts w:eastAsia="IRNazanin" w:cs="IRNazanin"/>
          <w:b w:val="false"/>
          <w:bCs w:val="false"/>
          <w:i w:val="false"/>
          <w:iCs w:val="false"/>
          <w:color w:val="333333"/>
          <w:sz w:val="20"/>
          <w:szCs w:val="20"/>
        </w:rPr>
        <w:t>1:153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3:155</w:t>
      </w:r>
      <w:r>
        <w:rPr>
          <w:rFonts w:ascii="IRNazanin" w:hAnsi="IRNazanin" w:eastAsia="IRNazanin"/>
          <w:b w:val="false"/>
          <w:b w:val="false"/>
          <w:bCs w:val="false"/>
          <w:i w:val="false"/>
          <w:i w:val="false"/>
          <w:iCs w:val="false"/>
          <w:color w:val="333333"/>
          <w:sz w:val="20"/>
          <w:sz w:val="20"/>
          <w:szCs w:val="20"/>
          <w:rtl w:val="true"/>
        </w:rPr>
        <w:t xml:space="preserve">،شرح فتح القدير </w:t>
      </w:r>
      <w:r>
        <w:rPr>
          <w:rFonts w:eastAsia="IRNazanin" w:cs="IRNazanin"/>
          <w:b w:val="false"/>
          <w:bCs w:val="false"/>
          <w:i w:val="false"/>
          <w:iCs w:val="false"/>
          <w:color w:val="333333"/>
          <w:sz w:val="20"/>
          <w:szCs w:val="20"/>
        </w:rPr>
        <w:t>1:153</w:t>
      </w:r>
      <w:r>
        <w:rPr>
          <w:rFonts w:eastAsia="IRNazanin" w:cs="IRNazanin"/>
          <w:b w:val="false"/>
          <w:bCs w:val="false"/>
          <w:i w:val="false"/>
          <w:iCs w:val="false"/>
          <w:color w:val="333333"/>
          <w:sz w:val="20"/>
          <w:szCs w:val="20"/>
          <w:rtl w:val="true"/>
        </w:rPr>
        <w:t>.</w:t>
      </w:r>
    </w:p>
  </w:footnote>
  <w:footnote w:id="1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3:180</w:t>
      </w:r>
      <w:r>
        <w:rPr>
          <w:rFonts w:ascii="IRNazanin" w:hAnsi="IRNazanin" w:eastAsia="IRNazanin"/>
          <w:b w:val="false"/>
          <w:b w:val="false"/>
          <w:bCs w:val="false"/>
          <w:i w:val="false"/>
          <w:i w:val="false"/>
          <w:iCs w:val="false"/>
          <w:color w:val="333333"/>
          <w:sz w:val="20"/>
          <w:sz w:val="20"/>
          <w:szCs w:val="20"/>
          <w:rtl w:val="true"/>
        </w:rPr>
        <w:t xml:space="preserve">،شرح فتح القدير </w:t>
      </w:r>
      <w:r>
        <w:rPr>
          <w:rFonts w:eastAsia="IRNazanin" w:cs="IRNazanin"/>
          <w:b w:val="false"/>
          <w:bCs w:val="false"/>
          <w:i w:val="false"/>
          <w:iCs w:val="false"/>
          <w:color w:val="333333"/>
          <w:sz w:val="20"/>
          <w:szCs w:val="20"/>
        </w:rPr>
        <w:t>1:153</w:t>
      </w:r>
      <w:r>
        <w:rPr>
          <w:rFonts w:eastAsia="IRNazanin" w:cs="IRNazanin"/>
          <w:b w:val="false"/>
          <w:bCs w:val="false"/>
          <w:i w:val="false"/>
          <w:iCs w:val="false"/>
          <w:color w:val="333333"/>
          <w:sz w:val="20"/>
          <w:szCs w:val="20"/>
          <w:rtl w:val="true"/>
        </w:rPr>
        <w:t>.</w:t>
      </w:r>
    </w:p>
  </w:footnote>
  <w:footnote w:id="1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3:180</w:t>
      </w:r>
      <w:r>
        <w:rPr>
          <w:rFonts w:eastAsia="IRNazanin" w:cs="IRNazanin"/>
          <w:b w:val="false"/>
          <w:bCs w:val="false"/>
          <w:i w:val="false"/>
          <w:iCs w:val="false"/>
          <w:color w:val="333333"/>
          <w:sz w:val="20"/>
          <w:szCs w:val="20"/>
          <w:rtl w:val="true"/>
        </w:rPr>
        <w:t>.</w:t>
      </w:r>
    </w:p>
  </w:footnote>
  <w:footnote w:id="1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هامش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زمن</w:t>
      </w:r>
      <w:r>
        <w:rPr>
          <w:rFonts w:eastAsia="IRNazanin" w:cs="IRNazanin"/>
          <w:b w:val="false"/>
          <w:bCs w:val="false"/>
          <w:i w:val="false"/>
          <w:iCs w:val="false"/>
          <w:color w:val="333333"/>
          <w:sz w:val="20"/>
          <w:szCs w:val="20"/>
          <w:rtl w:val="true"/>
        </w:rPr>
        <w:t>.</w:t>
      </w:r>
    </w:p>
  </w:footnote>
  <w:footnote w:id="1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بتفاوت،و بهذا اللّفظ،انظر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1:347</w:t>
      </w:r>
      <w:r>
        <w:rPr>
          <w:rFonts w:eastAsia="IRNazanin" w:cs="IRNazanin"/>
          <w:b w:val="false"/>
          <w:bCs w:val="false"/>
          <w:i w:val="false"/>
          <w:iCs w:val="false"/>
          <w:color w:val="333333"/>
          <w:sz w:val="20"/>
          <w:szCs w:val="20"/>
          <w:rtl w:val="true"/>
        </w:rPr>
        <w:t>.</w:t>
      </w:r>
    </w:p>
  </w:footnote>
  <w:footnote w:id="1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1:221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1:203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622</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6:439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الأصول </w:t>
      </w:r>
      <w:r>
        <w:rPr>
          <w:rFonts w:eastAsia="IRNazanin" w:cs="IRNazanin"/>
          <w:b w:val="false"/>
          <w:bCs w:val="false"/>
          <w:i w:val="false"/>
          <w:iCs w:val="false"/>
          <w:color w:val="333333"/>
          <w:sz w:val="20"/>
          <w:szCs w:val="20"/>
        </w:rPr>
        <w:t>8:231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5405</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9:629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27741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بعضها بتفاوت يسير</w:t>
      </w:r>
      <w:r>
        <w:rPr>
          <w:rFonts w:eastAsia="IRNazanin" w:cs="IRNazanin"/>
          <w:b w:val="false"/>
          <w:bCs w:val="false"/>
          <w:i w:val="false"/>
          <w:iCs w:val="false"/>
          <w:color w:val="333333"/>
          <w:sz w:val="20"/>
          <w:szCs w:val="20"/>
          <w:rtl w:val="true"/>
        </w:rPr>
        <w:t>.</w:t>
      </w:r>
    </w:p>
  </w:footnote>
  <w:footnote w:id="1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1:217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1:118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سنن ابن ماجه </w:t>
      </w:r>
      <w:r>
        <w:rPr>
          <w:rFonts w:eastAsia="IRNazanin" w:cs="IRNazanin"/>
          <w:b w:val="false"/>
          <w:bCs w:val="false"/>
          <w:i w:val="false"/>
          <w:iCs w:val="false"/>
          <w:color w:val="333333"/>
          <w:sz w:val="20"/>
          <w:szCs w:val="20"/>
        </w:rPr>
        <w:t>1:203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621</w:t>
      </w:r>
      <w:r>
        <w:rPr>
          <w:rFonts w:ascii="IRNazanin" w:hAnsi="IRNazanin" w:eastAsia="IRNazanin"/>
          <w:b w:val="false"/>
          <w:b w:val="false"/>
          <w:bCs w:val="false"/>
          <w:i w:val="false"/>
          <w:i w:val="false"/>
          <w:iCs w:val="false"/>
          <w:color w:val="333333"/>
          <w:sz w:val="20"/>
          <w:sz w:val="20"/>
          <w:szCs w:val="20"/>
          <w:rtl w:val="true"/>
        </w:rPr>
        <w:t xml:space="preserve">،الموطّأ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الجميع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تقعد عن الصّلاة أيّام الحيض</w:t>
      </w:r>
      <w:r>
        <w:rPr>
          <w:rFonts w:eastAsia="IRNazanin" w:cs="IRNazanin"/>
          <w:b w:val="false"/>
          <w:bCs w:val="false"/>
          <w:i w:val="false"/>
          <w:iCs w:val="false"/>
          <w:color w:val="333333"/>
          <w:sz w:val="20"/>
          <w:szCs w:val="20"/>
          <w:rtl w:val="true"/>
        </w:rPr>
        <w:t>.</w:t>
      </w:r>
    </w:p>
  </w:footnote>
  <w:footnote w:id="1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1215</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498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2:587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1178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1:217</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2:192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xml:space="preserve">، المجموع </w:t>
      </w:r>
      <w:r>
        <w:rPr>
          <w:rFonts w:eastAsia="IRNazanin" w:cs="IRNazanin"/>
          <w:b w:val="false"/>
          <w:bCs w:val="false"/>
          <w:i w:val="false"/>
          <w:iCs w:val="false"/>
          <w:color w:val="333333"/>
          <w:sz w:val="20"/>
          <w:szCs w:val="20"/>
        </w:rPr>
        <w:t>2:353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،السّراج الوهّاج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،ميزان الكبرى </w:t>
      </w:r>
      <w:r>
        <w:rPr>
          <w:rFonts w:eastAsia="IRNazanin" w:cs="IRNazanin"/>
          <w:b w:val="false"/>
          <w:bCs w:val="false"/>
          <w:i w:val="false"/>
          <w:iCs w:val="false"/>
          <w:color w:val="333333"/>
          <w:sz w:val="20"/>
          <w:szCs w:val="20"/>
        </w:rPr>
        <w:t>1:164</w:t>
      </w:r>
      <w:r>
        <w:rPr>
          <w:rFonts w:ascii="IRNazanin" w:hAnsi="IRNazanin" w:eastAsia="IRNazanin"/>
          <w:b w:val="false"/>
          <w:b w:val="false"/>
          <w:bCs w:val="false"/>
          <w:i w:val="false"/>
          <w:i w:val="false"/>
          <w:iCs w:val="false"/>
          <w:color w:val="333333"/>
          <w:sz w:val="20"/>
          <w:sz w:val="20"/>
          <w:szCs w:val="20"/>
          <w:rtl w:val="true"/>
        </w:rPr>
        <w:t xml:space="preserve">،رحمة الأمّة بهامش ميزان الكبرى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2:355</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2:420</w:t>
      </w:r>
      <w:r>
        <w:rPr>
          <w:rFonts w:ascii="IRNazanin" w:hAnsi="IRNazanin" w:eastAsia="IRNazanin"/>
          <w:b w:val="false"/>
          <w:b w:val="false"/>
          <w:bCs w:val="false"/>
          <w:i w:val="false"/>
          <w:i w:val="false"/>
          <w:iCs w:val="false"/>
          <w:color w:val="333333"/>
          <w:sz w:val="20"/>
          <w:sz w:val="20"/>
          <w:szCs w:val="20"/>
          <w:rtl w:val="true"/>
        </w:rPr>
        <w:t>،السّراج الوهّاج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1:109</w:t>
      </w:r>
      <w:r>
        <w:rPr>
          <w:rFonts w:eastAsia="IRNazanin" w:cs="IRNazanin"/>
          <w:b w:val="false"/>
          <w:bCs w:val="false"/>
          <w:i w:val="false"/>
          <w:iCs w:val="false"/>
          <w:color w:val="333333"/>
          <w:sz w:val="20"/>
          <w:szCs w:val="20"/>
          <w:rtl w:val="true"/>
        </w:rPr>
        <w:t>.</w:t>
      </w:r>
    </w:p>
  </w:footnote>
  <w:footnote w:id="1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2:355</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2:420</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1:109</w:t>
      </w:r>
      <w:r>
        <w:rPr>
          <w:rFonts w:eastAsia="IRNazanin" w:cs="IRNazanin"/>
          <w:b w:val="false"/>
          <w:bCs w:val="false"/>
          <w:i w:val="false"/>
          <w:iCs w:val="false"/>
          <w:color w:val="333333"/>
          <w:sz w:val="20"/>
          <w:szCs w:val="20"/>
          <w:rtl w:val="true"/>
        </w:rPr>
        <w:t>.</w:t>
      </w:r>
    </w:p>
  </w:footnote>
  <w:footnote w:id="1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2:355</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2:420</w:t>
      </w:r>
      <w:r>
        <w:rPr>
          <w:rFonts w:eastAsia="IRNazanin" w:cs="IRNazanin"/>
          <w:b w:val="false"/>
          <w:bCs w:val="false"/>
          <w:i w:val="false"/>
          <w:iCs w:val="false"/>
          <w:color w:val="333333"/>
          <w:sz w:val="20"/>
          <w:szCs w:val="20"/>
          <w:rtl w:val="true"/>
        </w:rPr>
        <w:t>.</w:t>
      </w:r>
    </w:p>
  </w:footnote>
  <w:footnote w:id="1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جديد</w:t>
      </w:r>
      <w:r>
        <w:rPr>
          <w:rFonts w:eastAsia="IRNazanin" w:cs="IRNazanin"/>
          <w:b w:val="false"/>
          <w:bCs w:val="false"/>
          <w:i w:val="false"/>
          <w:iCs w:val="false"/>
          <w:color w:val="333333"/>
          <w:sz w:val="20"/>
          <w:szCs w:val="20"/>
          <w:rtl w:val="true"/>
        </w:rPr>
        <w:t>.</w:t>
      </w:r>
    </w:p>
  </w:footnote>
  <w:footnote w:id="1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الجميع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تقعد عن الصّلاة أيّام الحيض</w:t>
      </w:r>
      <w:r>
        <w:rPr>
          <w:rFonts w:eastAsia="IRNazanin" w:cs="IRNazanin"/>
          <w:b w:val="false"/>
          <w:bCs w:val="false"/>
          <w:i w:val="false"/>
          <w:iCs w:val="false"/>
          <w:color w:val="333333"/>
          <w:sz w:val="20"/>
          <w:szCs w:val="20"/>
          <w:rtl w:val="true"/>
        </w:rPr>
        <w:t>.</w:t>
      </w:r>
    </w:p>
  </w:footnote>
  <w:footnote w:id="1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1230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1183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في المعتبر </w:t>
      </w:r>
      <w:r>
        <w:rPr>
          <w:rFonts w:eastAsia="IRNazanin" w:cs="IRNazanin"/>
          <w:b w:val="false"/>
          <w:bCs w:val="false"/>
          <w:i w:val="false"/>
          <w:iCs w:val="false"/>
          <w:color w:val="333333"/>
          <w:sz w:val="20"/>
          <w:szCs w:val="20"/>
        </w:rPr>
        <w:t>1:213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بيانه في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1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1192</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2:578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1:213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1:287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1132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الجنابة،حديث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1:166</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1:241</w:t>
      </w:r>
      <w:r>
        <w:rPr>
          <w:rFonts w:ascii="IRNazanin" w:hAnsi="IRNazanin" w:eastAsia="IRNazanin"/>
          <w:b w:val="false"/>
          <w:b w:val="false"/>
          <w:bCs w:val="false"/>
          <w:i w:val="false"/>
          <w:i w:val="false"/>
          <w:iCs w:val="false"/>
          <w:color w:val="333333"/>
          <w:sz w:val="20"/>
          <w:sz w:val="20"/>
          <w:szCs w:val="20"/>
          <w:rtl w:val="true"/>
        </w:rPr>
        <w:t xml:space="preserve">،أحكام القرآن للجصّاص </w:t>
      </w:r>
      <w:r>
        <w:rPr>
          <w:rFonts w:eastAsia="IRNazanin" w:cs="IRNazanin"/>
          <w:b w:val="false"/>
          <w:bCs w:val="false"/>
          <w:i w:val="false"/>
          <w:iCs w:val="false"/>
          <w:color w:val="333333"/>
          <w:sz w:val="20"/>
          <w:szCs w:val="20"/>
        </w:rPr>
        <w:t>3:168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القرطبي </w:t>
      </w:r>
      <w:r>
        <w:rPr>
          <w:rFonts w:eastAsia="IRNazanin" w:cs="IRNazanin"/>
          <w:b w:val="false"/>
          <w:bCs w:val="false"/>
          <w:i w:val="false"/>
          <w:iCs w:val="false"/>
          <w:color w:val="333333"/>
          <w:sz w:val="20"/>
          <w:szCs w:val="20"/>
        </w:rPr>
        <w:t>5:206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1:287</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2:160</w:t>
      </w:r>
      <w:r>
        <w:rPr>
          <w:rFonts w:eastAsia="IRNazanin" w:cs="IRNazanin"/>
          <w:b w:val="false"/>
          <w:bCs w:val="false"/>
          <w:i w:val="false"/>
          <w:iCs w:val="false"/>
          <w:color w:val="333333"/>
          <w:sz w:val="20"/>
          <w:szCs w:val="20"/>
          <w:rtl w:val="true"/>
        </w:rPr>
        <w:t>.</w:t>
      </w:r>
    </w:p>
  </w:footnote>
  <w:footnote w:id="1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1:166</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1:241</w:t>
      </w:r>
      <w:r>
        <w:rPr>
          <w:rFonts w:ascii="IRNazanin" w:hAnsi="IRNazanin" w:eastAsia="IRNazanin"/>
          <w:b w:val="false"/>
          <w:b w:val="false"/>
          <w:bCs w:val="false"/>
          <w:i w:val="false"/>
          <w:i w:val="false"/>
          <w:iCs w:val="false"/>
          <w:color w:val="333333"/>
          <w:sz w:val="20"/>
          <w:sz w:val="20"/>
          <w:szCs w:val="20"/>
          <w:rtl w:val="true"/>
        </w:rPr>
        <w:t xml:space="preserve">،أحكام القرآن للجصّاص </w:t>
      </w:r>
      <w:r>
        <w:rPr>
          <w:rFonts w:eastAsia="IRNazanin" w:cs="IRNazanin"/>
          <w:b w:val="false"/>
          <w:bCs w:val="false"/>
          <w:i w:val="false"/>
          <w:iCs w:val="false"/>
          <w:color w:val="333333"/>
          <w:sz w:val="20"/>
          <w:szCs w:val="20"/>
        </w:rPr>
        <w:t>3:168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2:160</w:t>
      </w:r>
      <w:r>
        <w:rPr>
          <w:rFonts w:eastAsia="IRNazanin" w:cs="IRNazanin"/>
          <w:b w:val="false"/>
          <w:bCs w:val="false"/>
          <w:i w:val="false"/>
          <w:iCs w:val="false"/>
          <w:color w:val="333333"/>
          <w:sz w:val="20"/>
          <w:szCs w:val="20"/>
          <w:rtl w:val="true"/>
        </w:rPr>
        <w:t>.</w:t>
      </w:r>
    </w:p>
  </w:footnote>
  <w:footnote w:id="1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1:166</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2:160</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1:241</w:t>
      </w:r>
      <w:r>
        <w:rPr>
          <w:rFonts w:eastAsia="IRNazanin" w:cs="IRNazanin"/>
          <w:b w:val="false"/>
          <w:bCs w:val="false"/>
          <w:i w:val="false"/>
          <w:iCs w:val="false"/>
          <w:color w:val="333333"/>
          <w:sz w:val="20"/>
          <w:szCs w:val="20"/>
          <w:rtl w:val="true"/>
        </w:rPr>
        <w:t>.</w:t>
      </w:r>
    </w:p>
  </w:footnote>
  <w:footnote w:id="1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المدوّنة الكبرى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،تفسير القرطبي </w:t>
      </w:r>
      <w:r>
        <w:rPr>
          <w:rFonts w:eastAsia="IRNazanin" w:cs="IRNazanin"/>
          <w:b w:val="false"/>
          <w:bCs w:val="false"/>
          <w:i w:val="false"/>
          <w:iCs w:val="false"/>
          <w:color w:val="333333"/>
          <w:sz w:val="20"/>
          <w:szCs w:val="20"/>
        </w:rPr>
        <w:t>5:206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1:166</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1:241</w:t>
      </w:r>
      <w:r>
        <w:rPr>
          <w:rFonts w:eastAsia="IRNazanin" w:cs="IRNazanin"/>
          <w:b w:val="false"/>
          <w:bCs w:val="false"/>
          <w:i w:val="false"/>
          <w:iCs w:val="false"/>
          <w:color w:val="333333"/>
          <w:sz w:val="20"/>
          <w:szCs w:val="20"/>
          <w:rtl w:val="true"/>
        </w:rPr>
        <w:t>.</w:t>
      </w:r>
    </w:p>
  </w:footnote>
  <w:footnote w:id="1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2:160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1:109</w:t>
      </w:r>
      <w:r>
        <w:rPr>
          <w:rFonts w:ascii="IRNazanin" w:hAnsi="IRNazanin" w:eastAsia="IRNazanin"/>
          <w:b w:val="false"/>
          <w:b w:val="false"/>
          <w:bCs w:val="false"/>
          <w:i w:val="false"/>
          <w:i w:val="false"/>
          <w:iCs w:val="false"/>
          <w:color w:val="333333"/>
          <w:sz w:val="20"/>
          <w:sz w:val="20"/>
          <w:szCs w:val="20"/>
          <w:rtl w:val="true"/>
        </w:rPr>
        <w:t>،السّراج الوهّاج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،أحكام القرآن للجصّاص </w:t>
      </w:r>
      <w:r>
        <w:rPr>
          <w:rFonts w:eastAsia="IRNazanin" w:cs="IRNazanin"/>
          <w:b w:val="false"/>
          <w:bCs w:val="false"/>
          <w:i w:val="false"/>
          <w:iCs w:val="false"/>
          <w:color w:val="333333"/>
          <w:sz w:val="20"/>
          <w:szCs w:val="20"/>
        </w:rPr>
        <w:t>3:168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1:166</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،تفسير القرطبي </w:t>
      </w:r>
      <w:r>
        <w:rPr>
          <w:rFonts w:eastAsia="IRNazanin" w:cs="IRNazanin"/>
          <w:b w:val="false"/>
          <w:bCs w:val="false"/>
          <w:i w:val="false"/>
          <w:iCs w:val="false"/>
          <w:color w:val="333333"/>
          <w:sz w:val="20"/>
          <w:szCs w:val="20"/>
        </w:rPr>
        <w:t>5:206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1:287</w:t>
      </w:r>
      <w:r>
        <w:rPr>
          <w:rFonts w:eastAsia="IRNazanin" w:cs="IRNazanin"/>
          <w:b w:val="false"/>
          <w:bCs w:val="false"/>
          <w:i w:val="false"/>
          <w:iCs w:val="false"/>
          <w:color w:val="333333"/>
          <w:sz w:val="20"/>
          <w:szCs w:val="20"/>
          <w:rtl w:val="true"/>
        </w:rPr>
        <w:t>.</w:t>
      </w:r>
    </w:p>
  </w:footnote>
  <w:footnote w:id="1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1:166</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1:241</w:t>
      </w:r>
      <w:r>
        <w:rPr>
          <w:rFonts w:ascii="IRNazanin" w:hAnsi="IRNazanin" w:eastAsia="IRNazanin"/>
          <w:b w:val="false"/>
          <w:b w:val="false"/>
          <w:bCs w:val="false"/>
          <w:i w:val="false"/>
          <w:i w:val="false"/>
          <w:iCs w:val="false"/>
          <w:color w:val="333333"/>
          <w:sz w:val="20"/>
          <w:sz w:val="20"/>
          <w:szCs w:val="20"/>
          <w:rtl w:val="true"/>
        </w:rPr>
        <w:t xml:space="preserve">،المحلّى </w:t>
      </w:r>
      <w:r>
        <w:rPr>
          <w:rFonts w:eastAsia="IRNazanin" w:cs="IRNazanin"/>
          <w:b w:val="false"/>
          <w:bCs w:val="false"/>
          <w:i w:val="false"/>
          <w:iCs w:val="false"/>
          <w:color w:val="333333"/>
          <w:sz w:val="20"/>
          <w:szCs w:val="20"/>
        </w:rPr>
        <w:t>2:185</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2:160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1:118</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،شرح فتح القدير </w:t>
      </w:r>
      <w:r>
        <w:rPr>
          <w:rFonts w:eastAsia="IRNazanin" w:cs="IRNazanin"/>
          <w:b w:val="false"/>
          <w:bCs w:val="false"/>
          <w:i w:val="false"/>
          <w:iCs w:val="false"/>
          <w:color w:val="333333"/>
          <w:sz w:val="20"/>
          <w:szCs w:val="20"/>
        </w:rPr>
        <w:t>1:147</w:t>
      </w:r>
      <w:r>
        <w:rPr>
          <w:rFonts w:eastAsia="IRNazanin" w:cs="IRNazanin"/>
          <w:b w:val="false"/>
          <w:bCs w:val="false"/>
          <w:i w:val="false"/>
          <w:iCs w:val="false"/>
          <w:color w:val="333333"/>
          <w:sz w:val="20"/>
          <w:szCs w:val="20"/>
          <w:rtl w:val="true"/>
        </w:rPr>
        <w:t>.</w:t>
      </w:r>
    </w:p>
  </w:footnote>
  <w:footnote w:id="1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1:166</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1:241</w:t>
      </w:r>
      <w:r>
        <w:rPr>
          <w:rFonts w:ascii="IRNazanin" w:hAnsi="IRNazanin" w:eastAsia="IRNazanin"/>
          <w:b w:val="false"/>
          <w:b w:val="false"/>
          <w:bCs w:val="false"/>
          <w:i w:val="false"/>
          <w:i w:val="false"/>
          <w:iCs w:val="false"/>
          <w:color w:val="333333"/>
          <w:sz w:val="20"/>
          <w:sz w:val="20"/>
          <w:szCs w:val="20"/>
          <w:rtl w:val="true"/>
        </w:rPr>
        <w:t xml:space="preserve">،المحلّى </w:t>
      </w:r>
      <w:r>
        <w:rPr>
          <w:rFonts w:eastAsia="IRNazanin" w:cs="IRNazanin"/>
          <w:b w:val="false"/>
          <w:bCs w:val="false"/>
          <w:i w:val="false"/>
          <w:iCs w:val="false"/>
          <w:color w:val="333333"/>
          <w:sz w:val="20"/>
          <w:szCs w:val="20"/>
        </w:rPr>
        <w:t>2:185</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2:160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القرطبي </w:t>
      </w:r>
      <w:r>
        <w:rPr>
          <w:rFonts w:eastAsia="IRNazanin" w:cs="IRNazanin"/>
          <w:b w:val="false"/>
          <w:bCs w:val="false"/>
          <w:i w:val="false"/>
          <w:iCs w:val="false"/>
          <w:color w:val="333333"/>
          <w:sz w:val="20"/>
          <w:szCs w:val="20"/>
        </w:rPr>
        <w:t>5:206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1:241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،سنن الدّارمي </w:t>
      </w:r>
      <w:r>
        <w:rPr>
          <w:rFonts w:eastAsia="IRNazanin" w:cs="IRNazanin"/>
          <w:b w:val="false"/>
          <w:bCs w:val="false"/>
          <w:i w:val="false"/>
          <w:iCs w:val="false"/>
          <w:color w:val="333333"/>
          <w:sz w:val="20"/>
          <w:szCs w:val="20"/>
        </w:rPr>
        <w:t>1:248</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1:146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1:207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632</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1:285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9:414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26748</w:t>
      </w:r>
      <w:r>
        <w:rPr>
          <w:rFonts w:eastAsia="IRNazanin" w:cs="IRNazanin"/>
          <w:b w:val="false"/>
          <w:bCs w:val="false"/>
          <w:i w:val="false"/>
          <w:iCs w:val="false"/>
          <w:color w:val="333333"/>
          <w:sz w:val="20"/>
          <w:szCs w:val="20"/>
          <w:rtl w:val="true"/>
        </w:rPr>
        <w:t>.</w:t>
      </w:r>
    </w:p>
  </w:footnote>
  <w:footnote w:id="1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1132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الجنابة،حديث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أحكام القرآن للجصّاص </w:t>
      </w:r>
      <w:r>
        <w:rPr>
          <w:rFonts w:eastAsia="IRNazanin" w:cs="IRNazanin"/>
          <w:b w:val="false"/>
          <w:bCs w:val="false"/>
          <w:i w:val="false"/>
          <w:iCs w:val="false"/>
          <w:color w:val="333333"/>
          <w:sz w:val="20"/>
          <w:szCs w:val="20"/>
        </w:rPr>
        <w:t>3:168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الهداية للمرغيناني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،شرح فتح القدير </w:t>
      </w:r>
      <w:r>
        <w:rPr>
          <w:rFonts w:eastAsia="IRNazanin" w:cs="IRNazanin"/>
          <w:b w:val="false"/>
          <w:bCs w:val="false"/>
          <w:i w:val="false"/>
          <w:iCs w:val="false"/>
          <w:color w:val="333333"/>
          <w:sz w:val="20"/>
          <w:szCs w:val="20"/>
        </w:rPr>
        <w:t>1:146</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1:287</w:t>
      </w:r>
      <w:r>
        <w:rPr>
          <w:rFonts w:ascii="IRNazanin" w:hAnsi="IRNazanin" w:eastAsia="IRNazanin"/>
          <w:b w:val="false"/>
          <w:b w:val="false"/>
          <w:bCs w:val="false"/>
          <w:i w:val="false"/>
          <w:i w:val="false"/>
          <w:iCs w:val="false"/>
          <w:color w:val="333333"/>
          <w:sz w:val="20"/>
          <w:sz w:val="20"/>
          <w:szCs w:val="20"/>
          <w:rtl w:val="true"/>
        </w:rPr>
        <w:t xml:space="preserve">،المحلّى </w:t>
      </w:r>
      <w:r>
        <w:rPr>
          <w:rFonts w:eastAsia="IRNazanin" w:cs="IRNazanin"/>
          <w:b w:val="false"/>
          <w:bCs w:val="false"/>
          <w:i w:val="false"/>
          <w:iCs w:val="false"/>
          <w:color w:val="333333"/>
          <w:sz w:val="20"/>
          <w:szCs w:val="20"/>
        </w:rPr>
        <w:t>2:185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1:287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1132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الجنابة،حديث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في المعتبر </w:t>
      </w:r>
      <w:r>
        <w:rPr>
          <w:rFonts w:eastAsia="IRNazanin" w:cs="IRNazanin"/>
          <w:b w:val="false"/>
          <w:bCs w:val="false"/>
          <w:i w:val="false"/>
          <w:iCs w:val="false"/>
          <w:color w:val="333333"/>
          <w:sz w:val="20"/>
          <w:szCs w:val="20"/>
        </w:rPr>
        <w:t>1:222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2:358</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1:109</w:t>
      </w:r>
      <w:r>
        <w:rPr>
          <w:rFonts w:ascii="IRNazanin" w:hAnsi="IRNazanin" w:eastAsia="IRNazanin"/>
          <w:b w:val="false"/>
          <w:b w:val="false"/>
          <w:bCs w:val="false"/>
          <w:i w:val="false"/>
          <w:i w:val="false"/>
          <w:iCs w:val="false"/>
          <w:color w:val="333333"/>
          <w:sz w:val="20"/>
          <w:sz w:val="20"/>
          <w:szCs w:val="20"/>
          <w:rtl w:val="true"/>
        </w:rPr>
        <w:t>،السّراج الوهّاج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،فتح الوهّاب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1233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2:195</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2:874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1211</w:t>
      </w:r>
      <w:r>
        <w:rPr>
          <w:rFonts w:ascii="IRNazanin" w:hAnsi="IRNazanin" w:eastAsia="IRNazanin"/>
          <w:b w:val="false"/>
          <w:b w:val="false"/>
          <w:bCs w:val="false"/>
          <w:i w:val="false"/>
          <w:i w:val="false"/>
          <w:iCs w:val="false"/>
          <w:color w:val="333333"/>
          <w:sz w:val="20"/>
          <w:sz w:val="20"/>
          <w:szCs w:val="20"/>
          <w:rtl w:val="true"/>
        </w:rPr>
        <w:t xml:space="preserve">،سنن الدّارمي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الموطّأ </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6:273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5:119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1:165</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1:240</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2:357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المحلّى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،بلغة السّالك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1:165</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1:240</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3:152</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2:143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فتح القدير </w:t>
      </w:r>
      <w:r>
        <w:rPr>
          <w:rFonts w:eastAsia="IRNazanin" w:cs="IRNazanin"/>
          <w:b w:val="false"/>
          <w:bCs w:val="false"/>
          <w:i w:val="false"/>
          <w:iCs w:val="false"/>
          <w:color w:val="333333"/>
          <w:sz w:val="20"/>
          <w:szCs w:val="20"/>
        </w:rPr>
        <w:t>1:148</w:t>
      </w:r>
      <w:r>
        <w:rPr>
          <w:rFonts w:eastAsia="IRNazanin" w:cs="IRNazanin"/>
          <w:b w:val="false"/>
          <w:bCs w:val="false"/>
          <w:i w:val="false"/>
          <w:iCs w:val="false"/>
          <w:color w:val="333333"/>
          <w:sz w:val="20"/>
          <w:szCs w:val="20"/>
          <w:rtl w:val="true"/>
        </w:rPr>
        <w:t>.</w:t>
      </w:r>
    </w:p>
  </w:footnote>
  <w:footnote w:id="1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2:356</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2:143</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2:158</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2:143</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،السّراج الوهّاج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،فتح الوهّاب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1:166</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1:241</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1:284</w:t>
      </w:r>
      <w:r>
        <w:rPr>
          <w:rFonts w:eastAsia="IRNazanin" w:cs="IRNazanin"/>
          <w:b w:val="false"/>
          <w:bCs w:val="false"/>
          <w:i w:val="false"/>
          <w:iCs w:val="false"/>
          <w:color w:val="333333"/>
          <w:sz w:val="20"/>
          <w:szCs w:val="20"/>
          <w:rtl w:val="true"/>
        </w:rPr>
        <w:t>.</w:t>
      </w:r>
    </w:p>
  </w:footnote>
  <w:footnote w:id="1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1132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المرسلات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6:77</w:t>
      </w:r>
      <w:r>
        <w:rPr>
          <w:rFonts w:ascii="IRNazanin" w:hAnsi="IRNazanin" w:eastAsia="IRNazanin"/>
          <w:b w:val="false"/>
          <w:b w:val="false"/>
          <w:bCs w:val="false"/>
          <w:i w:val="false"/>
          <w:i w:val="false"/>
          <w:iCs w:val="false"/>
          <w:color w:val="333333"/>
          <w:sz w:val="20"/>
          <w:sz w:val="20"/>
          <w:szCs w:val="20"/>
          <w:rtl w:val="true"/>
        </w:rPr>
        <w:t xml:space="preserve">،و نقل بمعناه في التّفسير الكبير </w:t>
      </w:r>
      <w:r>
        <w:rPr>
          <w:rFonts w:eastAsia="IRNazanin" w:cs="IRNazanin"/>
          <w:b w:val="false"/>
          <w:bCs w:val="false"/>
          <w:i w:val="false"/>
          <w:iCs w:val="false"/>
          <w:color w:val="333333"/>
          <w:sz w:val="20"/>
          <w:szCs w:val="20"/>
        </w:rPr>
        <w:t>15:146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سنن التّرمذي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1:105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،سنن الدّارمي </w:t>
      </w:r>
      <w:r>
        <w:rPr>
          <w:rFonts w:eastAsia="IRNazanin" w:cs="IRNazanin"/>
          <w:b w:val="false"/>
          <w:bCs w:val="false"/>
          <w:i w:val="false"/>
          <w:iCs w:val="false"/>
          <w:color w:val="333333"/>
          <w:sz w:val="20"/>
          <w:szCs w:val="20"/>
        </w:rPr>
        <w:t>1:174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الموطّأ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طريق الخاصّة،انظر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السّواك،حديث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684</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فليصلّها إذا ذكرها</w:t>
      </w:r>
      <w:r>
        <w:rPr>
          <w:rFonts w:eastAsia="IRNazanin" w:cs="IRNazanin"/>
          <w:b w:val="false"/>
          <w:bCs w:val="false"/>
          <w:i w:val="false"/>
          <w:iCs w:val="false"/>
          <w:color w:val="333333"/>
          <w:sz w:val="20"/>
          <w:szCs w:val="20"/>
          <w:rtl w:val="true"/>
        </w:rPr>
        <w:t>.</w:t>
      </w:r>
    </w:p>
  </w:footnote>
  <w:footnote w:id="1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1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أضفناه لاستقامة المعنى</w:t>
      </w:r>
      <w:r>
        <w:rPr>
          <w:rFonts w:eastAsia="IRNazanin" w:cs="IRNazanin"/>
          <w:b w:val="false"/>
          <w:bCs w:val="false"/>
          <w:i w:val="false"/>
          <w:iCs w:val="false"/>
          <w:color w:val="333333"/>
          <w:sz w:val="20"/>
          <w:szCs w:val="20"/>
          <w:rtl w:val="true"/>
        </w:rPr>
        <w:t>.</w:t>
      </w:r>
    </w:p>
  </w:footnote>
  <w:footnote w:id="1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w:t>
      </w:r>
      <w:r>
        <w:rPr>
          <w:rFonts w:eastAsia="IRNazanin" w:cs="IRNazanin"/>
          <w:b w:val="false"/>
          <w:bCs w:val="false"/>
          <w:i w:val="false"/>
          <w:iCs w:val="false"/>
          <w:color w:val="333333"/>
          <w:sz w:val="20"/>
          <w:szCs w:val="20"/>
          <w:rtl w:val="true"/>
        </w:rPr>
        <w:t>.</w:t>
      </w:r>
    </w:p>
  </w:footnote>
  <w:footnote w:id="1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1:224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1:384</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1:350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لابن قدامة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2:366</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2:428</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1:349</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Pr>
        <w:t>1:321</w:t>
      </w:r>
      <w:r>
        <w:rPr>
          <w:rFonts w:ascii="IRNazanin" w:hAnsi="IRNazanin" w:eastAsia="IRNazanin"/>
          <w:b w:val="false"/>
          <w:b w:val="false"/>
          <w:bCs w:val="false"/>
          <w:i w:val="false"/>
          <w:i w:val="false"/>
          <w:iCs w:val="false"/>
          <w:color w:val="333333"/>
          <w:sz w:val="20"/>
          <w:sz w:val="20"/>
          <w:szCs w:val="20"/>
          <w:rtl w:val="true"/>
        </w:rPr>
        <w:t xml:space="preserve">،عمدة القارئ </w:t>
      </w:r>
      <w:r>
        <w:rPr>
          <w:rFonts w:eastAsia="IRNazanin" w:cs="IRNazanin"/>
          <w:b w:val="false"/>
          <w:bCs w:val="false"/>
          <w:i w:val="false"/>
          <w:iCs w:val="false"/>
          <w:color w:val="333333"/>
          <w:sz w:val="20"/>
          <w:szCs w:val="20"/>
        </w:rPr>
        <w:t>3:267</w:t>
      </w:r>
      <w:r>
        <w:rPr>
          <w:rFonts w:ascii="IRNazanin" w:hAnsi="IRNazanin" w:eastAsia="IRNazanin"/>
          <w:b w:val="false"/>
          <w:b w:val="false"/>
          <w:bCs w:val="false"/>
          <w:i w:val="false"/>
          <w:i w:val="false"/>
          <w:iCs w:val="false"/>
          <w:color w:val="333333"/>
          <w:sz w:val="20"/>
          <w:sz w:val="20"/>
          <w:szCs w:val="20"/>
          <w:rtl w:val="true"/>
        </w:rPr>
        <w:t xml:space="preserve">، شرح النّووي لصحيح مسلم بهامش إرشاد السّاري </w:t>
      </w:r>
      <w:r>
        <w:rPr>
          <w:rFonts w:eastAsia="IRNazanin" w:cs="IRNazanin"/>
          <w:b w:val="false"/>
          <w:bCs w:val="false"/>
          <w:i w:val="false"/>
          <w:iCs w:val="false"/>
          <w:color w:val="333333"/>
          <w:sz w:val="20"/>
          <w:szCs w:val="20"/>
        </w:rPr>
        <w:t>2:335</w:t>
      </w:r>
      <w:r>
        <w:rPr>
          <w:rFonts w:ascii="IRNazanin" w:hAnsi="IRNazanin" w:eastAsia="IRNazanin"/>
          <w:b w:val="false"/>
          <w:b w:val="false"/>
          <w:bCs w:val="false"/>
          <w:i w:val="false"/>
          <w:i w:val="false"/>
          <w:iCs w:val="false"/>
          <w:color w:val="333333"/>
          <w:sz w:val="20"/>
          <w:sz w:val="20"/>
          <w:szCs w:val="20"/>
          <w:rtl w:val="true"/>
        </w:rPr>
        <w:t xml:space="preserve">،ميزان الكبرى </w:t>
      </w:r>
      <w:r>
        <w:rPr>
          <w:rFonts w:eastAsia="IRNazanin" w:cs="IRNazanin"/>
          <w:b w:val="false"/>
          <w:bCs w:val="false"/>
          <w:i w:val="false"/>
          <w:iCs w:val="false"/>
          <w:color w:val="333333"/>
          <w:sz w:val="20"/>
          <w:szCs w:val="20"/>
        </w:rPr>
        <w:t>1:129</w:t>
      </w:r>
      <w:r>
        <w:rPr>
          <w:rFonts w:ascii="IRNazanin" w:hAnsi="IRNazanin" w:eastAsia="IRNazanin"/>
          <w:b w:val="false"/>
          <w:b w:val="false"/>
          <w:bCs w:val="false"/>
          <w:i w:val="false"/>
          <w:i w:val="false"/>
          <w:iCs w:val="false"/>
          <w:color w:val="333333"/>
          <w:sz w:val="20"/>
          <w:sz w:val="20"/>
          <w:szCs w:val="20"/>
          <w:rtl w:val="true"/>
        </w:rPr>
        <w:t xml:space="preserve">،رحمة الأمة بهامش ميزان الكبرى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2:363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1:384</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1:349</w:t>
      </w:r>
      <w:r>
        <w:rPr>
          <w:rFonts w:ascii="IRNazanin" w:hAnsi="IRNazanin" w:eastAsia="IRNazanin"/>
          <w:b w:val="false"/>
          <w:b w:val="false"/>
          <w:bCs w:val="false"/>
          <w:i w:val="false"/>
          <w:i w:val="false"/>
          <w:iCs w:val="false"/>
          <w:color w:val="333333"/>
          <w:sz w:val="20"/>
          <w:sz w:val="20"/>
          <w:szCs w:val="20"/>
          <w:rtl w:val="true"/>
        </w:rPr>
        <w:t xml:space="preserve">،المحلّى </w:t>
      </w:r>
      <w:r>
        <w:rPr>
          <w:rFonts w:eastAsia="IRNazanin" w:cs="IRNazanin"/>
          <w:b w:val="false"/>
          <w:bCs w:val="false"/>
          <w:i w:val="false"/>
          <w:iCs w:val="false"/>
          <w:color w:val="333333"/>
          <w:sz w:val="20"/>
          <w:szCs w:val="20"/>
        </w:rPr>
        <w:t>2:183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عمدة القارئ </w:t>
      </w:r>
      <w:r>
        <w:rPr>
          <w:rFonts w:eastAsia="IRNazanin" w:cs="IRNazanin"/>
          <w:b w:val="false"/>
          <w:bCs w:val="false"/>
          <w:i w:val="false"/>
          <w:iCs w:val="false"/>
          <w:color w:val="333333"/>
          <w:sz w:val="20"/>
          <w:szCs w:val="20"/>
        </w:rPr>
        <w:t>3:267</w:t>
      </w:r>
      <w:r>
        <w:rPr>
          <w:rFonts w:ascii="IRNazanin" w:hAnsi="IRNazanin" w:eastAsia="IRNazanin"/>
          <w:b w:val="false"/>
          <w:b w:val="false"/>
          <w:bCs w:val="false"/>
          <w:i w:val="false"/>
          <w:i w:val="false"/>
          <w:iCs w:val="false"/>
          <w:color w:val="333333"/>
          <w:sz w:val="20"/>
          <w:sz w:val="20"/>
          <w:szCs w:val="20"/>
          <w:rtl w:val="true"/>
        </w:rPr>
        <w:t xml:space="preserve">،شرح النّووي لصحيح مسلم بهامش إرشاد السّاري </w:t>
      </w:r>
      <w:r>
        <w:rPr>
          <w:rFonts w:eastAsia="IRNazanin" w:cs="IRNazanin"/>
          <w:b w:val="false"/>
          <w:bCs w:val="false"/>
          <w:i w:val="false"/>
          <w:iCs w:val="false"/>
          <w:color w:val="333333"/>
          <w:sz w:val="20"/>
          <w:szCs w:val="20"/>
        </w:rPr>
        <w:t>2:335</w:t>
      </w:r>
      <w:r>
        <w:rPr>
          <w:rFonts w:eastAsia="IRNazanin" w:cs="IRNazanin"/>
          <w:b w:val="false"/>
          <w:bCs w:val="false"/>
          <w:i w:val="false"/>
          <w:iCs w:val="false"/>
          <w:color w:val="333333"/>
          <w:sz w:val="20"/>
          <w:szCs w:val="20"/>
          <w:rtl w:val="true"/>
        </w:rPr>
        <w:t>.</w:t>
      </w:r>
    </w:p>
  </w:footnote>
  <w:footnote w:id="1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في المعتبر </w:t>
      </w:r>
      <w:r>
        <w:rPr>
          <w:rFonts w:eastAsia="IRNazanin" w:cs="IRNazanin"/>
          <w:b w:val="false"/>
          <w:bCs w:val="false"/>
          <w:i w:val="false"/>
          <w:iCs w:val="false"/>
          <w:color w:val="333333"/>
          <w:sz w:val="20"/>
          <w:szCs w:val="20"/>
        </w:rPr>
        <w:t>1:224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أحكام القرآن للجصّاص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القرطبي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،عمدة القارئ </w:t>
      </w:r>
      <w:r>
        <w:rPr>
          <w:rFonts w:eastAsia="IRNazanin" w:cs="IRNazanin"/>
          <w:b w:val="false"/>
          <w:bCs w:val="false"/>
          <w:i w:val="false"/>
          <w:iCs w:val="false"/>
          <w:color w:val="333333"/>
          <w:sz w:val="20"/>
          <w:szCs w:val="20"/>
        </w:rPr>
        <w:t>3:266</w:t>
      </w:r>
      <w:r>
        <w:rPr>
          <w:rFonts w:ascii="IRNazanin" w:hAnsi="IRNazanin" w:eastAsia="IRNazanin"/>
          <w:b w:val="false"/>
          <w:b w:val="false"/>
          <w:bCs w:val="false"/>
          <w:i w:val="false"/>
          <w:i w:val="false"/>
          <w:iCs w:val="false"/>
          <w:color w:val="333333"/>
          <w:sz w:val="20"/>
          <w:sz w:val="20"/>
          <w:szCs w:val="20"/>
          <w:rtl w:val="true"/>
        </w:rPr>
        <w:t xml:space="preserve">،شرح فتح القدير </w:t>
      </w:r>
      <w:r>
        <w:rPr>
          <w:rFonts w:eastAsia="IRNazanin" w:cs="IRNazanin"/>
          <w:b w:val="false"/>
          <w:bCs w:val="false"/>
          <w:i w:val="false"/>
          <w:iCs w:val="false"/>
          <w:color w:val="333333"/>
          <w:sz w:val="20"/>
          <w:szCs w:val="20"/>
        </w:rPr>
        <w:t>1:147</w:t>
      </w:r>
      <w:r>
        <w:rPr>
          <w:rFonts w:ascii="IRNazanin" w:hAnsi="IRNazanin" w:eastAsia="IRNazanin"/>
          <w:b w:val="false"/>
          <w:b w:val="false"/>
          <w:bCs w:val="false"/>
          <w:i w:val="false"/>
          <w:i w:val="false"/>
          <w:iCs w:val="false"/>
          <w:color w:val="333333"/>
          <w:sz w:val="20"/>
          <w:sz w:val="20"/>
          <w:szCs w:val="20"/>
          <w:rtl w:val="true"/>
        </w:rPr>
        <w:t xml:space="preserve">،شرح النّووي لصحيح مسلم بهامش إرشاد السّاري </w:t>
      </w:r>
      <w:r>
        <w:rPr>
          <w:rFonts w:eastAsia="IRNazanin" w:cs="IRNazanin"/>
          <w:b w:val="false"/>
          <w:bCs w:val="false"/>
          <w:i w:val="false"/>
          <w:iCs w:val="false"/>
          <w:color w:val="333333"/>
          <w:sz w:val="20"/>
          <w:szCs w:val="20"/>
        </w:rPr>
        <w:t>2:335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1:349</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1:384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المحلّى </w:t>
      </w:r>
      <w:r>
        <w:rPr>
          <w:rFonts w:eastAsia="IRNazanin" w:cs="IRNazanin"/>
          <w:b w:val="false"/>
          <w:bCs w:val="false"/>
          <w:i w:val="false"/>
          <w:iCs w:val="false"/>
          <w:color w:val="333333"/>
          <w:sz w:val="20"/>
          <w:szCs w:val="20"/>
        </w:rPr>
        <w:t>2:176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2:365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2:428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ميزان الكبرى </w:t>
      </w:r>
      <w:r>
        <w:rPr>
          <w:rFonts w:eastAsia="IRNazanin" w:cs="IRNazanin"/>
          <w:b w:val="false"/>
          <w:bCs w:val="false"/>
          <w:i w:val="false"/>
          <w:iCs w:val="false"/>
          <w:color w:val="333333"/>
          <w:sz w:val="20"/>
          <w:szCs w:val="20"/>
        </w:rPr>
        <w:t>1:129</w:t>
      </w:r>
      <w:r>
        <w:rPr>
          <w:rFonts w:ascii="IRNazanin" w:hAnsi="IRNazanin" w:eastAsia="IRNazanin"/>
          <w:b w:val="false"/>
          <w:b w:val="false"/>
          <w:bCs w:val="false"/>
          <w:i w:val="false"/>
          <w:i w:val="false"/>
          <w:iCs w:val="false"/>
          <w:color w:val="333333"/>
          <w:sz w:val="20"/>
          <w:sz w:val="20"/>
          <w:szCs w:val="20"/>
          <w:rtl w:val="true"/>
        </w:rPr>
        <w:t xml:space="preserve">،رحمة الأمة بهامش ميزان الكبرى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المدوّنة الكبرى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،تفسير القرطبي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الشّرح الصّغير بهامش بلغة السّالك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،أحكام القرآن للجصّاص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1:384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ميزان الكبرى </w:t>
      </w:r>
      <w:r>
        <w:rPr>
          <w:rFonts w:eastAsia="IRNazanin" w:cs="IRNazanin"/>
          <w:b w:val="false"/>
          <w:bCs w:val="false"/>
          <w:i w:val="false"/>
          <w:iCs w:val="false"/>
          <w:color w:val="333333"/>
          <w:sz w:val="20"/>
          <w:szCs w:val="20"/>
        </w:rPr>
        <w:t>1:129</w:t>
      </w:r>
      <w:r>
        <w:rPr>
          <w:rFonts w:ascii="IRNazanin" w:hAnsi="IRNazanin" w:eastAsia="IRNazanin"/>
          <w:b w:val="false"/>
          <w:b w:val="false"/>
          <w:bCs w:val="false"/>
          <w:i w:val="false"/>
          <w:i w:val="false"/>
          <w:iCs w:val="false"/>
          <w:color w:val="333333"/>
          <w:sz w:val="20"/>
          <w:sz w:val="20"/>
          <w:szCs w:val="20"/>
          <w:rtl w:val="true"/>
        </w:rPr>
        <w:t xml:space="preserve">،عمدة القارئ </w:t>
      </w:r>
      <w:r>
        <w:rPr>
          <w:rFonts w:eastAsia="IRNazanin" w:cs="IRNazanin"/>
          <w:b w:val="false"/>
          <w:bCs w:val="false"/>
          <w:i w:val="false"/>
          <w:iCs w:val="false"/>
          <w:color w:val="333333"/>
          <w:sz w:val="20"/>
          <w:szCs w:val="20"/>
        </w:rPr>
        <w:t>3:266</w:t>
      </w:r>
      <w:r>
        <w:rPr>
          <w:rFonts w:ascii="IRNazanin" w:hAnsi="IRNazanin" w:eastAsia="IRNazanin"/>
          <w:b w:val="false"/>
          <w:b w:val="false"/>
          <w:bCs w:val="false"/>
          <w:i w:val="false"/>
          <w:i w:val="false"/>
          <w:iCs w:val="false"/>
          <w:color w:val="333333"/>
          <w:sz w:val="20"/>
          <w:sz w:val="20"/>
          <w:szCs w:val="20"/>
          <w:rtl w:val="true"/>
        </w:rPr>
        <w:t xml:space="preserve">،شرح فتح القدير </w:t>
      </w:r>
      <w:r>
        <w:rPr>
          <w:rFonts w:eastAsia="IRNazanin" w:cs="IRNazanin"/>
          <w:b w:val="false"/>
          <w:bCs w:val="false"/>
          <w:i w:val="false"/>
          <w:iCs w:val="false"/>
          <w:color w:val="333333"/>
          <w:sz w:val="20"/>
          <w:szCs w:val="20"/>
        </w:rPr>
        <w:t>1:147</w:t>
      </w:r>
      <w:r>
        <w:rPr>
          <w:rFonts w:ascii="IRNazanin" w:hAnsi="IRNazanin" w:eastAsia="IRNazanin"/>
          <w:b w:val="false"/>
          <w:b w:val="false"/>
          <w:bCs w:val="false"/>
          <w:i w:val="false"/>
          <w:i w:val="false"/>
          <w:iCs w:val="false"/>
          <w:color w:val="333333"/>
          <w:sz w:val="20"/>
          <w:sz w:val="20"/>
          <w:szCs w:val="20"/>
          <w:rtl w:val="true"/>
        </w:rPr>
        <w:t xml:space="preserve">،المحلّى </w:t>
      </w:r>
      <w:r>
        <w:rPr>
          <w:rFonts w:eastAsia="IRNazanin" w:cs="IRNazanin"/>
          <w:b w:val="false"/>
          <w:bCs w:val="false"/>
          <w:i w:val="false"/>
          <w:iCs w:val="false"/>
          <w:color w:val="333333"/>
          <w:sz w:val="20"/>
          <w:szCs w:val="20"/>
        </w:rPr>
        <w:t>2:176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النّووي لصحيح مسلم بهامش إرشاد السّاري </w:t>
      </w:r>
      <w:r>
        <w:rPr>
          <w:rFonts w:eastAsia="IRNazanin" w:cs="IRNazanin"/>
          <w:b w:val="false"/>
          <w:bCs w:val="false"/>
          <w:i w:val="false"/>
          <w:iCs w:val="false"/>
          <w:color w:val="333333"/>
          <w:sz w:val="20"/>
          <w:szCs w:val="20"/>
        </w:rPr>
        <w:t>2:335</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2:365</w:t>
      </w:r>
      <w:r>
        <w:rPr>
          <w:rFonts w:ascii="IRNazanin" w:hAnsi="IRNazanin" w:eastAsia="IRNazanin"/>
          <w:b w:val="false"/>
          <w:b w:val="false"/>
          <w:bCs w:val="false"/>
          <w:i w:val="false"/>
          <w:i w:val="false"/>
          <w:iCs w:val="false"/>
          <w:color w:val="333333"/>
          <w:sz w:val="20"/>
          <w:sz w:val="20"/>
          <w:szCs w:val="20"/>
          <w:rtl w:val="true"/>
        </w:rPr>
        <w:t xml:space="preserve">،رحمة الأمة بهامش ميزان الكبرى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1:349</w:t>
      </w:r>
      <w:r>
        <w:rPr>
          <w:rFonts w:ascii="IRNazanin" w:hAnsi="IRNazanin" w:eastAsia="IRNazanin"/>
          <w:b w:val="false"/>
          <w:b w:val="false"/>
          <w:bCs w:val="false"/>
          <w:i w:val="false"/>
          <w:i w:val="false"/>
          <w:iCs w:val="false"/>
          <w:color w:val="333333"/>
          <w:sz w:val="20"/>
          <w:sz w:val="20"/>
          <w:szCs w:val="20"/>
          <w:rtl w:val="true"/>
        </w:rPr>
        <w:t xml:space="preserve">،مقدّمات ابن رشد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2:362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النّووي لصحيح مسلم بهامش إرشاد السّاري </w:t>
      </w:r>
      <w:r>
        <w:rPr>
          <w:rFonts w:eastAsia="IRNazanin" w:cs="IRNazanin"/>
          <w:b w:val="false"/>
          <w:bCs w:val="false"/>
          <w:i w:val="false"/>
          <w:iCs w:val="false"/>
          <w:color w:val="333333"/>
          <w:sz w:val="20"/>
          <w:szCs w:val="20"/>
        </w:rPr>
        <w:t>2:335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فتح الوهّاب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،رحمة الأمة بهامش ميزان الكبرى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،ميزان الكبرى </w:t>
      </w:r>
      <w:r>
        <w:rPr>
          <w:rFonts w:eastAsia="IRNazanin" w:cs="IRNazanin"/>
          <w:b w:val="false"/>
          <w:bCs w:val="false"/>
          <w:i w:val="false"/>
          <w:iCs w:val="false"/>
          <w:color w:val="333333"/>
          <w:sz w:val="20"/>
          <w:szCs w:val="20"/>
        </w:rPr>
        <w:t>1:129</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1:110</w:t>
      </w:r>
      <w:r>
        <w:rPr>
          <w:rFonts w:ascii="IRNazanin" w:hAnsi="IRNazanin" w:eastAsia="IRNazanin"/>
          <w:b w:val="false"/>
          <w:b w:val="false"/>
          <w:bCs w:val="false"/>
          <w:i w:val="false"/>
          <w:i w:val="false"/>
          <w:iCs w:val="false"/>
          <w:color w:val="333333"/>
          <w:sz w:val="20"/>
          <w:sz w:val="20"/>
          <w:szCs w:val="20"/>
          <w:rtl w:val="true"/>
        </w:rPr>
        <w:t>،السّراج الوهّاج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1:384</w:t>
      </w:r>
      <w:r>
        <w:rPr>
          <w:rFonts w:ascii="IRNazanin" w:hAnsi="IRNazanin" w:eastAsia="IRNazanin"/>
          <w:b w:val="false"/>
          <w:b w:val="false"/>
          <w:bCs w:val="false"/>
          <w:i w:val="false"/>
          <w:i w:val="false"/>
          <w:iCs w:val="false"/>
          <w:color w:val="333333"/>
          <w:sz w:val="20"/>
          <w:sz w:val="20"/>
          <w:szCs w:val="20"/>
          <w:rtl w:val="true"/>
        </w:rPr>
        <w:t xml:space="preserve">،تفسير القرطبي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،أحكام القرآن للجصّاص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عمدة القارئ </w:t>
      </w:r>
      <w:r>
        <w:rPr>
          <w:rFonts w:eastAsia="IRNazanin" w:cs="IRNazanin"/>
          <w:b w:val="false"/>
          <w:bCs w:val="false"/>
          <w:i w:val="false"/>
          <w:iCs w:val="false"/>
          <w:color w:val="333333"/>
          <w:sz w:val="20"/>
          <w:szCs w:val="20"/>
        </w:rPr>
        <w:t>3:266</w:t>
      </w:r>
      <w:r>
        <w:rPr>
          <w:rFonts w:ascii="IRNazanin" w:hAnsi="IRNazanin" w:eastAsia="IRNazanin"/>
          <w:b w:val="false"/>
          <w:b w:val="false"/>
          <w:bCs w:val="false"/>
          <w:i w:val="false"/>
          <w:i w:val="false"/>
          <w:iCs w:val="false"/>
          <w:color w:val="333333"/>
          <w:sz w:val="20"/>
          <w:sz w:val="20"/>
          <w:szCs w:val="20"/>
          <w:rtl w:val="true"/>
        </w:rPr>
        <w:t xml:space="preserve">،شرح فتح القدير </w:t>
      </w:r>
      <w:r>
        <w:rPr>
          <w:rFonts w:eastAsia="IRNazanin" w:cs="IRNazanin"/>
          <w:b w:val="false"/>
          <w:bCs w:val="false"/>
          <w:i w:val="false"/>
          <w:iCs w:val="false"/>
          <w:color w:val="333333"/>
          <w:sz w:val="20"/>
          <w:szCs w:val="20"/>
        </w:rPr>
        <w:t>1:147</w:t>
      </w:r>
      <w:r>
        <w:rPr>
          <w:rFonts w:ascii="IRNazanin" w:hAnsi="IRNazanin" w:eastAsia="IRNazanin"/>
          <w:b w:val="false"/>
          <w:b w:val="false"/>
          <w:bCs w:val="false"/>
          <w:i w:val="false"/>
          <w:i w:val="false"/>
          <w:iCs w:val="false"/>
          <w:color w:val="333333"/>
          <w:sz w:val="20"/>
          <w:sz w:val="20"/>
          <w:szCs w:val="20"/>
          <w:rtl w:val="true"/>
        </w:rPr>
        <w:t xml:space="preserve">،المحلّى </w:t>
      </w:r>
      <w:r>
        <w:rPr>
          <w:rFonts w:eastAsia="IRNazanin" w:cs="IRNazanin"/>
          <w:b w:val="false"/>
          <w:bCs w:val="false"/>
          <w:i w:val="false"/>
          <w:iCs w:val="false"/>
          <w:color w:val="333333"/>
          <w:sz w:val="20"/>
          <w:szCs w:val="20"/>
        </w:rPr>
        <w:t>2:176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1:349</w:t>
      </w:r>
      <w:r>
        <w:rPr>
          <w:rFonts w:eastAsia="IRNazanin" w:cs="IRNazanin"/>
          <w:b w:val="false"/>
          <w:bCs w:val="false"/>
          <w:i w:val="false"/>
          <w:iCs w:val="false"/>
          <w:color w:val="333333"/>
          <w:sz w:val="20"/>
          <w:szCs w:val="20"/>
          <w:rtl w:val="true"/>
        </w:rPr>
        <w:t>.</w:t>
      </w:r>
    </w:p>
  </w:footnote>
  <w:footnote w:id="1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أحكام القرآن للجصّاص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فتح القدير </w:t>
      </w:r>
      <w:r>
        <w:rPr>
          <w:rFonts w:eastAsia="IRNazanin" w:cs="IRNazanin"/>
          <w:b w:val="false"/>
          <w:bCs w:val="false"/>
          <w:i w:val="false"/>
          <w:iCs w:val="false"/>
          <w:color w:val="333333"/>
          <w:sz w:val="20"/>
          <w:szCs w:val="20"/>
        </w:rPr>
        <w:t>1:147</w:t>
      </w:r>
      <w:r>
        <w:rPr>
          <w:rFonts w:ascii="IRNazanin" w:hAnsi="IRNazanin" w:eastAsia="IRNazanin"/>
          <w:b w:val="false"/>
          <w:b w:val="false"/>
          <w:bCs w:val="false"/>
          <w:i w:val="false"/>
          <w:i w:val="false"/>
          <w:iCs w:val="false"/>
          <w:color w:val="333333"/>
          <w:sz w:val="20"/>
          <w:sz w:val="20"/>
          <w:szCs w:val="20"/>
          <w:rtl w:val="true"/>
        </w:rPr>
        <w:t xml:space="preserve">،عمدة القارئ </w:t>
      </w:r>
      <w:r>
        <w:rPr>
          <w:rFonts w:eastAsia="IRNazanin" w:cs="IRNazanin"/>
          <w:b w:val="false"/>
          <w:bCs w:val="false"/>
          <w:i w:val="false"/>
          <w:iCs w:val="false"/>
          <w:color w:val="333333"/>
          <w:sz w:val="20"/>
          <w:szCs w:val="20"/>
        </w:rPr>
        <w:t>3:266</w:t>
      </w:r>
      <w:r>
        <w:rPr>
          <w:rFonts w:ascii="IRNazanin" w:hAnsi="IRNazanin" w:eastAsia="IRNazanin"/>
          <w:b w:val="false"/>
          <w:b w:val="false"/>
          <w:bCs w:val="false"/>
          <w:i w:val="false"/>
          <w:i w:val="false"/>
          <w:iCs w:val="false"/>
          <w:color w:val="333333"/>
          <w:sz w:val="20"/>
          <w:sz w:val="20"/>
          <w:szCs w:val="20"/>
          <w:rtl w:val="true"/>
        </w:rPr>
        <w:t xml:space="preserve">،تفسير القرطبي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أحكام القرآن للجصّاص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الطّبري </w:t>
      </w:r>
      <w:r>
        <w:rPr>
          <w:rFonts w:eastAsia="IRNazanin" w:cs="IRNazanin"/>
          <w:b w:val="false"/>
          <w:bCs w:val="false"/>
          <w:i w:val="false"/>
          <w:iCs w:val="false"/>
          <w:color w:val="333333"/>
          <w:sz w:val="20"/>
          <w:szCs w:val="20"/>
        </w:rPr>
        <w:t>2:380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القرطبي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التّفسير الكبير </w:t>
      </w:r>
      <w:r>
        <w:rPr>
          <w:rFonts w:eastAsia="IRNazanin" w:cs="IRNazanin"/>
          <w:b w:val="false"/>
          <w:bCs w:val="false"/>
          <w:i w:val="false"/>
          <w:iCs w:val="false"/>
          <w:color w:val="333333"/>
          <w:sz w:val="20"/>
          <w:szCs w:val="20"/>
        </w:rPr>
        <w:t>6:63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أحكام القرآن لابن العربي </w:t>
      </w:r>
      <w:r>
        <w:rPr>
          <w:rFonts w:eastAsia="IRNazanin" w:cs="IRNazanin"/>
          <w:b w:val="false"/>
          <w:bCs w:val="false"/>
          <w:i w:val="false"/>
          <w:iCs w:val="false"/>
          <w:color w:val="333333"/>
          <w:sz w:val="20"/>
          <w:szCs w:val="20"/>
        </w:rPr>
        <w:t>1:158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1:211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644</w:t>
      </w:r>
      <w:r>
        <w:rPr>
          <w:rFonts w:ascii="IRNazanin" w:hAnsi="IRNazanin" w:eastAsia="IRNazanin"/>
          <w:b w:val="false"/>
          <w:b w:val="false"/>
          <w:bCs w:val="false"/>
          <w:i w:val="false"/>
          <w:i w:val="false"/>
          <w:iCs w:val="false"/>
          <w:color w:val="333333"/>
          <w:sz w:val="20"/>
          <w:sz w:val="20"/>
          <w:szCs w:val="20"/>
          <w:rtl w:val="true"/>
        </w:rPr>
        <w:t xml:space="preserve">،سنن الدّارمي </w:t>
      </w:r>
      <w:r>
        <w:rPr>
          <w:rFonts w:eastAsia="IRNazanin" w:cs="IRNazanin"/>
          <w:b w:val="false"/>
          <w:bCs w:val="false"/>
          <w:i w:val="false"/>
          <w:iCs w:val="false"/>
          <w:color w:val="333333"/>
          <w:sz w:val="20"/>
          <w:szCs w:val="20"/>
        </w:rPr>
        <w:t>1:245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1:152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1:313</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1:348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3:132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الأصول </w:t>
      </w:r>
      <w:r>
        <w:rPr>
          <w:rFonts w:eastAsia="IRNazanin" w:cs="IRNazanin"/>
          <w:b w:val="false"/>
          <w:bCs w:val="false"/>
          <w:i w:val="false"/>
          <w:iCs w:val="false"/>
          <w:color w:val="333333"/>
          <w:sz w:val="20"/>
          <w:szCs w:val="20"/>
        </w:rPr>
        <w:t>8:211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5379</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9:408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26726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بعضها بتفاوت يسير</w:t>
      </w:r>
      <w:r>
        <w:rPr>
          <w:rFonts w:eastAsia="IRNazanin" w:cs="IRNazanin"/>
          <w:b w:val="false"/>
          <w:bCs w:val="false"/>
          <w:i w:val="false"/>
          <w:iCs w:val="false"/>
          <w:color w:val="333333"/>
          <w:sz w:val="20"/>
          <w:szCs w:val="20"/>
          <w:rtl w:val="true"/>
        </w:rPr>
        <w:t>.</w:t>
      </w:r>
    </w:p>
  </w:footnote>
  <w:footnote w:id="1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w:t>
      </w:r>
    </w:p>
  </w:footnote>
  <w:footnote w:id="1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1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2:570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عبد الكريم بن عمرو، الوسائل </w:t>
      </w:r>
      <w:r>
        <w:rPr>
          <w:rFonts w:eastAsia="IRNazanin" w:cs="IRNazanin"/>
          <w:b w:val="false"/>
          <w:bCs w:val="false"/>
          <w:i w:val="false"/>
          <w:iCs w:val="false"/>
          <w:color w:val="333333"/>
          <w:sz w:val="20"/>
          <w:szCs w:val="20"/>
        </w:rPr>
        <w:t>2:570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احتجاجه في المعتبر </w:t>
      </w:r>
      <w:r>
        <w:rPr>
          <w:rFonts w:eastAsia="IRNazanin" w:cs="IRNazanin"/>
          <w:b w:val="false"/>
          <w:bCs w:val="false"/>
          <w:i w:val="false"/>
          <w:iCs w:val="false"/>
          <w:color w:val="333333"/>
          <w:sz w:val="20"/>
          <w:szCs w:val="20"/>
        </w:rPr>
        <w:t>1:225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النّفي</w:t>
      </w:r>
      <w:r>
        <w:rPr>
          <w:rFonts w:eastAsia="IRNazanin" w:cs="IRNazanin"/>
          <w:b w:val="false"/>
          <w:bCs w:val="false"/>
          <w:i w:val="false"/>
          <w:iCs w:val="false"/>
          <w:color w:val="333333"/>
          <w:sz w:val="20"/>
          <w:szCs w:val="20"/>
          <w:rtl w:val="true"/>
        </w:rPr>
        <w:t>.</w:t>
      </w:r>
    </w:p>
  </w:footnote>
  <w:footnote w:id="1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1:384</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 يسير</w:t>
      </w:r>
      <w:r>
        <w:rPr>
          <w:rFonts w:eastAsia="IRNazanin" w:cs="IRNazanin"/>
          <w:b w:val="false"/>
          <w:bCs w:val="false"/>
          <w:i w:val="false"/>
          <w:iCs w:val="false"/>
          <w:color w:val="333333"/>
          <w:sz w:val="20"/>
          <w:szCs w:val="20"/>
          <w:rtl w:val="true"/>
        </w:rPr>
        <w:t>.</w:t>
      </w:r>
    </w:p>
  </w:footnote>
  <w:footnote w:id="1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بهذا اللّفظ 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بمعناه 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1:312</w:t>
      </w:r>
      <w:r>
        <w:rPr>
          <w:rFonts w:eastAsia="IRNazanin" w:cs="IRNazanin"/>
          <w:b w:val="false"/>
          <w:bCs w:val="false"/>
          <w:i w:val="false"/>
          <w:iCs w:val="false"/>
          <w:color w:val="333333"/>
          <w:sz w:val="20"/>
          <w:szCs w:val="20"/>
          <w:rtl w:val="true"/>
        </w:rPr>
        <w:t>.</w:t>
      </w:r>
    </w:p>
  </w:footnote>
  <w:footnote w:id="1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كان</w:t>
      </w:r>
      <w:r>
        <w:rPr>
          <w:rFonts w:eastAsia="IRNazanin" w:cs="IRNazanin"/>
          <w:b w:val="false"/>
          <w:bCs w:val="false"/>
          <w:i w:val="false"/>
          <w:iCs w:val="false"/>
          <w:color w:val="333333"/>
          <w:sz w:val="20"/>
          <w:szCs w:val="20"/>
          <w:rtl w:val="true"/>
        </w:rPr>
        <w:t>.</w:t>
      </w:r>
    </w:p>
  </w:footnote>
  <w:footnote w:id="1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احتجّ أبو حنيفة و من وافقه،و المراد بمن وافقه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الشّافعيّ و مالك و غيره</w:t>
      </w:r>
      <w:r>
        <w:rPr>
          <w:rFonts w:eastAsia="IRNazanin" w:cs="IRNazanin"/>
          <w:b w:val="false"/>
          <w:bCs w:val="false"/>
          <w:i w:val="false"/>
          <w:iCs w:val="false"/>
          <w:color w:val="333333"/>
          <w:sz w:val="20"/>
          <w:szCs w:val="20"/>
          <w:rtl w:val="true"/>
        </w:rPr>
        <w:t>).</w:t>
      </w:r>
    </w:p>
  </w:footnote>
  <w:footnote w:id="1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1:349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1:314</w:t>
      </w:r>
      <w:r>
        <w:rPr>
          <w:rFonts w:ascii="IRNazanin" w:hAnsi="IRNazanin" w:eastAsia="IRNazanin"/>
          <w:b w:val="false"/>
          <w:b w:val="false"/>
          <w:bCs w:val="false"/>
          <w:i w:val="false"/>
          <w:i w:val="false"/>
          <w:iCs w:val="false"/>
          <w:color w:val="333333"/>
          <w:sz w:val="20"/>
          <w:sz w:val="20"/>
          <w:szCs w:val="20"/>
          <w:rtl w:val="true"/>
        </w:rPr>
        <w:t xml:space="preserve">،جامع الأصول </w:t>
      </w:r>
      <w:r>
        <w:rPr>
          <w:rFonts w:eastAsia="IRNazanin" w:cs="IRNazanin"/>
          <w:b w:val="false"/>
          <w:bCs w:val="false"/>
          <w:i w:val="false"/>
          <w:iCs w:val="false"/>
          <w:color w:val="333333"/>
          <w:sz w:val="20"/>
          <w:szCs w:val="20"/>
        </w:rPr>
        <w:t>8:215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5385</w:t>
      </w:r>
      <w:r>
        <w:rPr>
          <w:rFonts w:eastAsia="IRNazanin" w:cs="IRNazanin"/>
          <w:b w:val="false"/>
          <w:bCs w:val="false"/>
          <w:i w:val="false"/>
          <w:iCs w:val="false"/>
          <w:color w:val="333333"/>
          <w:sz w:val="20"/>
          <w:szCs w:val="20"/>
          <w:rtl w:val="true"/>
        </w:rPr>
        <w:t>.</w:t>
      </w:r>
    </w:p>
  </w:footnote>
  <w:footnote w:id="1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w:t>
      </w:r>
      <w:r>
        <w:rPr>
          <w:rFonts w:eastAsia="IRNazanin" w:cs="IRNazanin"/>
          <w:b w:val="false"/>
          <w:bCs w:val="false"/>
          <w:i w:val="false"/>
          <w:iCs w:val="false"/>
          <w:color w:val="333333"/>
          <w:sz w:val="20"/>
          <w:szCs w:val="20"/>
        </w:rPr>
        <w:t>28:128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القرطبيّ </w:t>
      </w:r>
      <w:r>
        <w:rPr>
          <w:rFonts w:eastAsia="IRNazanin" w:cs="IRNazanin"/>
          <w:b w:val="false"/>
          <w:bCs w:val="false"/>
          <w:i w:val="false"/>
          <w:iCs w:val="false"/>
          <w:color w:val="333333"/>
          <w:sz w:val="20"/>
          <w:szCs w:val="20"/>
        </w:rPr>
        <w:t>18:150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التّفسير الكبير </w:t>
      </w:r>
      <w:r>
        <w:rPr>
          <w:rFonts w:eastAsia="IRNazanin" w:cs="IRNazanin"/>
          <w:b w:val="false"/>
          <w:bCs w:val="false"/>
          <w:i w:val="false"/>
          <w:iCs w:val="false"/>
          <w:color w:val="333333"/>
          <w:sz w:val="20"/>
          <w:szCs w:val="20"/>
        </w:rPr>
        <w:t>29:30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6:193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7:52</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2:1093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1471</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3:479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1176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1:652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2023</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6:138</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8:238</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6:57</w:t>
      </w:r>
      <w:r>
        <w:rPr>
          <w:rFonts w:ascii="IRNazanin" w:hAnsi="IRNazanin" w:eastAsia="IRNazanin"/>
          <w:b w:val="false"/>
          <w:b w:val="false"/>
          <w:bCs w:val="false"/>
          <w:i w:val="false"/>
          <w:i w:val="false"/>
          <w:iCs w:val="false"/>
          <w:color w:val="333333"/>
          <w:sz w:val="20"/>
          <w:sz w:val="20"/>
          <w:szCs w:val="20"/>
          <w:rtl w:val="true"/>
        </w:rPr>
        <w:t xml:space="preserve">،تفسير القرطبيّ </w:t>
      </w:r>
      <w:r>
        <w:rPr>
          <w:rFonts w:eastAsia="IRNazanin" w:cs="IRNazanin"/>
          <w:b w:val="false"/>
          <w:bCs w:val="false"/>
          <w:i w:val="false"/>
          <w:iCs w:val="false"/>
          <w:color w:val="333333"/>
          <w:sz w:val="20"/>
          <w:szCs w:val="20"/>
        </w:rPr>
        <w:t>18:150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التّفسير الكبير </w:t>
      </w:r>
      <w:r>
        <w:rPr>
          <w:rFonts w:eastAsia="IRNazanin" w:cs="IRNazanin"/>
          <w:b w:val="false"/>
          <w:bCs w:val="false"/>
          <w:i w:val="false"/>
          <w:iCs w:val="false"/>
          <w:color w:val="333333"/>
          <w:sz w:val="20"/>
          <w:szCs w:val="20"/>
        </w:rPr>
        <w:t>29:31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حرمة</w:t>
      </w:r>
      <w:r>
        <w:rPr>
          <w:rFonts w:eastAsia="IRNazanin" w:cs="IRNazanin"/>
          <w:b w:val="false"/>
          <w:bCs w:val="false"/>
          <w:i w:val="false"/>
          <w:iCs w:val="false"/>
          <w:color w:val="333333"/>
          <w:sz w:val="20"/>
          <w:szCs w:val="20"/>
          <w:rtl w:val="true"/>
        </w:rPr>
        <w:t>.</w:t>
      </w:r>
    </w:p>
  </w:footnote>
  <w:footnote w:id="1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1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1339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1:119</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6:222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1:330</w:t>
      </w:r>
      <w:r>
        <w:rPr>
          <w:rFonts w:eastAsia="IRNazanin" w:cs="IRNazanin"/>
          <w:b w:val="false"/>
          <w:bCs w:val="false"/>
          <w:i w:val="false"/>
          <w:iCs w:val="false"/>
          <w:color w:val="333333"/>
          <w:sz w:val="20"/>
          <w:szCs w:val="20"/>
          <w:rtl w:val="true"/>
        </w:rPr>
        <w:t>.</w:t>
      </w:r>
    </w:p>
  </w:footnote>
  <w:footnote w:id="1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لحديث</w:t>
      </w:r>
      <w:r>
        <w:rPr>
          <w:rFonts w:eastAsia="IRNazanin" w:cs="IRNazanin"/>
          <w:b w:val="false"/>
          <w:bCs w:val="false"/>
          <w:i w:val="false"/>
          <w:iCs w:val="false"/>
          <w:color w:val="333333"/>
          <w:sz w:val="20"/>
          <w:szCs w:val="20"/>
          <w:rtl w:val="true"/>
        </w:rPr>
        <w:t>.</w:t>
      </w:r>
    </w:p>
  </w:footnote>
  <w:footnote w:id="1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في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أربعة،و ما أثبتناه من المصدر</w:t>
      </w:r>
      <w:r>
        <w:rPr>
          <w:rFonts w:eastAsia="IRNazanin" w:cs="IRNazanin"/>
          <w:b w:val="false"/>
          <w:bCs w:val="false"/>
          <w:i w:val="false"/>
          <w:iCs w:val="false"/>
          <w:color w:val="333333"/>
          <w:sz w:val="20"/>
          <w:szCs w:val="20"/>
          <w:rtl w:val="true"/>
        </w:rPr>
        <w:t>.</w:t>
      </w:r>
    </w:p>
  </w:footnote>
  <w:footnote w:id="1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ثلاثة،و ما أثبتناه من المصدر</w:t>
      </w:r>
      <w:r>
        <w:rPr>
          <w:rFonts w:eastAsia="IRNazanin" w:cs="IRNazanin"/>
          <w:b w:val="false"/>
          <w:bCs w:val="false"/>
          <w:i w:val="false"/>
          <w:iCs w:val="false"/>
          <w:color w:val="333333"/>
          <w:sz w:val="20"/>
          <w:szCs w:val="20"/>
          <w:rtl w:val="true"/>
        </w:rPr>
        <w:t>.</w:t>
      </w:r>
    </w:p>
  </w:footnote>
  <w:footnote w:id="1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1:221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1:205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627</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9:629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27741</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1:338</w:t>
      </w:r>
      <w:r>
        <w:rPr>
          <w:rFonts w:ascii="IRNazanin" w:hAnsi="IRNazanin" w:eastAsia="IRNazanin"/>
          <w:b w:val="false"/>
          <w:b w:val="false"/>
          <w:bCs w:val="false"/>
          <w:i w:val="false"/>
          <w:i w:val="false"/>
          <w:iCs w:val="false"/>
          <w:color w:val="333333"/>
          <w:sz w:val="20"/>
          <w:sz w:val="20"/>
          <w:szCs w:val="20"/>
          <w:rtl w:val="true"/>
        </w:rPr>
        <w:t xml:space="preserve">،سنن الدّار قطني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الجميع بتفاوت يسير</w:t>
      </w:r>
      <w:r>
        <w:rPr>
          <w:rFonts w:eastAsia="IRNazanin" w:cs="IRNazanin"/>
          <w:b w:val="false"/>
          <w:bCs w:val="false"/>
          <w:i w:val="false"/>
          <w:iCs w:val="false"/>
          <w:color w:val="333333"/>
          <w:sz w:val="20"/>
          <w:szCs w:val="20"/>
          <w:rtl w:val="true"/>
        </w:rPr>
        <w:t>.</w:t>
      </w:r>
    </w:p>
  </w:footnote>
  <w:footnote w:id="1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2:937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الأغسال المسنونة،حديث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464</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507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الجنابة،حديث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1183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الحيض،حديث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1183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الحيض،حديث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2:129</w:t>
      </w:r>
      <w:r>
        <w:rPr>
          <w:rFonts w:ascii="IRNazanin" w:hAnsi="IRNazanin" w:eastAsia="IRNazanin"/>
          <w:b w:val="false"/>
          <w:b w:val="false"/>
          <w:bCs w:val="false"/>
          <w:i w:val="false"/>
          <w:i w:val="false"/>
          <w:iCs w:val="false"/>
          <w:color w:val="333333"/>
          <w:sz w:val="20"/>
          <w:sz w:val="20"/>
          <w:szCs w:val="20"/>
          <w:rtl w:val="true"/>
        </w:rPr>
        <w:t xml:space="preserve">،الهداية للمرغيناني </w:t>
      </w:r>
      <w:r>
        <w:rPr>
          <w:rFonts w:eastAsia="IRNazanin" w:cs="IRNazanin"/>
          <w:b w:val="false"/>
          <w:bCs w:val="false"/>
          <w:i w:val="false"/>
          <w:iCs w:val="false"/>
          <w:color w:val="333333"/>
          <w:sz w:val="20"/>
          <w:szCs w:val="20"/>
        </w:rPr>
        <w:t>1:165</w:t>
      </w:r>
      <w:r>
        <w:rPr>
          <w:rFonts w:ascii="IRNazanin" w:hAnsi="IRNazanin" w:eastAsia="IRNazanin"/>
          <w:b w:val="false"/>
          <w:b w:val="false"/>
          <w:bCs w:val="false"/>
          <w:i w:val="false"/>
          <w:i w:val="false"/>
          <w:iCs w:val="false"/>
          <w:color w:val="333333"/>
          <w:sz w:val="20"/>
          <w:sz w:val="20"/>
          <w:szCs w:val="20"/>
          <w:rtl w:val="true"/>
        </w:rPr>
        <w:t xml:space="preserve">،شرح فتح القدير </w:t>
      </w:r>
      <w:r>
        <w:rPr>
          <w:rFonts w:eastAsia="IRNazanin" w:cs="IRNazanin"/>
          <w:b w:val="false"/>
          <w:bCs w:val="false"/>
          <w:i w:val="false"/>
          <w:iCs w:val="false"/>
          <w:color w:val="333333"/>
          <w:sz w:val="20"/>
          <w:szCs w:val="20"/>
        </w:rPr>
        <w:t>2:458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459</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Pr>
        <w:t>1:343</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8:17</w:t>
      </w:r>
      <w:r>
        <w:rPr>
          <w:rFonts w:eastAsia="IRNazanin" w:cs="IRNazanin"/>
          <w:b w:val="false"/>
          <w:bCs w:val="false"/>
          <w:i w:val="false"/>
          <w:iCs w:val="false"/>
          <w:color w:val="333333"/>
          <w:sz w:val="20"/>
          <w:szCs w:val="20"/>
          <w:rtl w:val="true"/>
        </w:rPr>
        <w:t>.</w:t>
      </w:r>
    </w:p>
  </w:footnote>
  <w:footnote w:id="1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1213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1223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أضفناه من المصدر</w:t>
      </w:r>
      <w:r>
        <w:rPr>
          <w:rFonts w:eastAsia="IRNazanin" w:cs="IRNazanin"/>
          <w:b w:val="false"/>
          <w:bCs w:val="false"/>
          <w:i w:val="false"/>
          <w:iCs w:val="false"/>
          <w:color w:val="333333"/>
          <w:sz w:val="20"/>
          <w:szCs w:val="20"/>
          <w:rtl w:val="true"/>
        </w:rPr>
        <w:t>.</w:t>
      </w:r>
    </w:p>
  </w:footnote>
  <w:footnote w:id="1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المصادر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فلتستدخل قطنة</w:t>
      </w:r>
      <w:r>
        <w:rPr>
          <w:rFonts w:eastAsia="IRNazanin" w:cs="IRNazanin"/>
          <w:b w:val="false"/>
          <w:bCs w:val="false"/>
          <w:i w:val="false"/>
          <w:iCs w:val="false"/>
          <w:color w:val="333333"/>
          <w:sz w:val="20"/>
          <w:szCs w:val="20"/>
          <w:rtl w:val="true"/>
        </w:rPr>
        <w:t>.</w:t>
      </w:r>
    </w:p>
  </w:footnote>
  <w:footnote w:id="1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462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Pr>
        <w:t>1:334</w:t>
      </w:r>
      <w:r>
        <w:rPr>
          <w:rFonts w:ascii="IRNazanin" w:hAnsi="IRNazanin" w:eastAsia="IRNazanin"/>
          <w:b w:val="false"/>
          <w:b w:val="false"/>
          <w:bCs w:val="false"/>
          <w:i w:val="false"/>
          <w:i w:val="false"/>
          <w:iCs w:val="false"/>
          <w:color w:val="333333"/>
          <w:sz w:val="20"/>
          <w:sz w:val="20"/>
          <w:szCs w:val="20"/>
          <w:rtl w:val="true"/>
        </w:rPr>
        <w:t xml:space="preserve">،عمدة القارئ </w:t>
      </w:r>
      <w:r>
        <w:rPr>
          <w:rFonts w:eastAsia="IRNazanin" w:cs="IRNazanin"/>
          <w:b w:val="false"/>
          <w:bCs w:val="false"/>
          <w:i w:val="false"/>
          <w:iCs w:val="false"/>
          <w:color w:val="333333"/>
          <w:sz w:val="20"/>
          <w:szCs w:val="20"/>
        </w:rPr>
        <w:t>3:300</w:t>
      </w:r>
      <w:r>
        <w:rPr>
          <w:rFonts w:ascii="IRNazanin" w:hAnsi="IRNazanin" w:eastAsia="IRNazanin"/>
          <w:b w:val="false"/>
          <w:b w:val="false"/>
          <w:bCs w:val="false"/>
          <w:i w:val="false"/>
          <w:i w:val="false"/>
          <w:iCs w:val="false"/>
          <w:color w:val="333333"/>
          <w:sz w:val="20"/>
          <w:sz w:val="20"/>
          <w:szCs w:val="20"/>
          <w:rtl w:val="true"/>
        </w:rPr>
        <w:t xml:space="preserve">،شرح النّوويّ لصحيح مسلم بهامش إرشاد السّاري </w:t>
      </w:r>
      <w:r>
        <w:rPr>
          <w:rFonts w:eastAsia="IRNazanin" w:cs="IRNazanin"/>
          <w:b w:val="false"/>
          <w:bCs w:val="false"/>
          <w:i w:val="false"/>
          <w:iCs w:val="false"/>
          <w:color w:val="333333"/>
          <w:sz w:val="20"/>
          <w:szCs w:val="20"/>
        </w:rPr>
        <w:t>2:400</w:t>
      </w:r>
      <w:r>
        <w:rPr>
          <w:rFonts w:ascii="IRNazanin" w:hAnsi="IRNazanin" w:eastAsia="IRNazanin"/>
          <w:b w:val="false"/>
          <w:b w:val="false"/>
          <w:bCs w:val="false"/>
          <w:i w:val="false"/>
          <w:i w:val="false"/>
          <w:iCs w:val="false"/>
          <w:color w:val="333333"/>
          <w:sz w:val="20"/>
          <w:sz w:val="20"/>
          <w:szCs w:val="20"/>
          <w:rtl w:val="true"/>
        </w:rPr>
        <w:t xml:space="preserve">،إرشاد السّاري </w:t>
      </w:r>
      <w:r>
        <w:rPr>
          <w:rFonts w:eastAsia="IRNazanin" w:cs="IRNazanin"/>
          <w:b w:val="false"/>
          <w:bCs w:val="false"/>
          <w:i w:val="false"/>
          <w:iCs w:val="false"/>
          <w:color w:val="333333"/>
          <w:sz w:val="20"/>
          <w:szCs w:val="20"/>
        </w:rPr>
        <w:t>1:359</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1:354</w:t>
      </w:r>
      <w:r>
        <w:rPr>
          <w:rFonts w:eastAsia="IRNazanin" w:cs="IRNazanin"/>
          <w:b w:val="false"/>
          <w:bCs w:val="false"/>
          <w:i w:val="false"/>
          <w:iCs w:val="false"/>
          <w:color w:val="333333"/>
          <w:sz w:val="20"/>
          <w:szCs w:val="20"/>
          <w:rtl w:val="true"/>
        </w:rPr>
        <w:t>.</w:t>
      </w:r>
    </w:p>
  </w:footnote>
  <w:footnote w:id="1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3:154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787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4:191</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1:207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1670</w:t>
      </w:r>
      <w:r>
        <w:rPr>
          <w:rFonts w:ascii="IRNazanin" w:hAnsi="IRNazanin" w:eastAsia="IRNazanin"/>
          <w:b w:val="false"/>
          <w:b w:val="false"/>
          <w:bCs w:val="false"/>
          <w:i w:val="false"/>
          <w:i w:val="false"/>
          <w:iCs w:val="false"/>
          <w:color w:val="333333"/>
          <w:sz w:val="20"/>
          <w:sz w:val="20"/>
          <w:szCs w:val="20"/>
          <w:rtl w:val="true"/>
        </w:rPr>
        <w:t xml:space="preserve">، سنن البيهقي </w:t>
      </w:r>
      <w:r>
        <w:rPr>
          <w:rFonts w:eastAsia="IRNazanin" w:cs="IRNazanin"/>
          <w:b w:val="false"/>
          <w:bCs w:val="false"/>
          <w:i w:val="false"/>
          <w:iCs w:val="false"/>
          <w:color w:val="333333"/>
          <w:sz w:val="20"/>
          <w:szCs w:val="20"/>
        </w:rPr>
        <w:t>1:308</w:t>
      </w:r>
      <w:r>
        <w:rPr>
          <w:rFonts w:eastAsia="IRNazanin" w:cs="IRNazanin"/>
          <w:b w:val="false"/>
          <w:bCs w:val="false"/>
          <w:i w:val="false"/>
          <w:iCs w:val="false"/>
          <w:color w:val="333333"/>
          <w:sz w:val="20"/>
          <w:szCs w:val="20"/>
          <w:rtl w:val="true"/>
        </w:rPr>
        <w:t>.</w:t>
      </w:r>
    </w:p>
  </w:footnote>
  <w:footnote w:id="1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 يسير</w:t>
      </w:r>
      <w:r>
        <w:rPr>
          <w:rFonts w:eastAsia="IRNazanin" w:cs="IRNazanin"/>
          <w:b w:val="false"/>
          <w:bCs w:val="false"/>
          <w:i w:val="false"/>
          <w:iCs w:val="false"/>
          <w:color w:val="333333"/>
          <w:sz w:val="20"/>
          <w:szCs w:val="20"/>
          <w:rtl w:val="true"/>
        </w:rPr>
        <w:t>.</w:t>
      </w:r>
    </w:p>
  </w:footnote>
  <w:footnote w:id="1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قال،و ما أثبتناه من المصدر</w:t>
      </w:r>
      <w:r>
        <w:rPr>
          <w:rFonts w:eastAsia="IRNazanin" w:cs="IRNazanin"/>
          <w:b w:val="false"/>
          <w:bCs w:val="false"/>
          <w:i w:val="false"/>
          <w:iCs w:val="false"/>
          <w:color w:val="333333"/>
          <w:sz w:val="20"/>
          <w:szCs w:val="20"/>
          <w:rtl w:val="true"/>
        </w:rPr>
        <w:t>.</w:t>
      </w:r>
    </w:p>
  </w:footnote>
  <w:footnote w:id="1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2:589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2:589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459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2:589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كانت تأمر بذلك المؤمنات</w:t>
      </w:r>
      <w:r>
        <w:rPr>
          <w:rFonts w:eastAsia="IRNazanin" w:cs="IRNazanin"/>
          <w:b w:val="false"/>
          <w:bCs w:val="false"/>
          <w:i w:val="false"/>
          <w:iCs w:val="false"/>
          <w:color w:val="333333"/>
          <w:sz w:val="20"/>
          <w:szCs w:val="20"/>
          <w:rtl w:val="true"/>
        </w:rPr>
        <w:t>.</w:t>
      </w:r>
    </w:p>
  </w:footnote>
  <w:footnote w:id="1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xml:space="preserve">،المحلّى </w:t>
      </w:r>
      <w:r>
        <w:rPr>
          <w:rFonts w:eastAsia="IRNazanin" w:cs="IRNazanin"/>
          <w:b w:val="false"/>
          <w:bCs w:val="false"/>
          <w:i w:val="false"/>
          <w:iCs w:val="false"/>
          <w:color w:val="333333"/>
          <w:sz w:val="20"/>
          <w:szCs w:val="20"/>
        </w:rPr>
        <w:t>2:175</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Pr>
        <w:t>1:101</w:t>
      </w:r>
      <w:r>
        <w:rPr>
          <w:rFonts w:eastAsia="IRNazanin" w:cs="IRNazanin"/>
          <w:b w:val="false"/>
          <w:bCs w:val="false"/>
          <w:i w:val="false"/>
          <w:iCs w:val="false"/>
          <w:color w:val="333333"/>
          <w:sz w:val="20"/>
          <w:szCs w:val="20"/>
          <w:rtl w:val="true"/>
        </w:rPr>
        <w:t>.</w:t>
      </w:r>
    </w:p>
  </w:footnote>
  <w:footnote w:id="1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Pr>
        <w:t>1:101</w:t>
      </w:r>
      <w:r>
        <w:rPr>
          <w:rFonts w:ascii="IRNazanin" w:hAnsi="IRNazanin" w:eastAsia="IRNazanin"/>
          <w:b w:val="false"/>
          <w:b w:val="false"/>
          <w:bCs w:val="false"/>
          <w:i w:val="false"/>
          <w:i w:val="false"/>
          <w:iCs w:val="false"/>
          <w:color w:val="333333"/>
          <w:sz w:val="20"/>
          <w:sz w:val="20"/>
          <w:szCs w:val="20"/>
          <w:rtl w:val="true"/>
        </w:rPr>
        <w:t xml:space="preserve">،المحلّى </w:t>
      </w:r>
      <w:r>
        <w:rPr>
          <w:rFonts w:eastAsia="IRNazanin" w:cs="IRNazanin"/>
          <w:b w:val="false"/>
          <w:bCs w:val="false"/>
          <w:i w:val="false"/>
          <w:iCs w:val="false"/>
          <w:color w:val="333333"/>
          <w:sz w:val="20"/>
          <w:szCs w:val="20"/>
        </w:rPr>
        <w:t>2:175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1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1199</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485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2:596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1208</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496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2:597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1210</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495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2:597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1211</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493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2:597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1221</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494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2:597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المغنيّ </w:t>
      </w:r>
      <w:r>
        <w:rPr>
          <w:rFonts w:eastAsia="IRNazanin" w:cs="IRNazanin"/>
          <w:b w:val="false"/>
          <w:bCs w:val="false"/>
          <w:i w:val="false"/>
          <w:iCs w:val="false"/>
          <w:color w:val="333333"/>
          <w:sz w:val="20"/>
          <w:szCs w:val="20"/>
        </w:rPr>
        <w:t>1:441</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Pr>
        <w:t>1:100</w:t>
      </w:r>
      <w:r>
        <w:rPr>
          <w:rFonts w:eastAsia="IRNazanin" w:cs="IRNazanin"/>
          <w:b w:val="false"/>
          <w:bCs w:val="false"/>
          <w:i w:val="false"/>
          <w:iCs w:val="false"/>
          <w:color w:val="333333"/>
          <w:sz w:val="20"/>
          <w:szCs w:val="20"/>
          <w:rtl w:val="true"/>
        </w:rPr>
        <w:t>.</w:t>
      </w:r>
    </w:p>
  </w:footnote>
  <w:footnote w:id="1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1:441</w:t>
      </w:r>
      <w:r>
        <w:rPr>
          <w:rFonts w:eastAsia="IRNazanin" w:cs="IRNazanin"/>
          <w:b w:val="false"/>
          <w:bCs w:val="false"/>
          <w:i w:val="false"/>
          <w:iCs w:val="false"/>
          <w:color w:val="333333"/>
          <w:sz w:val="20"/>
          <w:szCs w:val="20"/>
          <w:rtl w:val="true"/>
        </w:rPr>
        <w:t>.</w:t>
      </w:r>
    </w:p>
  </w:footnote>
  <w:footnote w:id="1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1:441</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1:442</w:t>
      </w:r>
      <w:r>
        <w:rPr>
          <w:rFonts w:ascii="IRNazanin" w:hAnsi="IRNazanin" w:eastAsia="IRNazanin"/>
          <w:b w:val="false"/>
          <w:b w:val="false"/>
          <w:bCs w:val="false"/>
          <w:i w:val="false"/>
          <w:i w:val="false"/>
          <w:iCs w:val="false"/>
          <w:color w:val="333333"/>
          <w:sz w:val="20"/>
          <w:sz w:val="20"/>
          <w:szCs w:val="20"/>
          <w:rtl w:val="true"/>
        </w:rPr>
        <w:t xml:space="preserve">،الكافي لابن قدامة </w:t>
      </w:r>
      <w:r>
        <w:rPr>
          <w:rFonts w:eastAsia="IRNazanin" w:cs="IRNazanin"/>
          <w:b w:val="false"/>
          <w:bCs w:val="false"/>
          <w:i w:val="false"/>
          <w:iCs w:val="false"/>
          <w:color w:val="333333"/>
          <w:sz w:val="20"/>
          <w:szCs w:val="20"/>
        </w:rPr>
        <w:t>1:119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w:t>
      </w:r>
      <w:r>
        <w:rPr>
          <w:rFonts w:eastAsia="IRNazanin" w:cs="IRNazanin"/>
          <w:b w:val="false"/>
          <w:bCs w:val="false"/>
          <w:i w:val="false"/>
          <w:iCs w:val="false"/>
          <w:color w:val="333333"/>
          <w:sz w:val="20"/>
          <w:szCs w:val="20"/>
          <w:rtl w:val="true"/>
        </w:rPr>
        <w:t>.</w:t>
      </w:r>
    </w:p>
  </w:footnote>
  <w:footnote w:id="1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1209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2:598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1208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2:599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1207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2:599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1241</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488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1199</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485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2:598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1203</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489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2:599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الصّلاة،حديث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1204</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490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1205</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491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1206</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492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1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1:391</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1:144</w:t>
      </w:r>
      <w:r>
        <w:rPr>
          <w:rFonts w:eastAsia="IRNazanin" w:cs="IRNazanin"/>
          <w:b w:val="false"/>
          <w:bCs w:val="false"/>
          <w:i w:val="false"/>
          <w:iCs w:val="false"/>
          <w:color w:val="333333"/>
          <w:sz w:val="20"/>
          <w:szCs w:val="20"/>
          <w:rtl w:val="true"/>
        </w:rPr>
        <w:t>.</w:t>
      </w:r>
    </w:p>
  </w:footnote>
  <w:footnote w:id="1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1:442</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1:482</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1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w:t>
      </w:r>
    </w:p>
  </w:footnote>
  <w:footnote w:id="2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ضيّقت</w:t>
      </w:r>
      <w:r>
        <w:rPr>
          <w:rFonts w:eastAsia="IRNazanin" w:cs="IRNazanin"/>
          <w:b w:val="false"/>
          <w:bCs w:val="false"/>
          <w:i w:val="false"/>
          <w:iCs w:val="false"/>
          <w:color w:val="333333"/>
          <w:sz w:val="20"/>
          <w:szCs w:val="20"/>
          <w:rtl w:val="true"/>
        </w:rPr>
        <w:t>.</w:t>
      </w:r>
    </w:p>
  </w:footnote>
  <w:footnote w:id="2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1200</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486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2:599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1201</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487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2:599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1:131</w:t>
      </w:r>
      <w:r>
        <w:rPr>
          <w:rFonts w:ascii="IRNazanin" w:hAnsi="IRNazanin" w:eastAsia="IRNazanin"/>
          <w:b w:val="false"/>
          <w:b w:val="false"/>
          <w:bCs w:val="false"/>
          <w:i w:val="false"/>
          <w:i w:val="false"/>
          <w:iCs w:val="false"/>
          <w:color w:val="333333"/>
          <w:sz w:val="20"/>
          <w:sz w:val="20"/>
          <w:szCs w:val="20"/>
          <w:rtl w:val="true"/>
        </w:rPr>
        <w:t xml:space="preserve">،السّراج الوهّاج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2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1:132</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،السّراج الوهّاج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1:442</w:t>
      </w:r>
      <w:r>
        <w:rPr>
          <w:rFonts w:eastAsia="IRNazanin" w:cs="IRNazanin"/>
          <w:b w:val="false"/>
          <w:bCs w:val="false"/>
          <w:i w:val="false"/>
          <w:iCs w:val="false"/>
          <w:color w:val="333333"/>
          <w:sz w:val="20"/>
          <w:szCs w:val="20"/>
          <w:rtl w:val="true"/>
        </w:rPr>
        <w:t>.</w:t>
      </w:r>
    </w:p>
  </w:footnote>
  <w:footnote w:id="2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2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1:131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،السراج الوهّاج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2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1:143</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،عمدة القارئ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w:t>
      </w:r>
    </w:p>
  </w:footnote>
  <w:footnote w:id="2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2:417</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1:217</w:t>
      </w:r>
      <w:r>
        <w:rPr>
          <w:rFonts w:ascii="IRNazanin" w:hAnsi="IRNazanin" w:eastAsia="IRNazanin"/>
          <w:b w:val="false"/>
          <w:b w:val="false"/>
          <w:bCs w:val="false"/>
          <w:i w:val="false"/>
          <w:i w:val="false"/>
          <w:iCs w:val="false"/>
          <w:color w:val="333333"/>
          <w:sz w:val="20"/>
          <w:sz w:val="20"/>
          <w:szCs w:val="20"/>
          <w:rtl w:val="true"/>
        </w:rPr>
        <w:t xml:space="preserve">،السّراج الوهّاج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ميزان الكبرى </w:t>
      </w:r>
      <w:r>
        <w:rPr>
          <w:rFonts w:eastAsia="IRNazanin" w:cs="IRNazanin"/>
          <w:b w:val="false"/>
          <w:bCs w:val="false"/>
          <w:i w:val="false"/>
          <w:iCs w:val="false"/>
          <w:color w:val="333333"/>
          <w:sz w:val="20"/>
          <w:szCs w:val="20"/>
        </w:rPr>
        <w:t>1:166</w:t>
      </w:r>
      <w:r>
        <w:rPr>
          <w:rFonts w:ascii="IRNazanin" w:hAnsi="IRNazanin" w:eastAsia="IRNazanin"/>
          <w:b w:val="false"/>
          <w:b w:val="false"/>
          <w:bCs w:val="false"/>
          <w:i w:val="false"/>
          <w:i w:val="false"/>
          <w:iCs w:val="false"/>
          <w:color w:val="333333"/>
          <w:sz w:val="20"/>
          <w:sz w:val="20"/>
          <w:szCs w:val="20"/>
          <w:rtl w:val="true"/>
        </w:rPr>
        <w:t xml:space="preserve">،رحمة الأمّة بهامش ميزان الكبرى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2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1:186</w:t>
      </w:r>
      <w:r>
        <w:rPr>
          <w:rFonts w:ascii="IRNazanin" w:hAnsi="IRNazanin" w:eastAsia="IRNazanin"/>
          <w:b w:val="false"/>
          <w:b w:val="false"/>
          <w:bCs w:val="false"/>
          <w:i w:val="false"/>
          <w:i w:val="false"/>
          <w:iCs w:val="false"/>
          <w:color w:val="333333"/>
          <w:sz w:val="20"/>
          <w:sz w:val="20"/>
          <w:szCs w:val="20"/>
          <w:rtl w:val="true"/>
        </w:rPr>
        <w:t xml:space="preserve">،الهداية للمرغينانيّ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،شرح فتح القدير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 xml:space="preserve">،ميزان الكبرى </w:t>
      </w:r>
      <w:r>
        <w:rPr>
          <w:rFonts w:eastAsia="IRNazanin" w:cs="IRNazanin"/>
          <w:b w:val="false"/>
          <w:bCs w:val="false"/>
          <w:i w:val="false"/>
          <w:iCs w:val="false"/>
          <w:color w:val="333333"/>
          <w:sz w:val="20"/>
          <w:szCs w:val="20"/>
        </w:rPr>
        <w:t>1:166</w:t>
      </w:r>
      <w:r>
        <w:rPr>
          <w:rFonts w:eastAsia="IRNazanin" w:cs="IRNazanin"/>
          <w:b w:val="false"/>
          <w:bCs w:val="false"/>
          <w:i w:val="false"/>
          <w:iCs w:val="false"/>
          <w:color w:val="333333"/>
          <w:sz w:val="20"/>
          <w:szCs w:val="20"/>
          <w:rtl w:val="true"/>
        </w:rPr>
        <w:t>.</w:t>
      </w:r>
    </w:p>
  </w:footnote>
  <w:footnote w:id="2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1:685</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2:193</w:t>
      </w:r>
      <w:r>
        <w:rPr>
          <w:rFonts w:ascii="IRNazanin" w:hAnsi="IRNazanin" w:eastAsia="IRNazanin"/>
          <w:b w:val="false"/>
          <w:b w:val="false"/>
          <w:bCs w:val="false"/>
          <w:i w:val="false"/>
          <w:i w:val="false"/>
          <w:iCs w:val="false"/>
          <w:color w:val="333333"/>
          <w:sz w:val="20"/>
          <w:sz w:val="20"/>
          <w:szCs w:val="20"/>
          <w:rtl w:val="true"/>
        </w:rPr>
        <w:t xml:space="preserve">،الكافي لابن قدامة </w:t>
      </w:r>
      <w:r>
        <w:rPr>
          <w:rFonts w:eastAsia="IRNazanin" w:cs="IRNazanin"/>
          <w:b w:val="false"/>
          <w:bCs w:val="false"/>
          <w:i w:val="false"/>
          <w:iCs w:val="false"/>
          <w:color w:val="333333"/>
          <w:sz w:val="20"/>
          <w:szCs w:val="20"/>
        </w:rPr>
        <w:t>1:205</w:t>
      </w:r>
      <w:r>
        <w:rPr>
          <w:rFonts w:ascii="IRNazanin" w:hAnsi="IRNazanin" w:eastAsia="IRNazanin"/>
          <w:b w:val="false"/>
          <w:b w:val="false"/>
          <w:bCs w:val="false"/>
          <w:i w:val="false"/>
          <w:i w:val="false"/>
          <w:iCs w:val="false"/>
          <w:color w:val="333333"/>
          <w:sz w:val="20"/>
          <w:sz w:val="20"/>
          <w:szCs w:val="20"/>
          <w:rtl w:val="true"/>
        </w:rPr>
        <w:t xml:space="preserve">،منار السّبيل </w:t>
      </w:r>
      <w:r>
        <w:rPr>
          <w:rFonts w:eastAsia="IRNazanin" w:cs="IRNazanin"/>
          <w:b w:val="false"/>
          <w:bCs w:val="false"/>
          <w:i w:val="false"/>
          <w:iCs w:val="false"/>
          <w:color w:val="333333"/>
          <w:sz w:val="20"/>
          <w:szCs w:val="20"/>
        </w:rPr>
        <w:t>1:114</w:t>
      </w:r>
      <w:r>
        <w:rPr>
          <w:rFonts w:eastAsia="IRNazanin" w:cs="IRNazanin"/>
          <w:b w:val="false"/>
          <w:bCs w:val="false"/>
          <w:i w:val="false"/>
          <w:iCs w:val="false"/>
          <w:color w:val="333333"/>
          <w:sz w:val="20"/>
          <w:szCs w:val="20"/>
          <w:rtl w:val="true"/>
        </w:rPr>
        <w:t>.</w:t>
      </w:r>
    </w:p>
  </w:footnote>
  <w:footnote w:id="2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عمدة القارئ </w:t>
      </w:r>
      <w:r>
        <w:rPr>
          <w:rFonts w:eastAsia="IRNazanin" w:cs="IRNazanin"/>
          <w:b w:val="false"/>
          <w:bCs w:val="false"/>
          <w:i w:val="false"/>
          <w:iCs w:val="false"/>
          <w:color w:val="333333"/>
          <w:sz w:val="20"/>
          <w:szCs w:val="20"/>
        </w:rPr>
        <w:t>7:95</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1:685</w:t>
      </w:r>
      <w:r>
        <w:rPr>
          <w:rFonts w:ascii="IRNazanin" w:hAnsi="IRNazanin" w:eastAsia="IRNazanin"/>
          <w:b w:val="false"/>
          <w:b w:val="false"/>
          <w:bCs w:val="false"/>
          <w:i w:val="false"/>
          <w:i w:val="false"/>
          <w:iCs w:val="false"/>
          <w:color w:val="333333"/>
          <w:sz w:val="20"/>
          <w:sz w:val="20"/>
          <w:szCs w:val="20"/>
          <w:rtl w:val="true"/>
        </w:rPr>
        <w:t xml:space="preserve">،ميزان الكبرى </w:t>
      </w:r>
      <w:r>
        <w:rPr>
          <w:rFonts w:eastAsia="IRNazanin" w:cs="IRNazanin"/>
          <w:b w:val="false"/>
          <w:bCs w:val="false"/>
          <w:i w:val="false"/>
          <w:iCs w:val="false"/>
          <w:color w:val="333333"/>
          <w:sz w:val="20"/>
          <w:szCs w:val="20"/>
        </w:rPr>
        <w:t>1:164</w:t>
      </w:r>
      <w:r>
        <w:rPr>
          <w:rFonts w:ascii="IRNazanin" w:hAnsi="IRNazanin" w:eastAsia="IRNazanin"/>
          <w:b w:val="false"/>
          <w:b w:val="false"/>
          <w:bCs w:val="false"/>
          <w:i w:val="false"/>
          <w:i w:val="false"/>
          <w:iCs w:val="false"/>
          <w:color w:val="333333"/>
          <w:sz w:val="20"/>
          <w:sz w:val="20"/>
          <w:szCs w:val="20"/>
          <w:rtl w:val="true"/>
        </w:rPr>
        <w:t xml:space="preserve">،رحمة الأمّة بهامش ميزان الكبرى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2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القارئ </w:t>
      </w:r>
      <w:r>
        <w:rPr>
          <w:rFonts w:eastAsia="IRNazanin" w:cs="IRNazanin"/>
          <w:b w:val="false"/>
          <w:bCs w:val="false"/>
          <w:i w:val="false"/>
          <w:iCs w:val="false"/>
          <w:color w:val="333333"/>
          <w:sz w:val="20"/>
          <w:szCs w:val="20"/>
        </w:rPr>
        <w:t>7:95</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1:685</w:t>
      </w:r>
      <w:r>
        <w:rPr>
          <w:rFonts w:ascii="IRNazanin" w:hAnsi="IRNazanin" w:eastAsia="IRNazanin"/>
          <w:b w:val="false"/>
          <w:b w:val="false"/>
          <w:bCs w:val="false"/>
          <w:i w:val="false"/>
          <w:i w:val="false"/>
          <w:iCs w:val="false"/>
          <w:color w:val="333333"/>
          <w:sz w:val="20"/>
          <w:sz w:val="20"/>
          <w:szCs w:val="20"/>
          <w:rtl w:val="true"/>
        </w:rPr>
        <w:t xml:space="preserve">،ميزان الكبرى </w:t>
      </w:r>
      <w:r>
        <w:rPr>
          <w:rFonts w:eastAsia="IRNazanin" w:cs="IRNazanin"/>
          <w:b w:val="false"/>
          <w:bCs w:val="false"/>
          <w:i w:val="false"/>
          <w:iCs w:val="false"/>
          <w:color w:val="333333"/>
          <w:sz w:val="20"/>
          <w:szCs w:val="20"/>
        </w:rPr>
        <w:t>1:164</w:t>
      </w:r>
      <w:r>
        <w:rPr>
          <w:rFonts w:ascii="IRNazanin" w:hAnsi="IRNazanin" w:eastAsia="IRNazanin"/>
          <w:b w:val="false"/>
          <w:b w:val="false"/>
          <w:bCs w:val="false"/>
          <w:i w:val="false"/>
          <w:i w:val="false"/>
          <w:iCs w:val="false"/>
          <w:color w:val="333333"/>
          <w:sz w:val="20"/>
          <w:sz w:val="20"/>
          <w:szCs w:val="20"/>
          <w:rtl w:val="true"/>
        </w:rPr>
        <w:t xml:space="preserve">،رحمة الأمّة بهامش ميزان الكبرى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2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1:685</w:t>
      </w:r>
      <w:r>
        <w:rPr>
          <w:rFonts w:eastAsia="IRNazanin" w:cs="IRNazanin"/>
          <w:b w:val="false"/>
          <w:bCs w:val="false"/>
          <w:i w:val="false"/>
          <w:iCs w:val="false"/>
          <w:color w:val="333333"/>
          <w:sz w:val="20"/>
          <w:szCs w:val="20"/>
          <w:rtl w:val="true"/>
        </w:rPr>
        <w:t>.</w:t>
      </w:r>
    </w:p>
  </w:footnote>
  <w:footnote w:id="2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5:56</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1:100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،سنن الدّارميّ </w:t>
      </w:r>
      <w:r>
        <w:rPr>
          <w:rFonts w:eastAsia="IRNazanin" w:cs="IRNazanin"/>
          <w:b w:val="false"/>
          <w:bCs w:val="false"/>
          <w:i w:val="false"/>
          <w:iCs w:val="false"/>
          <w:color w:val="333333"/>
          <w:sz w:val="20"/>
          <w:szCs w:val="20"/>
        </w:rPr>
        <w:t>1:175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1171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المصدر</w:t>
      </w:r>
      <w:r>
        <w:rPr>
          <w:rFonts w:eastAsia="IRNazanin" w:cs="IRNazanin"/>
          <w:b w:val="false"/>
          <w:bCs w:val="false"/>
          <w:i w:val="false"/>
          <w:iCs w:val="false"/>
          <w:color w:val="333333"/>
          <w:sz w:val="20"/>
          <w:szCs w:val="20"/>
          <w:rtl w:val="true"/>
        </w:rPr>
        <w:t>.</w:t>
      </w:r>
    </w:p>
  </w:footnote>
  <w:footnote w:id="2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1172</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1193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الأخيرين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تقرأ،و لا تسجد</w:t>
      </w:r>
      <w:r>
        <w:rPr>
          <w:rFonts w:eastAsia="IRNazanin" w:cs="IRNazanin"/>
          <w:b w:val="false"/>
          <w:bCs w:val="false"/>
          <w:i w:val="false"/>
          <w:iCs w:val="false"/>
          <w:color w:val="333333"/>
          <w:sz w:val="20"/>
          <w:szCs w:val="20"/>
          <w:rtl w:val="true"/>
        </w:rPr>
        <w:t>».</w:t>
      </w:r>
    </w:p>
  </w:footnote>
  <w:footnote w:id="2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1:114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1171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 ابن حمزة في الوسيلة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665</w:t>
      </w:r>
      <w:r>
        <w:rPr>
          <w:rFonts w:ascii="IRNazanin" w:hAnsi="IRNazanin" w:eastAsia="IRNazanin"/>
          <w:b w:val="false"/>
          <w:b w:val="false"/>
          <w:bCs w:val="false"/>
          <w:i w:val="false"/>
          <w:i w:val="false"/>
          <w:iCs w:val="false"/>
          <w:color w:val="333333"/>
          <w:sz w:val="20"/>
          <w:sz w:val="20"/>
          <w:szCs w:val="20"/>
          <w:rtl w:val="true"/>
        </w:rPr>
        <w:t xml:space="preserve">،و ابن البراج في المهذّب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،و سلاّر في المراسم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،و ابن إدريس في السّرائر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،و المحقّق الحلّي في المختصر النّافع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،و الشّرائع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2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2:587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2:587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521</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الجنابة،حديث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 في اللّفظ</w:t>
      </w:r>
      <w:r>
        <w:rPr>
          <w:rFonts w:eastAsia="IRNazanin" w:cs="IRNazanin"/>
          <w:b w:val="false"/>
          <w:bCs w:val="false"/>
          <w:i w:val="false"/>
          <w:iCs w:val="false"/>
          <w:color w:val="333333"/>
          <w:sz w:val="20"/>
          <w:szCs w:val="20"/>
          <w:rtl w:val="true"/>
        </w:rPr>
        <w:t>.</w:t>
      </w:r>
    </w:p>
  </w:footnote>
  <w:footnote w:id="2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عنه في المعتبر </w:t>
      </w:r>
      <w:r>
        <w:rPr>
          <w:rFonts w:eastAsia="IRNazanin" w:cs="IRNazanin"/>
          <w:b w:val="false"/>
          <w:bCs w:val="false"/>
          <w:i w:val="false"/>
          <w:iCs w:val="false"/>
          <w:color w:val="333333"/>
          <w:sz w:val="20"/>
          <w:szCs w:val="20"/>
        </w:rPr>
        <w:t>1:234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يحرم</w:t>
      </w:r>
      <w:r>
        <w:rPr>
          <w:rFonts w:eastAsia="IRNazanin" w:cs="IRNazanin"/>
          <w:b w:val="false"/>
          <w:bCs w:val="false"/>
          <w:i w:val="false"/>
          <w:iCs w:val="false"/>
          <w:color w:val="333333"/>
          <w:sz w:val="20"/>
          <w:szCs w:val="20"/>
          <w:rtl w:val="true"/>
        </w:rPr>
        <w:t>.</w:t>
      </w:r>
    </w:p>
  </w:footnote>
  <w:footnote w:id="2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الجمل و العقود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2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قول عليّ بن بابويه في المعتبر </w:t>
      </w:r>
      <w:r>
        <w:rPr>
          <w:rFonts w:eastAsia="IRNazanin" w:cs="IRNazanin"/>
          <w:b w:val="false"/>
          <w:bCs w:val="false"/>
          <w:i w:val="false"/>
          <w:iCs w:val="false"/>
          <w:color w:val="333333"/>
          <w:sz w:val="20"/>
          <w:szCs w:val="20"/>
        </w:rPr>
        <w:t>1:229</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قول محمّد بن عليّ بن بابويه في الفقيه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،و 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1:384</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1:351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لابن قدامة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1:246</w:t>
      </w:r>
      <w:r>
        <w:rPr>
          <w:rFonts w:ascii="IRNazanin" w:hAnsi="IRNazanin" w:eastAsia="IRNazanin"/>
          <w:b w:val="false"/>
          <w:b w:val="false"/>
          <w:bCs w:val="false"/>
          <w:i w:val="false"/>
          <w:i w:val="false"/>
          <w:iCs w:val="false"/>
          <w:color w:val="333333"/>
          <w:sz w:val="20"/>
          <w:sz w:val="20"/>
          <w:szCs w:val="20"/>
          <w:rtl w:val="true"/>
        </w:rPr>
        <w:t xml:space="preserve">،تفسير القرطبيّ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xml:space="preserve">،منار السّبيل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1:351</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،رحمة الأمّة بهامش ميزان الكبرى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2:361</w:t>
      </w:r>
      <w:r>
        <w:rPr>
          <w:rFonts w:ascii="IRNazanin" w:hAnsi="IRNazanin" w:eastAsia="IRNazanin"/>
          <w:b w:val="false"/>
          <w:b w:val="false"/>
          <w:bCs w:val="false"/>
          <w:i w:val="false"/>
          <w:i w:val="false"/>
          <w:iCs w:val="false"/>
          <w:color w:val="333333"/>
          <w:sz w:val="20"/>
          <w:sz w:val="20"/>
          <w:szCs w:val="20"/>
          <w:rtl w:val="true"/>
        </w:rPr>
        <w:t xml:space="preserve">،ميزان الكبرى </w:t>
      </w:r>
      <w:r>
        <w:rPr>
          <w:rFonts w:eastAsia="IRNazanin" w:cs="IRNazanin"/>
          <w:b w:val="false"/>
          <w:bCs w:val="false"/>
          <w:i w:val="false"/>
          <w:iCs w:val="false"/>
          <w:color w:val="333333"/>
          <w:sz w:val="20"/>
          <w:szCs w:val="20"/>
        </w:rPr>
        <w:t>1:129</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2:424</w:t>
      </w:r>
      <w:r>
        <w:rPr>
          <w:rFonts w:ascii="IRNazanin" w:hAnsi="IRNazanin" w:eastAsia="IRNazanin"/>
          <w:b w:val="false"/>
          <w:b w:val="false"/>
          <w:bCs w:val="false"/>
          <w:i w:val="false"/>
          <w:i w:val="false"/>
          <w:iCs w:val="false"/>
          <w:color w:val="333333"/>
          <w:sz w:val="20"/>
          <w:sz w:val="20"/>
          <w:szCs w:val="20"/>
          <w:rtl w:val="true"/>
        </w:rPr>
        <w:t xml:space="preserve">،المحلّى </w:t>
      </w:r>
      <w:r>
        <w:rPr>
          <w:rFonts w:eastAsia="IRNazanin" w:cs="IRNazanin"/>
          <w:b w:val="false"/>
          <w:bCs w:val="false"/>
          <w:i w:val="false"/>
          <w:iCs w:val="false"/>
          <w:color w:val="333333"/>
          <w:sz w:val="20"/>
          <w:szCs w:val="20"/>
        </w:rPr>
        <w:t>2:187</w:t>
      </w:r>
      <w:r>
        <w:rPr>
          <w:rFonts w:ascii="IRNazanin" w:hAnsi="IRNazanin" w:eastAsia="IRNazanin"/>
          <w:b w:val="false"/>
          <w:b w:val="false"/>
          <w:bCs w:val="false"/>
          <w:i w:val="false"/>
          <w:i w:val="false"/>
          <w:iCs w:val="false"/>
          <w:color w:val="333333"/>
          <w:sz w:val="20"/>
          <w:sz w:val="20"/>
          <w:szCs w:val="20"/>
          <w:rtl w:val="true"/>
        </w:rPr>
        <w:t xml:space="preserve">،عمدة القارئ </w:t>
      </w:r>
      <w:r>
        <w:rPr>
          <w:rFonts w:eastAsia="IRNazanin" w:cs="IRNazanin"/>
          <w:b w:val="false"/>
          <w:bCs w:val="false"/>
          <w:i w:val="false"/>
          <w:iCs w:val="false"/>
          <w:color w:val="333333"/>
          <w:sz w:val="20"/>
          <w:szCs w:val="20"/>
        </w:rPr>
        <w:t>3:266</w:t>
      </w:r>
      <w:r>
        <w:rPr>
          <w:rFonts w:eastAsia="IRNazanin" w:cs="IRNazanin"/>
          <w:b w:val="false"/>
          <w:bCs w:val="false"/>
          <w:i w:val="false"/>
          <w:iCs w:val="false"/>
          <w:color w:val="333333"/>
          <w:sz w:val="20"/>
          <w:szCs w:val="20"/>
          <w:rtl w:val="true"/>
        </w:rPr>
        <w:t>.</w:t>
      </w:r>
    </w:p>
  </w:footnote>
  <w:footnote w:id="2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2:359</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2:422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رحمة الأمّة بهامش ميزان الكبرى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،ميزان الكبرى </w:t>
      </w:r>
      <w:r>
        <w:rPr>
          <w:rFonts w:eastAsia="IRNazanin" w:cs="IRNazanin"/>
          <w:b w:val="false"/>
          <w:bCs w:val="false"/>
          <w:i w:val="false"/>
          <w:iCs w:val="false"/>
          <w:color w:val="333333"/>
          <w:sz w:val="20"/>
          <w:szCs w:val="20"/>
        </w:rPr>
        <w:t>1:129</w:t>
      </w:r>
      <w:r>
        <w:rPr>
          <w:rFonts w:ascii="IRNazanin" w:hAnsi="IRNazanin" w:eastAsia="IRNazanin"/>
          <w:b w:val="false"/>
          <w:b w:val="false"/>
          <w:bCs w:val="false"/>
          <w:i w:val="false"/>
          <w:i w:val="false"/>
          <w:iCs w:val="false"/>
          <w:color w:val="333333"/>
          <w:sz w:val="20"/>
          <w:sz w:val="20"/>
          <w:szCs w:val="20"/>
          <w:rtl w:val="true"/>
        </w:rPr>
        <w:t xml:space="preserve">،عمدة القارئ </w:t>
      </w:r>
      <w:r>
        <w:rPr>
          <w:rFonts w:eastAsia="IRNazanin" w:cs="IRNazanin"/>
          <w:b w:val="false"/>
          <w:bCs w:val="false"/>
          <w:i w:val="false"/>
          <w:iCs w:val="false"/>
          <w:color w:val="333333"/>
          <w:sz w:val="20"/>
          <w:szCs w:val="20"/>
        </w:rPr>
        <w:t>3:266</w:t>
      </w:r>
      <w:r>
        <w:rPr>
          <w:rFonts w:ascii="IRNazanin" w:hAnsi="IRNazanin" w:eastAsia="IRNazanin"/>
          <w:b w:val="false"/>
          <w:b w:val="false"/>
          <w:bCs w:val="false"/>
          <w:i w:val="false"/>
          <w:i w:val="false"/>
          <w:iCs w:val="false"/>
          <w:color w:val="333333"/>
          <w:sz w:val="20"/>
          <w:sz w:val="20"/>
          <w:szCs w:val="20"/>
          <w:rtl w:val="true"/>
        </w:rPr>
        <w:t xml:space="preserve">،إرشاد السّاري </w:t>
      </w:r>
      <w:r>
        <w:rPr>
          <w:rFonts w:eastAsia="IRNazanin" w:cs="IRNazanin"/>
          <w:b w:val="false"/>
          <w:bCs w:val="false"/>
          <w:i w:val="false"/>
          <w:iCs w:val="false"/>
          <w:color w:val="333333"/>
          <w:sz w:val="20"/>
          <w:szCs w:val="20"/>
        </w:rPr>
        <w:t>1:346</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1:352</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w:t>
      </w:r>
    </w:p>
  </w:footnote>
  <w:footnote w:id="2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0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،تفسير القرطبيّ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2:360</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1:385</w:t>
      </w:r>
      <w:r>
        <w:rPr>
          <w:rFonts w:ascii="IRNazanin" w:hAnsi="IRNazanin" w:eastAsia="IRNazanin"/>
          <w:b w:val="false"/>
          <w:b w:val="false"/>
          <w:bCs w:val="false"/>
          <w:i w:val="false"/>
          <w:i w:val="false"/>
          <w:iCs w:val="false"/>
          <w:color w:val="333333"/>
          <w:sz w:val="20"/>
          <w:sz w:val="20"/>
          <w:szCs w:val="20"/>
          <w:rtl w:val="true"/>
        </w:rPr>
        <w:t xml:space="preserve">،رحمة الأمّة بهامش ميزان الكبرى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،ميزان الكبرى </w:t>
      </w:r>
      <w:r>
        <w:rPr>
          <w:rFonts w:eastAsia="IRNazanin" w:cs="IRNazanin"/>
          <w:b w:val="false"/>
          <w:bCs w:val="false"/>
          <w:i w:val="false"/>
          <w:iCs w:val="false"/>
          <w:color w:val="333333"/>
          <w:sz w:val="20"/>
          <w:szCs w:val="20"/>
        </w:rPr>
        <w:t>1:129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كفارة عليه</w:t>
      </w:r>
      <w:r>
        <w:rPr>
          <w:rFonts w:eastAsia="IRNazanin" w:cs="IRNazanin"/>
          <w:b w:val="false"/>
          <w:bCs w:val="false"/>
          <w:i w:val="false"/>
          <w:iCs w:val="false"/>
          <w:color w:val="333333"/>
          <w:sz w:val="20"/>
          <w:szCs w:val="20"/>
          <w:rtl w:val="true"/>
        </w:rPr>
        <w:t>.</w:t>
      </w:r>
    </w:p>
  </w:footnote>
  <w:footnote w:id="2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فتح القدير </w:t>
      </w:r>
      <w:r>
        <w:rPr>
          <w:rFonts w:eastAsia="IRNazanin" w:cs="IRNazanin"/>
          <w:b w:val="false"/>
          <w:bCs w:val="false"/>
          <w:i w:val="false"/>
          <w:iCs w:val="false"/>
          <w:color w:val="333333"/>
          <w:sz w:val="20"/>
          <w:szCs w:val="20"/>
        </w:rPr>
        <w:t>1:147</w:t>
      </w:r>
      <w:r>
        <w:rPr>
          <w:rFonts w:ascii="IRNazanin" w:hAnsi="IRNazanin" w:eastAsia="IRNazanin"/>
          <w:b w:val="false"/>
          <w:b w:val="false"/>
          <w:bCs w:val="false"/>
          <w:i w:val="false"/>
          <w:i w:val="false"/>
          <w:iCs w:val="false"/>
          <w:color w:val="333333"/>
          <w:sz w:val="20"/>
          <w:sz w:val="20"/>
          <w:szCs w:val="20"/>
          <w:rtl w:val="true"/>
        </w:rPr>
        <w:t xml:space="preserve">،عمدة القارئ </w:t>
      </w:r>
      <w:r>
        <w:rPr>
          <w:rFonts w:eastAsia="IRNazanin" w:cs="IRNazanin"/>
          <w:b w:val="false"/>
          <w:bCs w:val="false"/>
          <w:i w:val="false"/>
          <w:iCs w:val="false"/>
          <w:color w:val="333333"/>
          <w:sz w:val="20"/>
          <w:szCs w:val="20"/>
        </w:rPr>
        <w:t>3:266</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1:385</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2:360</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،تفسير القرطبيّ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رحمة الأمّة بهامش ميزان الكبرى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،ميزان الكبرى </w:t>
      </w:r>
      <w:r>
        <w:rPr>
          <w:rFonts w:eastAsia="IRNazanin" w:cs="IRNazanin"/>
          <w:b w:val="false"/>
          <w:bCs w:val="false"/>
          <w:i w:val="false"/>
          <w:iCs w:val="false"/>
          <w:color w:val="333333"/>
          <w:sz w:val="20"/>
          <w:szCs w:val="20"/>
        </w:rPr>
        <w:t>1:129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فيها ما عدا شرح فتح القدير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كفّارة عليه</w:t>
      </w:r>
      <w:r>
        <w:rPr>
          <w:rFonts w:eastAsia="IRNazanin" w:cs="IRNazanin"/>
          <w:b w:val="false"/>
          <w:bCs w:val="false"/>
          <w:i w:val="false"/>
          <w:iCs w:val="false"/>
          <w:color w:val="333333"/>
          <w:sz w:val="20"/>
          <w:szCs w:val="20"/>
          <w:rtl w:val="true"/>
        </w:rPr>
        <w:t>.</w:t>
      </w:r>
    </w:p>
  </w:footnote>
  <w:footnote w:id="2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1:385</w:t>
      </w:r>
      <w:r>
        <w:rPr>
          <w:rFonts w:ascii="IRNazanin" w:hAnsi="IRNazanin" w:eastAsia="IRNazanin"/>
          <w:b w:val="false"/>
          <w:b w:val="false"/>
          <w:bCs w:val="false"/>
          <w:i w:val="false"/>
          <w:i w:val="false"/>
          <w:iCs w:val="false"/>
          <w:color w:val="333333"/>
          <w:sz w:val="20"/>
          <w:sz w:val="20"/>
          <w:szCs w:val="20"/>
          <w:rtl w:val="true"/>
        </w:rPr>
        <w:t xml:space="preserve">،عمدة القارئ </w:t>
      </w:r>
      <w:r>
        <w:rPr>
          <w:rFonts w:eastAsia="IRNazanin" w:cs="IRNazanin"/>
          <w:b w:val="false"/>
          <w:bCs w:val="false"/>
          <w:i w:val="false"/>
          <w:iCs w:val="false"/>
          <w:color w:val="333333"/>
          <w:sz w:val="20"/>
          <w:szCs w:val="20"/>
        </w:rPr>
        <w:t>3:266</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2:361</w:t>
      </w:r>
      <w:r>
        <w:rPr>
          <w:rFonts w:eastAsia="IRNazanin" w:cs="IRNazanin"/>
          <w:b w:val="false"/>
          <w:bCs w:val="false"/>
          <w:i w:val="false"/>
          <w:iCs w:val="false"/>
          <w:color w:val="333333"/>
          <w:sz w:val="20"/>
          <w:szCs w:val="20"/>
          <w:rtl w:val="true"/>
        </w:rPr>
        <w:t>.</w:t>
      </w:r>
    </w:p>
  </w:footnote>
  <w:footnote w:id="20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أنزل اللّه</w:t>
      </w:r>
      <w:r>
        <w:rPr>
          <w:rFonts w:eastAsia="IRNazanin" w:cs="IRNazanin"/>
          <w:b w:val="false"/>
          <w:bCs w:val="false"/>
          <w:i w:val="false"/>
          <w:iCs w:val="false"/>
          <w:color w:val="333333"/>
          <w:sz w:val="20"/>
          <w:szCs w:val="20"/>
          <w:rtl w:val="true"/>
        </w:rPr>
        <w:t>.</w:t>
      </w:r>
    </w:p>
  </w:footnote>
  <w:footnote w:id="2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1:242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1:209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639</w:t>
      </w:r>
      <w:r>
        <w:rPr>
          <w:rFonts w:ascii="IRNazanin" w:hAnsi="IRNazanin" w:eastAsia="IRNazanin"/>
          <w:b w:val="false"/>
          <w:b w:val="false"/>
          <w:bCs w:val="false"/>
          <w:i w:val="false"/>
          <w:i w:val="false"/>
          <w:iCs w:val="false"/>
          <w:color w:val="333333"/>
          <w:sz w:val="20"/>
          <w:sz w:val="20"/>
          <w:szCs w:val="20"/>
          <w:rtl w:val="true"/>
        </w:rPr>
        <w:t xml:space="preserve">،سنن الدّارميّ </w:t>
      </w:r>
      <w:r>
        <w:rPr>
          <w:rFonts w:eastAsia="IRNazanin" w:cs="IRNazanin"/>
          <w:b w:val="false"/>
          <w:bCs w:val="false"/>
          <w:i w:val="false"/>
          <w:iCs w:val="false"/>
          <w:color w:val="333333"/>
          <w:sz w:val="20"/>
          <w:szCs w:val="20"/>
        </w:rPr>
        <w:t>1:259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2:408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3904</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p>
  </w:footnote>
  <w:footnote w:id="20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472</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2:576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473</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2:576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474</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462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2:576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معدم</w:t>
      </w:r>
      <w:r>
        <w:rPr>
          <w:rFonts w:eastAsia="IRNazanin" w:cs="IRNazanin"/>
          <w:b w:val="false"/>
          <w:bCs w:val="false"/>
          <w:i w:val="false"/>
          <w:iCs w:val="false"/>
          <w:color w:val="333333"/>
          <w:sz w:val="20"/>
          <w:szCs w:val="20"/>
          <w:rtl w:val="true"/>
        </w:rPr>
        <w:t>.</w:t>
      </w:r>
    </w:p>
  </w:footnote>
  <w:footnote w:id="20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1:163</w:t>
      </w:r>
      <w:r>
        <w:rPr>
          <w:rFonts w:eastAsia="IRNazanin" w:cs="IRNazanin"/>
          <w:b w:val="false"/>
          <w:bCs w:val="false"/>
          <w:i w:val="false"/>
          <w:iCs w:val="false"/>
          <w:color w:val="333333"/>
          <w:sz w:val="20"/>
          <w:szCs w:val="20"/>
          <w:rtl w:val="true"/>
        </w:rPr>
        <w:t>.</w:t>
      </w:r>
    </w:p>
  </w:footnote>
  <w:footnote w:id="20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يستغفر اللّه</w:t>
      </w:r>
      <w:r>
        <w:rPr>
          <w:rFonts w:eastAsia="IRNazanin" w:cs="IRNazanin"/>
          <w:b w:val="false"/>
          <w:bCs w:val="false"/>
          <w:i w:val="false"/>
          <w:iCs w:val="false"/>
          <w:color w:val="333333"/>
          <w:sz w:val="20"/>
          <w:szCs w:val="20"/>
          <w:rtl w:val="true"/>
        </w:rPr>
        <w:t>.</w:t>
      </w:r>
    </w:p>
  </w:footnote>
  <w:footnote w:id="20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470</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471</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459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1:384</w:t>
      </w:r>
      <w:r>
        <w:rPr>
          <w:rFonts w:ascii="IRNazanin" w:hAnsi="IRNazanin" w:eastAsia="IRNazanin"/>
          <w:b w:val="false"/>
          <w:b w:val="false"/>
          <w:bCs w:val="false"/>
          <w:i w:val="false"/>
          <w:i w:val="false"/>
          <w:iCs w:val="false"/>
          <w:color w:val="333333"/>
          <w:sz w:val="20"/>
          <w:sz w:val="20"/>
          <w:szCs w:val="20"/>
          <w:rtl w:val="true"/>
        </w:rPr>
        <w:t xml:space="preserve">،الكافي لابن قدامة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،منار السّبيل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،تفسير القرطبيّ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1:351</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2:361</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2:424</w:t>
      </w:r>
      <w:r>
        <w:rPr>
          <w:rFonts w:ascii="IRNazanin" w:hAnsi="IRNazanin" w:eastAsia="IRNazanin"/>
          <w:b w:val="false"/>
          <w:b w:val="false"/>
          <w:bCs w:val="false"/>
          <w:i w:val="false"/>
          <w:i w:val="false"/>
          <w:iCs w:val="false"/>
          <w:color w:val="333333"/>
          <w:sz w:val="20"/>
          <w:sz w:val="20"/>
          <w:szCs w:val="20"/>
          <w:rtl w:val="true"/>
        </w:rPr>
        <w:t xml:space="preserve">،المحلّى </w:t>
      </w:r>
      <w:r>
        <w:rPr>
          <w:rFonts w:eastAsia="IRNazanin" w:cs="IRNazanin"/>
          <w:b w:val="false"/>
          <w:bCs w:val="false"/>
          <w:i w:val="false"/>
          <w:iCs w:val="false"/>
          <w:color w:val="333333"/>
          <w:sz w:val="20"/>
          <w:szCs w:val="20"/>
        </w:rPr>
        <w:t>2:187</w:t>
      </w:r>
      <w:r>
        <w:rPr>
          <w:rFonts w:eastAsia="IRNazanin" w:cs="IRNazanin"/>
          <w:b w:val="false"/>
          <w:bCs w:val="false"/>
          <w:i w:val="false"/>
          <w:iCs w:val="false"/>
          <w:color w:val="333333"/>
          <w:sz w:val="20"/>
          <w:szCs w:val="20"/>
          <w:rtl w:val="true"/>
        </w:rPr>
        <w:t>.</w:t>
      </w:r>
    </w:p>
  </w:footnote>
  <w:footnote w:id="20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1:210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640</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2168</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1:158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،سنن الدّارمي </w:t>
      </w:r>
      <w:r>
        <w:rPr>
          <w:rFonts w:eastAsia="IRNazanin" w:cs="IRNazanin"/>
          <w:b w:val="false"/>
          <w:bCs w:val="false"/>
          <w:i w:val="false"/>
          <w:iCs w:val="false"/>
          <w:color w:val="333333"/>
          <w:sz w:val="20"/>
          <w:szCs w:val="20"/>
        </w:rPr>
        <w:t>1:254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1:230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1:317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،سنن الدّار قطني </w:t>
      </w:r>
      <w:r>
        <w:rPr>
          <w:rFonts w:eastAsia="IRNazanin" w:cs="IRNazanin"/>
          <w:b w:val="false"/>
          <w:bCs w:val="false"/>
          <w:i w:val="false"/>
          <w:iCs w:val="false"/>
          <w:color w:val="333333"/>
          <w:sz w:val="20"/>
          <w:szCs w:val="20"/>
        </w:rPr>
        <w:t>3:286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20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 ترجمته في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20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 ترجمته و القول فيه في الجزء الأوّل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0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1:385</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1:350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20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20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القرطبيّ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المحلّى </w:t>
      </w:r>
      <w:r>
        <w:rPr>
          <w:rFonts w:eastAsia="IRNazanin" w:cs="IRNazanin"/>
          <w:b w:val="false"/>
          <w:bCs w:val="false"/>
          <w:i w:val="false"/>
          <w:iCs w:val="false"/>
          <w:color w:val="333333"/>
          <w:sz w:val="20"/>
          <w:szCs w:val="20"/>
        </w:rPr>
        <w:t>2:187</w:t>
      </w:r>
      <w:r>
        <w:rPr>
          <w:rFonts w:eastAsia="IRNazanin" w:cs="IRNazanin"/>
          <w:b w:val="false"/>
          <w:bCs w:val="false"/>
          <w:i w:val="false"/>
          <w:iCs w:val="false"/>
          <w:color w:val="333333"/>
          <w:sz w:val="20"/>
          <w:szCs w:val="20"/>
          <w:rtl w:val="true"/>
        </w:rPr>
        <w:t>.</w:t>
      </w:r>
    </w:p>
  </w:footnote>
  <w:footnote w:id="20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1:385</w:t>
      </w:r>
      <w:r>
        <w:rPr>
          <w:rFonts w:ascii="IRNazanin" w:hAnsi="IRNazanin" w:eastAsia="IRNazanin"/>
          <w:b w:val="false"/>
          <w:b w:val="false"/>
          <w:bCs w:val="false"/>
          <w:i w:val="false"/>
          <w:i w:val="false"/>
          <w:iCs w:val="false"/>
          <w:color w:val="333333"/>
          <w:sz w:val="20"/>
          <w:sz w:val="20"/>
          <w:szCs w:val="20"/>
          <w:rtl w:val="true"/>
        </w:rPr>
        <w:t xml:space="preserve">،الانصاف </w:t>
      </w:r>
      <w:r>
        <w:rPr>
          <w:rFonts w:eastAsia="IRNazanin" w:cs="IRNazanin"/>
          <w:b w:val="false"/>
          <w:bCs w:val="false"/>
          <w:i w:val="false"/>
          <w:iCs w:val="false"/>
          <w:color w:val="333333"/>
          <w:sz w:val="20"/>
          <w:szCs w:val="20"/>
        </w:rPr>
        <w:t>1:351</w:t>
      </w:r>
      <w:r>
        <w:rPr>
          <w:rFonts w:ascii="IRNazanin" w:hAnsi="IRNazanin" w:eastAsia="IRNazanin"/>
          <w:b w:val="false"/>
          <w:b w:val="false"/>
          <w:bCs w:val="false"/>
          <w:i w:val="false"/>
          <w:i w:val="false"/>
          <w:iCs w:val="false"/>
          <w:color w:val="333333"/>
          <w:sz w:val="20"/>
          <w:sz w:val="20"/>
          <w:szCs w:val="20"/>
          <w:rtl w:val="true"/>
        </w:rPr>
        <w:t xml:space="preserve">،منار السّبيل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2:424</w:t>
      </w:r>
      <w:r>
        <w:rPr>
          <w:rFonts w:ascii="IRNazanin" w:hAnsi="IRNazanin" w:eastAsia="IRNazanin"/>
          <w:b w:val="false"/>
          <w:b w:val="false"/>
          <w:bCs w:val="false"/>
          <w:i w:val="false"/>
          <w:i w:val="false"/>
          <w:iCs w:val="false"/>
          <w:color w:val="333333"/>
          <w:sz w:val="20"/>
          <w:sz w:val="20"/>
          <w:szCs w:val="20"/>
          <w:rtl w:val="true"/>
        </w:rPr>
        <w:t xml:space="preserve">،المحلّى </w:t>
      </w:r>
      <w:r>
        <w:rPr>
          <w:rFonts w:eastAsia="IRNazanin" w:cs="IRNazanin"/>
          <w:b w:val="false"/>
          <w:bCs w:val="false"/>
          <w:i w:val="false"/>
          <w:iCs w:val="false"/>
          <w:color w:val="333333"/>
          <w:sz w:val="20"/>
          <w:szCs w:val="20"/>
        </w:rPr>
        <w:t>2:187</w:t>
      </w:r>
      <w:r>
        <w:rPr>
          <w:rFonts w:ascii="IRNazanin" w:hAnsi="IRNazanin" w:eastAsia="IRNazanin"/>
          <w:b w:val="false"/>
          <w:b w:val="false"/>
          <w:bCs w:val="false"/>
          <w:i w:val="false"/>
          <w:i w:val="false"/>
          <w:iCs w:val="false"/>
          <w:color w:val="333333"/>
          <w:sz w:val="20"/>
          <w:sz w:val="20"/>
          <w:szCs w:val="20"/>
          <w:rtl w:val="true"/>
        </w:rPr>
        <w:t xml:space="preserve">،ميزان الكبرى </w:t>
      </w:r>
      <w:r>
        <w:rPr>
          <w:rFonts w:eastAsia="IRNazanin" w:cs="IRNazanin"/>
          <w:b w:val="false"/>
          <w:bCs w:val="false"/>
          <w:i w:val="false"/>
          <w:iCs w:val="false"/>
          <w:color w:val="333333"/>
          <w:sz w:val="20"/>
          <w:szCs w:val="20"/>
        </w:rPr>
        <w:t>1:129</w:t>
      </w:r>
      <w:r>
        <w:rPr>
          <w:rFonts w:ascii="IRNazanin" w:hAnsi="IRNazanin" w:eastAsia="IRNazanin"/>
          <w:b w:val="false"/>
          <w:b w:val="false"/>
          <w:bCs w:val="false"/>
          <w:i w:val="false"/>
          <w:i w:val="false"/>
          <w:iCs w:val="false"/>
          <w:color w:val="333333"/>
          <w:sz w:val="20"/>
          <w:sz w:val="20"/>
          <w:szCs w:val="20"/>
          <w:rtl w:val="true"/>
        </w:rPr>
        <w:t xml:space="preserve">،رحمة الأمّة بهامش ميزان الكبرى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20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2:359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2:422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1:110</w:t>
      </w:r>
      <w:r>
        <w:rPr>
          <w:rFonts w:ascii="IRNazanin" w:hAnsi="IRNazanin" w:eastAsia="IRNazanin"/>
          <w:b w:val="false"/>
          <w:b w:val="false"/>
          <w:bCs w:val="false"/>
          <w:i w:val="false"/>
          <w:i w:val="false"/>
          <w:iCs w:val="false"/>
          <w:color w:val="333333"/>
          <w:sz w:val="20"/>
          <w:sz w:val="20"/>
          <w:szCs w:val="20"/>
          <w:rtl w:val="true"/>
        </w:rPr>
        <w:t xml:space="preserve">،ميزان الكبرى </w:t>
      </w:r>
      <w:r>
        <w:rPr>
          <w:rFonts w:eastAsia="IRNazanin" w:cs="IRNazanin"/>
          <w:b w:val="false"/>
          <w:bCs w:val="false"/>
          <w:i w:val="false"/>
          <w:iCs w:val="false"/>
          <w:color w:val="333333"/>
          <w:sz w:val="20"/>
          <w:szCs w:val="20"/>
        </w:rPr>
        <w:t>1:129</w:t>
      </w:r>
      <w:r>
        <w:rPr>
          <w:rFonts w:ascii="IRNazanin" w:hAnsi="IRNazanin" w:eastAsia="IRNazanin"/>
          <w:b w:val="false"/>
          <w:b w:val="false"/>
          <w:bCs w:val="false"/>
          <w:i w:val="false"/>
          <w:i w:val="false"/>
          <w:iCs w:val="false"/>
          <w:color w:val="333333"/>
          <w:sz w:val="20"/>
          <w:sz w:val="20"/>
          <w:szCs w:val="20"/>
          <w:rtl w:val="true"/>
        </w:rPr>
        <w:t xml:space="preserve">،رحمة الأمّة بهامش ميزان الكبرى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20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2:360</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2:422</w:t>
      </w:r>
      <w:r>
        <w:rPr>
          <w:rFonts w:ascii="IRNazanin" w:hAnsi="IRNazanin" w:eastAsia="IRNazanin"/>
          <w:b w:val="false"/>
          <w:b w:val="false"/>
          <w:bCs w:val="false"/>
          <w:i w:val="false"/>
          <w:i w:val="false"/>
          <w:iCs w:val="false"/>
          <w:color w:val="333333"/>
          <w:sz w:val="20"/>
          <w:sz w:val="20"/>
          <w:szCs w:val="20"/>
          <w:rtl w:val="true"/>
        </w:rPr>
        <w:t xml:space="preserve">،ميزان الكبرى </w:t>
      </w:r>
      <w:r>
        <w:rPr>
          <w:rFonts w:eastAsia="IRNazanin" w:cs="IRNazanin"/>
          <w:b w:val="false"/>
          <w:bCs w:val="false"/>
          <w:i w:val="false"/>
          <w:iCs w:val="false"/>
          <w:color w:val="333333"/>
          <w:sz w:val="20"/>
          <w:szCs w:val="20"/>
        </w:rPr>
        <w:t>1:129</w:t>
      </w:r>
      <w:r>
        <w:rPr>
          <w:rFonts w:ascii="IRNazanin" w:hAnsi="IRNazanin" w:eastAsia="IRNazanin"/>
          <w:b w:val="false"/>
          <w:b w:val="false"/>
          <w:bCs w:val="false"/>
          <w:i w:val="false"/>
          <w:i w:val="false"/>
          <w:iCs w:val="false"/>
          <w:color w:val="333333"/>
          <w:sz w:val="20"/>
          <w:sz w:val="20"/>
          <w:szCs w:val="20"/>
          <w:rtl w:val="true"/>
        </w:rPr>
        <w:t xml:space="preserve">،رحمة الأمّة بهامش ميزان الكبرى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20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1:385</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1:351</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1:351</w:t>
      </w:r>
      <w:r>
        <w:rPr>
          <w:rFonts w:eastAsia="IRNazanin" w:cs="IRNazanin"/>
          <w:b w:val="false"/>
          <w:bCs w:val="false"/>
          <w:i w:val="false"/>
          <w:iCs w:val="false"/>
          <w:color w:val="333333"/>
          <w:sz w:val="20"/>
          <w:szCs w:val="20"/>
          <w:rtl w:val="true"/>
        </w:rPr>
        <w:t>.</w:t>
      </w:r>
    </w:p>
  </w:footnote>
  <w:footnote w:id="20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1:385</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1:351</w:t>
      </w:r>
      <w:r>
        <w:rPr>
          <w:rFonts w:eastAsia="IRNazanin" w:cs="IRNazanin"/>
          <w:b w:val="false"/>
          <w:bCs w:val="false"/>
          <w:i w:val="false"/>
          <w:iCs w:val="false"/>
          <w:color w:val="333333"/>
          <w:sz w:val="20"/>
          <w:szCs w:val="20"/>
          <w:rtl w:val="true"/>
        </w:rPr>
        <w:t>.</w:t>
      </w:r>
    </w:p>
  </w:footnote>
  <w:footnote w:id="20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2:424</w:t>
      </w:r>
      <w:r>
        <w:rPr>
          <w:rFonts w:eastAsia="IRNazanin" w:cs="IRNazanin"/>
          <w:b w:val="false"/>
          <w:bCs w:val="false"/>
          <w:i w:val="false"/>
          <w:iCs w:val="false"/>
          <w:color w:val="333333"/>
          <w:sz w:val="20"/>
          <w:szCs w:val="20"/>
          <w:rtl w:val="true"/>
        </w:rPr>
        <w:t>.</w:t>
      </w:r>
    </w:p>
  </w:footnote>
  <w:footnote w:id="20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2:361</w:t>
      </w:r>
      <w:r>
        <w:rPr>
          <w:rFonts w:ascii="IRNazanin" w:hAnsi="IRNazanin" w:eastAsia="IRNazanin"/>
          <w:b w:val="false"/>
          <w:b w:val="false"/>
          <w:bCs w:val="false"/>
          <w:i w:val="false"/>
          <w:i w:val="false"/>
          <w:iCs w:val="false"/>
          <w:color w:val="333333"/>
          <w:sz w:val="20"/>
          <w:sz w:val="20"/>
          <w:szCs w:val="20"/>
          <w:rtl w:val="true"/>
        </w:rPr>
        <w:t xml:space="preserve">،المحلّى </w:t>
      </w:r>
      <w:r>
        <w:rPr>
          <w:rFonts w:eastAsia="IRNazanin" w:cs="IRNazanin"/>
          <w:b w:val="false"/>
          <w:bCs w:val="false"/>
          <w:i w:val="false"/>
          <w:iCs w:val="false"/>
          <w:color w:val="333333"/>
          <w:sz w:val="20"/>
          <w:szCs w:val="20"/>
        </w:rPr>
        <w:t>2:187</w:t>
      </w:r>
      <w:r>
        <w:rPr>
          <w:rFonts w:ascii="IRNazanin" w:hAnsi="IRNazanin" w:eastAsia="IRNazanin"/>
          <w:b w:val="false"/>
          <w:b w:val="false"/>
          <w:bCs w:val="false"/>
          <w:i w:val="false"/>
          <w:i w:val="false"/>
          <w:iCs w:val="false"/>
          <w:color w:val="333333"/>
          <w:sz w:val="20"/>
          <w:sz w:val="20"/>
          <w:szCs w:val="20"/>
          <w:rtl w:val="true"/>
        </w:rPr>
        <w:t xml:space="preserve">،البحر الزّخّار </w:t>
      </w:r>
      <w:r>
        <w:rPr>
          <w:rFonts w:eastAsia="IRNazanin" w:cs="IRNazanin"/>
          <w:b w:val="false"/>
          <w:bCs w:val="false"/>
          <w:i w:val="false"/>
          <w:iCs w:val="false"/>
          <w:color w:val="333333"/>
          <w:sz w:val="20"/>
          <w:szCs w:val="20"/>
        </w:rPr>
        <w:t>2:137</w:t>
      </w:r>
      <w:r>
        <w:rPr>
          <w:rFonts w:eastAsia="IRNazanin" w:cs="IRNazanin"/>
          <w:b w:val="false"/>
          <w:bCs w:val="false"/>
          <w:i w:val="false"/>
          <w:iCs w:val="false"/>
          <w:color w:val="333333"/>
          <w:sz w:val="20"/>
          <w:szCs w:val="20"/>
          <w:rtl w:val="true"/>
        </w:rPr>
        <w:t>.</w:t>
      </w:r>
    </w:p>
  </w:footnote>
  <w:footnote w:id="20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في 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20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1:232</w:t>
      </w:r>
      <w:r>
        <w:rPr>
          <w:rFonts w:eastAsia="IRNazanin" w:cs="IRNazanin"/>
          <w:b w:val="false"/>
          <w:bCs w:val="false"/>
          <w:i w:val="false"/>
          <w:iCs w:val="false"/>
          <w:color w:val="333333"/>
          <w:sz w:val="20"/>
          <w:szCs w:val="20"/>
          <w:rtl w:val="true"/>
        </w:rPr>
        <w:t>.</w:t>
      </w:r>
    </w:p>
  </w:footnote>
  <w:footnote w:id="20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w:t>
      </w:r>
    </w:p>
  </w:footnote>
  <w:footnote w:id="20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1:385</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1:351</w:t>
      </w:r>
      <w:r>
        <w:rPr>
          <w:rFonts w:eastAsia="IRNazanin" w:cs="IRNazanin"/>
          <w:b w:val="false"/>
          <w:bCs w:val="false"/>
          <w:i w:val="false"/>
          <w:iCs w:val="false"/>
          <w:color w:val="333333"/>
          <w:sz w:val="20"/>
          <w:szCs w:val="20"/>
          <w:rtl w:val="true"/>
        </w:rPr>
        <w:t>.</w:t>
      </w:r>
    </w:p>
  </w:footnote>
  <w:footnote w:id="20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1:659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2045</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6:84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طريق الخاصّة 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4:1284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قواطع الصّلاة،حديث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في الصّلاة،حديث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11:295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النّفس،حديث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الإثم</w:t>
      </w:r>
      <w:r>
        <w:rPr>
          <w:rFonts w:eastAsia="IRNazanin" w:cs="IRNazanin"/>
          <w:b w:val="false"/>
          <w:bCs w:val="false"/>
          <w:i w:val="false"/>
          <w:iCs w:val="false"/>
          <w:color w:val="333333"/>
          <w:sz w:val="20"/>
          <w:szCs w:val="20"/>
          <w:rtl w:val="true"/>
        </w:rPr>
        <w:t>.</w:t>
      </w:r>
    </w:p>
  </w:footnote>
  <w:footnote w:id="20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1:386</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1:351</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1:352</w:t>
      </w:r>
      <w:r>
        <w:rPr>
          <w:rFonts w:eastAsia="IRNazanin" w:cs="IRNazanin"/>
          <w:b w:val="false"/>
          <w:bCs w:val="false"/>
          <w:i w:val="false"/>
          <w:iCs w:val="false"/>
          <w:color w:val="333333"/>
          <w:sz w:val="20"/>
          <w:szCs w:val="20"/>
          <w:rtl w:val="true"/>
        </w:rPr>
        <w:t>.</w:t>
      </w:r>
    </w:p>
  </w:footnote>
  <w:footnote w:id="20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1:351</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1:353</w:t>
      </w:r>
      <w:r>
        <w:rPr>
          <w:rFonts w:eastAsia="IRNazanin" w:cs="IRNazanin"/>
          <w:b w:val="false"/>
          <w:bCs w:val="false"/>
          <w:i w:val="false"/>
          <w:iCs w:val="false"/>
          <w:color w:val="333333"/>
          <w:sz w:val="20"/>
          <w:szCs w:val="20"/>
          <w:rtl w:val="true"/>
        </w:rPr>
        <w:t>.</w:t>
      </w:r>
    </w:p>
  </w:footnote>
  <w:footnote w:id="20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20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0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راجع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20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1:386</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1:352</w:t>
      </w:r>
      <w:r>
        <w:rPr>
          <w:rFonts w:eastAsia="IRNazanin" w:cs="IRNazanin"/>
          <w:b w:val="false"/>
          <w:bCs w:val="false"/>
          <w:i w:val="false"/>
          <w:iCs w:val="false"/>
          <w:color w:val="333333"/>
          <w:sz w:val="20"/>
          <w:szCs w:val="20"/>
          <w:rtl w:val="true"/>
        </w:rPr>
        <w:t>.</w:t>
      </w:r>
    </w:p>
  </w:footnote>
  <w:footnote w:id="20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المغنيّ </w:t>
      </w:r>
      <w:r>
        <w:rPr>
          <w:rFonts w:eastAsia="IRNazanin" w:cs="IRNazanin"/>
          <w:b w:val="false"/>
          <w:bCs w:val="false"/>
          <w:i w:val="false"/>
          <w:iCs w:val="false"/>
          <w:color w:val="333333"/>
          <w:sz w:val="20"/>
          <w:szCs w:val="20"/>
        </w:rPr>
        <w:t>1:387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1:401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w:t>
      </w:r>
    </w:p>
  </w:footnote>
  <w:footnote w:id="20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 المفيد في 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،و السيّد المرتضى في الانتصار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،و الطّوسي في 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،و سلاّر في المراسم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،و ابن إدريس في السّرائر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0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،الهداية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،الأم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مختصر المزنيّ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8:11</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2:368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 فتح العزيز بهامش المجموع </w:t>
      </w:r>
      <w:r>
        <w:rPr>
          <w:rFonts w:eastAsia="IRNazanin" w:cs="IRNazanin"/>
          <w:b w:val="false"/>
          <w:bCs w:val="false"/>
          <w:i w:val="false"/>
          <w:iCs w:val="false"/>
          <w:color w:val="333333"/>
          <w:sz w:val="20"/>
          <w:szCs w:val="20"/>
        </w:rPr>
        <w:t>2:421</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1:110</w:t>
      </w:r>
      <w:r>
        <w:rPr>
          <w:rFonts w:ascii="IRNazanin" w:hAnsi="IRNazanin" w:eastAsia="IRNazanin"/>
          <w:b w:val="false"/>
          <w:b w:val="false"/>
          <w:bCs w:val="false"/>
          <w:i w:val="false"/>
          <w:i w:val="false"/>
          <w:iCs w:val="false"/>
          <w:color w:val="333333"/>
          <w:sz w:val="20"/>
          <w:sz w:val="20"/>
          <w:szCs w:val="20"/>
          <w:rtl w:val="true"/>
        </w:rPr>
        <w:t xml:space="preserve">،فتح الوهّاب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،السّراج الوهّاج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،ميزان الكبرى </w:t>
      </w:r>
      <w:r>
        <w:rPr>
          <w:rFonts w:eastAsia="IRNazanin" w:cs="IRNazanin"/>
          <w:b w:val="false"/>
          <w:bCs w:val="false"/>
          <w:i w:val="false"/>
          <w:iCs w:val="false"/>
          <w:color w:val="333333"/>
          <w:sz w:val="20"/>
          <w:szCs w:val="20"/>
        </w:rPr>
        <w:t>1:129</w:t>
      </w:r>
      <w:r>
        <w:rPr>
          <w:rFonts w:ascii="IRNazanin" w:hAnsi="IRNazanin" w:eastAsia="IRNazanin"/>
          <w:b w:val="false"/>
          <w:b w:val="false"/>
          <w:bCs w:val="false"/>
          <w:i w:val="false"/>
          <w:i w:val="false"/>
          <w:iCs w:val="false"/>
          <w:color w:val="333333"/>
          <w:sz w:val="20"/>
          <w:sz w:val="20"/>
          <w:szCs w:val="20"/>
          <w:rtl w:val="true"/>
        </w:rPr>
        <w:t xml:space="preserve">،التّفسير الكبير </w:t>
      </w:r>
      <w:r>
        <w:rPr>
          <w:rFonts w:eastAsia="IRNazanin" w:cs="IRNazanin"/>
          <w:b w:val="false"/>
          <w:bCs w:val="false"/>
          <w:i w:val="false"/>
          <w:iCs w:val="false"/>
          <w:color w:val="333333"/>
          <w:sz w:val="20"/>
          <w:szCs w:val="20"/>
        </w:rPr>
        <w:t>6:68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القرطبيّ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20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2:370</w:t>
      </w:r>
      <w:r>
        <w:rPr>
          <w:rFonts w:ascii="IRNazanin" w:hAnsi="IRNazanin" w:eastAsia="IRNazanin"/>
          <w:b w:val="false"/>
          <w:b w:val="false"/>
          <w:bCs w:val="false"/>
          <w:i w:val="false"/>
          <w:i w:val="false"/>
          <w:iCs w:val="false"/>
          <w:color w:val="333333"/>
          <w:sz w:val="20"/>
          <w:sz w:val="20"/>
          <w:szCs w:val="20"/>
          <w:rtl w:val="true"/>
        </w:rPr>
        <w:t xml:space="preserve">،أحكام القرآن لابن العربي </w:t>
      </w:r>
      <w:r>
        <w:rPr>
          <w:rFonts w:eastAsia="IRNazanin" w:cs="IRNazanin"/>
          <w:b w:val="false"/>
          <w:bCs w:val="false"/>
          <w:i w:val="false"/>
          <w:iCs w:val="false"/>
          <w:color w:val="333333"/>
          <w:sz w:val="20"/>
          <w:szCs w:val="20"/>
        </w:rPr>
        <w:t>1:165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المحلّى </w:t>
      </w:r>
      <w:r>
        <w:rPr>
          <w:rFonts w:eastAsia="IRNazanin" w:cs="IRNazanin"/>
          <w:b w:val="false"/>
          <w:bCs w:val="false"/>
          <w:i w:val="false"/>
          <w:iCs w:val="false"/>
          <w:color w:val="333333"/>
          <w:sz w:val="20"/>
          <w:szCs w:val="20"/>
        </w:rPr>
        <w:t>2:173</w:t>
      </w:r>
      <w:r>
        <w:rPr>
          <w:rFonts w:eastAsia="IRNazanin" w:cs="IRNazanin"/>
          <w:b w:val="false"/>
          <w:bCs w:val="false"/>
          <w:i w:val="false"/>
          <w:iCs w:val="false"/>
          <w:color w:val="333333"/>
          <w:sz w:val="20"/>
          <w:szCs w:val="20"/>
          <w:rtl w:val="true"/>
        </w:rPr>
        <w:t>.</w:t>
      </w:r>
    </w:p>
  </w:footnote>
  <w:footnote w:id="2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المدوّنة الكبرى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،مقدمات ابن رشد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،أقرب المسالك بهامش بلغة السّالك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،تفسير القرطبي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أحكام القرآن لابن العربيّ </w:t>
      </w:r>
      <w:r>
        <w:rPr>
          <w:rFonts w:eastAsia="IRNazanin" w:cs="IRNazanin"/>
          <w:b w:val="false"/>
          <w:bCs w:val="false"/>
          <w:i w:val="false"/>
          <w:iCs w:val="false"/>
          <w:color w:val="333333"/>
          <w:sz w:val="20"/>
          <w:szCs w:val="20"/>
        </w:rPr>
        <w:t>1:165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2:370</w:t>
      </w:r>
      <w:r>
        <w:rPr>
          <w:rFonts w:ascii="IRNazanin" w:hAnsi="IRNazanin" w:eastAsia="IRNazanin"/>
          <w:b w:val="false"/>
          <w:b w:val="false"/>
          <w:bCs w:val="false"/>
          <w:i w:val="false"/>
          <w:i w:val="false"/>
          <w:iCs w:val="false"/>
          <w:color w:val="333333"/>
          <w:sz w:val="20"/>
          <w:sz w:val="20"/>
          <w:szCs w:val="20"/>
          <w:rtl w:val="true"/>
        </w:rPr>
        <w:t xml:space="preserve">، التّفسير الكبير </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2:370</w:t>
      </w:r>
      <w:r>
        <w:rPr>
          <w:rFonts w:ascii="IRNazanin" w:hAnsi="IRNazanin" w:eastAsia="IRNazanin"/>
          <w:b w:val="false"/>
          <w:b w:val="false"/>
          <w:bCs w:val="false"/>
          <w:i w:val="false"/>
          <w:i w:val="false"/>
          <w:iCs w:val="false"/>
          <w:color w:val="333333"/>
          <w:sz w:val="20"/>
          <w:sz w:val="20"/>
          <w:szCs w:val="20"/>
          <w:rtl w:val="true"/>
        </w:rPr>
        <w:t xml:space="preserve">،أحكام القرآن لابن العربيّ </w:t>
      </w:r>
      <w:r>
        <w:rPr>
          <w:rFonts w:eastAsia="IRNazanin" w:cs="IRNazanin"/>
          <w:b w:val="false"/>
          <w:bCs w:val="false"/>
          <w:i w:val="false"/>
          <w:iCs w:val="false"/>
          <w:color w:val="333333"/>
          <w:sz w:val="20"/>
          <w:szCs w:val="20"/>
        </w:rPr>
        <w:t>1:165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1:387</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1:349</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2:370</w:t>
      </w:r>
      <w:r>
        <w:rPr>
          <w:rFonts w:ascii="IRNazanin" w:hAnsi="IRNazanin" w:eastAsia="IRNazanin"/>
          <w:b w:val="false"/>
          <w:b w:val="false"/>
          <w:bCs w:val="false"/>
          <w:i w:val="false"/>
          <w:i w:val="false"/>
          <w:iCs w:val="false"/>
          <w:color w:val="333333"/>
          <w:sz w:val="20"/>
          <w:sz w:val="20"/>
          <w:szCs w:val="20"/>
          <w:rtl w:val="true"/>
        </w:rPr>
        <w:t xml:space="preserve">،أحكام القرآن لابن العربيّ </w:t>
      </w:r>
      <w:r>
        <w:rPr>
          <w:rFonts w:eastAsia="IRNazanin" w:cs="IRNazanin"/>
          <w:b w:val="false"/>
          <w:bCs w:val="false"/>
          <w:i w:val="false"/>
          <w:iCs w:val="false"/>
          <w:color w:val="333333"/>
          <w:sz w:val="20"/>
          <w:szCs w:val="20"/>
        </w:rPr>
        <w:t>1:165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1:349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لابن قدامة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2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2:370</w:t>
      </w:r>
      <w:r>
        <w:rPr>
          <w:rFonts w:ascii="IRNazanin" w:hAnsi="IRNazanin" w:eastAsia="IRNazanin"/>
          <w:b w:val="false"/>
          <w:b w:val="false"/>
          <w:bCs w:val="false"/>
          <w:i w:val="false"/>
          <w:i w:val="false"/>
          <w:iCs w:val="false"/>
          <w:color w:val="333333"/>
          <w:sz w:val="20"/>
          <w:sz w:val="20"/>
          <w:szCs w:val="20"/>
          <w:rtl w:val="true"/>
        </w:rPr>
        <w:t xml:space="preserve">،أحكام القرآن لابن العربيّ </w:t>
      </w:r>
      <w:r>
        <w:rPr>
          <w:rFonts w:eastAsia="IRNazanin" w:cs="IRNazanin"/>
          <w:b w:val="false"/>
          <w:bCs w:val="false"/>
          <w:i w:val="false"/>
          <w:iCs w:val="false"/>
          <w:color w:val="333333"/>
          <w:sz w:val="20"/>
          <w:szCs w:val="20"/>
        </w:rPr>
        <w:t>1:165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أحكام القرآن للجصّاص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1:387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1:349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2:370</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2:422</w:t>
      </w:r>
      <w:r>
        <w:rPr>
          <w:rFonts w:ascii="IRNazanin" w:hAnsi="IRNazanin" w:eastAsia="IRNazanin"/>
          <w:b w:val="false"/>
          <w:b w:val="false"/>
          <w:bCs w:val="false"/>
          <w:i w:val="false"/>
          <w:i w:val="false"/>
          <w:iCs w:val="false"/>
          <w:color w:val="333333"/>
          <w:sz w:val="20"/>
          <w:sz w:val="20"/>
          <w:szCs w:val="20"/>
          <w:rtl w:val="true"/>
        </w:rPr>
        <w:t xml:space="preserve">،ميزان الكبرى </w:t>
      </w:r>
      <w:r>
        <w:rPr>
          <w:rFonts w:eastAsia="IRNazanin" w:cs="IRNazanin"/>
          <w:b w:val="false"/>
          <w:bCs w:val="false"/>
          <w:i w:val="false"/>
          <w:iCs w:val="false"/>
          <w:color w:val="333333"/>
          <w:sz w:val="20"/>
          <w:szCs w:val="20"/>
        </w:rPr>
        <w:t>1:129</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،الهداية للمرغينانيّ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،شرح فتح القدير </w:t>
      </w:r>
      <w:r>
        <w:rPr>
          <w:rFonts w:eastAsia="IRNazanin" w:cs="IRNazanin"/>
          <w:b w:val="false"/>
          <w:bCs w:val="false"/>
          <w:i w:val="false"/>
          <w:iCs w:val="false"/>
          <w:color w:val="333333"/>
          <w:sz w:val="20"/>
          <w:szCs w:val="20"/>
        </w:rPr>
        <w:t>1:150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،المحلّى </w:t>
      </w:r>
      <w:r>
        <w:rPr>
          <w:rFonts w:eastAsia="IRNazanin" w:cs="IRNazanin"/>
          <w:b w:val="false"/>
          <w:bCs w:val="false"/>
          <w:i w:val="false"/>
          <w:iCs w:val="false"/>
          <w:color w:val="333333"/>
          <w:sz w:val="20"/>
          <w:szCs w:val="20"/>
        </w:rPr>
        <w:t>2:173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،أحكام القرآن لابن العربيّ </w:t>
      </w:r>
      <w:r>
        <w:rPr>
          <w:rFonts w:eastAsia="IRNazanin" w:cs="IRNazanin"/>
          <w:b w:val="false"/>
          <w:bCs w:val="false"/>
          <w:i w:val="false"/>
          <w:iCs w:val="false"/>
          <w:color w:val="333333"/>
          <w:sz w:val="20"/>
          <w:szCs w:val="20"/>
        </w:rPr>
        <w:t>1:165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القرطبيّ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التّفسير الكبير </w:t>
      </w:r>
      <w:r>
        <w:rPr>
          <w:rFonts w:eastAsia="IRNazanin" w:cs="IRNazanin"/>
          <w:b w:val="false"/>
          <w:bCs w:val="false"/>
          <w:i w:val="false"/>
          <w:iCs w:val="false"/>
          <w:color w:val="333333"/>
          <w:sz w:val="20"/>
          <w:szCs w:val="20"/>
        </w:rPr>
        <w:t>6:68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رحمة الأمة بهامش ميزان الكبرى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2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ثبت</w:t>
      </w:r>
      <w:r>
        <w:rPr>
          <w:rFonts w:eastAsia="IRNazanin" w:cs="IRNazanin"/>
          <w:b w:val="false"/>
          <w:bCs w:val="false"/>
          <w:i w:val="false"/>
          <w:iCs w:val="false"/>
          <w:color w:val="333333"/>
          <w:sz w:val="20"/>
          <w:szCs w:val="20"/>
          <w:rtl w:val="true"/>
        </w:rPr>
        <w:t>.</w:t>
      </w:r>
    </w:p>
  </w:footnote>
  <w:footnote w:id="2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475</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476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الحيضة</w:t>
      </w:r>
      <w:r>
        <w:rPr>
          <w:rFonts w:eastAsia="IRNazanin" w:cs="IRNazanin"/>
          <w:b w:val="false"/>
          <w:bCs w:val="false"/>
          <w:i w:val="false"/>
          <w:iCs w:val="false"/>
          <w:color w:val="333333"/>
          <w:sz w:val="20"/>
          <w:szCs w:val="20"/>
          <w:rtl w:val="true"/>
        </w:rPr>
        <w:t>.</w:t>
      </w:r>
    </w:p>
  </w:footnote>
  <w:footnote w:id="2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477</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480</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يقع</w:t>
      </w:r>
      <w:r>
        <w:rPr>
          <w:rFonts w:eastAsia="IRNazanin" w:cs="IRNazanin"/>
          <w:b w:val="false"/>
          <w:bCs w:val="false"/>
          <w:i w:val="false"/>
          <w:iCs w:val="false"/>
          <w:color w:val="333333"/>
          <w:sz w:val="20"/>
          <w:szCs w:val="20"/>
          <w:rtl w:val="true"/>
        </w:rPr>
        <w:t>.</w:t>
      </w:r>
    </w:p>
  </w:footnote>
  <w:footnote w:id="2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481</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478</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465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479</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466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المبسوط للسّرخسي،</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،أحكام القرآن للجصّاص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الهداية للمرغيناني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،شرح فتح القدير </w:t>
      </w:r>
      <w:r>
        <w:rPr>
          <w:rFonts w:eastAsia="IRNazanin" w:cs="IRNazanin"/>
          <w:b w:val="false"/>
          <w:bCs w:val="false"/>
          <w:i w:val="false"/>
          <w:iCs w:val="false"/>
          <w:color w:val="333333"/>
          <w:sz w:val="20"/>
          <w:szCs w:val="20"/>
        </w:rPr>
        <w:t>1:150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1:387</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1:349</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2:370</w:t>
      </w:r>
      <w:r>
        <w:rPr>
          <w:rFonts w:ascii="IRNazanin" w:hAnsi="IRNazanin" w:eastAsia="IRNazanin"/>
          <w:b w:val="false"/>
          <w:b w:val="false"/>
          <w:bCs w:val="false"/>
          <w:i w:val="false"/>
          <w:i w:val="false"/>
          <w:iCs w:val="false"/>
          <w:color w:val="333333"/>
          <w:sz w:val="20"/>
          <w:sz w:val="20"/>
          <w:szCs w:val="20"/>
          <w:rtl w:val="true"/>
        </w:rPr>
        <w:t xml:space="preserve">، المحلّى </w:t>
      </w:r>
      <w:r>
        <w:rPr>
          <w:rFonts w:eastAsia="IRNazanin" w:cs="IRNazanin"/>
          <w:b w:val="false"/>
          <w:bCs w:val="false"/>
          <w:i w:val="false"/>
          <w:iCs w:val="false"/>
          <w:color w:val="333333"/>
          <w:sz w:val="20"/>
          <w:szCs w:val="20"/>
        </w:rPr>
        <w:t>2:173</w:t>
      </w:r>
      <w:r>
        <w:rPr>
          <w:rFonts w:ascii="IRNazanin" w:hAnsi="IRNazanin" w:eastAsia="IRNazanin"/>
          <w:b w:val="false"/>
          <w:b w:val="false"/>
          <w:bCs w:val="false"/>
          <w:i w:val="false"/>
          <w:i w:val="false"/>
          <w:iCs w:val="false"/>
          <w:color w:val="333333"/>
          <w:sz w:val="20"/>
          <w:sz w:val="20"/>
          <w:szCs w:val="20"/>
          <w:rtl w:val="true"/>
        </w:rPr>
        <w:t xml:space="preserve">،ميزان الكبرى </w:t>
      </w:r>
      <w:r>
        <w:rPr>
          <w:rFonts w:eastAsia="IRNazanin" w:cs="IRNazanin"/>
          <w:b w:val="false"/>
          <w:bCs w:val="false"/>
          <w:i w:val="false"/>
          <w:iCs w:val="false"/>
          <w:color w:val="333333"/>
          <w:sz w:val="20"/>
          <w:szCs w:val="20"/>
        </w:rPr>
        <w:t>1:129</w:t>
      </w:r>
      <w:r>
        <w:rPr>
          <w:rFonts w:ascii="IRNazanin" w:hAnsi="IRNazanin" w:eastAsia="IRNazanin"/>
          <w:b w:val="false"/>
          <w:b w:val="false"/>
          <w:bCs w:val="false"/>
          <w:i w:val="false"/>
          <w:i w:val="false"/>
          <w:iCs w:val="false"/>
          <w:color w:val="333333"/>
          <w:sz w:val="20"/>
          <w:sz w:val="20"/>
          <w:szCs w:val="20"/>
          <w:rtl w:val="true"/>
        </w:rPr>
        <w:t xml:space="preserve">،رحمة الأمة بهامش ميزان الكبرى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،أحكام القرآن لابن العربي </w:t>
      </w:r>
      <w:r>
        <w:rPr>
          <w:rFonts w:eastAsia="IRNazanin" w:cs="IRNazanin"/>
          <w:b w:val="false"/>
          <w:bCs w:val="false"/>
          <w:i w:val="false"/>
          <w:iCs w:val="false"/>
          <w:color w:val="333333"/>
          <w:sz w:val="20"/>
          <w:szCs w:val="20"/>
        </w:rPr>
        <w:t>1:165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القرطبي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xml:space="preserve">،التّفسير الكبير </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،شرح فتح القدير </w:t>
      </w:r>
      <w:r>
        <w:rPr>
          <w:rFonts w:eastAsia="IRNazanin" w:cs="IRNazanin"/>
          <w:b w:val="false"/>
          <w:bCs w:val="false"/>
          <w:i w:val="false"/>
          <w:iCs w:val="false"/>
          <w:color w:val="333333"/>
          <w:sz w:val="20"/>
          <w:szCs w:val="20"/>
        </w:rPr>
        <w:t>1:152</w:t>
      </w:r>
      <w:r>
        <w:rPr>
          <w:rFonts w:eastAsia="IRNazanin" w:cs="IRNazanin"/>
          <w:b w:val="false"/>
          <w:bCs w:val="false"/>
          <w:i w:val="false"/>
          <w:iCs w:val="false"/>
          <w:color w:val="333333"/>
          <w:sz w:val="20"/>
          <w:szCs w:val="20"/>
          <w:rtl w:val="true"/>
        </w:rPr>
        <w:t>.</w:t>
      </w:r>
    </w:p>
  </w:footnote>
  <w:footnote w:id="2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للمرغينانيّ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،شرح فتح القدير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w:t>
      </w:r>
    </w:p>
  </w:footnote>
  <w:footnote w:id="2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للمرغينانيّ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،شرح فتح القدير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2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2:142</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2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480</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المصادر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 بن المغيرة</w:t>
      </w:r>
      <w:r>
        <w:rPr>
          <w:rFonts w:eastAsia="IRNazanin" w:cs="IRNazanin"/>
          <w:b w:val="false"/>
          <w:bCs w:val="false"/>
          <w:i w:val="false"/>
          <w:iCs w:val="false"/>
          <w:color w:val="333333"/>
          <w:sz w:val="20"/>
          <w:szCs w:val="20"/>
          <w:rtl w:val="true"/>
        </w:rPr>
        <w:t>.</w:t>
      </w:r>
    </w:p>
  </w:footnote>
  <w:footnote w:id="2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2:1040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2:1040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1238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2:595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محالهنّ،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محاريبهنّ</w:t>
      </w:r>
      <w:r>
        <w:rPr>
          <w:rFonts w:eastAsia="IRNazanin" w:cs="IRNazanin"/>
          <w:b w:val="false"/>
          <w:bCs w:val="false"/>
          <w:i w:val="false"/>
          <w:iCs w:val="false"/>
          <w:color w:val="333333"/>
          <w:sz w:val="20"/>
          <w:szCs w:val="20"/>
          <w:rtl w:val="true"/>
        </w:rPr>
        <w:t>.</w:t>
      </w:r>
    </w:p>
  </w:footnote>
  <w:footnote w:id="2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اللاّتي</w:t>
      </w:r>
      <w:r>
        <w:rPr>
          <w:rFonts w:eastAsia="IRNazanin" w:cs="IRNazanin"/>
          <w:b w:val="false"/>
          <w:bCs w:val="false"/>
          <w:i w:val="false"/>
          <w:iCs w:val="false"/>
          <w:color w:val="333333"/>
          <w:sz w:val="20"/>
          <w:szCs w:val="20"/>
          <w:rtl w:val="true"/>
        </w:rPr>
        <w:t>.</w:t>
      </w:r>
    </w:p>
  </w:footnote>
  <w:footnote w:id="2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اللاّتي</w:t>
      </w:r>
      <w:r>
        <w:rPr>
          <w:rFonts w:eastAsia="IRNazanin" w:cs="IRNazanin"/>
          <w:b w:val="false"/>
          <w:bCs w:val="false"/>
          <w:i w:val="false"/>
          <w:iCs w:val="false"/>
          <w:color w:val="333333"/>
          <w:sz w:val="20"/>
          <w:szCs w:val="20"/>
          <w:rtl w:val="true"/>
        </w:rPr>
        <w:t>.</w:t>
      </w:r>
    </w:p>
  </w:footnote>
  <w:footnote w:id="2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2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أضفناه من المصدر</w:t>
      </w:r>
      <w:r>
        <w:rPr>
          <w:rFonts w:eastAsia="IRNazanin" w:cs="IRNazanin"/>
          <w:b w:val="false"/>
          <w:bCs w:val="false"/>
          <w:i w:val="false"/>
          <w:iCs w:val="false"/>
          <w:color w:val="333333"/>
          <w:sz w:val="20"/>
          <w:szCs w:val="20"/>
          <w:rtl w:val="true"/>
        </w:rPr>
        <w:t>.</w:t>
      </w:r>
    </w:p>
  </w:footnote>
  <w:footnote w:id="2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2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2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 عن أبيه</w:t>
      </w:r>
      <w:r>
        <w:rPr>
          <w:rFonts w:eastAsia="IRNazanin" w:cs="IRNazanin"/>
          <w:b w:val="false"/>
          <w:bCs w:val="false"/>
          <w:i w:val="false"/>
          <w:iCs w:val="false"/>
          <w:color w:val="333333"/>
          <w:sz w:val="20"/>
          <w:szCs w:val="20"/>
          <w:rtl w:val="true"/>
        </w:rPr>
        <w:t>.</w:t>
      </w:r>
    </w:p>
  </w:footnote>
  <w:footnote w:id="2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1249</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508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الماء</w:t>
      </w:r>
      <w:r>
        <w:rPr>
          <w:rFonts w:eastAsia="IRNazanin" w:cs="IRNazanin"/>
          <w:b w:val="false"/>
          <w:bCs w:val="false"/>
          <w:i w:val="false"/>
          <w:iCs w:val="false"/>
          <w:color w:val="333333"/>
          <w:sz w:val="20"/>
          <w:szCs w:val="20"/>
          <w:rtl w:val="true"/>
        </w:rPr>
        <w:t>.</w:t>
      </w:r>
    </w:p>
  </w:footnote>
  <w:footnote w:id="2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1246</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507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1247</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509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1:255</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أبو عبيد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اختلاف بين النّاس فيما أعلمه انّ الفرق ثلاثة آصع</w:t>
      </w:r>
      <w:r>
        <w:rPr>
          <w:rFonts w:eastAsia="IRNazanin" w:cs="IRNazanin"/>
          <w:b w:val="false"/>
          <w:bCs w:val="false"/>
          <w:i w:val="false"/>
          <w:iCs w:val="false"/>
          <w:color w:val="333333"/>
          <w:sz w:val="20"/>
          <w:szCs w:val="20"/>
          <w:rtl w:val="true"/>
        </w:rPr>
        <w:t>.</w:t>
      </w:r>
    </w:p>
  </w:footnote>
  <w:footnote w:id="2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1222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2:594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الجميع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تدخل يدها</w:t>
      </w:r>
      <w:r>
        <w:rPr>
          <w:rFonts w:eastAsia="IRNazanin" w:cs="IRNazanin"/>
          <w:b w:val="false"/>
          <w:bCs w:val="false"/>
          <w:i w:val="false"/>
          <w:iCs w:val="false"/>
          <w:color w:val="333333"/>
          <w:sz w:val="20"/>
          <w:szCs w:val="20"/>
          <w:rtl w:val="true"/>
        </w:rPr>
        <w:t>.</w:t>
      </w:r>
    </w:p>
  </w:footnote>
  <w:footnote w:id="2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1:242</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1:239</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1:240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1223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1225</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502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المغنيّ </w:t>
      </w:r>
      <w:r>
        <w:rPr>
          <w:rFonts w:eastAsia="IRNazanin" w:cs="IRNazanin"/>
          <w:b w:val="false"/>
          <w:bCs w:val="false"/>
          <w:i w:val="false"/>
          <w:iCs w:val="false"/>
          <w:color w:val="333333"/>
          <w:sz w:val="20"/>
          <w:szCs w:val="20"/>
        </w:rPr>
        <w:t>1:242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1:240</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1:240</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2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1124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جاءها ما يفسد الصّلاة،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تغتسل</w:t>
      </w:r>
      <w:r>
        <w:rPr>
          <w:rFonts w:eastAsia="IRNazanin" w:cs="IRNazanin"/>
          <w:b w:val="false"/>
          <w:bCs w:val="false"/>
          <w:i w:val="false"/>
          <w:iCs w:val="false"/>
          <w:color w:val="333333"/>
          <w:sz w:val="20"/>
          <w:szCs w:val="20"/>
          <w:rtl w:val="true"/>
        </w:rPr>
        <w:t>.</w:t>
      </w:r>
    </w:p>
  </w:footnote>
  <w:footnote w:id="2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1226</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503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أضفناه من المصدر</w:t>
      </w:r>
      <w:r>
        <w:rPr>
          <w:rFonts w:eastAsia="IRNazanin" w:cs="IRNazanin"/>
          <w:b w:val="false"/>
          <w:bCs w:val="false"/>
          <w:i w:val="false"/>
          <w:iCs w:val="false"/>
          <w:color w:val="333333"/>
          <w:sz w:val="20"/>
          <w:szCs w:val="20"/>
          <w:rtl w:val="true"/>
        </w:rPr>
        <w:t>.</w:t>
      </w:r>
    </w:p>
  </w:footnote>
  <w:footnote w:id="2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1227</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504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1228</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505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1:243</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1:240</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1:241</w:t>
      </w:r>
      <w:r>
        <w:rPr>
          <w:rFonts w:eastAsia="IRNazanin" w:cs="IRNazanin"/>
          <w:b w:val="false"/>
          <w:bCs w:val="false"/>
          <w:i w:val="false"/>
          <w:iCs w:val="false"/>
          <w:color w:val="333333"/>
          <w:sz w:val="20"/>
          <w:szCs w:val="20"/>
          <w:rtl w:val="true"/>
        </w:rPr>
        <w:t>.</w:t>
      </w:r>
    </w:p>
  </w:footnote>
  <w:footnote w:id="2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1:396</w:t>
      </w:r>
      <w:r>
        <w:rPr>
          <w:rFonts w:eastAsia="IRNazanin" w:cs="IRNazanin"/>
          <w:b w:val="false"/>
          <w:bCs w:val="false"/>
          <w:i w:val="false"/>
          <w:iCs w:val="false"/>
          <w:color w:val="333333"/>
          <w:sz w:val="20"/>
          <w:szCs w:val="20"/>
          <w:rtl w:val="true"/>
        </w:rPr>
        <w:t>.</w:t>
      </w:r>
    </w:p>
  </w:footnote>
  <w:footnote w:id="2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1229</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506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2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الكافي و الوسائل بتفاوت</w:t>
      </w:r>
      <w:r>
        <w:rPr>
          <w:rFonts w:eastAsia="IRNazanin" w:cs="IRNazanin"/>
          <w:b w:val="false"/>
          <w:bCs w:val="false"/>
          <w:i w:val="false"/>
          <w:iCs w:val="false"/>
          <w:color w:val="333333"/>
          <w:sz w:val="20"/>
          <w:szCs w:val="20"/>
          <w:rtl w:val="true"/>
        </w:rPr>
        <w:t>.</w:t>
      </w:r>
    </w:p>
  </w:footnote>
  <w:footnote w:id="2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2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1248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1:246</w:t>
      </w:r>
      <w:r>
        <w:rPr>
          <w:rFonts w:eastAsia="IRNazanin" w:cs="IRNazanin"/>
          <w:b w:val="false"/>
          <w:bCs w:val="false"/>
          <w:i w:val="false"/>
          <w:iCs w:val="false"/>
          <w:color w:val="333333"/>
          <w:sz w:val="20"/>
          <w:szCs w:val="20"/>
          <w:rtl w:val="true"/>
        </w:rPr>
        <w:t>.</w:t>
      </w:r>
    </w:p>
  </w:footnote>
  <w:footnote w:id="2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1:146</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1:241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9:408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26724</w:t>
      </w:r>
      <w:r>
        <w:rPr>
          <w:rFonts w:ascii="IRNazanin" w:hAnsi="IRNazanin" w:eastAsia="IRNazanin"/>
          <w:b w:val="false"/>
          <w:b w:val="false"/>
          <w:bCs w:val="false"/>
          <w:i w:val="false"/>
          <w:i w:val="false"/>
          <w:iCs w:val="false"/>
          <w:color w:val="333333"/>
          <w:sz w:val="20"/>
          <w:sz w:val="20"/>
          <w:szCs w:val="20"/>
          <w:rtl w:val="true"/>
        </w:rPr>
        <w:t xml:space="preserve">،جامع الأصول </w:t>
      </w:r>
      <w:r>
        <w:rPr>
          <w:rFonts w:eastAsia="IRNazanin" w:cs="IRNazanin"/>
          <w:b w:val="false"/>
          <w:bCs w:val="false"/>
          <w:i w:val="false"/>
          <w:iCs w:val="false"/>
          <w:color w:val="333333"/>
          <w:sz w:val="20"/>
          <w:szCs w:val="20"/>
        </w:rPr>
        <w:t>8:218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طريق الخاصّة،انظر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2:595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إسحاق بن جرير عن حريز عن أبي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2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لزم</w:t>
      </w:r>
      <w:r>
        <w:rPr>
          <w:rFonts w:eastAsia="IRNazanin" w:cs="IRNazanin"/>
          <w:b w:val="false"/>
          <w:bCs w:val="false"/>
          <w:i w:val="false"/>
          <w:iCs w:val="false"/>
          <w:color w:val="333333"/>
          <w:sz w:val="20"/>
          <w:szCs w:val="20"/>
          <w:rtl w:val="true"/>
        </w:rPr>
        <w:t>.</w:t>
      </w:r>
    </w:p>
  </w:footnote>
  <w:footnote w:id="2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المفيد في 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،و الشّيخ في المبسوط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إدريس في السّرائر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،و القاضي في المهذّب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،و المحقّق في الشّرائع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2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1:242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،مقدّمات ابن رشد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1:389</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1:184</w:t>
      </w:r>
      <w:r>
        <w:rPr>
          <w:rFonts w:ascii="IRNazanin" w:hAnsi="IRNazanin" w:eastAsia="IRNazanin"/>
          <w:b w:val="false"/>
          <w:b w:val="false"/>
          <w:bCs w:val="false"/>
          <w:i w:val="false"/>
          <w:i w:val="false"/>
          <w:iCs w:val="false"/>
          <w:color w:val="333333"/>
          <w:sz w:val="20"/>
          <w:sz w:val="20"/>
          <w:szCs w:val="20"/>
          <w:rtl w:val="true"/>
        </w:rPr>
        <w:t xml:space="preserve">، المجموع </w:t>
      </w:r>
      <w:r>
        <w:rPr>
          <w:rFonts w:eastAsia="IRNazanin" w:cs="IRNazanin"/>
          <w:b w:val="false"/>
          <w:bCs w:val="false"/>
          <w:i w:val="false"/>
          <w:iCs w:val="false"/>
          <w:color w:val="333333"/>
          <w:sz w:val="20"/>
          <w:szCs w:val="20"/>
        </w:rPr>
        <w:t>2:535</w:t>
      </w:r>
      <w:r>
        <w:rPr>
          <w:rFonts w:eastAsia="IRNazanin" w:cs="IRNazanin"/>
          <w:b w:val="false"/>
          <w:bCs w:val="false"/>
          <w:i w:val="false"/>
          <w:iCs w:val="false"/>
          <w:color w:val="333333"/>
          <w:sz w:val="20"/>
          <w:szCs w:val="20"/>
          <w:rtl w:val="true"/>
        </w:rPr>
        <w:t>.</w:t>
      </w:r>
    </w:p>
  </w:footnote>
  <w:footnote w:id="2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،الهداية للمرغيناني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فتح القدير </w:t>
      </w:r>
      <w:r>
        <w:rPr>
          <w:rFonts w:eastAsia="IRNazanin" w:cs="IRNazanin"/>
          <w:b w:val="false"/>
          <w:bCs w:val="false"/>
          <w:i w:val="false"/>
          <w:iCs w:val="false"/>
          <w:color w:val="333333"/>
          <w:sz w:val="20"/>
          <w:szCs w:val="20"/>
        </w:rPr>
        <w:t>1:159</w:t>
      </w:r>
      <w:r>
        <w:rPr>
          <w:rFonts w:ascii="IRNazanin" w:hAnsi="IRNazanin" w:eastAsia="IRNazanin"/>
          <w:b w:val="false"/>
          <w:b w:val="false"/>
          <w:bCs w:val="false"/>
          <w:i w:val="false"/>
          <w:i w:val="false"/>
          <w:iCs w:val="false"/>
          <w:color w:val="333333"/>
          <w:sz w:val="20"/>
          <w:sz w:val="20"/>
          <w:szCs w:val="20"/>
          <w:rtl w:val="true"/>
        </w:rPr>
        <w:t xml:space="preserve">، المجموع </w:t>
      </w:r>
      <w:r>
        <w:rPr>
          <w:rFonts w:eastAsia="IRNazanin" w:cs="IRNazanin"/>
          <w:b w:val="false"/>
          <w:bCs w:val="false"/>
          <w:i w:val="false"/>
          <w:iCs w:val="false"/>
          <w:color w:val="333333"/>
          <w:sz w:val="20"/>
          <w:szCs w:val="20"/>
        </w:rPr>
        <w:t>2:535</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2:437</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1:389</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1:389</w:t>
      </w:r>
      <w:r>
        <w:rPr>
          <w:rFonts w:eastAsia="IRNazanin" w:cs="IRNazanin"/>
          <w:b w:val="false"/>
          <w:bCs w:val="false"/>
          <w:i w:val="false"/>
          <w:iCs w:val="false"/>
          <w:color w:val="333333"/>
          <w:sz w:val="20"/>
          <w:szCs w:val="20"/>
          <w:rtl w:val="true"/>
        </w:rPr>
        <w:t>.</w:t>
      </w:r>
    </w:p>
  </w:footnote>
  <w:footnote w:id="2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1:203</w:t>
      </w:r>
      <w:r>
        <w:rPr>
          <w:rFonts w:eastAsia="IRNazanin" w:cs="IRNazanin"/>
          <w:b w:val="false"/>
          <w:bCs w:val="false"/>
          <w:i w:val="false"/>
          <w:iCs w:val="false"/>
          <w:color w:val="333333"/>
          <w:sz w:val="20"/>
          <w:szCs w:val="20"/>
          <w:rtl w:val="true"/>
        </w:rPr>
        <w:t>.</w:t>
      </w:r>
    </w:p>
  </w:footnote>
  <w:footnote w:id="2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1:244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أضفناه من المصدر</w:t>
      </w:r>
      <w:r>
        <w:rPr>
          <w:rFonts w:eastAsia="IRNazanin" w:cs="IRNazanin"/>
          <w:b w:val="false"/>
          <w:bCs w:val="false"/>
          <w:i w:val="false"/>
          <w:iCs w:val="false"/>
          <w:color w:val="333333"/>
          <w:sz w:val="20"/>
          <w:szCs w:val="20"/>
          <w:rtl w:val="true"/>
        </w:rPr>
        <w:t>.</w:t>
      </w:r>
    </w:p>
  </w:footnote>
  <w:footnote w:id="2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485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2:606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الاستحاضة،حديث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482</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482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2:606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الاستحاضة،حديث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2:607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الاستحاضة،حديث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488</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512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2:607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الاستحاضة،حديث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الحائض</w:t>
      </w:r>
      <w:r>
        <w:rPr>
          <w:rFonts w:eastAsia="IRNazanin" w:cs="IRNazanin"/>
          <w:b w:val="false"/>
          <w:bCs w:val="false"/>
          <w:i w:val="false"/>
          <w:iCs w:val="false"/>
          <w:color w:val="333333"/>
          <w:sz w:val="20"/>
          <w:szCs w:val="20"/>
          <w:rtl w:val="true"/>
        </w:rPr>
        <w:t>.</w:t>
      </w:r>
    </w:p>
  </w:footnote>
  <w:footnote w:id="2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496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2:605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الاستحاضة،حديث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 ترجمتهما في الجزء الأوّل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مرّت ترجمته في الجزء الأوّل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2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 ترجمته في الجزء الأوّل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بعض نسخ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تحني</w:t>
      </w:r>
      <w:r>
        <w:rPr>
          <w:rFonts w:eastAsia="IRNazanin" w:cs="IRNazanin"/>
          <w:b w:val="false"/>
          <w:bCs w:val="false"/>
          <w:i w:val="false"/>
          <w:iCs w:val="false"/>
          <w:color w:val="333333"/>
          <w:sz w:val="20"/>
          <w:szCs w:val="20"/>
          <w:rtl w:val="true"/>
        </w:rPr>
        <w:t>.</w:t>
      </w:r>
    </w:p>
  </w:footnote>
  <w:footnote w:id="2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2:604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الاستحاضة،حديث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2:535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536</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1:408</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1:399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xml:space="preserve">،البحر الزخّار </w:t>
      </w:r>
      <w:r>
        <w:rPr>
          <w:rFonts w:eastAsia="IRNazanin" w:cs="IRNazanin"/>
          <w:b w:val="false"/>
          <w:bCs w:val="false"/>
          <w:i w:val="false"/>
          <w:iCs w:val="false"/>
          <w:color w:val="333333"/>
          <w:sz w:val="20"/>
          <w:szCs w:val="20"/>
        </w:rPr>
        <w:t>2:143</w:t>
      </w:r>
      <w:r>
        <w:rPr>
          <w:rFonts w:eastAsia="IRNazanin" w:cs="IRNazanin"/>
          <w:b w:val="false"/>
          <w:bCs w:val="false"/>
          <w:i w:val="false"/>
          <w:iCs w:val="false"/>
          <w:color w:val="333333"/>
          <w:sz w:val="20"/>
          <w:szCs w:val="20"/>
          <w:rtl w:val="true"/>
        </w:rPr>
        <w:t>.</w:t>
      </w:r>
    </w:p>
  </w:footnote>
  <w:footnote w:id="2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،مقدّمات ابن رشد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1:389</w:t>
      </w:r>
      <w:r>
        <w:rPr>
          <w:rFonts w:eastAsia="IRNazanin" w:cs="IRNazanin"/>
          <w:b w:val="false"/>
          <w:bCs w:val="false"/>
          <w:i w:val="false"/>
          <w:iCs w:val="false"/>
          <w:color w:val="333333"/>
          <w:sz w:val="20"/>
          <w:szCs w:val="20"/>
          <w:rtl w:val="true"/>
        </w:rPr>
        <w:t>.</w:t>
      </w:r>
    </w:p>
  </w:footnote>
  <w:footnote w:id="2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1:205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627</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،سنن الدّار قطني </w:t>
      </w:r>
      <w:r>
        <w:rPr>
          <w:rFonts w:eastAsia="IRNazanin" w:cs="IRNazanin"/>
          <w:b w:val="false"/>
          <w:bCs w:val="false"/>
          <w:i w:val="false"/>
          <w:iCs w:val="false"/>
          <w:color w:val="333333"/>
          <w:sz w:val="20"/>
          <w:szCs w:val="20"/>
        </w:rPr>
        <w:t>1:214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1:221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6:381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1:338</w:t>
      </w:r>
      <w:r>
        <w:rPr>
          <w:rFonts w:eastAsia="IRNazanin" w:cs="IRNazanin"/>
          <w:b w:val="false"/>
          <w:bCs w:val="false"/>
          <w:i w:val="false"/>
          <w:iCs w:val="false"/>
          <w:color w:val="333333"/>
          <w:sz w:val="20"/>
          <w:szCs w:val="20"/>
          <w:rtl w:val="true"/>
        </w:rPr>
        <w:t>.</w:t>
      </w:r>
    </w:p>
  </w:footnote>
  <w:footnote w:id="2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سهلة بنت سهيل بن عمرو القرشيّة من بني عامر بن لؤيّ،و هي امرأة أبي حذيفة بن عتبة هاجرت إلى الحبشة و هي من السّابقين إلى الإسلام،و ولدت له بالحبشة محمّد بن أبي حذيفة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5:483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4:336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1:352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2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482</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482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2:606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الاستحاضة،حديث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487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2:605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الاستحاضة،حديث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ستّة أيّام أو سبعة أيّام</w:t>
      </w:r>
      <w:r>
        <w:rPr>
          <w:rFonts w:eastAsia="IRNazanin" w:cs="IRNazanin"/>
          <w:b w:val="false"/>
          <w:bCs w:val="false"/>
          <w:i w:val="false"/>
          <w:iCs w:val="false"/>
          <w:color w:val="333333"/>
          <w:sz w:val="20"/>
          <w:szCs w:val="20"/>
          <w:rtl w:val="true"/>
        </w:rPr>
        <w:t>.</w:t>
      </w:r>
    </w:p>
  </w:footnote>
  <w:footnote w:id="2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1183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1192</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2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النّاصريّات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2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482</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482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2:606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الاستحاضة،حديث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2:607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الاستحاضة،حديث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1254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2:605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الاستحاضة،حديث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 ترجمته و القول فيه في الجزء الأوّل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الجزء الأوّل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2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2:535</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1:112</w:t>
      </w:r>
      <w:r>
        <w:rPr>
          <w:rFonts w:ascii="IRNazanin" w:hAnsi="IRNazanin" w:eastAsia="IRNazanin"/>
          <w:b w:val="false"/>
          <w:b w:val="false"/>
          <w:bCs w:val="false"/>
          <w:i w:val="false"/>
          <w:i w:val="false"/>
          <w:iCs w:val="false"/>
          <w:color w:val="333333"/>
          <w:sz w:val="20"/>
          <w:sz w:val="20"/>
          <w:szCs w:val="20"/>
          <w:rtl w:val="true"/>
        </w:rPr>
        <w:t xml:space="preserve">، المحلّى </w:t>
      </w:r>
      <w:r>
        <w:rPr>
          <w:rFonts w:eastAsia="IRNazanin" w:cs="IRNazanin"/>
          <w:b w:val="false"/>
          <w:bCs w:val="false"/>
          <w:i w:val="false"/>
          <w:iCs w:val="false"/>
          <w:color w:val="333333"/>
          <w:sz w:val="20"/>
          <w:szCs w:val="20"/>
        </w:rPr>
        <w:t>1:253</w:t>
      </w:r>
      <w:r>
        <w:rPr>
          <w:rFonts w:eastAsia="IRNazanin" w:cs="IRNazanin"/>
          <w:b w:val="false"/>
          <w:bCs w:val="false"/>
          <w:i w:val="false"/>
          <w:iCs w:val="false"/>
          <w:color w:val="333333"/>
          <w:sz w:val="20"/>
          <w:szCs w:val="20"/>
          <w:rtl w:val="true"/>
        </w:rPr>
        <w:t>.</w:t>
      </w:r>
    </w:p>
  </w:footnote>
  <w:footnote w:id="2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،الهداية للمرغيناني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،شرح فتح القدير </w:t>
      </w:r>
      <w:r>
        <w:rPr>
          <w:rFonts w:eastAsia="IRNazanin" w:cs="IRNazanin"/>
          <w:b w:val="false"/>
          <w:bCs w:val="false"/>
          <w:i w:val="false"/>
          <w:iCs w:val="false"/>
          <w:color w:val="333333"/>
          <w:sz w:val="20"/>
          <w:szCs w:val="20"/>
        </w:rPr>
        <w:t>1:159</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535</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2:437</w:t>
      </w:r>
      <w:r>
        <w:rPr>
          <w:rFonts w:eastAsia="IRNazanin" w:cs="IRNazanin"/>
          <w:b w:val="false"/>
          <w:bCs w:val="false"/>
          <w:i w:val="false"/>
          <w:iCs w:val="false"/>
          <w:color w:val="333333"/>
          <w:sz w:val="20"/>
          <w:szCs w:val="20"/>
          <w:rtl w:val="true"/>
        </w:rPr>
        <w:t>.</w:t>
      </w:r>
    </w:p>
  </w:footnote>
  <w:footnote w:id="2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1:390</w:t>
      </w:r>
      <w:r>
        <w:rPr>
          <w:rFonts w:ascii="IRNazanin" w:hAnsi="IRNazanin" w:eastAsia="IRNazanin"/>
          <w:b w:val="false"/>
          <w:b w:val="false"/>
          <w:bCs w:val="false"/>
          <w:i w:val="false"/>
          <w:i w:val="false"/>
          <w:iCs w:val="false"/>
          <w:color w:val="333333"/>
          <w:sz w:val="20"/>
          <w:sz w:val="20"/>
          <w:szCs w:val="20"/>
          <w:rtl w:val="true"/>
        </w:rPr>
        <w:t xml:space="preserve">،الكافي لابن قدامة </w:t>
      </w:r>
      <w:r>
        <w:rPr>
          <w:rFonts w:eastAsia="IRNazanin" w:cs="IRNazanin"/>
          <w:b w:val="false"/>
          <w:bCs w:val="false"/>
          <w:i w:val="false"/>
          <w:iCs w:val="false"/>
          <w:color w:val="333333"/>
          <w:sz w:val="20"/>
          <w:szCs w:val="20"/>
        </w:rPr>
        <w:t>1:105</w:t>
      </w:r>
      <w:r>
        <w:rPr>
          <w:rFonts w:ascii="IRNazanin" w:hAnsi="IRNazanin" w:eastAsia="IRNazanin"/>
          <w:b w:val="false"/>
          <w:b w:val="false"/>
          <w:bCs w:val="false"/>
          <w:i w:val="false"/>
          <w:i w:val="false"/>
          <w:iCs w:val="false"/>
          <w:color w:val="333333"/>
          <w:sz w:val="20"/>
          <w:sz w:val="20"/>
          <w:szCs w:val="20"/>
          <w:rtl w:val="true"/>
        </w:rPr>
        <w:t xml:space="preserve">،الانصاف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2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2:535</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1:389</w:t>
      </w:r>
      <w:r>
        <w:rPr>
          <w:rFonts w:ascii="IRNazanin" w:hAnsi="IRNazanin" w:eastAsia="IRNazanin"/>
          <w:b w:val="false"/>
          <w:b w:val="false"/>
          <w:bCs w:val="false"/>
          <w:i w:val="false"/>
          <w:i w:val="false"/>
          <w:iCs w:val="false"/>
          <w:color w:val="333333"/>
          <w:sz w:val="20"/>
          <w:sz w:val="20"/>
          <w:szCs w:val="20"/>
          <w:rtl w:val="true"/>
        </w:rPr>
        <w:t xml:space="preserve">،عمدة القارئ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2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،المدوّنة الكبرى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1:389</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2:535</w:t>
      </w:r>
      <w:r>
        <w:rPr>
          <w:rFonts w:ascii="IRNazanin" w:hAnsi="IRNazanin" w:eastAsia="IRNazanin"/>
          <w:b w:val="false"/>
          <w:b w:val="false"/>
          <w:bCs w:val="false"/>
          <w:i w:val="false"/>
          <w:i w:val="false"/>
          <w:iCs w:val="false"/>
          <w:color w:val="333333"/>
          <w:sz w:val="20"/>
          <w:sz w:val="20"/>
          <w:szCs w:val="20"/>
          <w:rtl w:val="true"/>
        </w:rPr>
        <w:t xml:space="preserve">،المحلّى </w:t>
      </w:r>
      <w:r>
        <w:rPr>
          <w:rFonts w:eastAsia="IRNazanin" w:cs="IRNazanin"/>
          <w:b w:val="false"/>
          <w:bCs w:val="false"/>
          <w:i w:val="false"/>
          <w:iCs w:val="false"/>
          <w:color w:val="333333"/>
          <w:sz w:val="20"/>
          <w:szCs w:val="20"/>
        </w:rPr>
        <w:t>1:253</w:t>
      </w:r>
      <w:r>
        <w:rPr>
          <w:rFonts w:ascii="IRNazanin" w:hAnsi="IRNazanin" w:eastAsia="IRNazanin"/>
          <w:b w:val="false"/>
          <w:b w:val="false"/>
          <w:bCs w:val="false"/>
          <w:i w:val="false"/>
          <w:i w:val="false"/>
          <w:iCs w:val="false"/>
          <w:color w:val="333333"/>
          <w:sz w:val="20"/>
          <w:sz w:val="20"/>
          <w:szCs w:val="20"/>
          <w:rtl w:val="true"/>
        </w:rPr>
        <w:t xml:space="preserve">،عمدة القارئ </w:t>
      </w:r>
      <w:r>
        <w:rPr>
          <w:rFonts w:eastAsia="IRNazanin" w:cs="IRNazanin"/>
          <w:b w:val="false"/>
          <w:bCs w:val="false"/>
          <w:i w:val="false"/>
          <w:iCs w:val="false"/>
          <w:color w:val="333333"/>
          <w:sz w:val="20"/>
          <w:szCs w:val="20"/>
        </w:rPr>
        <w:t>3:277</w:t>
      </w:r>
      <w:r>
        <w:rPr>
          <w:rFonts w:eastAsia="IRNazanin" w:cs="IRNazanin"/>
          <w:b w:val="false"/>
          <w:bCs w:val="false"/>
          <w:i w:val="false"/>
          <w:iCs w:val="false"/>
          <w:color w:val="333333"/>
          <w:sz w:val="20"/>
          <w:szCs w:val="20"/>
          <w:rtl w:val="true"/>
        </w:rPr>
        <w:t>.</w:t>
      </w:r>
    </w:p>
  </w:footnote>
  <w:footnote w:id="2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2:535</w:t>
      </w:r>
      <w:r>
        <w:rPr>
          <w:rFonts w:ascii="IRNazanin" w:hAnsi="IRNazanin" w:eastAsia="IRNazanin"/>
          <w:b w:val="false"/>
          <w:b w:val="false"/>
          <w:bCs w:val="false"/>
          <w:i w:val="false"/>
          <w:i w:val="false"/>
          <w:iCs w:val="false"/>
          <w:color w:val="333333"/>
          <w:sz w:val="20"/>
          <w:sz w:val="20"/>
          <w:szCs w:val="20"/>
          <w:rtl w:val="true"/>
        </w:rPr>
        <w:t xml:space="preserve">،عمدة القارئ </w:t>
      </w:r>
      <w:r>
        <w:rPr>
          <w:rFonts w:eastAsia="IRNazanin" w:cs="IRNazanin"/>
          <w:b w:val="false"/>
          <w:bCs w:val="false"/>
          <w:i w:val="false"/>
          <w:iCs w:val="false"/>
          <w:color w:val="333333"/>
          <w:sz w:val="20"/>
          <w:szCs w:val="20"/>
        </w:rPr>
        <w:t>3:277</w:t>
      </w:r>
      <w:r>
        <w:rPr>
          <w:rFonts w:eastAsia="IRNazanin" w:cs="IRNazanin"/>
          <w:b w:val="false"/>
          <w:bCs w:val="false"/>
          <w:i w:val="false"/>
          <w:iCs w:val="false"/>
          <w:color w:val="333333"/>
          <w:sz w:val="20"/>
          <w:szCs w:val="20"/>
          <w:rtl w:val="true"/>
        </w:rPr>
        <w:t>.</w:t>
      </w:r>
    </w:p>
  </w:footnote>
  <w:footnote w:id="2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البحر الزّخّار </w:t>
      </w:r>
      <w:r>
        <w:rPr>
          <w:rFonts w:eastAsia="IRNazanin" w:cs="IRNazanin"/>
          <w:b w:val="false"/>
          <w:bCs w:val="false"/>
          <w:i w:val="false"/>
          <w:iCs w:val="false"/>
          <w:color w:val="333333"/>
          <w:sz w:val="20"/>
          <w:szCs w:val="20"/>
        </w:rPr>
        <w:t>2:143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فيه قول الأوزاعي فقط</w:t>
      </w:r>
      <w:r>
        <w:rPr>
          <w:rFonts w:eastAsia="IRNazanin" w:cs="IRNazanin"/>
          <w:b w:val="false"/>
          <w:bCs w:val="false"/>
          <w:i w:val="false"/>
          <w:iCs w:val="false"/>
          <w:color w:val="333333"/>
          <w:sz w:val="20"/>
          <w:szCs w:val="20"/>
          <w:rtl w:val="true"/>
        </w:rPr>
        <w:t>.</w:t>
      </w:r>
    </w:p>
  </w:footnote>
  <w:footnote w:id="2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2:372</w:t>
      </w:r>
      <w:r>
        <w:rPr>
          <w:rFonts w:ascii="IRNazanin" w:hAnsi="IRNazanin" w:eastAsia="IRNazanin"/>
          <w:b w:val="false"/>
          <w:b w:val="false"/>
          <w:bCs w:val="false"/>
          <w:i w:val="false"/>
          <w:i w:val="false"/>
          <w:iCs w:val="false"/>
          <w:color w:val="333333"/>
          <w:sz w:val="20"/>
          <w:sz w:val="20"/>
          <w:szCs w:val="20"/>
          <w:rtl w:val="true"/>
        </w:rPr>
        <w:t xml:space="preserve">،الام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،عمدة القارئ </w:t>
      </w:r>
      <w:r>
        <w:rPr>
          <w:rFonts w:eastAsia="IRNazanin" w:cs="IRNazanin"/>
          <w:b w:val="false"/>
          <w:bCs w:val="false"/>
          <w:i w:val="false"/>
          <w:iCs w:val="false"/>
          <w:color w:val="333333"/>
          <w:sz w:val="20"/>
          <w:szCs w:val="20"/>
        </w:rPr>
        <w:t>3:277</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،ميزان الكبرى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2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1:387</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1:401</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xml:space="preserve">،الكافي لا بن قدامة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،عمدة القارئ </w:t>
      </w:r>
      <w:r>
        <w:rPr>
          <w:rFonts w:eastAsia="IRNazanin" w:cs="IRNazanin"/>
          <w:b w:val="false"/>
          <w:bCs w:val="false"/>
          <w:i w:val="false"/>
          <w:iCs w:val="false"/>
          <w:color w:val="333333"/>
          <w:sz w:val="20"/>
          <w:szCs w:val="20"/>
        </w:rPr>
        <w:t>3:277</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2:372</w:t>
      </w:r>
      <w:r>
        <w:rPr>
          <w:rFonts w:ascii="IRNazanin" w:hAnsi="IRNazanin" w:eastAsia="IRNazanin"/>
          <w:b w:val="false"/>
          <w:b w:val="false"/>
          <w:bCs w:val="false"/>
          <w:i w:val="false"/>
          <w:i w:val="false"/>
          <w:iCs w:val="false"/>
          <w:color w:val="333333"/>
          <w:sz w:val="20"/>
          <w:sz w:val="20"/>
          <w:szCs w:val="20"/>
          <w:rtl w:val="true"/>
        </w:rPr>
        <w:t xml:space="preserve">،ميزان الكبرى </w:t>
      </w:r>
      <w:r>
        <w:rPr>
          <w:rFonts w:eastAsia="IRNazanin" w:cs="IRNazanin"/>
          <w:b w:val="false"/>
          <w:bCs w:val="false"/>
          <w:i w:val="false"/>
          <w:iCs w:val="false"/>
          <w:color w:val="333333"/>
          <w:sz w:val="20"/>
          <w:szCs w:val="20"/>
        </w:rPr>
        <w:t>1:130</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2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1:387</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1:401</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2:372</w:t>
      </w:r>
      <w:r>
        <w:rPr>
          <w:rFonts w:ascii="IRNazanin" w:hAnsi="IRNazanin" w:eastAsia="IRNazanin"/>
          <w:b w:val="false"/>
          <w:b w:val="false"/>
          <w:bCs w:val="false"/>
          <w:i w:val="false"/>
          <w:i w:val="false"/>
          <w:iCs w:val="false"/>
          <w:color w:val="333333"/>
          <w:sz w:val="20"/>
          <w:sz w:val="20"/>
          <w:szCs w:val="20"/>
          <w:rtl w:val="true"/>
        </w:rPr>
        <w:t xml:space="preserve">،عمدة القارئ </w:t>
      </w:r>
      <w:r>
        <w:rPr>
          <w:rFonts w:eastAsia="IRNazanin" w:cs="IRNazanin"/>
          <w:b w:val="false"/>
          <w:bCs w:val="false"/>
          <w:i w:val="false"/>
          <w:iCs w:val="false"/>
          <w:color w:val="333333"/>
          <w:sz w:val="20"/>
          <w:szCs w:val="20"/>
        </w:rPr>
        <w:t>3:314</w:t>
      </w:r>
      <w:r>
        <w:rPr>
          <w:rFonts w:eastAsia="IRNazanin" w:cs="IRNazanin"/>
          <w:b w:val="false"/>
          <w:bCs w:val="false"/>
          <w:i w:val="false"/>
          <w:iCs w:val="false"/>
          <w:color w:val="333333"/>
          <w:sz w:val="20"/>
          <w:szCs w:val="20"/>
          <w:rtl w:val="true"/>
        </w:rPr>
        <w:t>.</w:t>
      </w:r>
    </w:p>
  </w:footnote>
  <w:footnote w:id="2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1:387</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1:401</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2:372</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1:329</w:t>
      </w:r>
      <w:r>
        <w:rPr>
          <w:rFonts w:eastAsia="IRNazanin" w:cs="IRNazanin"/>
          <w:b w:val="false"/>
          <w:bCs w:val="false"/>
          <w:i w:val="false"/>
          <w:iCs w:val="false"/>
          <w:color w:val="333333"/>
          <w:sz w:val="20"/>
          <w:szCs w:val="20"/>
          <w:rtl w:val="true"/>
        </w:rPr>
        <w:t>.</w:t>
      </w:r>
    </w:p>
  </w:footnote>
  <w:footnote w:id="2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1:387</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2:372</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1:356</w:t>
      </w:r>
      <w:r>
        <w:rPr>
          <w:rFonts w:ascii="IRNazanin" w:hAnsi="IRNazanin" w:eastAsia="IRNazanin"/>
          <w:b w:val="false"/>
          <w:b w:val="false"/>
          <w:bCs w:val="false"/>
          <w:i w:val="false"/>
          <w:i w:val="false"/>
          <w:iCs w:val="false"/>
          <w:color w:val="333333"/>
          <w:sz w:val="20"/>
          <w:sz w:val="20"/>
          <w:szCs w:val="20"/>
          <w:rtl w:val="true"/>
        </w:rPr>
        <w:t xml:space="preserve">،عمدة القارئ </w:t>
      </w:r>
      <w:r>
        <w:rPr>
          <w:rFonts w:eastAsia="IRNazanin" w:cs="IRNazanin"/>
          <w:b w:val="false"/>
          <w:bCs w:val="false"/>
          <w:i w:val="false"/>
          <w:iCs w:val="false"/>
          <w:color w:val="333333"/>
          <w:sz w:val="20"/>
          <w:szCs w:val="20"/>
        </w:rPr>
        <w:t>3:314</w:t>
      </w:r>
      <w:r>
        <w:rPr>
          <w:rFonts w:eastAsia="IRNazanin" w:cs="IRNazanin"/>
          <w:b w:val="false"/>
          <w:bCs w:val="false"/>
          <w:i w:val="false"/>
          <w:iCs w:val="false"/>
          <w:color w:val="333333"/>
          <w:sz w:val="20"/>
          <w:szCs w:val="20"/>
          <w:rtl w:val="true"/>
        </w:rPr>
        <w:t>.</w:t>
      </w:r>
    </w:p>
  </w:footnote>
  <w:footnote w:id="2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1:387</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2:372</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1:356</w:t>
      </w:r>
      <w:r>
        <w:rPr>
          <w:rFonts w:ascii="IRNazanin" w:hAnsi="IRNazanin" w:eastAsia="IRNazanin"/>
          <w:b w:val="false"/>
          <w:b w:val="false"/>
          <w:bCs w:val="false"/>
          <w:i w:val="false"/>
          <w:i w:val="false"/>
          <w:iCs w:val="false"/>
          <w:color w:val="333333"/>
          <w:sz w:val="20"/>
          <w:sz w:val="20"/>
          <w:szCs w:val="20"/>
          <w:rtl w:val="true"/>
        </w:rPr>
        <w:t xml:space="preserve">،عمدة القارئ </w:t>
      </w:r>
      <w:r>
        <w:rPr>
          <w:rFonts w:eastAsia="IRNazanin" w:cs="IRNazanin"/>
          <w:b w:val="false"/>
          <w:bCs w:val="false"/>
          <w:i w:val="false"/>
          <w:iCs w:val="false"/>
          <w:color w:val="333333"/>
          <w:sz w:val="20"/>
          <w:szCs w:val="20"/>
        </w:rPr>
        <w:t>3:314</w:t>
      </w:r>
      <w:r>
        <w:rPr>
          <w:rFonts w:eastAsia="IRNazanin" w:cs="IRNazanin"/>
          <w:b w:val="false"/>
          <w:bCs w:val="false"/>
          <w:i w:val="false"/>
          <w:iCs w:val="false"/>
          <w:color w:val="333333"/>
          <w:sz w:val="20"/>
          <w:szCs w:val="20"/>
          <w:rtl w:val="true"/>
        </w:rPr>
        <w:t>.</w:t>
      </w:r>
    </w:p>
  </w:footnote>
  <w:footnote w:id="2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1:329</w:t>
      </w:r>
      <w:r>
        <w:rPr>
          <w:rFonts w:ascii="IRNazanin" w:hAnsi="IRNazanin" w:eastAsia="IRNazanin"/>
          <w:b w:val="false"/>
          <w:b w:val="false"/>
          <w:bCs w:val="false"/>
          <w:i w:val="false"/>
          <w:i w:val="false"/>
          <w:iCs w:val="false"/>
          <w:color w:val="333333"/>
          <w:sz w:val="20"/>
          <w:sz w:val="20"/>
          <w:szCs w:val="20"/>
          <w:rtl w:val="true"/>
        </w:rPr>
        <w:t xml:space="preserve">،جامع الأصول </w:t>
      </w:r>
      <w:r>
        <w:rPr>
          <w:rFonts w:eastAsia="IRNazanin" w:cs="IRNazanin"/>
          <w:b w:val="false"/>
          <w:bCs w:val="false"/>
          <w:i w:val="false"/>
          <w:iCs w:val="false"/>
          <w:color w:val="333333"/>
          <w:sz w:val="20"/>
          <w:szCs w:val="20"/>
        </w:rPr>
        <w:t>8:239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4521</w:t>
      </w:r>
      <w:r>
        <w:rPr>
          <w:rFonts w:eastAsia="IRNazanin" w:cs="IRNazanin"/>
          <w:b w:val="false"/>
          <w:bCs w:val="false"/>
          <w:i w:val="false"/>
          <w:iCs w:val="false"/>
          <w:color w:val="333333"/>
          <w:sz w:val="20"/>
          <w:szCs w:val="20"/>
          <w:rtl w:val="true"/>
        </w:rPr>
        <w:t>.</w:t>
      </w:r>
    </w:p>
  </w:footnote>
  <w:footnote w:id="2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1:329</w:t>
      </w:r>
      <w:r>
        <w:rPr>
          <w:rFonts w:ascii="IRNazanin" w:hAnsi="IRNazanin" w:eastAsia="IRNazanin"/>
          <w:b w:val="false"/>
          <w:b w:val="false"/>
          <w:bCs w:val="false"/>
          <w:i w:val="false"/>
          <w:i w:val="false"/>
          <w:iCs w:val="false"/>
          <w:color w:val="333333"/>
          <w:sz w:val="20"/>
          <w:sz w:val="20"/>
          <w:szCs w:val="20"/>
          <w:rtl w:val="true"/>
        </w:rPr>
        <w:t xml:space="preserve">،جامع الأصول </w:t>
      </w:r>
      <w:r>
        <w:rPr>
          <w:rFonts w:eastAsia="IRNazanin" w:cs="IRNazanin"/>
          <w:b w:val="false"/>
          <w:bCs w:val="false"/>
          <w:i w:val="false"/>
          <w:iCs w:val="false"/>
          <w:color w:val="333333"/>
          <w:sz w:val="20"/>
          <w:szCs w:val="20"/>
        </w:rPr>
        <w:t>8:238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4520</w:t>
      </w:r>
      <w:r>
        <w:rPr>
          <w:rFonts w:eastAsia="IRNazanin" w:cs="IRNazanin"/>
          <w:b w:val="false"/>
          <w:bCs w:val="false"/>
          <w:i w:val="false"/>
          <w:iCs w:val="false"/>
          <w:color w:val="333333"/>
          <w:sz w:val="20"/>
          <w:szCs w:val="20"/>
          <w:rtl w:val="true"/>
        </w:rPr>
        <w:t>.</w:t>
      </w:r>
    </w:p>
  </w:footnote>
  <w:footnote w:id="2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1:205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627</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1:221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6:381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1:338</w:t>
      </w:r>
      <w:r>
        <w:rPr>
          <w:rFonts w:ascii="IRNazanin" w:hAnsi="IRNazanin" w:eastAsia="IRNazanin"/>
          <w:b w:val="false"/>
          <w:b w:val="false"/>
          <w:bCs w:val="false"/>
          <w:i w:val="false"/>
          <w:i w:val="false"/>
          <w:iCs w:val="false"/>
          <w:color w:val="333333"/>
          <w:sz w:val="20"/>
          <w:sz w:val="20"/>
          <w:szCs w:val="20"/>
          <w:rtl w:val="true"/>
        </w:rPr>
        <w:t xml:space="preserve">،سنن الدّار قطني </w:t>
      </w:r>
      <w:r>
        <w:rPr>
          <w:rFonts w:eastAsia="IRNazanin" w:cs="IRNazanin"/>
          <w:b w:val="false"/>
          <w:bCs w:val="false"/>
          <w:i w:val="false"/>
          <w:iCs w:val="false"/>
          <w:color w:val="333333"/>
          <w:sz w:val="20"/>
          <w:szCs w:val="20"/>
        </w:rPr>
        <w:t>1:214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1:205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626</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1:229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1:182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،سنن الدّارمي </w:t>
      </w:r>
      <w:r>
        <w:rPr>
          <w:rFonts w:eastAsia="IRNazanin" w:cs="IRNazanin"/>
          <w:b w:val="false"/>
          <w:bCs w:val="false"/>
          <w:i w:val="false"/>
          <w:iCs w:val="false"/>
          <w:color w:val="333333"/>
          <w:sz w:val="20"/>
          <w:szCs w:val="20"/>
        </w:rPr>
        <w:t>1:196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6:83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1:348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2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لم نعثر على رواية لزرارة بهذا اللّفظ،و الموجود في المصادر عن معاوية بن عمار،عن أبي عبد اللّه عليه السّلام 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484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2:604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الاستحاضة،حديث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487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2:605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الاستحاضة،حديث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1253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2:608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الاستحاضة،حديث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1257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2:609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الاستحاضة،حديث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485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2:606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الاستحاضة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1:387</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1:401</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1:356</w:t>
      </w:r>
      <w:r>
        <w:rPr>
          <w:rFonts w:eastAsia="IRNazanin" w:cs="IRNazanin"/>
          <w:b w:val="false"/>
          <w:bCs w:val="false"/>
          <w:i w:val="false"/>
          <w:iCs w:val="false"/>
          <w:color w:val="333333"/>
          <w:sz w:val="20"/>
          <w:szCs w:val="20"/>
          <w:rtl w:val="true"/>
        </w:rPr>
        <w:t>.</w:t>
      </w:r>
    </w:p>
  </w:footnote>
  <w:footnote w:id="2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الدّارمي </w:t>
      </w:r>
      <w:r>
        <w:rPr>
          <w:rFonts w:eastAsia="IRNazanin" w:cs="IRNazanin"/>
          <w:b w:val="false"/>
          <w:bCs w:val="false"/>
          <w:i w:val="false"/>
          <w:iCs w:val="false"/>
          <w:color w:val="333333"/>
          <w:sz w:val="20"/>
          <w:szCs w:val="20"/>
        </w:rPr>
        <w:t>1:208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1:329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يسير</w:t>
      </w:r>
      <w:r>
        <w:rPr>
          <w:rFonts w:eastAsia="IRNazanin" w:cs="IRNazanin"/>
          <w:b w:val="false"/>
          <w:bCs w:val="false"/>
          <w:i w:val="false"/>
          <w:iCs w:val="false"/>
          <w:color w:val="333333"/>
          <w:sz w:val="20"/>
          <w:szCs w:val="20"/>
          <w:rtl w:val="true"/>
        </w:rPr>
        <w:t>.</w:t>
      </w:r>
    </w:p>
  </w:footnote>
  <w:footnote w:id="2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ليردّ</w:t>
      </w:r>
      <w:r>
        <w:rPr>
          <w:rFonts w:eastAsia="IRNazanin" w:cs="IRNazanin"/>
          <w:b w:val="false"/>
          <w:bCs w:val="false"/>
          <w:i w:val="false"/>
          <w:iCs w:val="false"/>
          <w:color w:val="333333"/>
          <w:sz w:val="20"/>
          <w:szCs w:val="20"/>
          <w:rtl w:val="true"/>
        </w:rPr>
        <w:t>.</w:t>
      </w:r>
    </w:p>
  </w:footnote>
  <w:footnote w:id="2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1183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1258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2:608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الاستحاضة،حديث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482</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482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2:606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الاستحاضة،حديث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2:607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الاستحاضة،حديث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484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2:604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الاستحاضة،حديث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486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2:604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الاستحاضة،حديث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2:604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الاستحاضة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2:604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الاستحاضة،حديث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2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الجزء الأوّل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2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2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التّطهير</w:t>
      </w:r>
      <w:r>
        <w:rPr>
          <w:rFonts w:eastAsia="IRNazanin" w:cs="IRNazanin"/>
          <w:b w:val="false"/>
          <w:bCs w:val="false"/>
          <w:i w:val="false"/>
          <w:iCs w:val="false"/>
          <w:color w:val="333333"/>
          <w:sz w:val="20"/>
          <w:szCs w:val="20"/>
          <w:rtl w:val="true"/>
        </w:rPr>
        <w:t>.</w:t>
      </w:r>
    </w:p>
  </w:footnote>
  <w:footnote w:id="2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2:604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الاستحاضة</w:t>
      </w:r>
      <w:r>
        <w:rPr>
          <w:rFonts w:eastAsia="IRNazanin" w:cs="IRNazanin"/>
          <w:b w:val="false"/>
          <w:bCs w:val="false"/>
          <w:i w:val="false"/>
          <w:iCs w:val="false"/>
          <w:color w:val="333333"/>
          <w:sz w:val="20"/>
          <w:szCs w:val="20"/>
          <w:rtl w:val="true"/>
        </w:rPr>
        <w:t>.</w:t>
      </w:r>
    </w:p>
  </w:footnote>
  <w:footnote w:id="2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1:408</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1:230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2:536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1:408</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1:399</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1:356</w:t>
      </w:r>
      <w:r>
        <w:rPr>
          <w:rFonts w:ascii="IRNazanin" w:hAnsi="IRNazanin" w:eastAsia="IRNazanin"/>
          <w:b w:val="false"/>
          <w:b w:val="false"/>
          <w:bCs w:val="false"/>
          <w:i w:val="false"/>
          <w:i w:val="false"/>
          <w:iCs w:val="false"/>
          <w:color w:val="333333"/>
          <w:sz w:val="20"/>
          <w:sz w:val="20"/>
          <w:szCs w:val="20"/>
          <w:rtl w:val="true"/>
        </w:rPr>
        <w:t xml:space="preserve">، المحلّى </w:t>
      </w:r>
      <w:r>
        <w:rPr>
          <w:rFonts w:eastAsia="IRNazanin" w:cs="IRNazanin"/>
          <w:b w:val="false"/>
          <w:bCs w:val="false"/>
          <w:i w:val="false"/>
          <w:iCs w:val="false"/>
          <w:color w:val="333333"/>
          <w:sz w:val="20"/>
          <w:szCs w:val="20"/>
        </w:rPr>
        <w:t>2:213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1:117</w:t>
      </w:r>
      <w:r>
        <w:rPr>
          <w:rFonts w:ascii="IRNazanin" w:hAnsi="IRNazanin" w:eastAsia="IRNazanin"/>
          <w:b w:val="false"/>
          <w:b w:val="false"/>
          <w:bCs w:val="false"/>
          <w:i w:val="false"/>
          <w:i w:val="false"/>
          <w:iCs w:val="false"/>
          <w:color w:val="333333"/>
          <w:sz w:val="20"/>
          <w:sz w:val="20"/>
          <w:szCs w:val="20"/>
          <w:rtl w:val="true"/>
        </w:rPr>
        <w:t xml:space="preserve">،فتح الوهّاب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،السّراج الوهّاج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1:408</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1:399</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2:495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في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1:408</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2:536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1:356</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1:399</w:t>
      </w:r>
      <w:r>
        <w:rPr>
          <w:rFonts w:eastAsia="IRNazanin" w:cs="IRNazanin"/>
          <w:b w:val="false"/>
          <w:bCs w:val="false"/>
          <w:i w:val="false"/>
          <w:iCs w:val="false"/>
          <w:color w:val="333333"/>
          <w:sz w:val="20"/>
          <w:szCs w:val="20"/>
          <w:rtl w:val="true"/>
        </w:rPr>
        <w:t>.</w:t>
      </w:r>
    </w:p>
  </w:footnote>
  <w:footnote w:id="2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سنن ابن ماجه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1:183</w:t>
      </w:r>
      <w:r>
        <w:rPr>
          <w:rFonts w:ascii="IRNazanin" w:hAnsi="IRNazanin" w:eastAsia="IRNazanin"/>
          <w:b w:val="false"/>
          <w:b w:val="false"/>
          <w:bCs w:val="false"/>
          <w:i w:val="false"/>
          <w:i w:val="false"/>
          <w:iCs w:val="false"/>
          <w:color w:val="333333"/>
          <w:sz w:val="20"/>
          <w:sz w:val="20"/>
          <w:szCs w:val="20"/>
          <w:rtl w:val="true"/>
        </w:rPr>
        <w:t xml:space="preserve">،سنن الدّارمي </w:t>
      </w:r>
      <w:r>
        <w:rPr>
          <w:rFonts w:eastAsia="IRNazanin" w:cs="IRNazanin"/>
          <w:b w:val="false"/>
          <w:bCs w:val="false"/>
          <w:i w:val="false"/>
          <w:iCs w:val="false"/>
          <w:color w:val="333333"/>
          <w:sz w:val="20"/>
          <w:szCs w:val="20"/>
        </w:rPr>
        <w:t>1:196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6:83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1:394</w:t>
      </w:r>
      <w:r>
        <w:rPr>
          <w:rFonts w:ascii="IRNazanin" w:hAnsi="IRNazanin" w:eastAsia="IRNazanin"/>
          <w:b w:val="false"/>
          <w:b w:val="false"/>
          <w:bCs w:val="false"/>
          <w:i w:val="false"/>
          <w:i w:val="false"/>
          <w:iCs w:val="false"/>
          <w:color w:val="333333"/>
          <w:sz w:val="20"/>
          <w:sz w:val="20"/>
          <w:szCs w:val="20"/>
          <w:rtl w:val="true"/>
        </w:rPr>
        <w:t xml:space="preserve">،الكافي لابن قدامة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1:241</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2:150</w:t>
      </w:r>
      <w:r>
        <w:rPr>
          <w:rFonts w:eastAsia="IRNazanin" w:cs="IRNazanin"/>
          <w:b w:val="false"/>
          <w:bCs w:val="false"/>
          <w:i w:val="false"/>
          <w:iCs w:val="false"/>
          <w:color w:val="333333"/>
          <w:sz w:val="20"/>
          <w:szCs w:val="20"/>
          <w:rtl w:val="true"/>
        </w:rPr>
        <w:t>.</w:t>
      </w:r>
    </w:p>
  </w:footnote>
  <w:footnote w:id="2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2:580</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2:149</w:t>
      </w:r>
      <w:r>
        <w:rPr>
          <w:rFonts w:eastAsia="IRNazanin" w:cs="IRNazanin"/>
          <w:b w:val="false"/>
          <w:bCs w:val="false"/>
          <w:i w:val="false"/>
          <w:iCs w:val="false"/>
          <w:color w:val="333333"/>
          <w:sz w:val="20"/>
          <w:szCs w:val="20"/>
          <w:rtl w:val="true"/>
        </w:rPr>
        <w:t>.</w:t>
      </w:r>
    </w:p>
  </w:footnote>
  <w:footnote w:id="2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يجب عليها الغسل و لو لم تر الدّم</w:t>
      </w:r>
      <w:r>
        <w:rPr>
          <w:rFonts w:eastAsia="IRNazanin" w:cs="IRNazanin"/>
          <w:b w:val="false"/>
          <w:bCs w:val="false"/>
          <w:i w:val="false"/>
          <w:iCs w:val="false"/>
          <w:color w:val="333333"/>
          <w:sz w:val="20"/>
          <w:szCs w:val="20"/>
          <w:rtl w:val="true"/>
        </w:rPr>
        <w:t>.</w:t>
      </w:r>
    </w:p>
  </w:footnote>
  <w:footnote w:id="2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1:394</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1:241</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2:150</w:t>
      </w:r>
      <w:r>
        <w:rPr>
          <w:rFonts w:ascii="IRNazanin" w:hAnsi="IRNazanin" w:eastAsia="IRNazanin"/>
          <w:b w:val="false"/>
          <w:b w:val="false"/>
          <w:bCs w:val="false"/>
          <w:i w:val="false"/>
          <w:i w:val="false"/>
          <w:iCs w:val="false"/>
          <w:color w:val="333333"/>
          <w:sz w:val="20"/>
          <w:sz w:val="20"/>
          <w:szCs w:val="20"/>
          <w:rtl w:val="true"/>
        </w:rPr>
        <w:t xml:space="preserve">،الكافي لابن قدامة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فتح القدير </w:t>
      </w:r>
      <w:r>
        <w:rPr>
          <w:rFonts w:eastAsia="IRNazanin" w:cs="IRNazanin"/>
          <w:b w:val="false"/>
          <w:bCs w:val="false"/>
          <w:i w:val="false"/>
          <w:iCs w:val="false"/>
          <w:color w:val="333333"/>
          <w:sz w:val="20"/>
          <w:szCs w:val="20"/>
        </w:rPr>
        <w:t>1:165</w:t>
      </w:r>
      <w:r>
        <w:rPr>
          <w:rFonts w:eastAsia="IRNazanin" w:cs="IRNazanin"/>
          <w:b w:val="false"/>
          <w:bCs w:val="false"/>
          <w:i w:val="false"/>
          <w:iCs w:val="false"/>
          <w:color w:val="333333"/>
          <w:sz w:val="20"/>
          <w:szCs w:val="20"/>
          <w:rtl w:val="true"/>
        </w:rPr>
        <w:t>.</w:t>
      </w:r>
    </w:p>
  </w:footnote>
  <w:footnote w:id="2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أضفناه من المصدر</w:t>
      </w:r>
      <w:r>
        <w:rPr>
          <w:rFonts w:eastAsia="IRNazanin" w:cs="IRNazanin"/>
          <w:b w:val="false"/>
          <w:bCs w:val="false"/>
          <w:i w:val="false"/>
          <w:iCs w:val="false"/>
          <w:color w:val="333333"/>
          <w:sz w:val="20"/>
          <w:szCs w:val="20"/>
          <w:rtl w:val="true"/>
        </w:rPr>
        <w:t>.</w:t>
      </w:r>
    </w:p>
  </w:footnote>
  <w:footnote w:id="2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497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النّفاس،حديث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الحسن بن عليّ بن يقطين،عن أخيه الحسين،عن عليّ بن يقطين</w:t>
      </w:r>
      <w:r>
        <w:rPr>
          <w:rFonts w:eastAsia="IRNazanin" w:cs="IRNazanin"/>
          <w:b w:val="false"/>
          <w:bCs w:val="false"/>
          <w:i w:val="false"/>
          <w:iCs w:val="false"/>
          <w:color w:val="333333"/>
          <w:sz w:val="20"/>
          <w:szCs w:val="20"/>
          <w:rtl w:val="true"/>
        </w:rPr>
        <w:t>.</w:t>
      </w:r>
    </w:p>
  </w:footnote>
  <w:footnote w:id="2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p>
  </w:footnote>
  <w:footnote w:id="2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2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2:518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2:579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النّاصريات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2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2:518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2:578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3:210</w:t>
      </w:r>
      <w:r>
        <w:rPr>
          <w:rFonts w:ascii="IRNazanin" w:hAnsi="IRNazanin" w:eastAsia="IRNazanin"/>
          <w:b w:val="false"/>
          <w:b w:val="false"/>
          <w:bCs w:val="false"/>
          <w:i w:val="false"/>
          <w:i w:val="false"/>
          <w:iCs w:val="false"/>
          <w:color w:val="333333"/>
          <w:sz w:val="20"/>
          <w:sz w:val="20"/>
          <w:szCs w:val="20"/>
          <w:rtl w:val="true"/>
        </w:rPr>
        <w:t xml:space="preserve">،الهداية للمرغيناني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،شرح فتح القدير </w:t>
      </w:r>
      <w:r>
        <w:rPr>
          <w:rFonts w:eastAsia="IRNazanin" w:cs="IRNazanin"/>
          <w:b w:val="false"/>
          <w:bCs w:val="false"/>
          <w:i w:val="false"/>
          <w:iCs w:val="false"/>
          <w:color w:val="333333"/>
          <w:sz w:val="20"/>
          <w:szCs w:val="20"/>
        </w:rPr>
        <w:t>1:164</w:t>
      </w:r>
      <w:r>
        <w:rPr>
          <w:rFonts w:eastAsia="IRNazanin" w:cs="IRNazanin"/>
          <w:b w:val="false"/>
          <w:bCs w:val="false"/>
          <w:i w:val="false"/>
          <w:iCs w:val="false"/>
          <w:color w:val="333333"/>
          <w:sz w:val="20"/>
          <w:szCs w:val="20"/>
          <w:rtl w:val="true"/>
        </w:rPr>
        <w:t>.</w:t>
      </w:r>
    </w:p>
  </w:footnote>
  <w:footnote w:id="2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1261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النّفاس،حديث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تصليها من الوجع</w:t>
      </w:r>
      <w:r>
        <w:rPr>
          <w:rFonts w:eastAsia="IRNazanin" w:cs="IRNazanin"/>
          <w:b w:val="false"/>
          <w:bCs w:val="false"/>
          <w:i w:val="false"/>
          <w:iCs w:val="false"/>
          <w:color w:val="333333"/>
          <w:sz w:val="20"/>
          <w:szCs w:val="20"/>
          <w:rtl w:val="true"/>
        </w:rPr>
        <w:t>.</w:t>
      </w:r>
    </w:p>
  </w:footnote>
  <w:footnote w:id="2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1196</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481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النّفاس،حديث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1:395</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1:408</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w:t>
      </w:r>
    </w:p>
  </w:footnote>
  <w:footnote w:id="2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،الهداية للمرغيناني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،شرح فتح القدير </w:t>
      </w:r>
      <w:r>
        <w:rPr>
          <w:rFonts w:eastAsia="IRNazanin" w:cs="IRNazanin"/>
          <w:b w:val="false"/>
          <w:bCs w:val="false"/>
          <w:i w:val="false"/>
          <w:iCs w:val="false"/>
          <w:color w:val="333333"/>
          <w:sz w:val="20"/>
          <w:szCs w:val="20"/>
        </w:rPr>
        <w:t>1:165</w:t>
      </w:r>
      <w:r>
        <w:rPr>
          <w:rFonts w:eastAsia="IRNazanin" w:cs="IRNazanin"/>
          <w:b w:val="false"/>
          <w:bCs w:val="false"/>
          <w:i w:val="false"/>
          <w:iCs w:val="false"/>
          <w:color w:val="333333"/>
          <w:sz w:val="20"/>
          <w:szCs w:val="20"/>
          <w:rtl w:val="true"/>
        </w:rPr>
        <w:t>.</w:t>
      </w:r>
    </w:p>
  </w:footnote>
  <w:footnote w:id="2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تيقّن</w:t>
      </w:r>
      <w:r>
        <w:rPr>
          <w:rFonts w:eastAsia="IRNazanin" w:cs="IRNazanin"/>
          <w:b w:val="false"/>
          <w:bCs w:val="false"/>
          <w:i w:val="false"/>
          <w:iCs w:val="false"/>
          <w:color w:val="333333"/>
          <w:sz w:val="20"/>
          <w:szCs w:val="20"/>
          <w:rtl w:val="true"/>
        </w:rPr>
        <w:t>.</w:t>
      </w:r>
    </w:p>
  </w:footnote>
  <w:footnote w:id="2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،النّهاية بهامش شرح فتح القدير </w:t>
      </w:r>
      <w:r>
        <w:rPr>
          <w:rFonts w:eastAsia="IRNazanin" w:cs="IRNazanin"/>
          <w:b w:val="false"/>
          <w:bCs w:val="false"/>
          <w:i w:val="false"/>
          <w:iCs w:val="false"/>
          <w:color w:val="333333"/>
          <w:sz w:val="20"/>
          <w:szCs w:val="20"/>
        </w:rPr>
        <w:t>1:165</w:t>
      </w:r>
      <w:r>
        <w:rPr>
          <w:rFonts w:eastAsia="IRNazanin" w:cs="IRNazanin"/>
          <w:b w:val="false"/>
          <w:bCs w:val="false"/>
          <w:i w:val="false"/>
          <w:iCs w:val="false"/>
          <w:color w:val="333333"/>
          <w:sz w:val="20"/>
          <w:szCs w:val="20"/>
          <w:rtl w:val="true"/>
        </w:rPr>
        <w:t>.</w:t>
      </w:r>
    </w:p>
  </w:footnote>
  <w:footnote w:id="2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2:521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2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1:395</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1:408</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2:526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2:583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،الهداية للمرغيناني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2:526</w:t>
      </w:r>
      <w:r>
        <w:rPr>
          <w:rFonts w:ascii="IRNazanin" w:hAnsi="IRNazanin" w:eastAsia="IRNazanin"/>
          <w:b w:val="false"/>
          <w:b w:val="false"/>
          <w:bCs w:val="false"/>
          <w:i w:val="false"/>
          <w:i w:val="false"/>
          <w:iCs w:val="false"/>
          <w:color w:val="333333"/>
          <w:sz w:val="20"/>
          <w:sz w:val="20"/>
          <w:szCs w:val="20"/>
          <w:rtl w:val="true"/>
        </w:rPr>
        <w:t xml:space="preserve">، المغني </w:t>
      </w:r>
      <w:r>
        <w:rPr>
          <w:rFonts w:eastAsia="IRNazanin" w:cs="IRNazanin"/>
          <w:b w:val="false"/>
          <w:bCs w:val="false"/>
          <w:i w:val="false"/>
          <w:iCs w:val="false"/>
          <w:color w:val="333333"/>
          <w:sz w:val="20"/>
          <w:szCs w:val="20"/>
        </w:rPr>
        <w:t>1:395</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1:408</w:t>
      </w:r>
      <w:r>
        <w:rPr>
          <w:rFonts w:ascii="IRNazanin" w:hAnsi="IRNazanin" w:eastAsia="IRNazanin"/>
          <w:b w:val="false"/>
          <w:b w:val="false"/>
          <w:bCs w:val="false"/>
          <w:i w:val="false"/>
          <w:i w:val="false"/>
          <w:iCs w:val="false"/>
          <w:color w:val="333333"/>
          <w:sz w:val="20"/>
          <w:sz w:val="20"/>
          <w:szCs w:val="20"/>
          <w:rtl w:val="true"/>
        </w:rPr>
        <w:t xml:space="preserve">،شرح فتح القدير </w:t>
      </w:r>
      <w:r>
        <w:rPr>
          <w:rFonts w:eastAsia="IRNazanin" w:cs="IRNazanin"/>
          <w:b w:val="false"/>
          <w:bCs w:val="false"/>
          <w:i w:val="false"/>
          <w:iCs w:val="false"/>
          <w:color w:val="333333"/>
          <w:sz w:val="20"/>
          <w:szCs w:val="20"/>
        </w:rPr>
        <w:t>1:167</w:t>
      </w:r>
      <w:r>
        <w:rPr>
          <w:rFonts w:eastAsia="IRNazanin" w:cs="IRNazanin"/>
          <w:b w:val="false"/>
          <w:bCs w:val="false"/>
          <w:i w:val="false"/>
          <w:iCs w:val="false"/>
          <w:color w:val="333333"/>
          <w:sz w:val="20"/>
          <w:szCs w:val="20"/>
          <w:rtl w:val="true"/>
        </w:rPr>
        <w:t>.</w:t>
      </w:r>
    </w:p>
  </w:footnote>
  <w:footnote w:id="2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،الهداية للمرغيناني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2:526</w:t>
      </w:r>
      <w:r>
        <w:rPr>
          <w:rFonts w:ascii="IRNazanin" w:hAnsi="IRNazanin" w:eastAsia="IRNazanin"/>
          <w:b w:val="false"/>
          <w:b w:val="false"/>
          <w:bCs w:val="false"/>
          <w:i w:val="false"/>
          <w:i w:val="false"/>
          <w:iCs w:val="false"/>
          <w:color w:val="333333"/>
          <w:sz w:val="20"/>
          <w:sz w:val="20"/>
          <w:szCs w:val="20"/>
          <w:rtl w:val="true"/>
        </w:rPr>
        <w:t xml:space="preserve">، شرح فتح القدير </w:t>
      </w:r>
      <w:r>
        <w:rPr>
          <w:rFonts w:eastAsia="IRNazanin" w:cs="IRNazanin"/>
          <w:b w:val="false"/>
          <w:bCs w:val="false"/>
          <w:i w:val="false"/>
          <w:iCs w:val="false"/>
          <w:color w:val="333333"/>
          <w:sz w:val="20"/>
          <w:szCs w:val="20"/>
        </w:rPr>
        <w:t>1:167</w:t>
      </w:r>
      <w:r>
        <w:rPr>
          <w:rFonts w:eastAsia="IRNazanin" w:cs="IRNazanin"/>
          <w:b w:val="false"/>
          <w:bCs w:val="false"/>
          <w:i w:val="false"/>
          <w:iCs w:val="false"/>
          <w:color w:val="333333"/>
          <w:sz w:val="20"/>
          <w:szCs w:val="20"/>
          <w:rtl w:val="true"/>
        </w:rPr>
        <w:t>.</w:t>
      </w:r>
    </w:p>
  </w:footnote>
  <w:footnote w:id="2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2:526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527</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2:582</w:t>
      </w:r>
      <w:r>
        <w:rPr>
          <w:rFonts w:eastAsia="IRNazanin" w:cs="IRNazanin"/>
          <w:b w:val="false"/>
          <w:bCs w:val="false"/>
          <w:i w:val="false"/>
          <w:iCs w:val="false"/>
          <w:color w:val="333333"/>
          <w:sz w:val="20"/>
          <w:szCs w:val="20"/>
          <w:rtl w:val="true"/>
        </w:rPr>
        <w:t>.</w:t>
      </w:r>
    </w:p>
  </w:footnote>
  <w:footnote w:id="2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1:395</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1:408</w:t>
      </w:r>
      <w:r>
        <w:rPr>
          <w:rFonts w:ascii="IRNazanin" w:hAnsi="IRNazanin" w:eastAsia="IRNazanin"/>
          <w:b w:val="false"/>
          <w:b w:val="false"/>
          <w:bCs w:val="false"/>
          <w:i w:val="false"/>
          <w:i w:val="false"/>
          <w:iCs w:val="false"/>
          <w:color w:val="333333"/>
          <w:sz w:val="20"/>
          <w:sz w:val="20"/>
          <w:szCs w:val="20"/>
          <w:rtl w:val="true"/>
        </w:rPr>
        <w:t xml:space="preserve">،الكافي لا بن قدامة </w:t>
      </w:r>
      <w:r>
        <w:rPr>
          <w:rFonts w:eastAsia="IRNazanin" w:cs="IRNazanin"/>
          <w:b w:val="false"/>
          <w:bCs w:val="false"/>
          <w:i w:val="false"/>
          <w:iCs w:val="false"/>
          <w:color w:val="333333"/>
          <w:sz w:val="20"/>
          <w:szCs w:val="20"/>
        </w:rPr>
        <w:t>1:108</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2:526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2:583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1:396</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1:409</w:t>
      </w:r>
      <w:r>
        <w:rPr>
          <w:rFonts w:eastAsia="IRNazanin" w:cs="IRNazanin"/>
          <w:b w:val="false"/>
          <w:bCs w:val="false"/>
          <w:i w:val="false"/>
          <w:iCs w:val="false"/>
          <w:color w:val="333333"/>
          <w:sz w:val="20"/>
          <w:szCs w:val="20"/>
          <w:rtl w:val="true"/>
        </w:rPr>
        <w:t>.</w:t>
      </w:r>
    </w:p>
  </w:footnote>
  <w:footnote w:id="2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،الهداية للمرغيناني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،شرح فتح القدير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2:526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2:526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1:396</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1:409</w:t>
      </w:r>
      <w:r>
        <w:rPr>
          <w:rFonts w:eastAsia="IRNazanin" w:cs="IRNazanin"/>
          <w:b w:val="false"/>
          <w:bCs w:val="false"/>
          <w:i w:val="false"/>
          <w:iCs w:val="false"/>
          <w:color w:val="333333"/>
          <w:sz w:val="20"/>
          <w:szCs w:val="20"/>
          <w:rtl w:val="true"/>
        </w:rPr>
        <w:t>.</w:t>
      </w:r>
    </w:p>
  </w:footnote>
  <w:footnote w:id="2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2:526</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2:582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583</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1:396</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1:409</w:t>
      </w:r>
      <w:r>
        <w:rPr>
          <w:rFonts w:eastAsia="IRNazanin" w:cs="IRNazanin"/>
          <w:b w:val="false"/>
          <w:bCs w:val="false"/>
          <w:i w:val="false"/>
          <w:iCs w:val="false"/>
          <w:color w:val="333333"/>
          <w:sz w:val="20"/>
          <w:szCs w:val="20"/>
          <w:rtl w:val="true"/>
        </w:rPr>
        <w:t>.</w:t>
      </w:r>
    </w:p>
  </w:footnote>
  <w:footnote w:id="2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1:395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1:409</w:t>
      </w:r>
      <w:r>
        <w:rPr>
          <w:rFonts w:ascii="IRNazanin" w:hAnsi="IRNazanin" w:eastAsia="IRNazanin"/>
          <w:b w:val="false"/>
          <w:b w:val="false"/>
          <w:bCs w:val="false"/>
          <w:i w:val="false"/>
          <w:i w:val="false"/>
          <w:iCs w:val="false"/>
          <w:color w:val="333333"/>
          <w:sz w:val="20"/>
          <w:sz w:val="20"/>
          <w:szCs w:val="20"/>
          <w:rtl w:val="true"/>
        </w:rPr>
        <w:t xml:space="preserve">،الكافي لابن قدامة </w:t>
      </w:r>
      <w:r>
        <w:rPr>
          <w:rFonts w:eastAsia="IRNazanin" w:cs="IRNazanin"/>
          <w:b w:val="false"/>
          <w:bCs w:val="false"/>
          <w:i w:val="false"/>
          <w:iCs w:val="false"/>
          <w:color w:val="333333"/>
          <w:sz w:val="20"/>
          <w:szCs w:val="20"/>
        </w:rPr>
        <w:t>1:108</w:t>
      </w:r>
      <w:r>
        <w:rPr>
          <w:rFonts w:ascii="IRNazanin" w:hAnsi="IRNazanin" w:eastAsia="IRNazanin"/>
          <w:b w:val="false"/>
          <w:b w:val="false"/>
          <w:bCs w:val="false"/>
          <w:i w:val="false"/>
          <w:i w:val="false"/>
          <w:iCs w:val="false"/>
          <w:color w:val="333333"/>
          <w:sz w:val="20"/>
          <w:sz w:val="20"/>
          <w:szCs w:val="20"/>
          <w:rtl w:val="true"/>
        </w:rPr>
        <w:t xml:space="preserve">، الإنصاف </w:t>
      </w:r>
      <w:r>
        <w:rPr>
          <w:rFonts w:eastAsia="IRNazanin" w:cs="IRNazanin"/>
          <w:b w:val="false"/>
          <w:bCs w:val="false"/>
          <w:i w:val="false"/>
          <w:iCs w:val="false"/>
          <w:color w:val="333333"/>
          <w:sz w:val="20"/>
          <w:szCs w:val="20"/>
        </w:rPr>
        <w:t>1:386</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2:526</w:t>
      </w:r>
      <w:r>
        <w:rPr>
          <w:rFonts w:eastAsia="IRNazanin" w:cs="IRNazanin"/>
          <w:b w:val="false"/>
          <w:bCs w:val="false"/>
          <w:i w:val="false"/>
          <w:iCs w:val="false"/>
          <w:color w:val="333333"/>
          <w:sz w:val="20"/>
          <w:szCs w:val="20"/>
          <w:rtl w:val="true"/>
        </w:rPr>
        <w:t>.</w:t>
      </w:r>
    </w:p>
  </w:footnote>
  <w:footnote w:id="2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الاسم</w:t>
      </w:r>
      <w:r>
        <w:rPr>
          <w:rFonts w:eastAsia="IRNazanin" w:cs="IRNazanin"/>
          <w:b w:val="false"/>
          <w:bCs w:val="false"/>
          <w:i w:val="false"/>
          <w:iCs w:val="false"/>
          <w:color w:val="333333"/>
          <w:sz w:val="20"/>
          <w:szCs w:val="20"/>
          <w:rtl w:val="true"/>
        </w:rPr>
        <w:t>.</w:t>
      </w:r>
    </w:p>
  </w:footnote>
  <w:footnote w:id="2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،الهداية للمرغيناني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،شرح فتح القدير </w:t>
      </w:r>
      <w:r>
        <w:rPr>
          <w:rFonts w:eastAsia="IRNazanin" w:cs="IRNazanin"/>
          <w:b w:val="false"/>
          <w:bCs w:val="false"/>
          <w:i w:val="false"/>
          <w:iCs w:val="false"/>
          <w:color w:val="333333"/>
          <w:sz w:val="20"/>
          <w:szCs w:val="20"/>
        </w:rPr>
        <w:t>1:167</w:t>
      </w:r>
      <w:r>
        <w:rPr>
          <w:rFonts w:eastAsia="IRNazanin" w:cs="IRNazanin"/>
          <w:b w:val="false"/>
          <w:bCs w:val="false"/>
          <w:i w:val="false"/>
          <w:iCs w:val="false"/>
          <w:color w:val="333333"/>
          <w:sz w:val="20"/>
          <w:szCs w:val="20"/>
          <w:rtl w:val="true"/>
        </w:rPr>
        <w:t>.</w:t>
      </w:r>
    </w:p>
  </w:footnote>
  <w:footnote w:id="2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2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2:526</w:t>
      </w:r>
      <w:r>
        <w:rPr>
          <w:rFonts w:eastAsia="IRNazanin" w:cs="IRNazanin"/>
          <w:b w:val="false"/>
          <w:bCs w:val="false"/>
          <w:i w:val="false"/>
          <w:iCs w:val="false"/>
          <w:color w:val="333333"/>
          <w:sz w:val="20"/>
          <w:szCs w:val="20"/>
          <w:rtl w:val="true"/>
        </w:rPr>
        <w:t>.</w:t>
      </w:r>
    </w:p>
  </w:footnote>
  <w:footnote w:id="2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3:212</w:t>
      </w:r>
      <w:r>
        <w:rPr>
          <w:rFonts w:ascii="IRNazanin" w:hAnsi="IRNazanin" w:eastAsia="IRNazanin"/>
          <w:b w:val="false"/>
          <w:b w:val="false"/>
          <w:bCs w:val="false"/>
          <w:i w:val="false"/>
          <w:i w:val="false"/>
          <w:iCs w:val="false"/>
          <w:color w:val="333333"/>
          <w:sz w:val="20"/>
          <w:sz w:val="20"/>
          <w:szCs w:val="20"/>
          <w:rtl w:val="true"/>
        </w:rPr>
        <w:t xml:space="preserve">،الهداية للمرغيناني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،شرح فتح القدير </w:t>
      </w:r>
      <w:r>
        <w:rPr>
          <w:rFonts w:eastAsia="IRNazanin" w:cs="IRNazanin"/>
          <w:b w:val="false"/>
          <w:bCs w:val="false"/>
          <w:i w:val="false"/>
          <w:iCs w:val="false"/>
          <w:color w:val="333333"/>
          <w:sz w:val="20"/>
          <w:szCs w:val="20"/>
        </w:rPr>
        <w:t>1:167</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2:526</w:t>
      </w:r>
      <w:r>
        <w:rPr>
          <w:rFonts w:eastAsia="IRNazanin" w:cs="IRNazanin"/>
          <w:b w:val="false"/>
          <w:bCs w:val="false"/>
          <w:i w:val="false"/>
          <w:iCs w:val="false"/>
          <w:color w:val="333333"/>
          <w:sz w:val="20"/>
          <w:szCs w:val="20"/>
          <w:rtl w:val="true"/>
        </w:rPr>
        <w:t>.</w:t>
      </w:r>
    </w:p>
  </w:footnote>
  <w:footnote w:id="2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3:212</w:t>
      </w:r>
      <w:r>
        <w:rPr>
          <w:rFonts w:ascii="IRNazanin" w:hAnsi="IRNazanin" w:eastAsia="IRNazanin"/>
          <w:b w:val="false"/>
          <w:b w:val="false"/>
          <w:bCs w:val="false"/>
          <w:i w:val="false"/>
          <w:i w:val="false"/>
          <w:iCs w:val="false"/>
          <w:color w:val="333333"/>
          <w:sz w:val="20"/>
          <w:sz w:val="20"/>
          <w:szCs w:val="20"/>
          <w:rtl w:val="true"/>
        </w:rPr>
        <w:t xml:space="preserve">،الهداية للمرغيناني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1:408</w:t>
      </w:r>
      <w:r>
        <w:rPr>
          <w:rFonts w:ascii="IRNazanin" w:hAnsi="IRNazanin" w:eastAsia="IRNazanin"/>
          <w:b w:val="false"/>
          <w:b w:val="false"/>
          <w:bCs w:val="false"/>
          <w:i w:val="false"/>
          <w:i w:val="false"/>
          <w:iCs w:val="false"/>
          <w:color w:val="333333"/>
          <w:sz w:val="20"/>
          <w:sz w:val="20"/>
          <w:szCs w:val="20"/>
          <w:rtl w:val="true"/>
        </w:rPr>
        <w:t xml:space="preserve">،شرح فتح القدير </w:t>
      </w:r>
      <w:r>
        <w:rPr>
          <w:rFonts w:eastAsia="IRNazanin" w:cs="IRNazanin"/>
          <w:b w:val="false"/>
          <w:bCs w:val="false"/>
          <w:i w:val="false"/>
          <w:iCs w:val="false"/>
          <w:color w:val="333333"/>
          <w:sz w:val="20"/>
          <w:szCs w:val="20"/>
        </w:rPr>
        <w:t>1:167</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2:526</w:t>
      </w:r>
      <w:r>
        <w:rPr>
          <w:rFonts w:eastAsia="IRNazanin" w:cs="IRNazanin"/>
          <w:b w:val="false"/>
          <w:bCs w:val="false"/>
          <w:i w:val="false"/>
          <w:iCs w:val="false"/>
          <w:color w:val="333333"/>
          <w:sz w:val="20"/>
          <w:szCs w:val="20"/>
          <w:rtl w:val="true"/>
        </w:rPr>
        <w:t>.</w:t>
      </w:r>
    </w:p>
  </w:footnote>
  <w:footnote w:id="2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3:212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،شرح فتح القدير </w:t>
      </w:r>
      <w:r>
        <w:rPr>
          <w:rFonts w:eastAsia="IRNazanin" w:cs="IRNazanin"/>
          <w:b w:val="false"/>
          <w:bCs w:val="false"/>
          <w:i w:val="false"/>
          <w:iCs w:val="false"/>
          <w:color w:val="333333"/>
          <w:sz w:val="20"/>
          <w:szCs w:val="20"/>
        </w:rPr>
        <w:t>1:167</w:t>
      </w:r>
      <w:r>
        <w:rPr>
          <w:rFonts w:eastAsia="IRNazanin" w:cs="IRNazanin"/>
          <w:b w:val="false"/>
          <w:bCs w:val="false"/>
          <w:i w:val="false"/>
          <w:iCs w:val="false"/>
          <w:color w:val="333333"/>
          <w:sz w:val="20"/>
          <w:szCs w:val="20"/>
          <w:rtl w:val="true"/>
        </w:rPr>
        <w:t>.</w:t>
      </w:r>
    </w:p>
  </w:footnote>
  <w:footnote w:id="2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2:526</w:t>
      </w:r>
      <w:r>
        <w:rPr>
          <w:rFonts w:eastAsia="IRNazanin" w:cs="IRNazanin"/>
          <w:b w:val="false"/>
          <w:bCs w:val="false"/>
          <w:i w:val="false"/>
          <w:iCs w:val="false"/>
          <w:color w:val="333333"/>
          <w:sz w:val="20"/>
          <w:szCs w:val="20"/>
          <w:rtl w:val="true"/>
        </w:rPr>
        <w:t>.</w:t>
      </w:r>
    </w:p>
  </w:footnote>
  <w:footnote w:id="2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3:212</w:t>
      </w:r>
      <w:r>
        <w:rPr>
          <w:rFonts w:ascii="IRNazanin" w:hAnsi="IRNazanin" w:eastAsia="IRNazanin"/>
          <w:b w:val="false"/>
          <w:b w:val="false"/>
          <w:bCs w:val="false"/>
          <w:i w:val="false"/>
          <w:i w:val="false"/>
          <w:iCs w:val="false"/>
          <w:color w:val="333333"/>
          <w:sz w:val="20"/>
          <w:sz w:val="20"/>
          <w:szCs w:val="20"/>
          <w:rtl w:val="true"/>
        </w:rPr>
        <w:t>،بدائع الصّنائع،</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،الهداية للمرغيناني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المجموع </w:t>
      </w:r>
      <w:r>
        <w:rPr>
          <w:rFonts w:eastAsia="IRNazanin" w:cs="IRNazanin"/>
          <w:b w:val="false"/>
          <w:bCs w:val="false"/>
          <w:i w:val="false"/>
          <w:iCs w:val="false"/>
          <w:color w:val="333333"/>
          <w:sz w:val="20"/>
          <w:szCs w:val="20"/>
        </w:rPr>
        <w:t>2:526</w:t>
      </w:r>
      <w:r>
        <w:rPr>
          <w:rFonts w:eastAsia="IRNazanin" w:cs="IRNazanin"/>
          <w:b w:val="false"/>
          <w:bCs w:val="false"/>
          <w:i w:val="false"/>
          <w:iCs w:val="false"/>
          <w:color w:val="333333"/>
          <w:sz w:val="20"/>
          <w:szCs w:val="20"/>
          <w:rtl w:val="true"/>
        </w:rPr>
        <w:t>.</w:t>
      </w:r>
    </w:p>
  </w:footnote>
  <w:footnote w:id="2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،الهداية للمرغيناني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1:396</w:t>
      </w:r>
      <w:r>
        <w:rPr>
          <w:rFonts w:ascii="IRNazanin" w:hAnsi="IRNazanin" w:eastAsia="IRNazanin"/>
          <w:b w:val="false"/>
          <w:b w:val="false"/>
          <w:bCs w:val="false"/>
          <w:i w:val="false"/>
          <w:i w:val="false"/>
          <w:iCs w:val="false"/>
          <w:color w:val="333333"/>
          <w:sz w:val="20"/>
          <w:sz w:val="20"/>
          <w:szCs w:val="20"/>
          <w:rtl w:val="true"/>
        </w:rPr>
        <w:t xml:space="preserve">، الشّرح الكبير بهامش المغني </w:t>
      </w:r>
      <w:r>
        <w:rPr>
          <w:rFonts w:eastAsia="IRNazanin" w:cs="IRNazanin"/>
          <w:b w:val="false"/>
          <w:bCs w:val="false"/>
          <w:i w:val="false"/>
          <w:iCs w:val="false"/>
          <w:color w:val="333333"/>
          <w:sz w:val="20"/>
          <w:szCs w:val="20"/>
        </w:rPr>
        <w:t>1:409</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2:526</w:t>
      </w:r>
      <w:r>
        <w:rPr>
          <w:rFonts w:eastAsia="IRNazanin" w:cs="IRNazanin"/>
          <w:b w:val="false"/>
          <w:bCs w:val="false"/>
          <w:i w:val="false"/>
          <w:iCs w:val="false"/>
          <w:color w:val="333333"/>
          <w:sz w:val="20"/>
          <w:szCs w:val="20"/>
          <w:rtl w:val="true"/>
        </w:rPr>
        <w:t>.</w:t>
      </w:r>
    </w:p>
  </w:footnote>
  <w:footnote w:id="2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2:522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2:574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فتح الوهّاب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،السّراج الوهّاج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1:119</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1:393</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1:403</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1:359</w:t>
      </w:r>
      <w:r>
        <w:rPr>
          <w:rFonts w:eastAsia="IRNazanin" w:cs="IRNazanin"/>
          <w:b w:val="false"/>
          <w:bCs w:val="false"/>
          <w:i w:val="false"/>
          <w:iCs w:val="false"/>
          <w:color w:val="333333"/>
          <w:sz w:val="20"/>
          <w:szCs w:val="20"/>
          <w:rtl w:val="true"/>
        </w:rPr>
        <w:t>.</w:t>
      </w:r>
    </w:p>
  </w:footnote>
  <w:footnote w:id="2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2:523</w:t>
      </w:r>
      <w:r>
        <w:rPr>
          <w:rFonts w:eastAsia="IRNazanin" w:cs="IRNazanin"/>
          <w:b w:val="false"/>
          <w:bCs w:val="false"/>
          <w:i w:val="false"/>
          <w:iCs w:val="false"/>
          <w:color w:val="333333"/>
          <w:sz w:val="20"/>
          <w:szCs w:val="20"/>
          <w:rtl w:val="true"/>
        </w:rPr>
        <w:t>.</w:t>
      </w:r>
    </w:p>
  </w:footnote>
  <w:footnote w:id="2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المدوّنة الكبرى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،مقدّمات ابن رشد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المجموع </w:t>
      </w:r>
      <w:r>
        <w:rPr>
          <w:rFonts w:eastAsia="IRNazanin" w:cs="IRNazanin"/>
          <w:b w:val="false"/>
          <w:bCs w:val="false"/>
          <w:i w:val="false"/>
          <w:iCs w:val="false"/>
          <w:color w:val="333333"/>
          <w:sz w:val="20"/>
          <w:szCs w:val="20"/>
        </w:rPr>
        <w:t>2:523</w:t>
      </w:r>
      <w:r>
        <w:rPr>
          <w:rFonts w:eastAsia="IRNazanin" w:cs="IRNazanin"/>
          <w:b w:val="false"/>
          <w:bCs w:val="false"/>
          <w:i w:val="false"/>
          <w:iCs w:val="false"/>
          <w:color w:val="333333"/>
          <w:sz w:val="20"/>
          <w:szCs w:val="20"/>
          <w:rtl w:val="true"/>
        </w:rPr>
        <w:t>.</w:t>
      </w:r>
    </w:p>
  </w:footnote>
  <w:footnote w:id="2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1:393</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1:403</w:t>
      </w:r>
      <w:r>
        <w:rPr>
          <w:rFonts w:ascii="IRNazanin" w:hAnsi="IRNazanin" w:eastAsia="IRNazanin"/>
          <w:b w:val="false"/>
          <w:b w:val="false"/>
          <w:bCs w:val="false"/>
          <w:i w:val="false"/>
          <w:i w:val="false"/>
          <w:iCs w:val="false"/>
          <w:color w:val="333333"/>
          <w:sz w:val="20"/>
          <w:sz w:val="20"/>
          <w:szCs w:val="20"/>
          <w:rtl w:val="true"/>
        </w:rPr>
        <w:t xml:space="preserve">،الكافي لابن قدامة </w:t>
      </w:r>
      <w:r>
        <w:rPr>
          <w:rFonts w:eastAsia="IRNazanin" w:cs="IRNazanin"/>
          <w:b w:val="false"/>
          <w:bCs w:val="false"/>
          <w:i w:val="false"/>
          <w:iCs w:val="false"/>
          <w:color w:val="333333"/>
          <w:sz w:val="20"/>
          <w:szCs w:val="20"/>
        </w:rPr>
        <w:t>1:108</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2:523</w:t>
      </w:r>
      <w:r>
        <w:rPr>
          <w:rFonts w:ascii="IRNazanin" w:hAnsi="IRNazanin" w:eastAsia="IRNazanin"/>
          <w:b w:val="false"/>
          <w:b w:val="false"/>
          <w:bCs w:val="false"/>
          <w:i w:val="false"/>
          <w:i w:val="false"/>
          <w:iCs w:val="false"/>
          <w:color w:val="333333"/>
          <w:sz w:val="20"/>
          <w:sz w:val="20"/>
          <w:szCs w:val="20"/>
          <w:rtl w:val="true"/>
        </w:rPr>
        <w:t xml:space="preserve">،منار السّبيل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2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،الهداية للمرغيناني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،شرح فتح القدير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2:525</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2:575</w:t>
      </w:r>
      <w:r>
        <w:rPr>
          <w:rFonts w:eastAsia="IRNazanin" w:cs="IRNazanin"/>
          <w:b w:val="false"/>
          <w:bCs w:val="false"/>
          <w:i w:val="false"/>
          <w:iCs w:val="false"/>
          <w:color w:val="333333"/>
          <w:sz w:val="20"/>
          <w:szCs w:val="20"/>
          <w:rtl w:val="true"/>
        </w:rPr>
        <w:t>.</w:t>
      </w:r>
    </w:p>
  </w:footnote>
  <w:footnote w:id="2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1:393</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w:t>
      </w:r>
    </w:p>
  </w:footnote>
  <w:footnote w:id="2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1:393</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1:403</w:t>
      </w:r>
      <w:r>
        <w:rPr>
          <w:rFonts w:ascii="IRNazanin" w:hAnsi="IRNazanin" w:eastAsia="IRNazanin"/>
          <w:b w:val="false"/>
          <w:b w:val="false"/>
          <w:bCs w:val="false"/>
          <w:i w:val="false"/>
          <w:i w:val="false"/>
          <w:iCs w:val="false"/>
          <w:color w:val="333333"/>
          <w:sz w:val="20"/>
          <w:sz w:val="20"/>
          <w:szCs w:val="20"/>
          <w:rtl w:val="true"/>
        </w:rPr>
        <w:t xml:space="preserve">،شرح العناية بهامش شرح فتح القدير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2:523</w:t>
      </w:r>
      <w:r>
        <w:rPr>
          <w:rFonts w:eastAsia="IRNazanin" w:cs="IRNazanin"/>
          <w:b w:val="false"/>
          <w:bCs w:val="false"/>
          <w:i w:val="false"/>
          <w:iCs w:val="false"/>
          <w:color w:val="333333"/>
          <w:sz w:val="20"/>
          <w:szCs w:val="20"/>
          <w:rtl w:val="true"/>
        </w:rPr>
        <w:t>.</w:t>
      </w:r>
    </w:p>
  </w:footnote>
  <w:footnote w:id="2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1:393</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1:403</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2:523</w:t>
      </w:r>
      <w:r>
        <w:rPr>
          <w:rFonts w:eastAsia="IRNazanin" w:cs="IRNazanin"/>
          <w:b w:val="false"/>
          <w:bCs w:val="false"/>
          <w:i w:val="false"/>
          <w:iCs w:val="false"/>
          <w:color w:val="333333"/>
          <w:sz w:val="20"/>
          <w:szCs w:val="20"/>
          <w:rtl w:val="true"/>
        </w:rPr>
        <w:t>.</w:t>
      </w:r>
    </w:p>
  </w:footnote>
  <w:footnote w:id="2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1:393</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w:t>
      </w:r>
    </w:p>
  </w:footnote>
  <w:footnote w:id="2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العناية بهامش شرح فتح القدير </w:t>
      </w:r>
      <w:r>
        <w:rPr>
          <w:rFonts w:eastAsia="IRNazanin" w:cs="IRNazanin"/>
          <w:b w:val="false"/>
          <w:bCs w:val="false"/>
          <w:i w:val="false"/>
          <w:iCs w:val="false"/>
          <w:color w:val="333333"/>
          <w:sz w:val="20"/>
          <w:szCs w:val="20"/>
        </w:rPr>
        <w:t>1:165</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،المحلّى </w:t>
      </w:r>
      <w:r>
        <w:rPr>
          <w:rFonts w:eastAsia="IRNazanin" w:cs="IRNazanin"/>
          <w:b w:val="false"/>
          <w:bCs w:val="false"/>
          <w:i w:val="false"/>
          <w:iCs w:val="false"/>
          <w:color w:val="333333"/>
          <w:sz w:val="20"/>
          <w:szCs w:val="20"/>
        </w:rPr>
        <w:t>2:207</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1:403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1:359</w:t>
      </w:r>
      <w:r>
        <w:rPr>
          <w:rFonts w:eastAsia="IRNazanin" w:cs="IRNazanin"/>
          <w:b w:val="false"/>
          <w:bCs w:val="false"/>
          <w:i w:val="false"/>
          <w:iCs w:val="false"/>
          <w:color w:val="333333"/>
          <w:sz w:val="20"/>
          <w:szCs w:val="20"/>
          <w:rtl w:val="true"/>
        </w:rPr>
        <w:t>.</w:t>
      </w:r>
    </w:p>
  </w:footnote>
  <w:footnote w:id="2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2:525</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1:359</w:t>
      </w:r>
      <w:r>
        <w:rPr>
          <w:rFonts w:eastAsia="IRNazanin" w:cs="IRNazanin"/>
          <w:b w:val="false"/>
          <w:bCs w:val="false"/>
          <w:i w:val="false"/>
          <w:iCs w:val="false"/>
          <w:color w:val="333333"/>
          <w:sz w:val="20"/>
          <w:szCs w:val="20"/>
          <w:rtl w:val="true"/>
        </w:rPr>
        <w:t>.</w:t>
      </w:r>
    </w:p>
  </w:footnote>
  <w:footnote w:id="2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2:525</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2:575</w:t>
      </w:r>
      <w:r>
        <w:rPr>
          <w:rFonts w:eastAsia="IRNazanin" w:cs="IRNazanin"/>
          <w:b w:val="false"/>
          <w:bCs w:val="false"/>
          <w:i w:val="false"/>
          <w:iCs w:val="false"/>
          <w:color w:val="333333"/>
          <w:sz w:val="20"/>
          <w:szCs w:val="20"/>
          <w:rtl w:val="true"/>
        </w:rPr>
        <w:t>.</w:t>
      </w:r>
    </w:p>
  </w:footnote>
  <w:footnote w:id="2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1:342</w:t>
      </w:r>
      <w:r>
        <w:rPr>
          <w:rFonts w:ascii="IRNazanin" w:hAnsi="IRNazanin" w:eastAsia="IRNazanin"/>
          <w:b w:val="false"/>
          <w:b w:val="false"/>
          <w:bCs w:val="false"/>
          <w:i w:val="false"/>
          <w:i w:val="false"/>
          <w:iCs w:val="false"/>
          <w:color w:val="333333"/>
          <w:sz w:val="20"/>
          <w:sz w:val="20"/>
          <w:szCs w:val="20"/>
          <w:rtl w:val="true"/>
        </w:rPr>
        <w:t xml:space="preserve">،سنن الدّار قطني </w:t>
      </w:r>
      <w:r>
        <w:rPr>
          <w:rFonts w:eastAsia="IRNazanin" w:cs="IRNazanin"/>
          <w:b w:val="false"/>
          <w:bCs w:val="false"/>
          <w:i w:val="false"/>
          <w:iCs w:val="false"/>
          <w:color w:val="333333"/>
          <w:sz w:val="20"/>
          <w:szCs w:val="20"/>
        </w:rPr>
        <w:t>1:223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1:393</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1:404</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2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497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النّفاس،حديث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الحسن بن عليّ بن يقطين،عن أخيه الحسين،عن عليّ بن يقطين</w:t>
      </w:r>
      <w:r>
        <w:rPr>
          <w:rFonts w:eastAsia="IRNazanin" w:cs="IRNazanin"/>
          <w:b w:val="false"/>
          <w:bCs w:val="false"/>
          <w:i w:val="false"/>
          <w:iCs w:val="false"/>
          <w:color w:val="333333"/>
          <w:sz w:val="20"/>
          <w:szCs w:val="20"/>
          <w:rtl w:val="true"/>
        </w:rPr>
        <w:t>.</w:t>
      </w:r>
    </w:p>
  </w:footnote>
  <w:footnote w:id="2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،الجمل و العقود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في المعتبر </w:t>
      </w:r>
      <w:r>
        <w:rPr>
          <w:rFonts w:eastAsia="IRNazanin" w:cs="IRNazanin"/>
          <w:b w:val="false"/>
          <w:bCs w:val="false"/>
          <w:i w:val="false"/>
          <w:iCs w:val="false"/>
          <w:color w:val="333333"/>
          <w:sz w:val="20"/>
          <w:szCs w:val="20"/>
        </w:rPr>
        <w:t>1:253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،رسائل الشّريف المرتضى </w:t>
      </w:r>
      <w:r>
        <w:rPr>
          <w:rFonts w:eastAsia="IRNazanin" w:cs="IRNazanin"/>
          <w:b w:val="false"/>
          <w:bCs w:val="false"/>
          <w:i w:val="false"/>
          <w:iCs w:val="false"/>
          <w:color w:val="333333"/>
          <w:sz w:val="20"/>
          <w:szCs w:val="20"/>
        </w:rPr>
        <w:t>1:172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عنه في المعتبر </w:t>
      </w:r>
      <w:r>
        <w:rPr>
          <w:rFonts w:eastAsia="IRNazanin" w:cs="IRNazanin"/>
          <w:b w:val="false"/>
          <w:bCs w:val="false"/>
          <w:i w:val="false"/>
          <w:iCs w:val="false"/>
          <w:color w:val="333333"/>
          <w:sz w:val="20"/>
          <w:szCs w:val="20"/>
        </w:rPr>
        <w:t>1:253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،الهداية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نقل عنه في المعتبر </w:t>
      </w:r>
      <w:r>
        <w:rPr>
          <w:rFonts w:eastAsia="IRNazanin" w:cs="IRNazanin"/>
          <w:b w:val="false"/>
          <w:bCs w:val="false"/>
          <w:i w:val="false"/>
          <w:iCs w:val="false"/>
          <w:color w:val="333333"/>
          <w:sz w:val="20"/>
          <w:szCs w:val="20"/>
        </w:rPr>
        <w:t>1:253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2:524</w:t>
      </w:r>
      <w:r>
        <w:rPr>
          <w:rFonts w:ascii="IRNazanin" w:hAnsi="IRNazanin" w:eastAsia="IRNazanin"/>
          <w:b w:val="false"/>
          <w:b w:val="false"/>
          <w:bCs w:val="false"/>
          <w:i w:val="false"/>
          <w:i w:val="false"/>
          <w:iCs w:val="false"/>
          <w:color w:val="333333"/>
          <w:sz w:val="20"/>
          <w:sz w:val="20"/>
          <w:szCs w:val="20"/>
          <w:rtl w:val="true"/>
        </w:rPr>
        <w:t>،الام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مختصر المزني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8:11</w:t>
      </w:r>
      <w:r>
        <w:rPr>
          <w:rFonts w:ascii="IRNazanin" w:hAnsi="IRNazanin" w:eastAsia="IRNazanin"/>
          <w:b w:val="false"/>
          <w:b w:val="false"/>
          <w:bCs w:val="false"/>
          <w:i w:val="false"/>
          <w:i w:val="false"/>
          <w:iCs w:val="false"/>
          <w:color w:val="333333"/>
          <w:sz w:val="20"/>
          <w:sz w:val="20"/>
          <w:szCs w:val="20"/>
          <w:rtl w:val="true"/>
        </w:rPr>
        <w:t>،السّراج الوهّاج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رحمة الأمة بهامش ميزان الكبرى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،المحلّى </w:t>
      </w:r>
      <w:r>
        <w:rPr>
          <w:rFonts w:eastAsia="IRNazanin" w:cs="IRNazanin"/>
          <w:b w:val="false"/>
          <w:bCs w:val="false"/>
          <w:i w:val="false"/>
          <w:iCs w:val="false"/>
          <w:color w:val="333333"/>
          <w:sz w:val="20"/>
          <w:szCs w:val="20"/>
        </w:rPr>
        <w:t>2:203</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1:392</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1:402</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1:358</w:t>
      </w:r>
      <w:r>
        <w:rPr>
          <w:rFonts w:eastAsia="IRNazanin" w:cs="IRNazanin"/>
          <w:b w:val="false"/>
          <w:bCs w:val="false"/>
          <w:i w:val="false"/>
          <w:iCs w:val="false"/>
          <w:color w:val="333333"/>
          <w:sz w:val="20"/>
          <w:szCs w:val="20"/>
          <w:rtl w:val="true"/>
        </w:rPr>
        <w:t>.</w:t>
      </w:r>
    </w:p>
  </w:footnote>
  <w:footnote w:id="2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المدوّنة الكبرى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،الشّرح الصّغير بهامش بلغة السّالك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1:312</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1:402</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2:524</w:t>
      </w:r>
      <w:r>
        <w:rPr>
          <w:rFonts w:ascii="IRNazanin" w:hAnsi="IRNazanin" w:eastAsia="IRNazanin"/>
          <w:b w:val="false"/>
          <w:b w:val="false"/>
          <w:bCs w:val="false"/>
          <w:i w:val="false"/>
          <w:i w:val="false"/>
          <w:iCs w:val="false"/>
          <w:color w:val="333333"/>
          <w:sz w:val="20"/>
          <w:sz w:val="20"/>
          <w:szCs w:val="20"/>
          <w:rtl w:val="true"/>
        </w:rPr>
        <w:t xml:space="preserve">،المحلّى </w:t>
      </w:r>
      <w:r>
        <w:rPr>
          <w:rFonts w:eastAsia="IRNazanin" w:cs="IRNazanin"/>
          <w:b w:val="false"/>
          <w:bCs w:val="false"/>
          <w:i w:val="false"/>
          <w:iCs w:val="false"/>
          <w:color w:val="333333"/>
          <w:sz w:val="20"/>
          <w:szCs w:val="20"/>
        </w:rPr>
        <w:t>2:203</w:t>
      </w:r>
      <w:r>
        <w:rPr>
          <w:rFonts w:ascii="IRNazanin" w:hAnsi="IRNazanin" w:eastAsia="IRNazanin"/>
          <w:b w:val="false"/>
          <w:b w:val="false"/>
          <w:bCs w:val="false"/>
          <w:i w:val="false"/>
          <w:i w:val="false"/>
          <w:iCs w:val="false"/>
          <w:color w:val="333333"/>
          <w:sz w:val="20"/>
          <w:sz w:val="20"/>
          <w:szCs w:val="20"/>
          <w:rtl w:val="true"/>
        </w:rPr>
        <w:t xml:space="preserve">،رحمة الأمة بهامش ميزان الكبرى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1:358</w:t>
      </w:r>
      <w:r>
        <w:rPr>
          <w:rFonts w:eastAsia="IRNazanin" w:cs="IRNazanin"/>
          <w:b w:val="false"/>
          <w:bCs w:val="false"/>
          <w:i w:val="false"/>
          <w:iCs w:val="false"/>
          <w:color w:val="333333"/>
          <w:sz w:val="20"/>
          <w:szCs w:val="20"/>
          <w:rtl w:val="true"/>
        </w:rPr>
        <w:t>.</w:t>
      </w:r>
    </w:p>
  </w:footnote>
  <w:footnote w:id="2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1:393</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1:402</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1:259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1:393</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1:402</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2:524</w:t>
      </w:r>
      <w:r>
        <w:rPr>
          <w:rFonts w:eastAsia="IRNazanin" w:cs="IRNazanin"/>
          <w:b w:val="false"/>
          <w:bCs w:val="false"/>
          <w:i w:val="false"/>
          <w:iCs w:val="false"/>
          <w:color w:val="333333"/>
          <w:sz w:val="20"/>
          <w:szCs w:val="20"/>
          <w:rtl w:val="true"/>
        </w:rPr>
        <w:t>.</w:t>
      </w:r>
    </w:p>
  </w:footnote>
  <w:footnote w:id="2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1:259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2:524</w:t>
      </w:r>
      <w:r>
        <w:rPr>
          <w:rFonts w:eastAsia="IRNazanin" w:cs="IRNazanin"/>
          <w:b w:val="false"/>
          <w:bCs w:val="false"/>
          <w:i w:val="false"/>
          <w:iCs w:val="false"/>
          <w:color w:val="333333"/>
          <w:sz w:val="20"/>
          <w:szCs w:val="20"/>
          <w:rtl w:val="true"/>
        </w:rPr>
        <w:t>.</w:t>
      </w:r>
    </w:p>
  </w:footnote>
  <w:footnote w:id="2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2:524</w:t>
      </w:r>
      <w:r>
        <w:rPr>
          <w:rFonts w:eastAsia="IRNazanin" w:cs="IRNazanin"/>
          <w:b w:val="false"/>
          <w:bCs w:val="false"/>
          <w:i w:val="false"/>
          <w:iCs w:val="false"/>
          <w:color w:val="333333"/>
          <w:sz w:val="20"/>
          <w:szCs w:val="20"/>
          <w:rtl w:val="true"/>
        </w:rPr>
        <w:t>.</w:t>
      </w:r>
    </w:p>
  </w:footnote>
  <w:footnote w:id="2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2:524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،الهداية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فتح القدير </w:t>
      </w:r>
      <w:r>
        <w:rPr>
          <w:rFonts w:eastAsia="IRNazanin" w:cs="IRNazanin"/>
          <w:b w:val="false"/>
          <w:bCs w:val="false"/>
          <w:i w:val="false"/>
          <w:iCs w:val="false"/>
          <w:color w:val="333333"/>
          <w:sz w:val="20"/>
          <w:szCs w:val="20"/>
        </w:rPr>
        <w:t>1:166</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،مقدّمات ابن رشد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،المحلّى </w:t>
      </w:r>
      <w:r>
        <w:rPr>
          <w:rFonts w:eastAsia="IRNazanin" w:cs="IRNazanin"/>
          <w:b w:val="false"/>
          <w:bCs w:val="false"/>
          <w:i w:val="false"/>
          <w:iCs w:val="false"/>
          <w:color w:val="333333"/>
          <w:sz w:val="20"/>
          <w:szCs w:val="20"/>
        </w:rPr>
        <w:t>2:203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رحمة الأمة بهامش ميزان الكبرى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2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1:392</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1:402</w:t>
      </w:r>
      <w:r>
        <w:rPr>
          <w:rFonts w:ascii="IRNazanin" w:hAnsi="IRNazanin" w:eastAsia="IRNazanin"/>
          <w:b w:val="false"/>
          <w:b w:val="false"/>
          <w:bCs w:val="false"/>
          <w:i w:val="false"/>
          <w:i w:val="false"/>
          <w:iCs w:val="false"/>
          <w:color w:val="333333"/>
          <w:sz w:val="20"/>
          <w:sz w:val="20"/>
          <w:szCs w:val="20"/>
          <w:rtl w:val="true"/>
        </w:rPr>
        <w:t xml:space="preserve">،الكافي لابن قدامة </w:t>
      </w:r>
      <w:r>
        <w:rPr>
          <w:rFonts w:eastAsia="IRNazanin" w:cs="IRNazanin"/>
          <w:b w:val="false"/>
          <w:bCs w:val="false"/>
          <w:i w:val="false"/>
          <w:iCs w:val="false"/>
          <w:color w:val="333333"/>
          <w:sz w:val="20"/>
          <w:szCs w:val="20"/>
        </w:rPr>
        <w:t>1:107</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منار السّبيل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1:258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رحمة الأمة بهامش ميزان الكبرى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1:358</w:t>
      </w:r>
      <w:r>
        <w:rPr>
          <w:rFonts w:eastAsia="IRNazanin" w:cs="IRNazanin"/>
          <w:b w:val="false"/>
          <w:bCs w:val="false"/>
          <w:i w:val="false"/>
          <w:iCs w:val="false"/>
          <w:color w:val="333333"/>
          <w:sz w:val="20"/>
          <w:szCs w:val="20"/>
          <w:rtl w:val="true"/>
        </w:rPr>
        <w:t>.</w:t>
      </w:r>
    </w:p>
  </w:footnote>
  <w:footnote w:id="2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1:258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1:392</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1:402</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2:524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1:358</w:t>
      </w:r>
      <w:r>
        <w:rPr>
          <w:rFonts w:eastAsia="IRNazanin" w:cs="IRNazanin"/>
          <w:b w:val="false"/>
          <w:bCs w:val="false"/>
          <w:i w:val="false"/>
          <w:iCs w:val="false"/>
          <w:color w:val="333333"/>
          <w:sz w:val="20"/>
          <w:szCs w:val="20"/>
          <w:rtl w:val="true"/>
        </w:rPr>
        <w:t>.</w:t>
      </w:r>
    </w:p>
  </w:footnote>
  <w:footnote w:id="2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1:392</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1:402</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1:258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2:524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1:392</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2:524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2:524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اللّيث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بعض النّاس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انّه سبعون يوما</w:t>
      </w:r>
      <w:r>
        <w:rPr>
          <w:rFonts w:eastAsia="IRNazanin" w:cs="IRNazanin"/>
          <w:b w:val="false"/>
          <w:bCs w:val="false"/>
          <w:i w:val="false"/>
          <w:iCs w:val="false"/>
          <w:color w:val="333333"/>
          <w:sz w:val="20"/>
          <w:szCs w:val="20"/>
          <w:rtl w:val="true"/>
        </w:rPr>
        <w:t>.</w:t>
      </w:r>
    </w:p>
  </w:footnote>
  <w:footnote w:id="2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1:258</w:t>
      </w:r>
      <w:r>
        <w:rPr>
          <w:rFonts w:ascii="IRNazanin" w:hAnsi="IRNazanin" w:eastAsia="IRNazanin"/>
          <w:b w:val="false"/>
          <w:b w:val="false"/>
          <w:bCs w:val="false"/>
          <w:i w:val="false"/>
          <w:i w:val="false"/>
          <w:iCs w:val="false"/>
          <w:color w:val="333333"/>
          <w:sz w:val="20"/>
          <w:sz w:val="20"/>
          <w:szCs w:val="20"/>
          <w:rtl w:val="true"/>
        </w:rPr>
        <w:t xml:space="preserve">،سنن الدّارمي </w:t>
      </w:r>
      <w:r>
        <w:rPr>
          <w:rFonts w:eastAsia="IRNazanin" w:cs="IRNazanin"/>
          <w:b w:val="false"/>
          <w:bCs w:val="false"/>
          <w:i w:val="false"/>
          <w:iCs w:val="false"/>
          <w:color w:val="333333"/>
          <w:sz w:val="20"/>
          <w:szCs w:val="20"/>
        </w:rPr>
        <w:t>1:229</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1:402</w:t>
      </w:r>
      <w:r>
        <w:rPr>
          <w:rFonts w:ascii="IRNazanin" w:hAnsi="IRNazanin" w:eastAsia="IRNazanin"/>
          <w:b w:val="false"/>
          <w:b w:val="false"/>
          <w:bCs w:val="false"/>
          <w:i w:val="false"/>
          <w:i w:val="false"/>
          <w:iCs w:val="false"/>
          <w:color w:val="333333"/>
          <w:sz w:val="20"/>
          <w:sz w:val="20"/>
          <w:szCs w:val="20"/>
          <w:rtl w:val="true"/>
        </w:rPr>
        <w:t xml:space="preserve">،مقدّمات ابن رشد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2:524</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1:358</w:t>
      </w:r>
      <w:r>
        <w:rPr>
          <w:rFonts w:eastAsia="IRNazanin" w:cs="IRNazanin"/>
          <w:b w:val="false"/>
          <w:bCs w:val="false"/>
          <w:i w:val="false"/>
          <w:iCs w:val="false"/>
          <w:color w:val="333333"/>
          <w:sz w:val="20"/>
          <w:szCs w:val="20"/>
          <w:rtl w:val="true"/>
        </w:rPr>
        <w:t>.</w:t>
      </w:r>
    </w:p>
  </w:footnote>
  <w:footnote w:id="2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2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495</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524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النّفاس،حديث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 يسير</w:t>
      </w:r>
      <w:r>
        <w:rPr>
          <w:rFonts w:eastAsia="IRNazanin" w:cs="IRNazanin"/>
          <w:b w:val="false"/>
          <w:bCs w:val="false"/>
          <w:i w:val="false"/>
          <w:iCs w:val="false"/>
          <w:color w:val="333333"/>
          <w:sz w:val="20"/>
          <w:szCs w:val="20"/>
          <w:rtl w:val="true"/>
        </w:rPr>
        <w:t>.</w:t>
      </w:r>
    </w:p>
  </w:footnote>
  <w:footnote w:id="2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496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النّفاس،حديث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499</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519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النّفاس،حديث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500</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520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النّفاس،حديث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501</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521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النّفاس،حديث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502</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522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النّفاس،حديث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حديث </w:t>
      </w:r>
      <w:r>
        <w:rPr>
          <w:rFonts w:eastAsia="IRNazanin" w:cs="IRNazanin"/>
          <w:b w:val="false"/>
          <w:bCs w:val="false"/>
          <w:i w:val="false"/>
          <w:iCs w:val="false"/>
          <w:color w:val="333333"/>
          <w:sz w:val="20"/>
          <w:szCs w:val="20"/>
        </w:rPr>
        <w:t>502</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حديث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2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503</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523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2:619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النّفاس،حديث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أضفناه من المصدر</w:t>
      </w:r>
      <w:r>
        <w:rPr>
          <w:rFonts w:eastAsia="IRNazanin" w:cs="IRNazanin"/>
          <w:b w:val="false"/>
          <w:bCs w:val="false"/>
          <w:i w:val="false"/>
          <w:iCs w:val="false"/>
          <w:color w:val="333333"/>
          <w:sz w:val="20"/>
          <w:szCs w:val="20"/>
          <w:rtl w:val="true"/>
        </w:rPr>
        <w:t>.</w:t>
      </w:r>
    </w:p>
  </w:footnote>
  <w:footnote w:id="2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505</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525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2:620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النّفاس،حديث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النّاصريّات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،رسائل الشّريف المرتضى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المجموعة الأولى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2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508</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528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النّفاس،حديث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أضفناه من المصدر</w:t>
      </w:r>
      <w:r>
        <w:rPr>
          <w:rFonts w:eastAsia="IRNazanin" w:cs="IRNazanin"/>
          <w:b w:val="false"/>
          <w:bCs w:val="false"/>
          <w:i w:val="false"/>
          <w:iCs w:val="false"/>
          <w:color w:val="333333"/>
          <w:sz w:val="20"/>
          <w:szCs w:val="20"/>
          <w:rtl w:val="true"/>
        </w:rPr>
        <w:t>.</w:t>
      </w:r>
    </w:p>
  </w:footnote>
  <w:footnote w:id="2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511</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531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النّفاس،حديث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دالّة</w:t>
      </w:r>
      <w:r>
        <w:rPr>
          <w:rFonts w:eastAsia="IRNazanin" w:cs="IRNazanin"/>
          <w:b w:val="false"/>
          <w:bCs w:val="false"/>
          <w:i w:val="false"/>
          <w:iCs w:val="false"/>
          <w:color w:val="333333"/>
          <w:sz w:val="20"/>
          <w:szCs w:val="20"/>
          <w:rtl w:val="true"/>
        </w:rPr>
        <w:t>.</w:t>
      </w:r>
    </w:p>
  </w:footnote>
  <w:footnote w:id="2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2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 رجل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الاستبصار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فقالت</w:t>
      </w:r>
      <w:r>
        <w:rPr>
          <w:rFonts w:eastAsia="IRNazanin" w:cs="IRNazanin"/>
          <w:b w:val="false"/>
          <w:bCs w:val="false"/>
          <w:i w:val="false"/>
          <w:iCs w:val="false"/>
          <w:color w:val="333333"/>
          <w:sz w:val="20"/>
          <w:szCs w:val="20"/>
          <w:rtl w:val="true"/>
        </w:rPr>
        <w:t>.</w:t>
      </w:r>
    </w:p>
  </w:footnote>
  <w:footnote w:id="2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512</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532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النفاس،حديث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513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النّفاس،حديث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514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النّفاس،حديث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للمرغيناني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،شرح فتح القدير </w:t>
      </w:r>
      <w:r>
        <w:rPr>
          <w:rFonts w:eastAsia="IRNazanin" w:cs="IRNazanin"/>
          <w:b w:val="false"/>
          <w:bCs w:val="false"/>
          <w:i w:val="false"/>
          <w:iCs w:val="false"/>
          <w:color w:val="333333"/>
          <w:sz w:val="20"/>
          <w:szCs w:val="20"/>
        </w:rPr>
        <w:t>1:166</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2:525</w:t>
      </w:r>
      <w:r>
        <w:rPr>
          <w:rFonts w:ascii="IRNazanin" w:hAnsi="IRNazanin" w:eastAsia="IRNazanin"/>
          <w:b w:val="false"/>
          <w:b w:val="false"/>
          <w:bCs w:val="false"/>
          <w:i w:val="false"/>
          <w:i w:val="false"/>
          <w:iCs w:val="false"/>
          <w:color w:val="333333"/>
          <w:sz w:val="20"/>
          <w:sz w:val="20"/>
          <w:szCs w:val="20"/>
          <w:rtl w:val="true"/>
        </w:rPr>
        <w:t xml:space="preserve">، مغني المحتاج </w:t>
      </w:r>
      <w:r>
        <w:rPr>
          <w:rFonts w:eastAsia="IRNazanin" w:cs="IRNazanin"/>
          <w:b w:val="false"/>
          <w:bCs w:val="false"/>
          <w:i w:val="false"/>
          <w:iCs w:val="false"/>
          <w:color w:val="333333"/>
          <w:sz w:val="20"/>
          <w:szCs w:val="20"/>
        </w:rPr>
        <w:t>1:120</w:t>
      </w:r>
      <w:r>
        <w:rPr>
          <w:rFonts w:ascii="IRNazanin" w:hAnsi="IRNazanin" w:eastAsia="IRNazanin"/>
          <w:b w:val="false"/>
          <w:b w:val="false"/>
          <w:bCs w:val="false"/>
          <w:i w:val="false"/>
          <w:i w:val="false"/>
          <w:iCs w:val="false"/>
          <w:color w:val="333333"/>
          <w:sz w:val="20"/>
          <w:sz w:val="20"/>
          <w:szCs w:val="20"/>
          <w:rtl w:val="true"/>
        </w:rPr>
        <w:t xml:space="preserve">،المحلّى </w:t>
      </w:r>
      <w:r>
        <w:rPr>
          <w:rFonts w:eastAsia="IRNazanin" w:cs="IRNazanin"/>
          <w:b w:val="false"/>
          <w:bCs w:val="false"/>
          <w:i w:val="false"/>
          <w:iCs w:val="false"/>
          <w:color w:val="333333"/>
          <w:sz w:val="20"/>
          <w:szCs w:val="20"/>
        </w:rPr>
        <w:t>2:203</w:t>
      </w:r>
      <w:r>
        <w:rPr>
          <w:rFonts w:eastAsia="IRNazanin" w:cs="IRNazanin"/>
          <w:b w:val="false"/>
          <w:bCs w:val="false"/>
          <w:i w:val="false"/>
          <w:iCs w:val="false"/>
          <w:color w:val="333333"/>
          <w:sz w:val="20"/>
          <w:szCs w:val="20"/>
          <w:rtl w:val="true"/>
        </w:rPr>
        <w:t>.</w:t>
      </w:r>
    </w:p>
  </w:footnote>
  <w:footnote w:id="2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1:256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،سنن الدّارمي </w:t>
      </w:r>
      <w:r>
        <w:rPr>
          <w:rFonts w:eastAsia="IRNazanin" w:cs="IRNazanin"/>
          <w:b w:val="false"/>
          <w:bCs w:val="false"/>
          <w:i w:val="false"/>
          <w:iCs w:val="false"/>
          <w:color w:val="333333"/>
          <w:sz w:val="20"/>
          <w:szCs w:val="20"/>
        </w:rPr>
        <w:t>1:229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سنن ابن ماجه </w:t>
      </w:r>
      <w:r>
        <w:rPr>
          <w:rFonts w:eastAsia="IRNazanin" w:cs="IRNazanin"/>
          <w:b w:val="false"/>
          <w:bCs w:val="false"/>
          <w:i w:val="false"/>
          <w:iCs w:val="false"/>
          <w:color w:val="333333"/>
          <w:sz w:val="20"/>
          <w:szCs w:val="20"/>
        </w:rPr>
        <w:t>1:213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648</w:t>
      </w:r>
      <w:r>
        <w:rPr>
          <w:rFonts w:ascii="IRNazanin" w:hAnsi="IRNazanin" w:eastAsia="IRNazanin"/>
          <w:b w:val="false"/>
          <w:b w:val="false"/>
          <w:bCs w:val="false"/>
          <w:i w:val="false"/>
          <w:i w:val="false"/>
          <w:iCs w:val="false"/>
          <w:color w:val="333333"/>
          <w:sz w:val="20"/>
          <w:sz w:val="20"/>
          <w:szCs w:val="20"/>
          <w:rtl w:val="true"/>
        </w:rPr>
        <w:t xml:space="preserve">،جامع الأصول </w:t>
      </w:r>
      <w:r>
        <w:rPr>
          <w:rFonts w:eastAsia="IRNazanin" w:cs="IRNazanin"/>
          <w:b w:val="false"/>
          <w:bCs w:val="false"/>
          <w:i w:val="false"/>
          <w:iCs w:val="false"/>
          <w:color w:val="333333"/>
          <w:sz w:val="20"/>
          <w:szCs w:val="20"/>
        </w:rPr>
        <w:t>8:239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5425</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1:341</w:t>
      </w:r>
      <w:r>
        <w:rPr>
          <w:rFonts w:ascii="IRNazanin" w:hAnsi="IRNazanin" w:eastAsia="IRNazanin"/>
          <w:b w:val="false"/>
          <w:b w:val="false"/>
          <w:bCs w:val="false"/>
          <w:i w:val="false"/>
          <w:i w:val="false"/>
          <w:iCs w:val="false"/>
          <w:color w:val="333333"/>
          <w:sz w:val="20"/>
          <w:sz w:val="20"/>
          <w:szCs w:val="20"/>
          <w:rtl w:val="true"/>
        </w:rPr>
        <w:t xml:space="preserve">،المستدرك للحاكم </w:t>
      </w:r>
      <w:r>
        <w:rPr>
          <w:rFonts w:eastAsia="IRNazanin" w:cs="IRNazanin"/>
          <w:b w:val="false"/>
          <w:bCs w:val="false"/>
          <w:i w:val="false"/>
          <w:iCs w:val="false"/>
          <w:color w:val="333333"/>
          <w:sz w:val="20"/>
          <w:szCs w:val="20"/>
        </w:rPr>
        <w:t>1:175</w:t>
      </w:r>
      <w:r>
        <w:rPr>
          <w:rFonts w:eastAsia="IRNazanin" w:cs="IRNazanin"/>
          <w:b w:val="false"/>
          <w:bCs w:val="false"/>
          <w:i w:val="false"/>
          <w:iCs w:val="false"/>
          <w:color w:val="333333"/>
          <w:sz w:val="20"/>
          <w:szCs w:val="20"/>
          <w:rtl w:val="true"/>
        </w:rPr>
        <w:t>.</w:t>
      </w:r>
    </w:p>
  </w:footnote>
  <w:footnote w:id="2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1:257</w:t>
      </w:r>
      <w:r>
        <w:rPr>
          <w:rFonts w:eastAsia="IRNazanin" w:cs="IRNazanin"/>
          <w:b w:val="false"/>
          <w:bCs w:val="false"/>
          <w:i w:val="false"/>
          <w:iCs w:val="false"/>
          <w:color w:val="333333"/>
          <w:sz w:val="20"/>
          <w:szCs w:val="20"/>
          <w:rtl w:val="true"/>
        </w:rPr>
        <w:t>.</w:t>
      </w:r>
    </w:p>
  </w:footnote>
  <w:footnote w:id="2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506</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526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النّفاس،حديث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المصادر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جعفر،عن أبيه،عن علي عليهم السّلام</w:t>
      </w:r>
      <w:r>
        <w:rPr>
          <w:rFonts w:eastAsia="IRNazanin" w:cs="IRNazanin"/>
          <w:b w:val="false"/>
          <w:bCs w:val="false"/>
          <w:i w:val="false"/>
          <w:iCs w:val="false"/>
          <w:color w:val="333333"/>
          <w:sz w:val="20"/>
          <w:szCs w:val="20"/>
          <w:rtl w:val="true"/>
        </w:rPr>
        <w:t>.</w:t>
      </w:r>
    </w:p>
  </w:footnote>
  <w:footnote w:id="2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507</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527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النّفاس،حديث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 في الجميع</w:t>
      </w:r>
      <w:r>
        <w:rPr>
          <w:rFonts w:eastAsia="IRNazanin" w:cs="IRNazanin"/>
          <w:b w:val="false"/>
          <w:bCs w:val="false"/>
          <w:i w:val="false"/>
          <w:iCs w:val="false"/>
          <w:color w:val="333333"/>
          <w:sz w:val="20"/>
          <w:szCs w:val="20"/>
          <w:rtl w:val="true"/>
        </w:rPr>
        <w:t>.</w:t>
      </w:r>
    </w:p>
  </w:footnote>
  <w:footnote w:id="2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509</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529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النّفاس،حديث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 يسير</w:t>
      </w:r>
      <w:r>
        <w:rPr>
          <w:rFonts w:eastAsia="IRNazanin" w:cs="IRNazanin"/>
          <w:b w:val="false"/>
          <w:bCs w:val="false"/>
          <w:i w:val="false"/>
          <w:iCs w:val="false"/>
          <w:color w:val="333333"/>
          <w:sz w:val="20"/>
          <w:szCs w:val="20"/>
          <w:rtl w:val="true"/>
        </w:rPr>
        <w:t>.</w:t>
      </w:r>
    </w:p>
  </w:footnote>
  <w:footnote w:id="2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2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2:522</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2:573</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1:402</w:t>
      </w:r>
      <w:r>
        <w:rPr>
          <w:rFonts w:eastAsia="IRNazanin" w:cs="IRNazanin"/>
          <w:b w:val="false"/>
          <w:bCs w:val="false"/>
          <w:i w:val="false"/>
          <w:iCs w:val="false"/>
          <w:color w:val="333333"/>
          <w:sz w:val="20"/>
          <w:szCs w:val="20"/>
          <w:rtl w:val="true"/>
        </w:rPr>
        <w:t>.</w:t>
      </w:r>
    </w:p>
  </w:footnote>
  <w:footnote w:id="2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1:393</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1:402</w:t>
      </w:r>
      <w:r>
        <w:rPr>
          <w:rFonts w:eastAsia="IRNazanin" w:cs="IRNazanin"/>
          <w:b w:val="false"/>
          <w:bCs w:val="false"/>
          <w:i w:val="false"/>
          <w:iCs w:val="false"/>
          <w:color w:val="333333"/>
          <w:sz w:val="20"/>
          <w:szCs w:val="20"/>
          <w:rtl w:val="true"/>
        </w:rPr>
        <w:t>.</w:t>
      </w:r>
    </w:p>
  </w:footnote>
  <w:footnote w:id="2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،المدوّنة الكبرى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2:524</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573</w:t>
      </w:r>
      <w:r>
        <w:rPr>
          <w:rFonts w:ascii="IRNazanin" w:hAnsi="IRNazanin" w:eastAsia="IRNazanin"/>
          <w:b w:val="false"/>
          <w:b w:val="false"/>
          <w:bCs w:val="false"/>
          <w:i w:val="false"/>
          <w:i w:val="false"/>
          <w:iCs w:val="false"/>
          <w:color w:val="333333"/>
          <w:sz w:val="20"/>
          <w:sz w:val="20"/>
          <w:szCs w:val="20"/>
          <w:rtl w:val="true"/>
        </w:rPr>
        <w:t xml:space="preserve">،مقدّمات ابن رشد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،المحلّى </w:t>
      </w:r>
      <w:r>
        <w:rPr>
          <w:rFonts w:eastAsia="IRNazanin" w:cs="IRNazanin"/>
          <w:b w:val="false"/>
          <w:bCs w:val="false"/>
          <w:i w:val="false"/>
          <w:iCs w:val="false"/>
          <w:color w:val="333333"/>
          <w:sz w:val="20"/>
          <w:szCs w:val="20"/>
        </w:rPr>
        <w:t>2:203</w:t>
      </w:r>
      <w:r>
        <w:rPr>
          <w:rFonts w:ascii="IRNazanin" w:hAnsi="IRNazanin" w:eastAsia="IRNazanin"/>
          <w:b w:val="false"/>
          <w:b w:val="false"/>
          <w:bCs w:val="false"/>
          <w:i w:val="false"/>
          <w:i w:val="false"/>
          <w:iCs w:val="false"/>
          <w:color w:val="333333"/>
          <w:sz w:val="20"/>
          <w:sz w:val="20"/>
          <w:szCs w:val="20"/>
          <w:rtl w:val="true"/>
        </w:rPr>
        <w:t xml:space="preserve">،رحمة الأمّة بهامش ميزان الكبرى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1:358</w:t>
      </w:r>
      <w:r>
        <w:rPr>
          <w:rFonts w:eastAsia="IRNazanin" w:cs="IRNazanin"/>
          <w:b w:val="false"/>
          <w:bCs w:val="false"/>
          <w:i w:val="false"/>
          <w:iCs w:val="false"/>
          <w:color w:val="333333"/>
          <w:sz w:val="20"/>
          <w:szCs w:val="20"/>
          <w:rtl w:val="true"/>
        </w:rPr>
        <w:t>.</w:t>
      </w:r>
    </w:p>
  </w:footnote>
  <w:footnote w:id="2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1:392</w:t>
      </w:r>
      <w:r>
        <w:rPr>
          <w:rFonts w:ascii="IRNazanin" w:hAnsi="IRNazanin" w:eastAsia="IRNazanin"/>
          <w:b w:val="false"/>
          <w:b w:val="false"/>
          <w:bCs w:val="false"/>
          <w:i w:val="false"/>
          <w:i w:val="false"/>
          <w:iCs w:val="false"/>
          <w:color w:val="333333"/>
          <w:sz w:val="20"/>
          <w:sz w:val="20"/>
          <w:szCs w:val="20"/>
          <w:rtl w:val="true"/>
        </w:rPr>
        <w:t xml:space="preserve">،الكافي لابن قدامة </w:t>
      </w:r>
      <w:r>
        <w:rPr>
          <w:rFonts w:eastAsia="IRNazanin" w:cs="IRNazanin"/>
          <w:b w:val="false"/>
          <w:bCs w:val="false"/>
          <w:i w:val="false"/>
          <w:iCs w:val="false"/>
          <w:color w:val="333333"/>
          <w:sz w:val="20"/>
          <w:szCs w:val="20"/>
        </w:rPr>
        <w:t>1:107</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2:524</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573</w:t>
      </w:r>
      <w:r>
        <w:rPr>
          <w:rFonts w:ascii="IRNazanin" w:hAnsi="IRNazanin" w:eastAsia="IRNazanin"/>
          <w:b w:val="false"/>
          <w:b w:val="false"/>
          <w:bCs w:val="false"/>
          <w:i w:val="false"/>
          <w:i w:val="false"/>
          <w:iCs w:val="false"/>
          <w:color w:val="333333"/>
          <w:sz w:val="20"/>
          <w:sz w:val="20"/>
          <w:szCs w:val="20"/>
          <w:rtl w:val="true"/>
        </w:rPr>
        <w:t xml:space="preserve">،رحمة الأمّة بهامش ميزان الكبرى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1:358</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1:258</w:t>
      </w:r>
      <w:r>
        <w:rPr>
          <w:rFonts w:eastAsia="IRNazanin" w:cs="IRNazanin"/>
          <w:b w:val="false"/>
          <w:bCs w:val="false"/>
          <w:i w:val="false"/>
          <w:iCs w:val="false"/>
          <w:color w:val="333333"/>
          <w:sz w:val="20"/>
          <w:szCs w:val="20"/>
          <w:rtl w:val="true"/>
        </w:rPr>
        <w:t>.</w:t>
      </w:r>
    </w:p>
  </w:footnote>
  <w:footnote w:id="2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1:258</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1:357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2:524</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2:573</w:t>
      </w:r>
      <w:r>
        <w:rPr>
          <w:rFonts w:ascii="IRNazanin" w:hAnsi="IRNazanin" w:eastAsia="IRNazanin"/>
          <w:b w:val="false"/>
          <w:b w:val="false"/>
          <w:bCs w:val="false"/>
          <w:i w:val="false"/>
          <w:i w:val="false"/>
          <w:iCs w:val="false"/>
          <w:color w:val="333333"/>
          <w:sz w:val="20"/>
          <w:sz w:val="20"/>
          <w:szCs w:val="20"/>
          <w:rtl w:val="true"/>
        </w:rPr>
        <w:t xml:space="preserve">،رحمة الأمّة بهامش ميزان الكبرى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1:402</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،المحلّى </w:t>
      </w:r>
      <w:r>
        <w:rPr>
          <w:rFonts w:eastAsia="IRNazanin" w:cs="IRNazanin"/>
          <w:b w:val="false"/>
          <w:bCs w:val="false"/>
          <w:i w:val="false"/>
          <w:iCs w:val="false"/>
          <w:color w:val="333333"/>
          <w:sz w:val="20"/>
          <w:szCs w:val="20"/>
        </w:rPr>
        <w:t>2:203</w:t>
      </w:r>
      <w:r>
        <w:rPr>
          <w:rFonts w:eastAsia="IRNazanin" w:cs="IRNazanin"/>
          <w:b w:val="false"/>
          <w:bCs w:val="false"/>
          <w:i w:val="false"/>
          <w:iCs w:val="false"/>
          <w:color w:val="333333"/>
          <w:sz w:val="20"/>
          <w:szCs w:val="20"/>
          <w:rtl w:val="true"/>
        </w:rPr>
        <w:t>.</w:t>
      </w:r>
    </w:p>
  </w:footnote>
  <w:footnote w:id="2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1:341</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1:392</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2:524</w:t>
      </w:r>
      <w:r>
        <w:rPr>
          <w:rFonts w:eastAsia="IRNazanin" w:cs="IRNazanin"/>
          <w:b w:val="false"/>
          <w:bCs w:val="false"/>
          <w:i w:val="false"/>
          <w:iCs w:val="false"/>
          <w:color w:val="333333"/>
          <w:sz w:val="20"/>
          <w:szCs w:val="20"/>
          <w:rtl w:val="true"/>
        </w:rPr>
        <w:t>.</w:t>
      </w:r>
    </w:p>
  </w:footnote>
  <w:footnote w:id="2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1:341</w:t>
      </w:r>
      <w:r>
        <w:rPr>
          <w:rFonts w:ascii="IRNazanin" w:hAnsi="IRNazanin" w:eastAsia="IRNazanin"/>
          <w:b w:val="false"/>
          <w:b w:val="false"/>
          <w:bCs w:val="false"/>
          <w:i w:val="false"/>
          <w:i w:val="false"/>
          <w:iCs w:val="false"/>
          <w:color w:val="333333"/>
          <w:sz w:val="20"/>
          <w:sz w:val="20"/>
          <w:szCs w:val="20"/>
          <w:rtl w:val="true"/>
        </w:rPr>
        <w:t xml:space="preserve">،سنن الدّارمي </w:t>
      </w:r>
      <w:r>
        <w:rPr>
          <w:rFonts w:eastAsia="IRNazanin" w:cs="IRNazanin"/>
          <w:b w:val="false"/>
          <w:bCs w:val="false"/>
          <w:i w:val="false"/>
          <w:iCs w:val="false"/>
          <w:color w:val="333333"/>
          <w:sz w:val="20"/>
          <w:szCs w:val="20"/>
        </w:rPr>
        <w:t>1:229</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2:524</w:t>
      </w:r>
      <w:r>
        <w:rPr>
          <w:rFonts w:ascii="IRNazanin" w:hAnsi="IRNazanin" w:eastAsia="IRNazanin"/>
          <w:b w:val="false"/>
          <w:b w:val="false"/>
          <w:bCs w:val="false"/>
          <w:i w:val="false"/>
          <w:i w:val="false"/>
          <w:iCs w:val="false"/>
          <w:color w:val="333333"/>
          <w:sz w:val="20"/>
          <w:sz w:val="20"/>
          <w:szCs w:val="20"/>
          <w:rtl w:val="true"/>
        </w:rPr>
        <w:t xml:space="preserve">،المحلّى </w:t>
      </w:r>
      <w:r>
        <w:rPr>
          <w:rFonts w:eastAsia="IRNazanin" w:cs="IRNazanin"/>
          <w:b w:val="false"/>
          <w:bCs w:val="false"/>
          <w:i w:val="false"/>
          <w:iCs w:val="false"/>
          <w:color w:val="333333"/>
          <w:sz w:val="20"/>
          <w:szCs w:val="20"/>
        </w:rPr>
        <w:t>2:205</w:t>
      </w:r>
      <w:r>
        <w:rPr>
          <w:rFonts w:eastAsia="IRNazanin" w:cs="IRNazanin"/>
          <w:b w:val="false"/>
          <w:bCs w:val="false"/>
          <w:i w:val="false"/>
          <w:iCs w:val="false"/>
          <w:color w:val="333333"/>
          <w:sz w:val="20"/>
          <w:szCs w:val="20"/>
          <w:rtl w:val="true"/>
        </w:rPr>
        <w:t>.</w:t>
      </w:r>
    </w:p>
  </w:footnote>
  <w:footnote w:id="2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لم نعثر على قول مالك في المصادر الموجودة،و لكن قال في المجموع </w:t>
      </w:r>
      <w:r>
        <w:rPr>
          <w:rFonts w:eastAsia="IRNazanin" w:cs="IRNazanin"/>
          <w:b w:val="false"/>
          <w:bCs w:val="false"/>
          <w:i w:val="false"/>
          <w:iCs w:val="false"/>
          <w:color w:val="333333"/>
          <w:sz w:val="20"/>
          <w:szCs w:val="20"/>
        </w:rPr>
        <w:t>2:524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الليث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بعض النّاس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انه سبعون يوما</w:t>
      </w:r>
      <w:r>
        <w:rPr>
          <w:rFonts w:eastAsia="IRNazanin" w:cs="IRNazanin"/>
          <w:b w:val="false"/>
          <w:bCs w:val="false"/>
          <w:i w:val="false"/>
          <w:iCs w:val="false"/>
          <w:color w:val="333333"/>
          <w:sz w:val="20"/>
          <w:szCs w:val="20"/>
          <w:rtl w:val="true"/>
        </w:rPr>
        <w:t>.</w:t>
      </w:r>
    </w:p>
  </w:footnote>
  <w:footnote w:id="2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في المعتبر </w:t>
      </w:r>
      <w:r>
        <w:rPr>
          <w:rFonts w:eastAsia="IRNazanin" w:cs="IRNazanin"/>
          <w:b w:val="false"/>
          <w:bCs w:val="false"/>
          <w:i w:val="false"/>
          <w:iCs w:val="false"/>
          <w:color w:val="333333"/>
          <w:sz w:val="20"/>
          <w:szCs w:val="20"/>
        </w:rPr>
        <w:t>1:253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510</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530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النّفاس،حديث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الوسائل</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سبع عشرة ليلة</w:t>
      </w:r>
      <w:r>
        <w:rPr>
          <w:rFonts w:eastAsia="IRNazanin" w:cs="IRNazanin"/>
          <w:b w:val="false"/>
          <w:bCs w:val="false"/>
          <w:i w:val="false"/>
          <w:iCs w:val="false"/>
          <w:color w:val="333333"/>
          <w:sz w:val="20"/>
          <w:szCs w:val="20"/>
          <w:rtl w:val="true"/>
        </w:rPr>
        <w:t>.</w:t>
      </w:r>
    </w:p>
  </w:footnote>
  <w:footnote w:id="2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1:153</w:t>
      </w:r>
      <w:r>
        <w:rPr>
          <w:rFonts w:eastAsia="IRNazanin" w:cs="IRNazanin"/>
          <w:b w:val="false"/>
          <w:bCs w:val="false"/>
          <w:i w:val="false"/>
          <w:iCs w:val="false"/>
          <w:color w:val="333333"/>
          <w:sz w:val="20"/>
          <w:szCs w:val="20"/>
          <w:rtl w:val="true"/>
        </w:rPr>
        <w:t>.</w:t>
      </w:r>
    </w:p>
  </w:footnote>
  <w:footnote w:id="2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497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النّفاس،حديث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p>
  </w:footnote>
  <w:footnote w:id="2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1:255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المختصر النّافع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502</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522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النّفاس،حديث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2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2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507</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527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النّفاس،حديث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جميع المصادر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أولادها و ما جربت</w:t>
      </w:r>
      <w:r>
        <w:rPr>
          <w:rFonts w:eastAsia="IRNazanin" w:cs="IRNazanin"/>
          <w:b w:val="false"/>
          <w:bCs w:val="false"/>
          <w:i w:val="false"/>
          <w:iCs w:val="false"/>
          <w:color w:val="333333"/>
          <w:sz w:val="20"/>
          <w:szCs w:val="20"/>
          <w:rtl w:val="true"/>
        </w:rPr>
        <w:t>.</w:t>
      </w:r>
    </w:p>
  </w:footnote>
  <w:footnote w:id="2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1262</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بمثل أيّام أمّها أيّامها،ثمَّ تغتسل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النّفاس،حديث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500</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520</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النّفاس،حديث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508</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528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النّفاس،حديث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515</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531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النّفاس،حديث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2:531</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2:589</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1:120</w:t>
      </w:r>
      <w:r>
        <w:rPr>
          <w:rFonts w:eastAsia="IRNazanin" w:cs="IRNazanin"/>
          <w:b w:val="false"/>
          <w:bCs w:val="false"/>
          <w:i w:val="false"/>
          <w:iCs w:val="false"/>
          <w:color w:val="333333"/>
          <w:sz w:val="20"/>
          <w:szCs w:val="20"/>
          <w:rtl w:val="true"/>
        </w:rPr>
        <w:t>.</w:t>
      </w:r>
    </w:p>
  </w:footnote>
  <w:footnote w:id="2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495</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519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النّفاس،حديث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 تفاوت يسير</w:t>
      </w:r>
      <w:r>
        <w:rPr>
          <w:rFonts w:eastAsia="IRNazanin" w:cs="IRNazanin"/>
          <w:b w:val="false"/>
          <w:bCs w:val="false"/>
          <w:i w:val="false"/>
          <w:iCs w:val="false"/>
          <w:color w:val="333333"/>
          <w:sz w:val="20"/>
          <w:szCs w:val="20"/>
          <w:rtl w:val="true"/>
        </w:rPr>
        <w:t>.</w:t>
      </w:r>
    </w:p>
  </w:footnote>
  <w:footnote w:id="2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1:393</w:t>
      </w:r>
      <w:r>
        <w:rPr>
          <w:rFonts w:ascii="IRNazanin" w:hAnsi="IRNazanin" w:eastAsia="IRNazanin"/>
          <w:b w:val="false"/>
          <w:b w:val="false"/>
          <w:bCs w:val="false"/>
          <w:i w:val="false"/>
          <w:i w:val="false"/>
          <w:iCs w:val="false"/>
          <w:color w:val="333333"/>
          <w:sz w:val="20"/>
          <w:sz w:val="20"/>
          <w:szCs w:val="20"/>
          <w:rtl w:val="true"/>
        </w:rPr>
        <w:t xml:space="preserve">،الانصاف </w:t>
      </w:r>
      <w:r>
        <w:rPr>
          <w:rFonts w:eastAsia="IRNazanin" w:cs="IRNazanin"/>
          <w:b w:val="false"/>
          <w:bCs w:val="false"/>
          <w:i w:val="false"/>
          <w:iCs w:val="false"/>
          <w:color w:val="333333"/>
          <w:sz w:val="20"/>
          <w:szCs w:val="20"/>
        </w:rPr>
        <w:t>1:384</w:t>
      </w:r>
      <w:r>
        <w:rPr>
          <w:rFonts w:ascii="IRNazanin" w:hAnsi="IRNazanin" w:eastAsia="IRNazanin"/>
          <w:b w:val="false"/>
          <w:b w:val="false"/>
          <w:bCs w:val="false"/>
          <w:i w:val="false"/>
          <w:i w:val="false"/>
          <w:iCs w:val="false"/>
          <w:color w:val="333333"/>
          <w:sz w:val="20"/>
          <w:sz w:val="20"/>
          <w:szCs w:val="20"/>
          <w:rtl w:val="true"/>
        </w:rPr>
        <w:t xml:space="preserve">،الكافي لا بن قدامة </w:t>
      </w:r>
      <w:r>
        <w:rPr>
          <w:rFonts w:eastAsia="IRNazanin" w:cs="IRNazanin"/>
          <w:b w:val="false"/>
          <w:bCs w:val="false"/>
          <w:i w:val="false"/>
          <w:iCs w:val="false"/>
          <w:color w:val="333333"/>
          <w:sz w:val="20"/>
          <w:szCs w:val="20"/>
        </w:rPr>
        <w:t>1:108</w:t>
      </w:r>
      <w:r>
        <w:rPr>
          <w:rFonts w:eastAsia="IRNazanin" w:cs="IRNazanin"/>
          <w:b w:val="false"/>
          <w:bCs w:val="false"/>
          <w:i w:val="false"/>
          <w:iCs w:val="false"/>
          <w:color w:val="333333"/>
          <w:sz w:val="20"/>
          <w:szCs w:val="20"/>
          <w:rtl w:val="true"/>
        </w:rPr>
        <w:t>.</w:t>
      </w:r>
    </w:p>
  </w:footnote>
  <w:footnote w:id="2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3:211</w:t>
      </w:r>
      <w:r>
        <w:rPr>
          <w:rFonts w:ascii="IRNazanin" w:hAnsi="IRNazanin" w:eastAsia="IRNazanin"/>
          <w:b w:val="false"/>
          <w:b w:val="false"/>
          <w:bCs w:val="false"/>
          <w:i w:val="false"/>
          <w:i w:val="false"/>
          <w:iCs w:val="false"/>
          <w:color w:val="333333"/>
          <w:sz w:val="20"/>
          <w:sz w:val="20"/>
          <w:szCs w:val="20"/>
          <w:rtl w:val="true"/>
        </w:rPr>
        <w:t xml:space="preserve">،شرح فتح القدير </w:t>
      </w:r>
      <w:r>
        <w:rPr>
          <w:rFonts w:eastAsia="IRNazanin" w:cs="IRNazanin"/>
          <w:b w:val="false"/>
          <w:bCs w:val="false"/>
          <w:i w:val="false"/>
          <w:iCs w:val="false"/>
          <w:color w:val="333333"/>
          <w:sz w:val="20"/>
          <w:szCs w:val="20"/>
        </w:rPr>
        <w:t>1:166</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2:528</w:t>
      </w:r>
      <w:r>
        <w:rPr>
          <w:rFonts w:eastAsia="IRNazanin" w:cs="IRNazanin"/>
          <w:b w:val="false"/>
          <w:bCs w:val="false"/>
          <w:i w:val="false"/>
          <w:iCs w:val="false"/>
          <w:color w:val="333333"/>
          <w:sz w:val="20"/>
          <w:szCs w:val="20"/>
          <w:rtl w:val="true"/>
        </w:rPr>
        <w:t>.</w:t>
      </w:r>
    </w:p>
  </w:footnote>
  <w:footnote w:id="2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3:211</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2:528</w:t>
      </w:r>
      <w:r>
        <w:rPr>
          <w:rFonts w:ascii="IRNazanin" w:hAnsi="IRNazanin" w:eastAsia="IRNazanin"/>
          <w:b w:val="false"/>
          <w:b w:val="false"/>
          <w:bCs w:val="false"/>
          <w:i w:val="false"/>
          <w:i w:val="false"/>
          <w:iCs w:val="false"/>
          <w:color w:val="333333"/>
          <w:sz w:val="20"/>
          <w:sz w:val="20"/>
          <w:szCs w:val="20"/>
          <w:rtl w:val="true"/>
        </w:rPr>
        <w:t xml:space="preserve">،شرح فتح القدير </w:t>
      </w:r>
      <w:r>
        <w:rPr>
          <w:rFonts w:eastAsia="IRNazanin" w:cs="IRNazanin"/>
          <w:b w:val="false"/>
          <w:bCs w:val="false"/>
          <w:i w:val="false"/>
          <w:iCs w:val="false"/>
          <w:color w:val="333333"/>
          <w:sz w:val="20"/>
          <w:szCs w:val="20"/>
        </w:rPr>
        <w:t>1:166</w:t>
      </w:r>
      <w:r>
        <w:rPr>
          <w:rFonts w:eastAsia="IRNazanin" w:cs="IRNazanin"/>
          <w:b w:val="false"/>
          <w:bCs w:val="false"/>
          <w:i w:val="false"/>
          <w:iCs w:val="false"/>
          <w:color w:val="333333"/>
          <w:sz w:val="20"/>
          <w:szCs w:val="20"/>
          <w:rtl w:val="true"/>
        </w:rPr>
        <w:t>.</w:t>
      </w:r>
    </w:p>
  </w:footnote>
  <w:footnote w:id="2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3:211</w:t>
      </w:r>
      <w:r>
        <w:rPr>
          <w:rFonts w:ascii="IRNazanin" w:hAnsi="IRNazanin" w:eastAsia="IRNazanin"/>
          <w:b w:val="false"/>
          <w:b w:val="false"/>
          <w:bCs w:val="false"/>
          <w:i w:val="false"/>
          <w:i w:val="false"/>
          <w:iCs w:val="false"/>
          <w:color w:val="333333"/>
          <w:sz w:val="20"/>
          <w:sz w:val="20"/>
          <w:szCs w:val="20"/>
          <w:rtl w:val="true"/>
        </w:rPr>
        <w:t xml:space="preserve">،شرح فتح القدير </w:t>
      </w:r>
      <w:r>
        <w:rPr>
          <w:rFonts w:eastAsia="IRNazanin" w:cs="IRNazanin"/>
          <w:b w:val="false"/>
          <w:bCs w:val="false"/>
          <w:i w:val="false"/>
          <w:iCs w:val="false"/>
          <w:color w:val="333333"/>
          <w:sz w:val="20"/>
          <w:szCs w:val="20"/>
        </w:rPr>
        <w:t>1:166</w:t>
      </w:r>
      <w:r>
        <w:rPr>
          <w:rFonts w:ascii="IRNazanin" w:hAnsi="IRNazanin" w:eastAsia="IRNazanin"/>
          <w:b w:val="false"/>
          <w:b w:val="false"/>
          <w:bCs w:val="false"/>
          <w:i w:val="false"/>
          <w:i w:val="false"/>
          <w:iCs w:val="false"/>
          <w:color w:val="333333"/>
          <w:sz w:val="20"/>
          <w:sz w:val="20"/>
          <w:szCs w:val="20"/>
          <w:rtl w:val="true"/>
        </w:rPr>
        <w:t xml:space="preserve">،المحلى </w:t>
      </w:r>
      <w:r>
        <w:rPr>
          <w:rFonts w:eastAsia="IRNazanin" w:cs="IRNazanin"/>
          <w:b w:val="false"/>
          <w:bCs w:val="false"/>
          <w:i w:val="false"/>
          <w:iCs w:val="false"/>
          <w:color w:val="333333"/>
          <w:sz w:val="20"/>
          <w:szCs w:val="20"/>
        </w:rPr>
        <w:t>2:203</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2:528</w:t>
      </w:r>
      <w:r>
        <w:rPr>
          <w:rFonts w:eastAsia="IRNazanin" w:cs="IRNazanin"/>
          <w:b w:val="false"/>
          <w:bCs w:val="false"/>
          <w:i w:val="false"/>
          <w:iCs w:val="false"/>
          <w:color w:val="333333"/>
          <w:sz w:val="20"/>
          <w:szCs w:val="20"/>
          <w:rtl w:val="true"/>
        </w:rPr>
        <w:t>.</w:t>
      </w:r>
    </w:p>
  </w:footnote>
  <w:footnote w:id="2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2:528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529</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2:599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600</w:t>
      </w:r>
      <w:r>
        <w:rPr>
          <w:rFonts w:ascii="IRNazanin" w:hAnsi="IRNazanin" w:eastAsia="IRNazanin"/>
          <w:b w:val="false"/>
          <w:b w:val="false"/>
          <w:bCs w:val="false"/>
          <w:i w:val="false"/>
          <w:i w:val="false"/>
          <w:iCs w:val="false"/>
          <w:color w:val="333333"/>
          <w:sz w:val="20"/>
          <w:sz w:val="20"/>
          <w:szCs w:val="20"/>
          <w:rtl w:val="true"/>
        </w:rPr>
        <w:t xml:space="preserve">، المغني </w:t>
      </w:r>
      <w:r>
        <w:rPr>
          <w:rFonts w:eastAsia="IRNazanin" w:cs="IRNazanin"/>
          <w:b w:val="false"/>
          <w:bCs w:val="false"/>
          <w:i w:val="false"/>
          <w:iCs w:val="false"/>
          <w:color w:val="333333"/>
          <w:sz w:val="20"/>
          <w:szCs w:val="20"/>
        </w:rPr>
        <w:t>1:395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1:407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1:394</w:t>
      </w:r>
      <w:r>
        <w:rPr>
          <w:rFonts w:ascii="IRNazanin" w:hAnsi="IRNazanin" w:eastAsia="IRNazanin"/>
          <w:b w:val="false"/>
          <w:b w:val="false"/>
          <w:bCs w:val="false"/>
          <w:i w:val="false"/>
          <w:i w:val="false"/>
          <w:iCs w:val="false"/>
          <w:color w:val="333333"/>
          <w:sz w:val="20"/>
          <w:sz w:val="20"/>
          <w:szCs w:val="20"/>
          <w:rtl w:val="true"/>
        </w:rPr>
        <w:t xml:space="preserve">،الكافي لا بن قدامة </w:t>
      </w:r>
      <w:r>
        <w:rPr>
          <w:rFonts w:eastAsia="IRNazanin" w:cs="IRNazanin"/>
          <w:b w:val="false"/>
          <w:bCs w:val="false"/>
          <w:i w:val="false"/>
          <w:iCs w:val="false"/>
          <w:color w:val="333333"/>
          <w:sz w:val="20"/>
          <w:szCs w:val="20"/>
        </w:rPr>
        <w:t>1:108</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1:384</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2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1:394</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1:406</w:t>
      </w:r>
      <w:r>
        <w:rPr>
          <w:rFonts w:eastAsia="IRNazanin" w:cs="IRNazanin"/>
          <w:b w:val="false"/>
          <w:bCs w:val="false"/>
          <w:i w:val="false"/>
          <w:iCs w:val="false"/>
          <w:color w:val="333333"/>
          <w:sz w:val="20"/>
          <w:szCs w:val="20"/>
          <w:rtl w:val="true"/>
        </w:rPr>
        <w:t>.</w:t>
      </w:r>
    </w:p>
  </w:footnote>
  <w:footnote w:id="2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1:394</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1:406</w:t>
      </w:r>
      <w:r>
        <w:rPr>
          <w:rFonts w:eastAsia="IRNazanin" w:cs="IRNazanin"/>
          <w:b w:val="false"/>
          <w:bCs w:val="false"/>
          <w:i w:val="false"/>
          <w:iCs w:val="false"/>
          <w:color w:val="333333"/>
          <w:sz w:val="20"/>
          <w:szCs w:val="20"/>
          <w:rtl w:val="true"/>
        </w:rPr>
        <w:t>.</w:t>
      </w:r>
    </w:p>
  </w:footnote>
  <w:footnote w:id="2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زمن</w:t>
      </w:r>
      <w:r>
        <w:rPr>
          <w:rFonts w:eastAsia="IRNazanin" w:cs="IRNazanin"/>
          <w:b w:val="false"/>
          <w:bCs w:val="false"/>
          <w:i w:val="false"/>
          <w:iCs w:val="false"/>
          <w:color w:val="333333"/>
          <w:sz w:val="20"/>
          <w:szCs w:val="20"/>
          <w:rtl w:val="true"/>
        </w:rPr>
        <w:t>.</w:t>
      </w:r>
    </w:p>
  </w:footnote>
  <w:footnote w:id="2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1:394</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1:385</w:t>
      </w:r>
      <w:r>
        <w:rPr>
          <w:rFonts w:ascii="IRNazanin" w:hAnsi="IRNazanin" w:eastAsia="IRNazanin"/>
          <w:b w:val="false"/>
          <w:b w:val="false"/>
          <w:bCs w:val="false"/>
          <w:i w:val="false"/>
          <w:i w:val="false"/>
          <w:iCs w:val="false"/>
          <w:color w:val="333333"/>
          <w:sz w:val="20"/>
          <w:sz w:val="20"/>
          <w:szCs w:val="20"/>
          <w:rtl w:val="true"/>
        </w:rPr>
        <w:t xml:space="preserve">،الكافي لابن قدامة </w:t>
      </w:r>
      <w:r>
        <w:rPr>
          <w:rFonts w:eastAsia="IRNazanin" w:cs="IRNazanin"/>
          <w:b w:val="false"/>
          <w:bCs w:val="false"/>
          <w:i w:val="false"/>
          <w:iCs w:val="false"/>
          <w:color w:val="333333"/>
          <w:sz w:val="20"/>
          <w:szCs w:val="20"/>
        </w:rPr>
        <w:t>1:108</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1:406</w:t>
      </w:r>
      <w:r>
        <w:rPr>
          <w:rFonts w:eastAsia="IRNazanin" w:cs="IRNazanin"/>
          <w:b w:val="false"/>
          <w:bCs w:val="false"/>
          <w:i w:val="false"/>
          <w:iCs w:val="false"/>
          <w:color w:val="333333"/>
          <w:sz w:val="20"/>
          <w:szCs w:val="20"/>
          <w:rtl w:val="true"/>
        </w:rPr>
        <w:t>.</w:t>
      </w:r>
    </w:p>
  </w:footnote>
  <w:footnote w:id="2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1:395</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1:407</w:t>
      </w:r>
      <w:r>
        <w:rPr>
          <w:rFonts w:eastAsia="IRNazanin" w:cs="IRNazanin"/>
          <w:b w:val="false"/>
          <w:bCs w:val="false"/>
          <w:i w:val="false"/>
          <w:iCs w:val="false"/>
          <w:color w:val="333333"/>
          <w:sz w:val="20"/>
          <w:szCs w:val="20"/>
          <w:rtl w:val="true"/>
        </w:rPr>
        <w:t>.</w:t>
      </w:r>
    </w:p>
  </w:footnote>
  <w:footnote w:id="2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 المفيد في 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،و الصّدوق في الفقيه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،و السّيّد المرتضى في الانتصار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،و سلاّر في المراسم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،و المحقّق الحلّي في المعتبر </w:t>
      </w:r>
      <w:r>
        <w:rPr>
          <w:rFonts w:eastAsia="IRNazanin" w:cs="IRNazanin"/>
          <w:b w:val="false"/>
          <w:bCs w:val="false"/>
          <w:i w:val="false"/>
          <w:iCs w:val="false"/>
          <w:color w:val="333333"/>
          <w:sz w:val="20"/>
          <w:szCs w:val="20"/>
        </w:rPr>
        <w:t>1:253</w:t>
      </w:r>
      <w:r>
        <w:rPr>
          <w:rFonts w:eastAsia="IRNazanin" w:cs="IRNazanin"/>
          <w:b w:val="false"/>
          <w:bCs w:val="false"/>
          <w:i w:val="false"/>
          <w:iCs w:val="false"/>
          <w:color w:val="333333"/>
          <w:sz w:val="20"/>
          <w:szCs w:val="20"/>
          <w:rtl w:val="true"/>
        </w:rPr>
        <w:t>.</w:t>
      </w:r>
    </w:p>
  </w:footnote>
  <w:footnote w:id="2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أحكامه</w:t>
      </w:r>
      <w:r>
        <w:rPr>
          <w:rFonts w:eastAsia="IRNazanin" w:cs="IRNazanin"/>
          <w:b w:val="false"/>
          <w:bCs w:val="false"/>
          <w:i w:val="false"/>
          <w:iCs w:val="false"/>
          <w:color w:val="333333"/>
          <w:sz w:val="20"/>
          <w:szCs w:val="20"/>
          <w:rtl w:val="true"/>
        </w:rPr>
        <w:t>.</w:t>
      </w:r>
    </w:p>
  </w:footnote>
  <w:footnote w:id="2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2:529</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2:600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w:t>
      </w:r>
    </w:p>
  </w:footnote>
  <w:footnote w:id="2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للمرغيناني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2:530</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2:586</w:t>
      </w:r>
      <w:r>
        <w:rPr>
          <w:rFonts w:eastAsia="IRNazanin" w:cs="IRNazanin"/>
          <w:b w:val="false"/>
          <w:bCs w:val="false"/>
          <w:i w:val="false"/>
          <w:iCs w:val="false"/>
          <w:color w:val="333333"/>
          <w:sz w:val="20"/>
          <w:szCs w:val="20"/>
          <w:rtl w:val="true"/>
        </w:rPr>
        <w:t>.</w:t>
      </w:r>
    </w:p>
  </w:footnote>
  <w:footnote w:id="2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حنيفة،و الثّوري،و أحمد،و إسحاق،و أبو عبيد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،المحلّى </w:t>
      </w:r>
      <w:r>
        <w:rPr>
          <w:rFonts w:eastAsia="IRNazanin" w:cs="IRNazanin"/>
          <w:b w:val="false"/>
          <w:bCs w:val="false"/>
          <w:i w:val="false"/>
          <w:iCs w:val="false"/>
          <w:color w:val="333333"/>
          <w:sz w:val="20"/>
          <w:szCs w:val="20"/>
        </w:rPr>
        <w:t>2:203</w:t>
      </w:r>
      <w:r>
        <w:rPr>
          <w:rFonts w:ascii="IRNazanin" w:hAnsi="IRNazanin" w:eastAsia="IRNazanin"/>
          <w:b w:val="false"/>
          <w:b w:val="false"/>
          <w:bCs w:val="false"/>
          <w:i w:val="false"/>
          <w:i w:val="false"/>
          <w:iCs w:val="false"/>
          <w:color w:val="333333"/>
          <w:sz w:val="20"/>
          <w:sz w:val="20"/>
          <w:szCs w:val="20"/>
          <w:rtl w:val="true"/>
        </w:rPr>
        <w:t>،رحمة الأمّة بهامش ميزان الكبرى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،شرح فتح القدير </w:t>
      </w:r>
      <w:r>
        <w:rPr>
          <w:rFonts w:eastAsia="IRNazanin" w:cs="IRNazanin"/>
          <w:b w:val="false"/>
          <w:bCs w:val="false"/>
          <w:i w:val="false"/>
          <w:iCs w:val="false"/>
          <w:color w:val="333333"/>
          <w:sz w:val="20"/>
          <w:szCs w:val="20"/>
        </w:rPr>
        <w:t>1:166</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،مقدّمات ابن رشد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المغني </w:t>
      </w:r>
      <w:r>
        <w:rPr>
          <w:rFonts w:eastAsia="IRNazanin" w:cs="IRNazanin"/>
          <w:b w:val="false"/>
          <w:bCs w:val="false"/>
          <w:i w:val="false"/>
          <w:iCs w:val="false"/>
          <w:color w:val="333333"/>
          <w:sz w:val="20"/>
          <w:szCs w:val="20"/>
        </w:rPr>
        <w:t>1:392</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1:402</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1:358</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2:524</w:t>
      </w:r>
      <w:r>
        <w:rPr>
          <w:rFonts w:eastAsia="IRNazanin" w:cs="IRNazanin"/>
          <w:b w:val="false"/>
          <w:bCs w:val="false"/>
          <w:i w:val="false"/>
          <w:iCs w:val="false"/>
          <w:color w:val="333333"/>
          <w:sz w:val="20"/>
          <w:szCs w:val="20"/>
          <w:rtl w:val="true"/>
        </w:rPr>
        <w:t>.</w:t>
      </w:r>
    </w:p>
  </w:footnote>
  <w:footnote w:id="2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2:585</w:t>
      </w:r>
      <w:r>
        <w:rPr>
          <w:rFonts w:eastAsia="IRNazanin" w:cs="IRNazanin"/>
          <w:b w:val="false"/>
          <w:bCs w:val="false"/>
          <w:i w:val="false"/>
          <w:iCs w:val="false"/>
          <w:color w:val="333333"/>
          <w:sz w:val="20"/>
          <w:szCs w:val="20"/>
          <w:rtl w:val="true"/>
        </w:rPr>
        <w:t>.</w:t>
      </w:r>
    </w:p>
  </w:footnote>
  <w:footnote w:id="2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تقدما في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2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2:594</w:t>
      </w:r>
      <w:r>
        <w:rPr>
          <w:rFonts w:eastAsia="IRNazanin" w:cs="IRNazanin"/>
          <w:b w:val="false"/>
          <w:bCs w:val="false"/>
          <w:i w:val="false"/>
          <w:iCs w:val="false"/>
          <w:color w:val="333333"/>
          <w:sz w:val="20"/>
          <w:szCs w:val="20"/>
          <w:rtl w:val="true"/>
        </w:rPr>
        <w:t>.</w:t>
      </w:r>
    </w:p>
  </w:footnote>
  <w:footnote w:id="2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1:395</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1:409</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،الهداية للمرغيناني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فتح القدير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1:395</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1:409</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2:526</w:t>
      </w:r>
      <w:r>
        <w:rPr>
          <w:rFonts w:eastAsia="IRNazanin" w:cs="IRNazanin"/>
          <w:b w:val="false"/>
          <w:bCs w:val="false"/>
          <w:i w:val="false"/>
          <w:iCs w:val="false"/>
          <w:color w:val="333333"/>
          <w:sz w:val="20"/>
          <w:szCs w:val="20"/>
          <w:rtl w:val="true"/>
        </w:rPr>
        <w:t>.</w:t>
      </w:r>
    </w:p>
  </w:footnote>
  <w:footnote w:id="2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المدوّنة الكبرى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1:395</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1:408</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2:526</w:t>
      </w:r>
      <w:r>
        <w:rPr>
          <w:rFonts w:eastAsia="IRNazanin" w:cs="IRNazanin"/>
          <w:b w:val="false"/>
          <w:bCs w:val="false"/>
          <w:i w:val="false"/>
          <w:iCs w:val="false"/>
          <w:color w:val="333333"/>
          <w:sz w:val="20"/>
          <w:szCs w:val="20"/>
          <w:rtl w:val="true"/>
        </w:rPr>
        <w:t>.</w:t>
      </w:r>
    </w:p>
  </w:footnote>
  <w:footnote w:id="2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1:395</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1:408</w:t>
      </w:r>
      <w:r>
        <w:rPr>
          <w:rFonts w:ascii="IRNazanin" w:hAnsi="IRNazanin" w:eastAsia="IRNazanin"/>
          <w:b w:val="false"/>
          <w:b w:val="false"/>
          <w:bCs w:val="false"/>
          <w:i w:val="false"/>
          <w:i w:val="false"/>
          <w:iCs w:val="false"/>
          <w:color w:val="333333"/>
          <w:sz w:val="20"/>
          <w:sz w:val="20"/>
          <w:szCs w:val="20"/>
          <w:rtl w:val="true"/>
        </w:rPr>
        <w:t xml:space="preserve">،الكافي لابن قدامة </w:t>
      </w:r>
      <w:r>
        <w:rPr>
          <w:rFonts w:eastAsia="IRNazanin" w:cs="IRNazanin"/>
          <w:b w:val="false"/>
          <w:bCs w:val="false"/>
          <w:i w:val="false"/>
          <w:iCs w:val="false"/>
          <w:color w:val="333333"/>
          <w:sz w:val="20"/>
          <w:szCs w:val="20"/>
        </w:rPr>
        <w:t>1:108</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1:386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منار السّبيل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2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،الهداية للمرغينانيّ </w:t>
      </w:r>
      <w:r>
        <w:rPr>
          <w:rFonts w:eastAsia="IRNazanin" w:cs="IRNazanin"/>
          <w:b w:val="false"/>
          <w:bCs w:val="false"/>
          <w:i w:val="false"/>
          <w:iCs w:val="false"/>
          <w:color w:val="333333"/>
          <w:sz w:val="20"/>
          <w:szCs w:val="20"/>
        </w:rPr>
        <w:t>1:34:167</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1:409</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2:526</w:t>
      </w:r>
      <w:r>
        <w:rPr>
          <w:rFonts w:eastAsia="IRNazanin" w:cs="IRNazanin"/>
          <w:b w:val="false"/>
          <w:bCs w:val="false"/>
          <w:i w:val="false"/>
          <w:iCs w:val="false"/>
          <w:color w:val="333333"/>
          <w:sz w:val="20"/>
          <w:szCs w:val="20"/>
          <w:rtl w:val="true"/>
        </w:rPr>
        <w:t>.</w:t>
      </w:r>
    </w:p>
  </w:footnote>
  <w:footnote w:id="2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،الهداية للمرغينانيّ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،شرح فتح القدير </w:t>
      </w:r>
      <w:r>
        <w:rPr>
          <w:rFonts w:eastAsia="IRNazanin" w:cs="IRNazanin"/>
          <w:b w:val="false"/>
          <w:bCs w:val="false"/>
          <w:i w:val="false"/>
          <w:iCs w:val="false"/>
          <w:color w:val="333333"/>
          <w:sz w:val="20"/>
          <w:szCs w:val="20"/>
        </w:rPr>
        <w:t>1:167</w:t>
      </w:r>
      <w:r>
        <w:rPr>
          <w:rFonts w:eastAsia="IRNazanin" w:cs="IRNazanin"/>
          <w:b w:val="false"/>
          <w:bCs w:val="false"/>
          <w:i w:val="false"/>
          <w:iCs w:val="false"/>
          <w:color w:val="333333"/>
          <w:sz w:val="20"/>
          <w:szCs w:val="20"/>
          <w:rtl w:val="true"/>
        </w:rPr>
        <w:t>.</w:t>
      </w:r>
    </w:p>
  </w:footnote>
  <w:footnote w:id="2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2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2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المدوّنة الكبرى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،مقدّمات ابن رشد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،المحلّى </w:t>
      </w:r>
      <w:r>
        <w:rPr>
          <w:rFonts w:eastAsia="IRNazanin" w:cs="IRNazanin"/>
          <w:b w:val="false"/>
          <w:bCs w:val="false"/>
          <w:i w:val="false"/>
          <w:iCs w:val="false"/>
          <w:color w:val="333333"/>
          <w:sz w:val="20"/>
          <w:szCs w:val="20"/>
        </w:rPr>
        <w:t>2:203</w:t>
      </w:r>
      <w:r>
        <w:rPr>
          <w:rFonts w:ascii="IRNazanin" w:hAnsi="IRNazanin" w:eastAsia="IRNazanin"/>
          <w:b w:val="false"/>
          <w:b w:val="false"/>
          <w:bCs w:val="false"/>
          <w:i w:val="false"/>
          <w:i w:val="false"/>
          <w:iCs w:val="false"/>
          <w:color w:val="333333"/>
          <w:sz w:val="20"/>
          <w:sz w:val="20"/>
          <w:szCs w:val="20"/>
          <w:rtl w:val="true"/>
        </w:rPr>
        <w:t xml:space="preserve">، المجموع </w:t>
      </w:r>
      <w:r>
        <w:rPr>
          <w:rFonts w:eastAsia="IRNazanin" w:cs="IRNazanin"/>
          <w:b w:val="false"/>
          <w:bCs w:val="false"/>
          <w:i w:val="false"/>
          <w:iCs w:val="false"/>
          <w:color w:val="333333"/>
          <w:sz w:val="20"/>
          <w:szCs w:val="20"/>
        </w:rPr>
        <w:t>2:524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لا حظ هذه الأقوال كلّها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3:216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2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لعلّ الأنسب ما أثبتناه</w:t>
      </w:r>
      <w:r>
        <w:rPr>
          <w:rFonts w:eastAsia="IRNazanin" w:cs="IRNazanin"/>
          <w:b w:val="false"/>
          <w:bCs w:val="false"/>
          <w:i w:val="false"/>
          <w:iCs w:val="false"/>
          <w:color w:val="333333"/>
          <w:sz w:val="20"/>
          <w:szCs w:val="20"/>
          <w:rtl w:val="true"/>
        </w:rPr>
        <w:t>.</w:t>
      </w:r>
    </w:p>
  </w:footnote>
  <w:footnote w:id="2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تنضبط</w:t>
      </w:r>
      <w:r>
        <w:rPr>
          <w:rFonts w:eastAsia="IRNazanin" w:cs="IRNazanin"/>
          <w:b w:val="false"/>
          <w:bCs w:val="false"/>
          <w:i w:val="false"/>
          <w:iCs w:val="false"/>
          <w:color w:val="333333"/>
          <w:sz w:val="20"/>
          <w:szCs w:val="20"/>
          <w:rtl w:val="true"/>
        </w:rPr>
        <w:t>.</w:t>
      </w:r>
    </w:p>
  </w:footnote>
  <w:footnote w:id="2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جمل العلم و العمل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2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الجمل و العقود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881</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733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المقاربة</w:t>
      </w:r>
      <w:r>
        <w:rPr>
          <w:rFonts w:eastAsia="IRNazanin" w:cs="IRNazanin"/>
          <w:b w:val="false"/>
          <w:bCs w:val="false"/>
          <w:i w:val="false"/>
          <w:iCs w:val="false"/>
          <w:color w:val="333333"/>
          <w:sz w:val="20"/>
          <w:szCs w:val="20"/>
          <w:rtl w:val="true"/>
        </w:rPr>
        <w:t>.</w:t>
      </w:r>
    </w:p>
  </w:footnote>
  <w:footnote w:id="2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النّفاس،حديث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الشّيخ في المبسوط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الصّلاح في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البرّاج في المهذّب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و ابن حمزة في الوسيلة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664</w:t>
      </w:r>
      <w:r>
        <w:rPr>
          <w:rFonts w:ascii="IRNazanin" w:hAnsi="IRNazanin" w:eastAsia="IRNazanin"/>
          <w:b w:val="false"/>
          <w:b w:val="false"/>
          <w:bCs w:val="false"/>
          <w:i w:val="false"/>
          <w:i w:val="false"/>
          <w:iCs w:val="false"/>
          <w:color w:val="333333"/>
          <w:sz w:val="20"/>
          <w:sz w:val="20"/>
          <w:szCs w:val="20"/>
          <w:rtl w:val="true"/>
        </w:rPr>
        <w:t xml:space="preserve">،و المحقّق في المعتبر </w:t>
      </w:r>
      <w:r>
        <w:rPr>
          <w:rFonts w:eastAsia="IRNazanin" w:cs="IRNazanin"/>
          <w:b w:val="false"/>
          <w:bCs w:val="false"/>
          <w:i w:val="false"/>
          <w:iCs w:val="false"/>
          <w:color w:val="333333"/>
          <w:sz w:val="20"/>
          <w:szCs w:val="20"/>
        </w:rPr>
        <w:t>1:351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النّسخ،و الصّحيح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إسحاق الجوزجاني كما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إبراهيم بن يعقوب صاحب التّصانيف،سمع الحسين بن علي الجعفي و يزيد بن هارون،و حدّث عنه أبو داود و التّرمذي و النّسائي و أبو زرعة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مات سنة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تذكرة الحفّاظ </w:t>
      </w:r>
      <w:r>
        <w:rPr>
          <w:rFonts w:eastAsia="IRNazanin" w:cs="IRNazanin"/>
          <w:b w:val="false"/>
          <w:bCs w:val="false"/>
          <w:i w:val="false"/>
          <w:iCs w:val="false"/>
          <w:color w:val="333333"/>
          <w:sz w:val="20"/>
          <w:szCs w:val="20"/>
        </w:rPr>
        <w:t>2:549</w:t>
      </w:r>
      <w:r>
        <w:rPr>
          <w:rFonts w:ascii="IRNazanin" w:hAnsi="IRNazanin" w:eastAsia="IRNazanin"/>
          <w:b w:val="false"/>
          <w:b w:val="false"/>
          <w:bCs w:val="false"/>
          <w:i w:val="false"/>
          <w:i w:val="false"/>
          <w:iCs w:val="false"/>
          <w:color w:val="333333"/>
          <w:sz w:val="20"/>
          <w:sz w:val="20"/>
          <w:szCs w:val="20"/>
          <w:rtl w:val="true"/>
        </w:rPr>
        <w:t xml:space="preserve">،العبر </w:t>
      </w:r>
      <w:r>
        <w:rPr>
          <w:rFonts w:eastAsia="IRNazanin" w:cs="IRNazanin"/>
          <w:b w:val="false"/>
          <w:bCs w:val="false"/>
          <w:i w:val="false"/>
          <w:iCs w:val="false"/>
          <w:color w:val="333333"/>
          <w:sz w:val="20"/>
          <w:szCs w:val="20"/>
        </w:rPr>
        <w:t>1:372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شذرات الذّهب </w:t>
      </w:r>
      <w:r>
        <w:rPr>
          <w:rFonts w:eastAsia="IRNazanin" w:cs="IRNazanin"/>
          <w:b w:val="false"/>
          <w:bCs w:val="false"/>
          <w:i w:val="false"/>
          <w:iCs w:val="false"/>
          <w:color w:val="333333"/>
          <w:sz w:val="20"/>
          <w:szCs w:val="20"/>
        </w:rPr>
        <w:t>2:139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1:243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1:243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1:129</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5:185</w:t>
      </w:r>
      <w:r>
        <w:rPr>
          <w:rFonts w:eastAsia="IRNazanin" w:cs="IRNazanin"/>
          <w:b w:val="false"/>
          <w:bCs w:val="false"/>
          <w:i w:val="false"/>
          <w:iCs w:val="false"/>
          <w:color w:val="333333"/>
          <w:sz w:val="20"/>
          <w:szCs w:val="20"/>
          <w:rtl w:val="true"/>
        </w:rPr>
        <w:t>.</w:t>
      </w:r>
    </w:p>
  </w:footnote>
  <w:footnote w:id="2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1:243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1:243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جمل العلم و العمل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مختصر المزني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8:10</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1:129</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5:186</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1:243</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3:319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المحلّى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1:291</w:t>
      </w:r>
      <w:r>
        <w:rPr>
          <w:rFonts w:ascii="IRNazanin" w:hAnsi="IRNazanin" w:eastAsia="IRNazanin"/>
          <w:b w:val="false"/>
          <w:b w:val="false"/>
          <w:bCs w:val="false"/>
          <w:i w:val="false"/>
          <w:i w:val="false"/>
          <w:iCs w:val="false"/>
          <w:color w:val="333333"/>
          <w:sz w:val="20"/>
          <w:sz w:val="20"/>
          <w:szCs w:val="20"/>
          <w:rtl w:val="true"/>
        </w:rPr>
        <w:t xml:space="preserve">،منار السّبيل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2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5:186</w:t>
      </w:r>
      <w:r>
        <w:rPr>
          <w:rFonts w:ascii="IRNazanin" w:hAnsi="IRNazanin" w:eastAsia="IRNazanin"/>
          <w:b w:val="false"/>
          <w:b w:val="false"/>
          <w:bCs w:val="false"/>
          <w:i w:val="false"/>
          <w:i w:val="false"/>
          <w:iCs w:val="false"/>
          <w:color w:val="333333"/>
          <w:sz w:val="20"/>
          <w:sz w:val="20"/>
          <w:szCs w:val="20"/>
          <w:rtl w:val="true"/>
        </w:rPr>
        <w:t xml:space="preserve">،المحلّى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1:243</w:t>
      </w:r>
      <w:r>
        <w:rPr>
          <w:rFonts w:eastAsia="IRNazanin" w:cs="IRNazanin"/>
          <w:b w:val="false"/>
          <w:bCs w:val="false"/>
          <w:i w:val="false"/>
          <w:iCs w:val="false"/>
          <w:color w:val="333333"/>
          <w:sz w:val="20"/>
          <w:szCs w:val="20"/>
          <w:rtl w:val="true"/>
        </w:rPr>
        <w:t>.</w:t>
      </w:r>
    </w:p>
  </w:footnote>
  <w:footnote w:id="2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1:243</w:t>
      </w:r>
      <w:r>
        <w:rPr>
          <w:rFonts w:ascii="IRNazanin" w:hAnsi="IRNazanin" w:eastAsia="IRNazanin"/>
          <w:b w:val="false"/>
          <w:b w:val="false"/>
          <w:bCs w:val="false"/>
          <w:i w:val="false"/>
          <w:i w:val="false"/>
          <w:iCs w:val="false"/>
          <w:color w:val="333333"/>
          <w:sz w:val="20"/>
          <w:sz w:val="20"/>
          <w:szCs w:val="20"/>
          <w:rtl w:val="true"/>
        </w:rPr>
        <w:t xml:space="preserve">،المحلّى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5:186</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1:243</w:t>
      </w:r>
      <w:r>
        <w:rPr>
          <w:rFonts w:ascii="IRNazanin" w:hAnsi="IRNazanin" w:eastAsia="IRNazanin"/>
          <w:b w:val="false"/>
          <w:b w:val="false"/>
          <w:bCs w:val="false"/>
          <w:i w:val="false"/>
          <w:i w:val="false"/>
          <w:iCs w:val="false"/>
          <w:color w:val="333333"/>
          <w:sz w:val="20"/>
          <w:sz w:val="20"/>
          <w:szCs w:val="20"/>
          <w:rtl w:val="true"/>
        </w:rPr>
        <w:t xml:space="preserve">،منار السّبيل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2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1:243</w:t>
      </w:r>
      <w:r>
        <w:rPr>
          <w:rFonts w:ascii="IRNazanin" w:hAnsi="IRNazanin" w:eastAsia="IRNazanin"/>
          <w:b w:val="false"/>
          <w:b w:val="false"/>
          <w:bCs w:val="false"/>
          <w:i w:val="false"/>
          <w:i w:val="false"/>
          <w:iCs w:val="false"/>
          <w:color w:val="333333"/>
          <w:sz w:val="20"/>
          <w:sz w:val="20"/>
          <w:szCs w:val="20"/>
          <w:rtl w:val="true"/>
        </w:rPr>
        <w:t xml:space="preserve">،المحلّى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5:186</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1:243</w:t>
      </w:r>
      <w:r>
        <w:rPr>
          <w:rFonts w:ascii="IRNazanin" w:hAnsi="IRNazanin" w:eastAsia="IRNazanin"/>
          <w:b w:val="false"/>
          <w:b w:val="false"/>
          <w:bCs w:val="false"/>
          <w:i w:val="false"/>
          <w:i w:val="false"/>
          <w:iCs w:val="false"/>
          <w:color w:val="333333"/>
          <w:sz w:val="20"/>
          <w:sz w:val="20"/>
          <w:szCs w:val="20"/>
          <w:rtl w:val="true"/>
        </w:rPr>
        <w:t xml:space="preserve">،منار السّبيل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2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3:201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3161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1:470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1463</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2:280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472</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نقله بتفاوت في سنن التّرمذي </w:t>
      </w:r>
      <w:r>
        <w:rPr>
          <w:rFonts w:eastAsia="IRNazanin" w:cs="IRNazanin"/>
          <w:b w:val="false"/>
          <w:bCs w:val="false"/>
          <w:i w:val="false"/>
          <w:iCs w:val="false"/>
          <w:color w:val="333333"/>
          <w:sz w:val="20"/>
          <w:szCs w:val="20"/>
        </w:rPr>
        <w:t>3:318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993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1:304</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1:103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1:243</w:t>
      </w:r>
      <w:r>
        <w:rPr>
          <w:rFonts w:eastAsia="IRNazanin" w:cs="IRNazanin"/>
          <w:b w:val="false"/>
          <w:bCs w:val="false"/>
          <w:i w:val="false"/>
          <w:iCs w:val="false"/>
          <w:color w:val="333333"/>
          <w:sz w:val="20"/>
          <w:szCs w:val="20"/>
          <w:rtl w:val="true"/>
        </w:rPr>
        <w:t>.</w:t>
      </w:r>
    </w:p>
  </w:footnote>
  <w:footnote w:id="2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2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الجنابة،حديث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مسّ الميّت،حديث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،في جميع المصادر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يونس عن بعض رجاله</w:t>
      </w:r>
      <w:r>
        <w:rPr>
          <w:rFonts w:eastAsia="IRNazanin" w:cs="IRNazanin"/>
          <w:b w:val="false"/>
          <w:bCs w:val="false"/>
          <w:i w:val="false"/>
          <w:iCs w:val="false"/>
          <w:color w:val="333333"/>
          <w:sz w:val="20"/>
          <w:szCs w:val="20"/>
          <w:rtl w:val="true"/>
        </w:rPr>
        <w:t>.</w:t>
      </w:r>
    </w:p>
  </w:footnote>
  <w:footnote w:id="2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مسّ الميّت،حديث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الأغسال المسنونة،حديث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مسّ الميّت،حديث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مسّ الميّت،حديث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الأغسال المسنونة،حديث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1:243</w:t>
      </w:r>
      <w:r>
        <w:rPr>
          <w:rFonts w:ascii="IRNazanin" w:hAnsi="IRNazanin" w:eastAsia="IRNazanin"/>
          <w:b w:val="false"/>
          <w:b w:val="false"/>
          <w:bCs w:val="false"/>
          <w:i w:val="false"/>
          <w:i w:val="false"/>
          <w:iCs w:val="false"/>
          <w:color w:val="333333"/>
          <w:sz w:val="20"/>
          <w:sz w:val="20"/>
          <w:szCs w:val="20"/>
          <w:rtl w:val="true"/>
        </w:rPr>
        <w:t xml:space="preserve">،الشّرح الكبير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بهامش المغنيّ </w:t>
      </w:r>
      <w:r>
        <w:rPr>
          <w:rFonts w:eastAsia="IRNazanin" w:cs="IRNazanin"/>
          <w:b w:val="false"/>
          <w:bCs w:val="false"/>
          <w:i w:val="false"/>
          <w:iCs w:val="false"/>
          <w:color w:val="333333"/>
          <w:sz w:val="20"/>
          <w:szCs w:val="20"/>
        </w:rPr>
        <w:t>1:244</w:t>
      </w:r>
      <w:r>
        <w:rPr>
          <w:rFonts w:eastAsia="IRNazanin" w:cs="IRNazanin"/>
          <w:b w:val="false"/>
          <w:bCs w:val="false"/>
          <w:i w:val="false"/>
          <w:iCs w:val="false"/>
          <w:color w:val="333333"/>
          <w:sz w:val="20"/>
          <w:szCs w:val="20"/>
          <w:rtl w:val="true"/>
        </w:rPr>
        <w:t>.</w:t>
      </w:r>
    </w:p>
  </w:footnote>
  <w:footnote w:id="2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1:159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1:161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478</w:t>
      </w:r>
      <w:r>
        <w:rPr>
          <w:rFonts w:ascii="IRNazanin" w:hAnsi="IRNazanin" w:eastAsia="IRNazanin"/>
          <w:b w:val="false"/>
          <w:b w:val="false"/>
          <w:bCs w:val="false"/>
          <w:i w:val="false"/>
          <w:i w:val="false"/>
          <w:iCs w:val="false"/>
          <w:color w:val="333333"/>
          <w:sz w:val="20"/>
          <w:sz w:val="20"/>
          <w:szCs w:val="20"/>
          <w:rtl w:val="true"/>
        </w:rPr>
        <w:t xml:space="preserve">،سنن الدّار قطنيّ </w:t>
      </w:r>
      <w:r>
        <w:rPr>
          <w:rFonts w:eastAsia="IRNazanin" w:cs="IRNazanin"/>
          <w:b w:val="false"/>
          <w:bCs w:val="false"/>
          <w:i w:val="false"/>
          <w:iCs w:val="false"/>
          <w:color w:val="333333"/>
          <w:sz w:val="20"/>
          <w:szCs w:val="20"/>
        </w:rPr>
        <w:t>1:197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1:228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1:276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تفاوت يسير</w:t>
      </w:r>
      <w:r>
        <w:rPr>
          <w:rFonts w:eastAsia="IRNazanin" w:cs="IRNazanin"/>
          <w:b w:val="false"/>
          <w:bCs w:val="false"/>
          <w:i w:val="false"/>
          <w:iCs w:val="false"/>
          <w:color w:val="333333"/>
          <w:sz w:val="20"/>
          <w:szCs w:val="20"/>
          <w:rtl w:val="true"/>
        </w:rPr>
        <w:t>.</w:t>
      </w:r>
    </w:p>
  </w:footnote>
  <w:footnote w:id="2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 قطنيّ </w:t>
      </w:r>
      <w:r>
        <w:rPr>
          <w:rFonts w:eastAsia="IRNazanin" w:cs="IRNazanin"/>
          <w:b w:val="false"/>
          <w:bCs w:val="false"/>
          <w:i w:val="false"/>
          <w:iCs w:val="false"/>
          <w:color w:val="333333"/>
          <w:sz w:val="20"/>
          <w:szCs w:val="20"/>
        </w:rPr>
        <w:t>1:197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1:275</w:t>
      </w:r>
      <w:r>
        <w:rPr>
          <w:rFonts w:eastAsia="IRNazanin" w:cs="IRNazanin"/>
          <w:b w:val="false"/>
          <w:bCs w:val="false"/>
          <w:i w:val="false"/>
          <w:iCs w:val="false"/>
          <w:color w:val="333333"/>
          <w:sz w:val="20"/>
          <w:szCs w:val="20"/>
          <w:rtl w:val="true"/>
        </w:rPr>
        <w:t>.</w:t>
      </w:r>
    </w:p>
  </w:footnote>
  <w:footnote w:id="2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حال</w:t>
      </w:r>
      <w:r>
        <w:rPr>
          <w:rFonts w:eastAsia="IRNazanin" w:cs="IRNazanin"/>
          <w:b w:val="false"/>
          <w:bCs w:val="false"/>
          <w:i w:val="false"/>
          <w:iCs w:val="false"/>
          <w:color w:val="333333"/>
          <w:sz w:val="20"/>
          <w:szCs w:val="20"/>
          <w:rtl w:val="true"/>
        </w:rPr>
        <w:t>.</w:t>
      </w:r>
    </w:p>
  </w:footnote>
  <w:footnote w:id="2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تقدّمت في 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2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w:t>
      </w:r>
      <w:r>
        <w:rPr>
          <w:rFonts w:eastAsia="IRNazanin" w:cs="IRNazanin"/>
          <w:b w:val="false"/>
          <w:bCs w:val="false"/>
          <w:i w:val="false"/>
          <w:iCs w:val="false"/>
          <w:color w:val="333333"/>
          <w:sz w:val="20"/>
          <w:szCs w:val="20"/>
          <w:rtl w:val="true"/>
        </w:rPr>
        <w:t>.</w:t>
      </w:r>
    </w:p>
  </w:footnote>
  <w:footnote w:id="2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بدنه</w:t>
      </w:r>
      <w:r>
        <w:rPr>
          <w:rFonts w:eastAsia="IRNazanin" w:cs="IRNazanin"/>
          <w:b w:val="false"/>
          <w:bCs w:val="false"/>
          <w:i w:val="false"/>
          <w:iCs w:val="false"/>
          <w:color w:val="333333"/>
          <w:sz w:val="20"/>
          <w:szCs w:val="20"/>
          <w:rtl w:val="true"/>
        </w:rPr>
        <w:t>.</w:t>
      </w:r>
    </w:p>
  </w:footnote>
  <w:footnote w:id="2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الأغسال المسنونة،حديث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مسّ الميّت،حديث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مسّ الميّت،حديث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 في الجميع</w:t>
      </w:r>
      <w:r>
        <w:rPr>
          <w:rFonts w:eastAsia="IRNazanin" w:cs="IRNazanin"/>
          <w:b w:val="false"/>
          <w:bCs w:val="false"/>
          <w:i w:val="false"/>
          <w:iCs w:val="false"/>
          <w:color w:val="333333"/>
          <w:sz w:val="20"/>
          <w:szCs w:val="20"/>
          <w:rtl w:val="true"/>
        </w:rPr>
        <w:t>.</w:t>
      </w:r>
    </w:p>
  </w:footnote>
  <w:footnote w:id="2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1:179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816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مسّ الميّت،حديث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بنجاسة</w:t>
      </w:r>
      <w:r>
        <w:rPr>
          <w:rFonts w:eastAsia="IRNazanin" w:cs="IRNazanin"/>
          <w:b w:val="false"/>
          <w:bCs w:val="false"/>
          <w:i w:val="false"/>
          <w:iCs w:val="false"/>
          <w:color w:val="333333"/>
          <w:sz w:val="20"/>
          <w:szCs w:val="20"/>
          <w:rtl w:val="true"/>
        </w:rPr>
        <w:t>.</w:t>
      </w:r>
    </w:p>
  </w:footnote>
  <w:footnote w:id="2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1:244</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1:244</w:t>
      </w:r>
      <w:r>
        <w:rPr>
          <w:rFonts w:eastAsia="IRNazanin" w:cs="IRNazanin"/>
          <w:b w:val="false"/>
          <w:bCs w:val="false"/>
          <w:i w:val="false"/>
          <w:iCs w:val="false"/>
          <w:color w:val="333333"/>
          <w:sz w:val="20"/>
          <w:szCs w:val="20"/>
          <w:rtl w:val="true"/>
        </w:rPr>
        <w:t>.</w:t>
      </w:r>
    </w:p>
  </w:footnote>
  <w:footnote w:id="2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المفيد في 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،و الشّيخ في المبسوط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،و ابن إدريس في السّرائر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،و أبو الصّلاح في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،و المحقّق في الشّرائع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2:199</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2:198</w:t>
      </w:r>
      <w:r>
        <w:rPr>
          <w:rFonts w:eastAsia="IRNazanin" w:cs="IRNazanin"/>
          <w:b w:val="false"/>
          <w:bCs w:val="false"/>
          <w:i w:val="false"/>
          <w:iCs w:val="false"/>
          <w:color w:val="333333"/>
          <w:sz w:val="20"/>
          <w:szCs w:val="20"/>
          <w:rtl w:val="true"/>
        </w:rPr>
        <w:t>.</w:t>
      </w:r>
    </w:p>
  </w:footnote>
  <w:footnote w:id="2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2:199</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2:198</w:t>
      </w:r>
      <w:r>
        <w:rPr>
          <w:rFonts w:eastAsia="IRNazanin" w:cs="IRNazanin"/>
          <w:b w:val="false"/>
          <w:bCs w:val="false"/>
          <w:i w:val="false"/>
          <w:iCs w:val="false"/>
          <w:color w:val="333333"/>
          <w:sz w:val="20"/>
          <w:szCs w:val="20"/>
          <w:rtl w:val="true"/>
        </w:rPr>
        <w:t>.</w:t>
      </w:r>
    </w:p>
  </w:footnote>
  <w:footnote w:id="2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Pr>
        <w:t>1:164</w:t>
      </w:r>
      <w:r>
        <w:rPr>
          <w:rFonts w:ascii="IRNazanin" w:hAnsi="IRNazanin" w:eastAsia="IRNazanin"/>
          <w:b w:val="false"/>
          <w:b w:val="false"/>
          <w:bCs w:val="false"/>
          <w:i w:val="false"/>
          <w:i w:val="false"/>
          <w:iCs w:val="false"/>
          <w:color w:val="333333"/>
          <w:sz w:val="20"/>
          <w:sz w:val="20"/>
          <w:szCs w:val="20"/>
          <w:rtl w:val="true"/>
        </w:rPr>
        <w:t xml:space="preserve">،مقدّمات ابن رشد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2:199</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4:535</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2:198</w:t>
      </w:r>
      <w:r>
        <w:rPr>
          <w:rFonts w:eastAsia="IRNazanin" w:cs="IRNazanin"/>
          <w:b w:val="false"/>
          <w:bCs w:val="false"/>
          <w:i w:val="false"/>
          <w:iCs w:val="false"/>
          <w:color w:val="333333"/>
          <w:sz w:val="20"/>
          <w:szCs w:val="20"/>
          <w:rtl w:val="true"/>
        </w:rPr>
        <w:t>.</w:t>
      </w:r>
    </w:p>
  </w:footnote>
  <w:footnote w:id="2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 </w:t>
      </w:r>
      <w:r>
        <w:rPr>
          <w:rFonts w:eastAsia="IRNazanin" w:cs="IRNazanin"/>
          <w:b w:val="false"/>
          <w:bCs w:val="false"/>
          <w:i w:val="false"/>
          <w:iCs w:val="false"/>
          <w:color w:val="333333"/>
          <w:sz w:val="20"/>
          <w:szCs w:val="20"/>
        </w:rPr>
        <w:t>1:211</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4:535</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2:199</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4:614</w:t>
      </w:r>
      <w:r>
        <w:rPr>
          <w:rFonts w:ascii="IRNazanin" w:hAnsi="IRNazanin" w:eastAsia="IRNazanin"/>
          <w:b w:val="false"/>
          <w:b w:val="false"/>
          <w:bCs w:val="false"/>
          <w:i w:val="false"/>
          <w:i w:val="false"/>
          <w:iCs w:val="false"/>
          <w:color w:val="333333"/>
          <w:sz w:val="20"/>
          <w:sz w:val="20"/>
          <w:szCs w:val="20"/>
          <w:rtl w:val="true"/>
        </w:rPr>
        <w:t>،الام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مختصر المزني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8:10</w:t>
      </w:r>
      <w:r>
        <w:rPr>
          <w:rFonts w:eastAsia="IRNazanin" w:cs="IRNazanin"/>
          <w:b w:val="false"/>
          <w:bCs w:val="false"/>
          <w:i w:val="false"/>
          <w:iCs w:val="false"/>
          <w:color w:val="333333"/>
          <w:sz w:val="20"/>
          <w:szCs w:val="20"/>
          <w:rtl w:val="true"/>
        </w:rPr>
        <w:t>.</w:t>
      </w:r>
    </w:p>
  </w:footnote>
  <w:footnote w:id="2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4:535</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1:269</w:t>
      </w:r>
      <w:r>
        <w:rPr>
          <w:rFonts w:eastAsia="IRNazanin" w:cs="IRNazanin"/>
          <w:b w:val="false"/>
          <w:bCs w:val="false"/>
          <w:i w:val="false"/>
          <w:iCs w:val="false"/>
          <w:color w:val="333333"/>
          <w:sz w:val="20"/>
          <w:szCs w:val="20"/>
          <w:rtl w:val="true"/>
        </w:rPr>
        <w:t>.</w:t>
      </w:r>
    </w:p>
  </w:footnote>
  <w:footnote w:id="2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2:199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1:247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2:407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4:535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لابن قدامة </w:t>
      </w:r>
      <w:r>
        <w:rPr>
          <w:rFonts w:eastAsia="IRNazanin" w:cs="IRNazanin"/>
          <w:b w:val="false"/>
          <w:bCs w:val="false"/>
          <w:i w:val="false"/>
          <w:iCs w:val="false"/>
          <w:color w:val="333333"/>
          <w:sz w:val="20"/>
          <w:szCs w:val="20"/>
        </w:rPr>
        <w:t>1:298</w:t>
      </w:r>
      <w:r>
        <w:rPr>
          <w:rFonts w:eastAsia="IRNazanin" w:cs="IRNazanin"/>
          <w:b w:val="false"/>
          <w:bCs w:val="false"/>
          <w:i w:val="false"/>
          <w:iCs w:val="false"/>
          <w:color w:val="333333"/>
          <w:sz w:val="20"/>
          <w:szCs w:val="20"/>
          <w:rtl w:val="true"/>
        </w:rPr>
        <w:t>.</w:t>
      </w:r>
    </w:p>
  </w:footnote>
  <w:footnote w:id="2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1:270</w:t>
      </w:r>
      <w:r>
        <w:rPr>
          <w:rFonts w:ascii="IRNazanin" w:hAnsi="IRNazanin" w:eastAsia="IRNazanin"/>
          <w:b w:val="false"/>
          <w:b w:val="false"/>
          <w:bCs w:val="false"/>
          <w:i w:val="false"/>
          <w:i w:val="false"/>
          <w:iCs w:val="false"/>
          <w:color w:val="333333"/>
          <w:sz w:val="20"/>
          <w:sz w:val="20"/>
          <w:szCs w:val="20"/>
          <w:rtl w:val="true"/>
        </w:rPr>
        <w:t xml:space="preserve">،الهداية للمرغينانيّ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4:535</w:t>
      </w:r>
      <w:r>
        <w:rPr>
          <w:rFonts w:ascii="IRNazanin" w:hAnsi="IRNazanin" w:eastAsia="IRNazanin"/>
          <w:b w:val="false"/>
          <w:b w:val="false"/>
          <w:bCs w:val="false"/>
          <w:i w:val="false"/>
          <w:i w:val="false"/>
          <w:iCs w:val="false"/>
          <w:color w:val="333333"/>
          <w:sz w:val="20"/>
          <w:sz w:val="20"/>
          <w:szCs w:val="20"/>
          <w:rtl w:val="true"/>
        </w:rPr>
        <w:t xml:space="preserve">، نيل الأوطار </w:t>
      </w:r>
      <w:r>
        <w:rPr>
          <w:rFonts w:eastAsia="IRNazanin" w:cs="IRNazanin"/>
          <w:b w:val="false"/>
          <w:bCs w:val="false"/>
          <w:i w:val="false"/>
          <w:iCs w:val="false"/>
          <w:color w:val="333333"/>
          <w:sz w:val="20"/>
          <w:szCs w:val="20"/>
        </w:rPr>
        <w:t>1:290</w:t>
      </w:r>
      <w:r>
        <w:rPr>
          <w:rFonts w:eastAsia="IRNazanin" w:cs="IRNazanin"/>
          <w:b w:val="false"/>
          <w:bCs w:val="false"/>
          <w:i w:val="false"/>
          <w:iCs w:val="false"/>
          <w:color w:val="333333"/>
          <w:sz w:val="20"/>
          <w:szCs w:val="20"/>
          <w:rtl w:val="true"/>
        </w:rPr>
        <w:t>.</w:t>
      </w:r>
    </w:p>
  </w:footnote>
  <w:footnote w:id="2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2:199</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2:407</w:t>
      </w:r>
      <w:r>
        <w:rPr>
          <w:rFonts w:eastAsia="IRNazanin" w:cs="IRNazanin"/>
          <w:b w:val="false"/>
          <w:bCs w:val="false"/>
          <w:i w:val="false"/>
          <w:iCs w:val="false"/>
          <w:color w:val="333333"/>
          <w:sz w:val="20"/>
          <w:szCs w:val="20"/>
          <w:rtl w:val="true"/>
        </w:rPr>
        <w:t>.</w:t>
      </w:r>
    </w:p>
  </w:footnote>
  <w:footnote w:id="2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2:199</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4:535</w:t>
      </w:r>
      <w:r>
        <w:rPr>
          <w:rFonts w:eastAsia="IRNazanin" w:cs="IRNazanin"/>
          <w:b w:val="false"/>
          <w:bCs w:val="false"/>
          <w:i w:val="false"/>
          <w:iCs w:val="false"/>
          <w:color w:val="333333"/>
          <w:sz w:val="20"/>
          <w:szCs w:val="20"/>
          <w:rtl w:val="true"/>
        </w:rPr>
        <w:t>.</w:t>
      </w:r>
    </w:p>
  </w:footnote>
  <w:footnote w:id="2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،الهداية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2:369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497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1:347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1091</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xml:space="preserve">،سنن الدّارميّ </w:t>
      </w:r>
      <w:r>
        <w:rPr>
          <w:rFonts w:eastAsia="IRNazanin" w:cs="IRNazanin"/>
          <w:b w:val="false"/>
          <w:bCs w:val="false"/>
          <w:i w:val="false"/>
          <w:iCs w:val="false"/>
          <w:color w:val="333333"/>
          <w:sz w:val="20"/>
          <w:szCs w:val="20"/>
        </w:rPr>
        <w:t>1:362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سنن ابن ماجه رواه عن أنس بن مالك</w:t>
      </w:r>
      <w:r>
        <w:rPr>
          <w:rFonts w:eastAsia="IRNazanin" w:cs="IRNazanin"/>
          <w:b w:val="false"/>
          <w:bCs w:val="false"/>
          <w:i w:val="false"/>
          <w:iCs w:val="false"/>
          <w:color w:val="333333"/>
          <w:sz w:val="20"/>
          <w:szCs w:val="20"/>
          <w:rtl w:val="true"/>
        </w:rPr>
        <w:t>.</w:t>
      </w:r>
    </w:p>
  </w:footnote>
  <w:footnote w:id="2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2:371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498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2:588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857</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1:346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1090</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1:291</w:t>
      </w:r>
      <w:r>
        <w:rPr>
          <w:rFonts w:eastAsia="IRNazanin" w:cs="IRNazanin"/>
          <w:b w:val="false"/>
          <w:bCs w:val="false"/>
          <w:i w:val="false"/>
          <w:iCs w:val="false"/>
          <w:color w:val="333333"/>
          <w:sz w:val="20"/>
          <w:szCs w:val="20"/>
          <w:rtl w:val="true"/>
        </w:rPr>
        <w:t>.</w:t>
      </w:r>
    </w:p>
  </w:footnote>
  <w:footnote w:id="2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الأغسال المسنونة،حديث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الأغسال المسنونة،حديث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الأغسال المسنونة،حديث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4:535</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2:199</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1:290</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1:270</w:t>
      </w:r>
      <w:r>
        <w:rPr>
          <w:rFonts w:ascii="IRNazanin" w:hAnsi="IRNazanin" w:eastAsia="IRNazanin"/>
          <w:b w:val="false"/>
          <w:b w:val="false"/>
          <w:bCs w:val="false"/>
          <w:i w:val="false"/>
          <w:i w:val="false"/>
          <w:iCs w:val="false"/>
          <w:color w:val="333333"/>
          <w:sz w:val="20"/>
          <w:sz w:val="20"/>
          <w:szCs w:val="20"/>
          <w:rtl w:val="true"/>
        </w:rPr>
        <w:t xml:space="preserve">،الهداية للمرغينانيّ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2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2:580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846</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سنن النّسائيّ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1:346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1089</w:t>
      </w:r>
      <w:r>
        <w:rPr>
          <w:rFonts w:ascii="IRNazanin" w:hAnsi="IRNazanin" w:eastAsia="IRNazanin"/>
          <w:b w:val="false"/>
          <w:b w:val="false"/>
          <w:bCs w:val="false"/>
          <w:i w:val="false"/>
          <w:i w:val="false"/>
          <w:iCs w:val="false"/>
          <w:color w:val="333333"/>
          <w:sz w:val="20"/>
          <w:sz w:val="20"/>
          <w:szCs w:val="20"/>
          <w:rtl w:val="true"/>
        </w:rPr>
        <w:t xml:space="preserve">،الموطّأ </w:t>
      </w:r>
      <w:r>
        <w:rPr>
          <w:rFonts w:eastAsia="IRNazanin" w:cs="IRNazanin"/>
          <w:b w:val="false"/>
          <w:bCs w:val="false"/>
          <w:i w:val="false"/>
          <w:iCs w:val="false"/>
          <w:color w:val="333333"/>
          <w:sz w:val="20"/>
          <w:szCs w:val="20"/>
        </w:rPr>
        <w:t>1:102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1:293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،جامع الأصول </w:t>
      </w:r>
      <w:r>
        <w:rPr>
          <w:rFonts w:eastAsia="IRNazanin" w:cs="IRNazanin"/>
          <w:b w:val="false"/>
          <w:bCs w:val="false"/>
          <w:i w:val="false"/>
          <w:iCs w:val="false"/>
          <w:color w:val="333333"/>
          <w:sz w:val="20"/>
          <w:szCs w:val="20"/>
        </w:rPr>
        <w:t>8:199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5354</w:t>
      </w:r>
      <w:r>
        <w:rPr>
          <w:rFonts w:ascii="IRNazanin" w:hAnsi="IRNazanin" w:eastAsia="IRNazanin"/>
          <w:b w:val="false"/>
          <w:b w:val="false"/>
          <w:bCs w:val="false"/>
          <w:i w:val="false"/>
          <w:i w:val="false"/>
          <w:iCs w:val="false"/>
          <w:color w:val="333333"/>
          <w:sz w:val="20"/>
          <w:sz w:val="20"/>
          <w:szCs w:val="20"/>
          <w:rtl w:val="true"/>
        </w:rPr>
        <w:t xml:space="preserve">،سنن الدّارميّ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غسل يوم الجمعة</w:t>
      </w:r>
      <w:r>
        <w:rPr>
          <w:rFonts w:eastAsia="IRNazanin" w:cs="IRNazanin"/>
          <w:b w:val="false"/>
          <w:bCs w:val="false"/>
          <w:i w:val="false"/>
          <w:iCs w:val="false"/>
          <w:color w:val="333333"/>
          <w:sz w:val="20"/>
          <w:szCs w:val="20"/>
          <w:rtl w:val="true"/>
        </w:rPr>
        <w:t>.</w:t>
      </w:r>
    </w:p>
  </w:footnote>
  <w:footnote w:id="2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2:579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844</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2:364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492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1:346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1088</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xml:space="preserve">،الموطّأ </w:t>
      </w:r>
      <w:r>
        <w:rPr>
          <w:rFonts w:eastAsia="IRNazanin" w:cs="IRNazanin"/>
          <w:b w:val="false"/>
          <w:bCs w:val="false"/>
          <w:i w:val="false"/>
          <w:iCs w:val="false"/>
          <w:color w:val="333333"/>
          <w:sz w:val="20"/>
          <w:szCs w:val="20"/>
        </w:rPr>
        <w:t>1:102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الدّارميّ </w:t>
      </w:r>
      <w:r>
        <w:rPr>
          <w:rFonts w:eastAsia="IRNazanin" w:cs="IRNazanin"/>
          <w:b w:val="false"/>
          <w:bCs w:val="false"/>
          <w:i w:val="false"/>
          <w:iCs w:val="false"/>
          <w:color w:val="333333"/>
          <w:sz w:val="20"/>
          <w:szCs w:val="20"/>
        </w:rPr>
        <w:t>1:361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الأصول </w:t>
      </w:r>
      <w:r>
        <w:rPr>
          <w:rFonts w:eastAsia="IRNazanin" w:cs="IRNazanin"/>
          <w:b w:val="false"/>
          <w:bCs w:val="false"/>
          <w:i w:val="false"/>
          <w:iCs w:val="false"/>
          <w:color w:val="333333"/>
          <w:sz w:val="20"/>
          <w:szCs w:val="20"/>
        </w:rPr>
        <w:t>8:200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5358</w:t>
      </w:r>
      <w:r>
        <w:rPr>
          <w:rFonts w:eastAsia="IRNazanin" w:cs="IRNazanin"/>
          <w:b w:val="false"/>
          <w:bCs w:val="false"/>
          <w:i w:val="false"/>
          <w:iCs w:val="false"/>
          <w:color w:val="333333"/>
          <w:sz w:val="20"/>
          <w:szCs w:val="20"/>
          <w:rtl w:val="true"/>
        </w:rPr>
        <w:t>.</w:t>
      </w:r>
    </w:p>
  </w:footnote>
  <w:footnote w:id="2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2:582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849</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1:294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،الهداية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الأغسال المسنونة،حديث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الأغسال المسنونة،حديث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الأغسال المسنونة،حديث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الأغسال المسنونة،حديث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w:t>
      </w:r>
      <w:r>
        <w:rPr>
          <w:rFonts w:eastAsia="IRNazanin" w:cs="IRNazanin"/>
          <w:b w:val="false"/>
          <w:bCs w:val="false"/>
          <w:i w:val="false"/>
          <w:iCs w:val="false"/>
          <w:color w:val="333333"/>
          <w:sz w:val="20"/>
          <w:szCs w:val="20"/>
          <w:rtl w:val="true"/>
        </w:rPr>
        <w:t>.</w:t>
      </w:r>
    </w:p>
  </w:footnote>
  <w:footnote w:id="2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الأغسال المسنونة،حديث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2:581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846</w:t>
      </w:r>
      <w:r>
        <w:rPr>
          <w:rFonts w:eastAsia="IRNazanin" w:cs="IRNazanin"/>
          <w:b w:val="false"/>
          <w:bCs w:val="false"/>
          <w:i w:val="false"/>
          <w:iCs w:val="false"/>
          <w:color w:val="333333"/>
          <w:sz w:val="20"/>
          <w:szCs w:val="20"/>
          <w:rtl w:val="true"/>
        </w:rPr>
        <w:t>.</w:t>
      </w:r>
    </w:p>
  </w:footnote>
  <w:footnote w:id="2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ترجمته و القول فيه في الجزء الأوّل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ترجمته و القول فيه في الجزء الأوّل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متعلّق</w:t>
      </w:r>
      <w:r>
        <w:rPr>
          <w:rFonts w:eastAsia="IRNazanin" w:cs="IRNazanin"/>
          <w:b w:val="false"/>
          <w:bCs w:val="false"/>
          <w:i w:val="false"/>
          <w:iCs w:val="false"/>
          <w:color w:val="333333"/>
          <w:sz w:val="20"/>
          <w:szCs w:val="20"/>
          <w:rtl w:val="true"/>
        </w:rPr>
        <w:t>.</w:t>
      </w:r>
    </w:p>
  </w:footnote>
  <w:footnote w:id="2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وقت المختار</w:t>
      </w:r>
      <w:r>
        <w:rPr>
          <w:rFonts w:eastAsia="IRNazanin" w:cs="IRNazanin"/>
          <w:b w:val="false"/>
          <w:bCs w:val="false"/>
          <w:i w:val="false"/>
          <w:iCs w:val="false"/>
          <w:color w:val="333333"/>
          <w:sz w:val="20"/>
          <w:szCs w:val="20"/>
          <w:rtl w:val="true"/>
        </w:rPr>
        <w:t>.</w:t>
      </w:r>
    </w:p>
  </w:footnote>
  <w:footnote w:id="2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2:200</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2:200</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4:536</w:t>
      </w:r>
      <w:r>
        <w:rPr>
          <w:rFonts w:ascii="IRNazanin" w:hAnsi="IRNazanin" w:eastAsia="IRNazanin"/>
          <w:b w:val="false"/>
          <w:b w:val="false"/>
          <w:bCs w:val="false"/>
          <w:i w:val="false"/>
          <w:i w:val="false"/>
          <w:iCs w:val="false"/>
          <w:color w:val="333333"/>
          <w:sz w:val="20"/>
          <w:sz w:val="20"/>
          <w:szCs w:val="20"/>
          <w:rtl w:val="true"/>
        </w:rPr>
        <w:t xml:space="preserve">،المحلّى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2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2:200</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2:200</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4:536</w:t>
      </w:r>
      <w:r>
        <w:rPr>
          <w:rFonts w:ascii="IRNazanin" w:hAnsi="IRNazanin" w:eastAsia="IRNazanin"/>
          <w:b w:val="false"/>
          <w:b w:val="false"/>
          <w:bCs w:val="false"/>
          <w:i w:val="false"/>
          <w:i w:val="false"/>
          <w:iCs w:val="false"/>
          <w:color w:val="333333"/>
          <w:sz w:val="20"/>
          <w:sz w:val="20"/>
          <w:szCs w:val="20"/>
          <w:rtl w:val="true"/>
        </w:rPr>
        <w:t xml:space="preserve">،المحلّى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2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المدوّنة الكبرى </w:t>
      </w:r>
      <w:r>
        <w:rPr>
          <w:rFonts w:eastAsia="IRNazanin" w:cs="IRNazanin"/>
          <w:b w:val="false"/>
          <w:bCs w:val="false"/>
          <w:i w:val="false"/>
          <w:iCs w:val="false"/>
          <w:color w:val="333333"/>
          <w:sz w:val="20"/>
          <w:szCs w:val="20"/>
        </w:rPr>
        <w:t>1:145</w:t>
      </w:r>
      <w:r>
        <w:rPr>
          <w:rFonts w:ascii="IRNazanin" w:hAnsi="IRNazanin" w:eastAsia="IRNazanin"/>
          <w:b w:val="false"/>
          <w:b w:val="false"/>
          <w:bCs w:val="false"/>
          <w:i w:val="false"/>
          <w:i w:val="false"/>
          <w:iCs w:val="false"/>
          <w:color w:val="333333"/>
          <w:sz w:val="20"/>
          <w:sz w:val="20"/>
          <w:szCs w:val="20"/>
          <w:rtl w:val="true"/>
        </w:rPr>
        <w:t xml:space="preserve">،الموطّأ </w:t>
      </w:r>
      <w:r>
        <w:rPr>
          <w:rFonts w:eastAsia="IRNazanin" w:cs="IRNazanin"/>
          <w:b w:val="false"/>
          <w:bCs w:val="false"/>
          <w:i w:val="false"/>
          <w:iCs w:val="false"/>
          <w:color w:val="333333"/>
          <w:sz w:val="20"/>
          <w:szCs w:val="20"/>
        </w:rPr>
        <w:t>1:102</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2:200</w:t>
      </w:r>
      <w:r>
        <w:rPr>
          <w:rFonts w:ascii="IRNazanin" w:hAnsi="IRNazanin" w:eastAsia="IRNazanin"/>
          <w:b w:val="false"/>
          <w:b w:val="false"/>
          <w:bCs w:val="false"/>
          <w:i w:val="false"/>
          <w:i w:val="false"/>
          <w:iCs w:val="false"/>
          <w:color w:val="333333"/>
          <w:sz w:val="20"/>
          <w:sz w:val="20"/>
          <w:szCs w:val="20"/>
          <w:rtl w:val="true"/>
        </w:rPr>
        <w:t xml:space="preserve">،الشّرح الكبير </w:t>
      </w:r>
      <w:r>
        <w:rPr>
          <w:rFonts w:eastAsia="IRNazanin" w:cs="IRNazanin"/>
          <w:b w:val="false"/>
          <w:bCs w:val="false"/>
          <w:i w:val="false"/>
          <w:iCs w:val="false"/>
          <w:color w:val="333333"/>
          <w:sz w:val="20"/>
          <w:szCs w:val="20"/>
        </w:rPr>
        <w:t>2:200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536</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1:293</w:t>
      </w:r>
      <w:r>
        <w:rPr>
          <w:rFonts w:eastAsia="IRNazanin" w:cs="IRNazanin"/>
          <w:b w:val="false"/>
          <w:bCs w:val="false"/>
          <w:i w:val="false"/>
          <w:iCs w:val="false"/>
          <w:color w:val="333333"/>
          <w:sz w:val="20"/>
          <w:szCs w:val="20"/>
          <w:rtl w:val="true"/>
        </w:rPr>
        <w:t>.</w:t>
      </w:r>
    </w:p>
  </w:footnote>
  <w:footnote w:id="2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95:345</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2:367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496</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1:346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1087</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xml:space="preserve">،سنن الدّارمي </w:t>
      </w:r>
      <w:r>
        <w:rPr>
          <w:rFonts w:eastAsia="IRNazanin" w:cs="IRNazanin"/>
          <w:b w:val="false"/>
          <w:bCs w:val="false"/>
          <w:i w:val="false"/>
          <w:iCs w:val="false"/>
          <w:color w:val="333333"/>
          <w:sz w:val="20"/>
          <w:szCs w:val="20"/>
        </w:rPr>
        <w:t>1:363</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2:209</w:t>
      </w:r>
      <w:r>
        <w:rPr>
          <w:rFonts w:eastAsia="IRNazanin" w:cs="IRNazanin"/>
          <w:b w:val="false"/>
          <w:bCs w:val="false"/>
          <w:i w:val="false"/>
          <w:iCs w:val="false"/>
          <w:color w:val="333333"/>
          <w:sz w:val="20"/>
          <w:szCs w:val="20"/>
          <w:rtl w:val="true"/>
        </w:rPr>
        <w:t>.</w:t>
      </w:r>
    </w:p>
  </w:footnote>
  <w:footnote w:id="2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الأغسال المسنونة،حديث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2:581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p>
  </w:footnote>
  <w:footnote w:id="2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1112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الأغسال المسنونة،ذيل حديث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الأغسال المسنونة،حديث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1:270</w:t>
      </w:r>
      <w:r>
        <w:rPr>
          <w:rFonts w:ascii="IRNazanin" w:hAnsi="IRNazanin" w:eastAsia="IRNazanin"/>
          <w:b w:val="false"/>
          <w:b w:val="false"/>
          <w:bCs w:val="false"/>
          <w:i w:val="false"/>
          <w:i w:val="false"/>
          <w:iCs w:val="false"/>
          <w:color w:val="333333"/>
          <w:sz w:val="20"/>
          <w:sz w:val="20"/>
          <w:szCs w:val="20"/>
          <w:rtl w:val="true"/>
        </w:rPr>
        <w:t xml:space="preserve">،الهداية للمرغيناني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،شرح فتح القدير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،عمدة القارئ </w:t>
      </w:r>
      <w:r>
        <w:rPr>
          <w:rFonts w:eastAsia="IRNazanin" w:cs="IRNazanin"/>
          <w:b w:val="false"/>
          <w:bCs w:val="false"/>
          <w:i w:val="false"/>
          <w:iCs w:val="false"/>
          <w:color w:val="333333"/>
          <w:sz w:val="20"/>
          <w:szCs w:val="20"/>
        </w:rPr>
        <w:t>6:166</w:t>
      </w:r>
      <w:r>
        <w:rPr>
          <w:rFonts w:eastAsia="IRNazanin" w:cs="IRNazanin"/>
          <w:b w:val="false"/>
          <w:bCs w:val="false"/>
          <w:i w:val="false"/>
          <w:iCs w:val="false"/>
          <w:color w:val="333333"/>
          <w:sz w:val="20"/>
          <w:szCs w:val="20"/>
          <w:rtl w:val="true"/>
        </w:rPr>
        <w:t>.</w:t>
      </w:r>
    </w:p>
  </w:footnote>
  <w:footnote w:id="2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2:200</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2:200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4:536</w:t>
      </w:r>
      <w:r>
        <w:rPr>
          <w:rFonts w:eastAsia="IRNazanin" w:cs="IRNazanin"/>
          <w:b w:val="false"/>
          <w:bCs w:val="false"/>
          <w:i w:val="false"/>
          <w:iCs w:val="false"/>
          <w:color w:val="333333"/>
          <w:sz w:val="20"/>
          <w:szCs w:val="20"/>
          <w:rtl w:val="true"/>
        </w:rPr>
        <w:t>.</w:t>
      </w:r>
    </w:p>
  </w:footnote>
  <w:footnote w:id="2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2:200</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2:201</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4:536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المحلّى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2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في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يعيد،و ما أثبتناه من المصدر</w:t>
      </w:r>
      <w:r>
        <w:rPr>
          <w:rFonts w:eastAsia="IRNazanin" w:cs="IRNazanin"/>
          <w:b w:val="false"/>
          <w:bCs w:val="false"/>
          <w:i w:val="false"/>
          <w:iCs w:val="false"/>
          <w:color w:val="333333"/>
          <w:sz w:val="20"/>
          <w:szCs w:val="20"/>
          <w:rtl w:val="true"/>
        </w:rPr>
        <w:t>.</w:t>
      </w:r>
    </w:p>
  </w:footnote>
  <w:footnote w:id="2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1142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الأغسال المسنونة،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الأغسال المسنونة،حديث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1109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الأغسال المسنونة،حديث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بن موسى بن جعفر،روى عن أبيه و عن امّه و أمّ أحمد بن موسى بن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1:256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6:99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1110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الأغسال المسنونة،حديث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 الأقرب</w:t>
      </w:r>
      <w:r>
        <w:rPr>
          <w:rFonts w:eastAsia="IRNazanin" w:cs="IRNazanin"/>
          <w:b w:val="false"/>
          <w:bCs w:val="false"/>
          <w:i w:val="false"/>
          <w:iCs w:val="false"/>
          <w:color w:val="333333"/>
          <w:sz w:val="20"/>
          <w:szCs w:val="20"/>
          <w:rtl w:val="true"/>
        </w:rPr>
        <w:t>.</w:t>
      </w:r>
    </w:p>
  </w:footnote>
  <w:footnote w:id="2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1116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تبطل بها عملي</w:t>
      </w:r>
      <w:r>
        <w:rPr>
          <w:rFonts w:eastAsia="IRNazanin" w:cs="IRNazanin"/>
          <w:b w:val="false"/>
          <w:bCs w:val="false"/>
          <w:i w:val="false"/>
          <w:iCs w:val="false"/>
          <w:color w:val="333333"/>
          <w:sz w:val="20"/>
          <w:szCs w:val="20"/>
          <w:rtl w:val="true"/>
        </w:rPr>
        <w:t>.</w:t>
      </w:r>
    </w:p>
  </w:footnote>
  <w:footnote w:id="2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2:201</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2:201</w:t>
      </w:r>
      <w:r>
        <w:rPr>
          <w:rFonts w:eastAsia="IRNazanin" w:cs="IRNazanin"/>
          <w:b w:val="false"/>
          <w:bCs w:val="false"/>
          <w:i w:val="false"/>
          <w:iCs w:val="false"/>
          <w:color w:val="333333"/>
          <w:sz w:val="20"/>
          <w:szCs w:val="20"/>
          <w:rtl w:val="true"/>
        </w:rPr>
        <w:t>.</w:t>
      </w:r>
    </w:p>
  </w:footnote>
  <w:footnote w:id="2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علقمة بن قيس بن عبد اللّه النّخعيّ الكوفيّ،فقيه العراق و صاحب ابن مسعود،سمع من عمر و عثمان و ابن مسعود و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مات سنة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الحفّاظ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،العبر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شذرات الذّهب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2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2:201</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2:201</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4:536</w:t>
      </w:r>
      <w:r>
        <w:rPr>
          <w:rFonts w:eastAsia="IRNazanin" w:cs="IRNazanin"/>
          <w:b w:val="false"/>
          <w:bCs w:val="false"/>
          <w:i w:val="false"/>
          <w:iCs w:val="false"/>
          <w:color w:val="333333"/>
          <w:sz w:val="20"/>
          <w:szCs w:val="20"/>
          <w:rtl w:val="true"/>
        </w:rPr>
        <w:t>.</w:t>
      </w:r>
    </w:p>
  </w:footnote>
  <w:footnote w:id="2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النّسخ،و في المصادر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السّفر</w:t>
      </w:r>
      <w:r>
        <w:rPr>
          <w:rFonts w:eastAsia="IRNazanin" w:cs="IRNazanin"/>
          <w:b w:val="false"/>
          <w:bCs w:val="false"/>
          <w:i w:val="false"/>
          <w:iCs w:val="false"/>
          <w:color w:val="333333"/>
          <w:sz w:val="20"/>
          <w:szCs w:val="20"/>
          <w:rtl w:val="true"/>
        </w:rPr>
        <w:t>.</w:t>
      </w:r>
    </w:p>
  </w:footnote>
  <w:footnote w:id="2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محمد طلحة بن عبيد اللّه بن عثمان بن عمرو التيمي،لمّا أسلم آخى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بينه و بين الزبير بمكّة،و بينه و بين أبي أيوب الأنصاري بالمدينة،و هو أحد العشرة المبشرة و أحد أصحاب الشورى،و هو ممن قام بحرب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خليفة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وقعة الجمل و قتل فيها بسهم مروان بن الحكم سنة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2:229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الاستيعاب بهامش الإصابة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العبر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2:201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2:201</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4:536</w:t>
      </w:r>
      <w:r>
        <w:rPr>
          <w:rFonts w:eastAsia="IRNazanin" w:cs="IRNazanin"/>
          <w:b w:val="false"/>
          <w:bCs w:val="false"/>
          <w:i w:val="false"/>
          <w:iCs w:val="false"/>
          <w:color w:val="333333"/>
          <w:sz w:val="20"/>
          <w:szCs w:val="20"/>
          <w:rtl w:val="true"/>
        </w:rPr>
        <w:t>.</w:t>
      </w:r>
    </w:p>
  </w:footnote>
  <w:footnote w:id="2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2:201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2:201</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4:536</w:t>
      </w:r>
      <w:r>
        <w:rPr>
          <w:rFonts w:eastAsia="IRNazanin" w:cs="IRNazanin"/>
          <w:b w:val="false"/>
          <w:bCs w:val="false"/>
          <w:i w:val="false"/>
          <w:iCs w:val="false"/>
          <w:color w:val="333333"/>
          <w:sz w:val="20"/>
          <w:szCs w:val="20"/>
          <w:rtl w:val="true"/>
        </w:rPr>
        <w:t>.</w:t>
      </w:r>
    </w:p>
  </w:footnote>
  <w:footnote w:id="2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2:580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846</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1:346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1089</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،الموطّأ </w:t>
      </w:r>
      <w:r>
        <w:rPr>
          <w:rFonts w:eastAsia="IRNazanin" w:cs="IRNazanin"/>
          <w:b w:val="false"/>
          <w:bCs w:val="false"/>
          <w:i w:val="false"/>
          <w:iCs w:val="false"/>
          <w:color w:val="333333"/>
          <w:sz w:val="20"/>
          <w:szCs w:val="20"/>
        </w:rPr>
        <w:t>1:102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xml:space="preserve">،سنن الدّارمي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تقدّمت في 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2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w:t>
      </w:r>
    </w:p>
  </w:footnote>
  <w:footnote w:id="2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الأغسال المسنونة،حديث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2:579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844</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1:346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1088</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2:364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492</w:t>
      </w:r>
      <w:r>
        <w:rPr>
          <w:rFonts w:ascii="IRNazanin" w:hAnsi="IRNazanin" w:eastAsia="IRNazanin"/>
          <w:b w:val="false"/>
          <w:b w:val="false"/>
          <w:bCs w:val="false"/>
          <w:i w:val="false"/>
          <w:i w:val="false"/>
          <w:iCs w:val="false"/>
          <w:color w:val="333333"/>
          <w:sz w:val="20"/>
          <w:sz w:val="20"/>
          <w:szCs w:val="20"/>
          <w:rtl w:val="true"/>
        </w:rPr>
        <w:t xml:space="preserve">،الموطّأ </w:t>
      </w:r>
      <w:r>
        <w:rPr>
          <w:rFonts w:eastAsia="IRNazanin" w:cs="IRNazanin"/>
          <w:b w:val="false"/>
          <w:bCs w:val="false"/>
          <w:i w:val="false"/>
          <w:iCs w:val="false"/>
          <w:color w:val="333333"/>
          <w:sz w:val="20"/>
          <w:szCs w:val="20"/>
        </w:rPr>
        <w:t>1:102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xml:space="preserve">،سنن الدّارمي </w:t>
      </w:r>
      <w:r>
        <w:rPr>
          <w:rFonts w:eastAsia="IRNazanin" w:cs="IRNazanin"/>
          <w:b w:val="false"/>
          <w:bCs w:val="false"/>
          <w:i w:val="false"/>
          <w:iCs w:val="false"/>
          <w:color w:val="333333"/>
          <w:sz w:val="20"/>
          <w:szCs w:val="20"/>
        </w:rPr>
        <w:t>1:361</w:t>
      </w:r>
      <w:r>
        <w:rPr>
          <w:rFonts w:ascii="IRNazanin" w:hAnsi="IRNazanin" w:eastAsia="IRNazanin"/>
          <w:b w:val="false"/>
          <w:b w:val="false"/>
          <w:bCs w:val="false"/>
          <w:i w:val="false"/>
          <w:i w:val="false"/>
          <w:iCs w:val="false"/>
          <w:color w:val="333333"/>
          <w:sz w:val="20"/>
          <w:sz w:val="20"/>
          <w:szCs w:val="20"/>
          <w:rtl w:val="true"/>
        </w:rPr>
        <w:t xml:space="preserve">،جامع الأصول </w:t>
      </w:r>
      <w:r>
        <w:rPr>
          <w:rFonts w:eastAsia="IRNazanin" w:cs="IRNazanin"/>
          <w:b w:val="false"/>
          <w:bCs w:val="false"/>
          <w:i w:val="false"/>
          <w:iCs w:val="false"/>
          <w:color w:val="333333"/>
          <w:sz w:val="20"/>
          <w:szCs w:val="20"/>
        </w:rPr>
        <w:t>8:200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5358</w:t>
      </w:r>
      <w:r>
        <w:rPr>
          <w:rFonts w:eastAsia="IRNazanin" w:cs="IRNazanin"/>
          <w:b w:val="false"/>
          <w:bCs w:val="false"/>
          <w:i w:val="false"/>
          <w:iCs w:val="false"/>
          <w:color w:val="333333"/>
          <w:sz w:val="20"/>
          <w:szCs w:val="20"/>
          <w:rtl w:val="true"/>
        </w:rPr>
        <w:t>.</w:t>
      </w:r>
    </w:p>
  </w:footnote>
  <w:footnote w:id="2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المخصّص</w:t>
      </w:r>
      <w:r>
        <w:rPr>
          <w:rFonts w:eastAsia="IRNazanin" w:cs="IRNazanin"/>
          <w:b w:val="false"/>
          <w:bCs w:val="false"/>
          <w:i w:val="false"/>
          <w:iCs w:val="false"/>
          <w:color w:val="333333"/>
          <w:sz w:val="20"/>
          <w:szCs w:val="20"/>
          <w:rtl w:val="true"/>
        </w:rPr>
        <w:t>.</w:t>
      </w:r>
    </w:p>
  </w:footnote>
  <w:footnote w:id="2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المقارنة</w:t>
      </w:r>
      <w:r>
        <w:rPr>
          <w:rFonts w:eastAsia="IRNazanin" w:cs="IRNazanin"/>
          <w:b w:val="false"/>
          <w:bCs w:val="false"/>
          <w:i w:val="false"/>
          <w:iCs w:val="false"/>
          <w:color w:val="333333"/>
          <w:sz w:val="20"/>
          <w:szCs w:val="20"/>
          <w:rtl w:val="true"/>
        </w:rPr>
        <w:t>.</w:t>
      </w:r>
    </w:p>
  </w:footnote>
  <w:footnote w:id="2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2:228</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2:227</w:t>
      </w:r>
      <w:r>
        <w:rPr>
          <w:rFonts w:eastAsia="IRNazanin" w:cs="IRNazanin"/>
          <w:b w:val="false"/>
          <w:bCs w:val="false"/>
          <w:i w:val="false"/>
          <w:iCs w:val="false"/>
          <w:color w:val="333333"/>
          <w:sz w:val="20"/>
          <w:szCs w:val="20"/>
          <w:rtl w:val="true"/>
        </w:rPr>
        <w:t>.</w:t>
      </w:r>
    </w:p>
  </w:footnote>
  <w:footnote w:id="2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المدوّنة الكبرى </w:t>
      </w:r>
      <w:r>
        <w:rPr>
          <w:rFonts w:eastAsia="IRNazanin" w:cs="IRNazanin"/>
          <w:b w:val="false"/>
          <w:bCs w:val="false"/>
          <w:i w:val="false"/>
          <w:iCs w:val="false"/>
          <w:color w:val="333333"/>
          <w:sz w:val="20"/>
          <w:szCs w:val="20"/>
        </w:rPr>
        <w:t>1:167</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Pr>
        <w:t>1:216</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2:227</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2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 </w:t>
      </w:r>
      <w:r>
        <w:rPr>
          <w:rFonts w:eastAsia="IRNazanin" w:cs="IRNazanin"/>
          <w:b w:val="false"/>
          <w:bCs w:val="false"/>
          <w:i w:val="false"/>
          <w:iCs w:val="false"/>
          <w:color w:val="333333"/>
          <w:sz w:val="20"/>
          <w:szCs w:val="20"/>
        </w:rPr>
        <w:t>1:231</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1:119</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1:312</w:t>
      </w:r>
      <w:r>
        <w:rPr>
          <w:rFonts w:eastAsia="IRNazanin" w:cs="IRNazanin"/>
          <w:b w:val="false"/>
          <w:bCs w:val="false"/>
          <w:i w:val="false"/>
          <w:iCs w:val="false"/>
          <w:color w:val="333333"/>
          <w:sz w:val="20"/>
          <w:szCs w:val="20"/>
          <w:rtl w:val="true"/>
        </w:rPr>
        <w:t>.</w:t>
      </w:r>
    </w:p>
  </w:footnote>
  <w:footnote w:id="2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1:417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1315</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3:278</w:t>
      </w:r>
      <w:r>
        <w:rPr>
          <w:rFonts w:eastAsia="IRNazanin" w:cs="IRNazanin"/>
          <w:b w:val="false"/>
          <w:bCs w:val="false"/>
          <w:i w:val="false"/>
          <w:iCs w:val="false"/>
          <w:color w:val="333333"/>
          <w:sz w:val="20"/>
          <w:szCs w:val="20"/>
          <w:rtl w:val="true"/>
        </w:rPr>
        <w:t>.</w:t>
      </w:r>
    </w:p>
  </w:footnote>
  <w:footnote w:id="2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الموطّأ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الأغسال المسنونة،حديث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الأغسال المسنونة،حديث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الأغسال المسنونة،حديث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الأغسال المسنونة،حديث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2:229</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2:227</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1:248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1:119</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الأغسال المسنونة، 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كفّنته</w:t>
      </w:r>
      <w:r>
        <w:rPr>
          <w:rFonts w:eastAsia="IRNazanin" w:cs="IRNazanin"/>
          <w:b w:val="false"/>
          <w:bCs w:val="false"/>
          <w:i w:val="false"/>
          <w:iCs w:val="false"/>
          <w:color w:val="333333"/>
          <w:sz w:val="20"/>
          <w:szCs w:val="20"/>
          <w:rtl w:val="true"/>
        </w:rPr>
        <w:t>.</w:t>
      </w:r>
    </w:p>
  </w:footnote>
  <w:footnote w:id="2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الأغسال المسنونة،حديث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الأغسال المسنونة،حديث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أ من أبواب الأغسال المسنونة،حديث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الأغسال المسنونة،</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الأغسال المسنونة،حديث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الأغسال المسنونة،حديث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الأغسال المسنونة،حديث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الأغسال المسنونة،حديث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الأغسال المسنونة،حديث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المصادر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إحرامها و جمعتها</w:t>
      </w:r>
      <w:r>
        <w:rPr>
          <w:rFonts w:eastAsia="IRNazanin" w:cs="IRNazanin"/>
          <w:b w:val="false"/>
          <w:bCs w:val="false"/>
          <w:i w:val="false"/>
          <w:iCs w:val="false"/>
          <w:color w:val="333333"/>
          <w:sz w:val="20"/>
          <w:szCs w:val="20"/>
          <w:rtl w:val="true"/>
        </w:rPr>
        <w:t>.</w:t>
      </w:r>
    </w:p>
  </w:footnote>
  <w:footnote w:id="2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الأغسال المسنونة،حديث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العزيز بن جعفر بن أحمد أبو بكر الفقيه الحنبلي،صاحب الخلال و شيخ الحنابلة صاحب التّصانيف روى عن موسى بن هارون و أبي خليفة الجمحي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مات سنة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العبر </w:t>
      </w:r>
      <w:r>
        <w:rPr>
          <w:rFonts w:eastAsia="IRNazanin" w:cs="IRNazanin"/>
          <w:b w:val="false"/>
          <w:bCs w:val="false"/>
          <w:i w:val="false"/>
          <w:iCs w:val="false"/>
          <w:color w:val="333333"/>
          <w:sz w:val="20"/>
          <w:szCs w:val="20"/>
        </w:rPr>
        <w:t>2:116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شذرات الذّهب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10:459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1:239</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1:236</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2:153</w:t>
      </w:r>
      <w:r>
        <w:rPr>
          <w:rFonts w:eastAsia="IRNazanin" w:cs="IRNazanin"/>
          <w:b w:val="false"/>
          <w:bCs w:val="false"/>
          <w:i w:val="false"/>
          <w:iCs w:val="false"/>
          <w:color w:val="333333"/>
          <w:sz w:val="20"/>
          <w:szCs w:val="20"/>
          <w:rtl w:val="true"/>
        </w:rPr>
        <w:t>.</w:t>
      </w:r>
    </w:p>
  </w:footnote>
  <w:footnote w:id="2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2:153</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1:281</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2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2:153</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1:239</w:t>
      </w:r>
      <w:r>
        <w:rPr>
          <w:rFonts w:eastAsia="IRNazanin" w:cs="IRNazanin"/>
          <w:b w:val="false"/>
          <w:bCs w:val="false"/>
          <w:i w:val="false"/>
          <w:iCs w:val="false"/>
          <w:color w:val="333333"/>
          <w:sz w:val="20"/>
          <w:szCs w:val="20"/>
          <w:rtl w:val="true"/>
        </w:rPr>
        <w:t>.</w:t>
      </w:r>
    </w:p>
  </w:footnote>
  <w:footnote w:id="2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1:239</w:t>
      </w:r>
      <w:r>
        <w:rPr>
          <w:rFonts w:ascii="IRNazanin" w:hAnsi="IRNazanin" w:eastAsia="IRNazanin"/>
          <w:b w:val="false"/>
          <w:b w:val="false"/>
          <w:bCs w:val="false"/>
          <w:i w:val="false"/>
          <w:i w:val="false"/>
          <w:iCs w:val="false"/>
          <w:color w:val="333333"/>
          <w:sz w:val="20"/>
          <w:sz w:val="20"/>
          <w:szCs w:val="20"/>
          <w:rtl w:val="true"/>
        </w:rPr>
        <w:t xml:space="preserve">،الكافي لابن قدامة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1:236</w:t>
      </w:r>
      <w:r>
        <w:rPr>
          <w:rFonts w:eastAsia="IRNazanin" w:cs="IRNazanin"/>
          <w:b w:val="false"/>
          <w:bCs w:val="false"/>
          <w:i w:val="false"/>
          <w:iCs w:val="false"/>
          <w:color w:val="333333"/>
          <w:sz w:val="20"/>
          <w:szCs w:val="20"/>
          <w:rtl w:val="true"/>
        </w:rPr>
        <w:t>.</w:t>
      </w:r>
    </w:p>
  </w:footnote>
  <w:footnote w:id="2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1:239</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2:153</w:t>
      </w:r>
      <w:r>
        <w:rPr>
          <w:rFonts w:eastAsia="IRNazanin" w:cs="IRNazanin"/>
          <w:b w:val="false"/>
          <w:bCs w:val="false"/>
          <w:i w:val="false"/>
          <w:iCs w:val="false"/>
          <w:color w:val="333333"/>
          <w:sz w:val="20"/>
          <w:szCs w:val="20"/>
          <w:rtl w:val="true"/>
        </w:rPr>
        <w:t>.</w:t>
      </w:r>
    </w:p>
  </w:footnote>
  <w:footnote w:id="2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الحديث</w:t>
      </w:r>
      <w:r>
        <w:rPr>
          <w:rFonts w:eastAsia="IRNazanin" w:cs="IRNazanin"/>
          <w:b w:val="false"/>
          <w:bCs w:val="false"/>
          <w:i w:val="false"/>
          <w:iCs w:val="false"/>
          <w:color w:val="333333"/>
          <w:sz w:val="20"/>
          <w:szCs w:val="20"/>
          <w:rtl w:val="true"/>
        </w:rPr>
        <w:t>.</w:t>
      </w:r>
    </w:p>
  </w:footnote>
  <w:footnote w:id="2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1:109</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1:281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،جامع الأصول </w:t>
      </w:r>
      <w:r>
        <w:rPr>
          <w:rFonts w:eastAsia="IRNazanin" w:cs="IRNazanin"/>
          <w:b w:val="false"/>
          <w:bCs w:val="false"/>
          <w:i w:val="false"/>
          <w:iCs w:val="false"/>
          <w:color w:val="333333"/>
          <w:sz w:val="20"/>
          <w:szCs w:val="20"/>
        </w:rPr>
        <w:t>8:209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5374</w:t>
      </w:r>
      <w:r>
        <w:rPr>
          <w:rFonts w:eastAsia="IRNazanin" w:cs="IRNazanin"/>
          <w:b w:val="false"/>
          <w:bCs w:val="false"/>
          <w:i w:val="false"/>
          <w:iCs w:val="false"/>
          <w:color w:val="333333"/>
          <w:sz w:val="20"/>
          <w:szCs w:val="20"/>
          <w:rtl w:val="true"/>
        </w:rPr>
        <w:t>.</w:t>
      </w:r>
    </w:p>
  </w:footnote>
  <w:footnote w:id="2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2:130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5:206</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1:568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1783</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2:105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1584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5:55</w:t>
      </w:r>
      <w:r>
        <w:rPr>
          <w:rFonts w:ascii="IRNazanin" w:hAnsi="IRNazanin" w:eastAsia="IRNazanin"/>
          <w:b w:val="false"/>
          <w:b w:val="false"/>
          <w:bCs w:val="false"/>
          <w:i w:val="false"/>
          <w:i w:val="false"/>
          <w:iCs w:val="false"/>
          <w:color w:val="333333"/>
          <w:sz w:val="20"/>
          <w:sz w:val="20"/>
          <w:szCs w:val="20"/>
          <w:rtl w:val="true"/>
        </w:rPr>
        <w:t xml:space="preserve">،سنن الدّارميّ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الدّار قطنيّ </w:t>
      </w:r>
      <w:r>
        <w:rPr>
          <w:rFonts w:eastAsia="IRNazanin" w:cs="IRNazanin"/>
          <w:b w:val="false"/>
          <w:bCs w:val="false"/>
          <w:i w:val="false"/>
          <w:iCs w:val="false"/>
          <w:color w:val="333333"/>
          <w:sz w:val="20"/>
          <w:szCs w:val="20"/>
        </w:rPr>
        <w:t>2:136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1:233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الجميع بتفاوت</w:t>
      </w:r>
      <w:r>
        <w:rPr>
          <w:rFonts w:eastAsia="IRNazanin" w:cs="IRNazanin"/>
          <w:b w:val="false"/>
          <w:bCs w:val="false"/>
          <w:i w:val="false"/>
          <w:iCs w:val="false"/>
          <w:color w:val="333333"/>
          <w:sz w:val="20"/>
          <w:szCs w:val="20"/>
          <w:rtl w:val="true"/>
        </w:rPr>
        <w:t>.</w:t>
      </w:r>
    </w:p>
  </w:footnote>
  <w:footnote w:id="2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1:239</w:t>
      </w:r>
      <w:r>
        <w:rPr>
          <w:rFonts w:ascii="IRNazanin" w:hAnsi="IRNazanin" w:eastAsia="IRNazanin"/>
          <w:b w:val="false"/>
          <w:b w:val="false"/>
          <w:bCs w:val="false"/>
          <w:i w:val="false"/>
          <w:i w:val="false"/>
          <w:iCs w:val="false"/>
          <w:color w:val="333333"/>
          <w:sz w:val="20"/>
          <w:sz w:val="20"/>
          <w:szCs w:val="20"/>
          <w:rtl w:val="true"/>
        </w:rPr>
        <w:t xml:space="preserve">،الكافي لابن قدامة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2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2:445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558</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 يسير،انظر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1165</w:t>
      </w:r>
      <w:r>
        <w:rPr>
          <w:rFonts w:ascii="IRNazanin" w:hAnsi="IRNazanin" w:eastAsia="IRNazanin"/>
          <w:b w:val="false"/>
          <w:b w:val="false"/>
          <w:bCs w:val="false"/>
          <w:i w:val="false"/>
          <w:i w:val="false"/>
          <w:iCs w:val="false"/>
          <w:color w:val="333333"/>
          <w:sz w:val="20"/>
          <w:sz w:val="20"/>
          <w:szCs w:val="20"/>
          <w:rtl w:val="true"/>
        </w:rPr>
        <w:t xml:space="preserve">، سنن ابن ماجه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1266</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3:163</w:t>
      </w:r>
      <w:r>
        <w:rPr>
          <w:rFonts w:eastAsia="IRNazanin" w:cs="IRNazanin"/>
          <w:b w:val="false"/>
          <w:bCs w:val="false"/>
          <w:i w:val="false"/>
          <w:iCs w:val="false"/>
          <w:color w:val="333333"/>
          <w:sz w:val="20"/>
          <w:szCs w:val="20"/>
          <w:rtl w:val="true"/>
        </w:rPr>
        <w:t>.</w:t>
      </w:r>
    </w:p>
  </w:footnote>
  <w:footnote w:id="2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2:445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بيانه في 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الأغسال المسنونة،حديث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الأغسال المسنونة،حديث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بقيّة الصّلوات المندوبة،حديث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لا تبرح من مكانك حتّى تقضى حاجتك</w:t>
      </w:r>
      <w:r>
        <w:rPr>
          <w:rFonts w:eastAsia="IRNazanin" w:cs="IRNazanin"/>
          <w:b w:val="false"/>
          <w:bCs w:val="false"/>
          <w:i w:val="false"/>
          <w:iCs w:val="false"/>
          <w:color w:val="333333"/>
          <w:sz w:val="20"/>
          <w:szCs w:val="20"/>
          <w:rtl w:val="true"/>
        </w:rPr>
        <w:t>».</w:t>
      </w:r>
    </w:p>
  </w:footnote>
  <w:footnote w:id="2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بن مقاتل البلخيّ،روى عن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 كتاب عدّه الشّيخ في رجاله من أصحاب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2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الأغسال المسنونة،حديث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الثّاني</w:t>
      </w:r>
      <w:r>
        <w:rPr>
          <w:rFonts w:eastAsia="IRNazanin" w:cs="IRNazanin"/>
          <w:b w:val="false"/>
          <w:bCs w:val="false"/>
          <w:i w:val="false"/>
          <w:iCs w:val="false"/>
          <w:color w:val="333333"/>
          <w:sz w:val="20"/>
          <w:szCs w:val="20"/>
          <w:rtl w:val="true"/>
        </w:rPr>
        <w:t>.</w:t>
      </w:r>
    </w:p>
  </w:footnote>
  <w:footnote w:id="2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الأغسال المسنونة،حديث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الأغسال المسنونة،حديث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w:t>
      </w:r>
    </w:p>
  </w:footnote>
  <w:footnote w:id="2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المفيد في 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،و ابن البراج في المهذّب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،و ابن إدريس في السّرائر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كالشّريف المرتضى في رسائله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المجموعة الاولى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،و سلاّر في المراسم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،و أبو الصّلاح الحلبيّ في الكافي في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2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أضفناه من المصدر</w:t>
      </w:r>
      <w:r>
        <w:rPr>
          <w:rFonts w:eastAsia="IRNazanin" w:cs="IRNazanin"/>
          <w:b w:val="false"/>
          <w:bCs w:val="false"/>
          <w:i w:val="false"/>
          <w:iCs w:val="false"/>
          <w:color w:val="333333"/>
          <w:sz w:val="20"/>
          <w:szCs w:val="20"/>
          <w:rtl w:val="true"/>
        </w:rPr>
        <w:t>.</w:t>
      </w:r>
    </w:p>
  </w:footnote>
  <w:footnote w:id="2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1758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الكسوف و الآيات،حديث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الأغسال المسنونة،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الأغسال المسنونة، 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2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1:326</w:t>
      </w:r>
      <w:r>
        <w:rPr>
          <w:rFonts w:eastAsia="IRNazanin" w:cs="IRNazanin"/>
          <w:b w:val="false"/>
          <w:bCs w:val="false"/>
          <w:i w:val="false"/>
          <w:iCs w:val="false"/>
          <w:color w:val="333333"/>
          <w:sz w:val="20"/>
          <w:szCs w:val="20"/>
          <w:rtl w:val="true"/>
        </w:rPr>
        <w:t>.</w:t>
      </w:r>
    </w:p>
  </w:footnote>
  <w:footnote w:id="2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2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1:326</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1:253</w:t>
      </w:r>
      <w:r>
        <w:rPr>
          <w:rFonts w:eastAsia="IRNazanin" w:cs="IRNazanin"/>
          <w:b w:val="false"/>
          <w:bCs w:val="false"/>
          <w:i w:val="false"/>
          <w:iCs w:val="false"/>
          <w:color w:val="333333"/>
          <w:sz w:val="20"/>
          <w:szCs w:val="20"/>
          <w:rtl w:val="true"/>
        </w:rPr>
        <w:t>.</w:t>
      </w:r>
    </w:p>
  </w:footnote>
  <w:footnote w:id="2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1:314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1:113</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4:534</w:t>
      </w:r>
      <w:r>
        <w:rPr>
          <w:rFonts w:eastAsia="IRNazanin" w:cs="IRNazanin"/>
          <w:b w:val="false"/>
          <w:bCs w:val="false"/>
          <w:i w:val="false"/>
          <w:iCs w:val="false"/>
          <w:color w:val="333333"/>
          <w:sz w:val="20"/>
          <w:szCs w:val="20"/>
          <w:rtl w:val="true"/>
        </w:rPr>
        <w:t>.</w:t>
      </w:r>
    </w:p>
  </w:footnote>
  <w:footnote w:id="2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1:244</w:t>
      </w:r>
      <w:r>
        <w:rPr>
          <w:rFonts w:eastAsia="IRNazanin" w:cs="IRNazanin"/>
          <w:b w:val="false"/>
          <w:bCs w:val="false"/>
          <w:i w:val="false"/>
          <w:iCs w:val="false"/>
          <w:color w:val="333333"/>
          <w:sz w:val="20"/>
          <w:szCs w:val="20"/>
          <w:rtl w:val="true"/>
        </w:rPr>
        <w:t>.</w:t>
      </w:r>
    </w:p>
  </w:footnote>
  <w:footnote w:id="2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image" Target="media/image2.jpeg"/><Relationship Id="rId488" Type="http://schemas.openxmlformats.org/officeDocument/2006/relationships/image" Target="media/image2.jpeg"/><Relationship Id="rId489" Type="http://schemas.openxmlformats.org/officeDocument/2006/relationships/footer" Target="footer482.xml"/><Relationship Id="rId490" Type="http://schemas.openxmlformats.org/officeDocument/2006/relationships/footnotes" Target="footnotes.xml"/><Relationship Id="rId491" Type="http://schemas.openxmlformats.org/officeDocument/2006/relationships/numbering" Target="numbering.xml"/><Relationship Id="rId492" Type="http://schemas.openxmlformats.org/officeDocument/2006/relationships/fontTable" Target="fontTable.xml"/><Relationship Id="rId493" Type="http://schemas.openxmlformats.org/officeDocument/2006/relationships/settings" Target="settings.xml"/><Relationship Id="rId49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497</Pages>
  <Words>11183</Words>
  <Characters>50236</Characters>
  <CharactersWithSpaces>60954</CharactersWithSpaces>
  <Paragraphs>540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2026-08-23T16:27:35Z</dcterms:created>
  <dc:creator>ghaemiyeh.com</dc:creator>
  <dc:description/>
  <dc:language>en-US</dc:language>
  <cp:lastModifiedBy/>
  <dcterms:modified xsi:type="dcterms:W3CDTF">2026-08-23T19:58:01Z</dcterms:modified>
  <cp:revision>1</cp:revision>
  <dc:subject/>
  <dc:title>منتهی المطلب ط - الحدیثة جلد 2</dc:title>
</cp:coreProperties>
</file>

<file path=docProps/custom.xml><?xml version="1.0" encoding="utf-8"?>
<Properties xmlns="http://schemas.openxmlformats.org/officeDocument/2006/custom-properties" xmlns:vt="http://schemas.openxmlformats.org/officeDocument/2006/docPropsVTypes"/>
</file>