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تحریر الوسیلة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26080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026082_417432637">
            <w:r>
              <w:rPr>
                <w:webHidden/>
                <w:rStyle w:val="IndexLink"/>
                <w:rtl w:val="true"/>
              </w:rPr>
              <w:t>[</w:t>
            </w:r>
            <w:r>
              <w:rPr>
                <w:rStyle w:val="IndexLink"/>
                <w:rtl w:val="true"/>
              </w:rPr>
              <w:t>كتاب البيع</w:t>
            </w:r>
            <w:r>
              <w:rPr>
                <w:rStyle w:val="IndexLink"/>
                <w:rtl w:val="true"/>
              </w:rPr>
              <w:t>]</w:t>
              <w:tab/>
            </w:r>
            <w:r>
              <w:rPr>
                <w:rStyle w:val="IndexLink"/>
              </w:rPr>
              <w:t>6</w:t>
            </w:r>
          </w:hyperlink>
        </w:p>
        <w:p>
          <w:pPr>
            <w:pStyle w:val="Contents3"/>
            <w:tabs>
              <w:tab w:val="clear" w:pos="8459"/>
              <w:tab w:val="right" w:pos="9026" w:leader="dot"/>
            </w:tabs>
            <w:rPr/>
          </w:pPr>
          <w:hyperlink w:anchor="__RefHeading___Toc9026084_41743263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9026086_417432637">
            <w:r>
              <w:rPr>
                <w:webHidden/>
                <w:rStyle w:val="IndexLink"/>
                <w:rtl w:val="true"/>
              </w:rPr>
              <w:t>[</w:t>
            </w:r>
            <w:r>
              <w:rPr>
                <w:rStyle w:val="IndexLink"/>
                <w:rtl w:val="true"/>
              </w:rPr>
              <w:t>القول في الإيجاب و القبول</w:t>
            </w:r>
            <w:r>
              <w:rPr>
                <w:rStyle w:val="IndexLink"/>
                <w:rtl w:val="true"/>
              </w:rPr>
              <w:t>]</w:t>
              <w:tab/>
            </w:r>
            <w:r>
              <w:rPr>
                <w:rStyle w:val="IndexLink"/>
              </w:rPr>
              <w:t>7</w:t>
            </w:r>
          </w:hyperlink>
        </w:p>
        <w:p>
          <w:pPr>
            <w:pStyle w:val="Contents4"/>
            <w:tabs>
              <w:tab w:val="clear" w:pos="8176"/>
              <w:tab w:val="right" w:pos="9026" w:leader="dot"/>
            </w:tabs>
            <w:rPr/>
          </w:pPr>
          <w:hyperlink w:anchor="__RefHeading___Toc9026088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عقد البيع يحتاج إلى إيجاب و قبول</w:t>
            </w:r>
            <w:r>
              <w:rPr>
                <w:rStyle w:val="IndexLink"/>
                <w:rtl w:val="true"/>
              </w:rPr>
              <w:t>]</w:t>
              <w:tab/>
            </w:r>
            <w:r>
              <w:rPr>
                <w:rStyle w:val="IndexLink"/>
              </w:rPr>
              <w:t>7</w:t>
            </w:r>
          </w:hyperlink>
        </w:p>
        <w:p>
          <w:pPr>
            <w:pStyle w:val="Contents4"/>
            <w:tabs>
              <w:tab w:val="clear" w:pos="8176"/>
              <w:tab w:val="right" w:pos="9026" w:leader="dot"/>
            </w:tabs>
            <w:rPr/>
          </w:pPr>
          <w:hyperlink w:anchor="__RefHeading___Toc9026090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الظاهر جواز تقديم القبول على الإيجاب</w:t>
            </w:r>
            <w:r>
              <w:rPr>
                <w:rStyle w:val="IndexLink"/>
                <w:rtl w:val="true"/>
              </w:rPr>
              <w:t>]</w:t>
              <w:tab/>
            </w:r>
            <w:r>
              <w:rPr>
                <w:rStyle w:val="IndexLink"/>
              </w:rPr>
              <w:t>14</w:t>
            </w:r>
          </w:hyperlink>
        </w:p>
        <w:p>
          <w:pPr>
            <w:pStyle w:val="Contents4"/>
            <w:tabs>
              <w:tab w:val="clear" w:pos="8176"/>
              <w:tab w:val="right" w:pos="9026" w:leader="dot"/>
            </w:tabs>
            <w:rPr/>
          </w:pPr>
          <w:hyperlink w:anchor="__RefHeading___Toc9026092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يعتبر الموالاة بين الإيجاب و القبول</w:t>
            </w:r>
            <w:r>
              <w:rPr>
                <w:rStyle w:val="IndexLink"/>
                <w:rtl w:val="true"/>
              </w:rPr>
              <w:t>]</w:t>
              <w:tab/>
            </w:r>
            <w:r>
              <w:rPr>
                <w:rStyle w:val="IndexLink"/>
              </w:rPr>
              <w:t>16</w:t>
            </w:r>
          </w:hyperlink>
        </w:p>
        <w:p>
          <w:pPr>
            <w:pStyle w:val="Contents4"/>
            <w:tabs>
              <w:tab w:val="clear" w:pos="8176"/>
              <w:tab w:val="right" w:pos="9026" w:leader="dot"/>
            </w:tabs>
            <w:rPr/>
          </w:pPr>
          <w:hyperlink w:anchor="__RefHeading___Toc9026094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يعتبر في العقد التطابق بين الإيجاب و القبول</w:t>
            </w:r>
            <w:r>
              <w:rPr>
                <w:rStyle w:val="IndexLink"/>
                <w:rtl w:val="true"/>
              </w:rPr>
              <w:t>]</w:t>
              <w:tab/>
            </w:r>
            <w:r>
              <w:rPr>
                <w:rStyle w:val="IndexLink"/>
              </w:rPr>
              <w:t>17</w:t>
            </w:r>
          </w:hyperlink>
        </w:p>
        <w:p>
          <w:pPr>
            <w:pStyle w:val="Contents4"/>
            <w:tabs>
              <w:tab w:val="clear" w:pos="8176"/>
              <w:tab w:val="right" w:pos="9026" w:leader="dot"/>
            </w:tabs>
            <w:rPr/>
          </w:pPr>
          <w:hyperlink w:anchor="__RefHeading___Toc9026096_41743263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لو تعذّر التلفّظ لخرس و نحوه، تقوم الإشارة المفهمة مقامه</w:t>
            </w:r>
            <w:r>
              <w:rPr>
                <w:rStyle w:val="IndexLink"/>
                <w:rtl w:val="true"/>
              </w:rPr>
              <w:t>]</w:t>
              <w:tab/>
            </w:r>
            <w:r>
              <w:rPr>
                <w:rStyle w:val="IndexLink"/>
              </w:rPr>
              <w:t>21</w:t>
            </w:r>
          </w:hyperlink>
        </w:p>
        <w:p>
          <w:pPr>
            <w:pStyle w:val="Contents4"/>
            <w:tabs>
              <w:tab w:val="clear" w:pos="8176"/>
              <w:tab w:val="right" w:pos="9026" w:leader="dot"/>
            </w:tabs>
            <w:rPr/>
          </w:pPr>
          <w:hyperlink w:anchor="__RefHeading___Toc9026098_41743263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الأقوى وقوع البيع بالمعاطاة في الحقير و الخطير</w:t>
            </w:r>
            <w:r>
              <w:rPr>
                <w:rStyle w:val="IndexLink"/>
                <w:rtl w:val="true"/>
              </w:rPr>
              <w:t>]</w:t>
              <w:tab/>
            </w:r>
            <w:r>
              <w:rPr>
                <w:rStyle w:val="IndexLink"/>
              </w:rPr>
              <w:t>24</w:t>
            </w:r>
          </w:hyperlink>
        </w:p>
        <w:p>
          <w:pPr>
            <w:pStyle w:val="Contents4"/>
            <w:tabs>
              <w:tab w:val="clear" w:pos="8176"/>
              <w:tab w:val="right" w:pos="9026" w:leader="dot"/>
            </w:tabs>
            <w:rPr/>
          </w:pPr>
          <w:hyperlink w:anchor="__RefHeading___Toc9026100_41743263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يعتبر في المعاطاة جميع ما يعتبر في البيع بالصيغة</w:t>
            </w:r>
            <w:r>
              <w:rPr>
                <w:rStyle w:val="IndexLink"/>
                <w:rtl w:val="true"/>
              </w:rPr>
              <w:t>]</w:t>
              <w:tab/>
            </w:r>
            <w:r>
              <w:rPr>
                <w:rStyle w:val="IndexLink"/>
              </w:rPr>
              <w:t>29</w:t>
            </w:r>
          </w:hyperlink>
        </w:p>
        <w:p>
          <w:pPr>
            <w:pStyle w:val="Contents4"/>
            <w:tabs>
              <w:tab w:val="clear" w:pos="8176"/>
              <w:tab w:val="right" w:pos="9026" w:leader="dot"/>
            </w:tabs>
            <w:rPr/>
          </w:pPr>
          <w:hyperlink w:anchor="__RefHeading___Toc9026102_41743263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البيع بالصيغة لازم من الطرفين</w:t>
            </w:r>
            <w:r>
              <w:rPr>
                <w:rStyle w:val="IndexLink"/>
                <w:rtl w:val="true"/>
              </w:rPr>
              <w:t>]</w:t>
              <w:tab/>
            </w:r>
            <w:r>
              <w:rPr>
                <w:rStyle w:val="IndexLink"/>
              </w:rPr>
              <w:t>33</w:t>
            </w:r>
          </w:hyperlink>
        </w:p>
        <w:p>
          <w:pPr>
            <w:pStyle w:val="Contents4"/>
            <w:tabs>
              <w:tab w:val="clear" w:pos="8176"/>
              <w:tab w:val="right" w:pos="9026" w:leader="dot"/>
            </w:tabs>
            <w:rPr/>
          </w:pPr>
          <w:hyperlink w:anchor="__RefHeading___Toc9026104_41743263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البيع المعاطاتيّ ليس قابلًا للشرط على الأحوط</w:t>
            </w:r>
            <w:r>
              <w:rPr>
                <w:rStyle w:val="IndexLink"/>
                <w:rtl w:val="true"/>
              </w:rPr>
              <w:t>]</w:t>
              <w:tab/>
            </w:r>
            <w:r>
              <w:rPr>
                <w:rStyle w:val="IndexLink"/>
              </w:rPr>
              <w:t>35</w:t>
            </w:r>
          </w:hyperlink>
        </w:p>
        <w:p>
          <w:pPr>
            <w:pStyle w:val="Contents4"/>
            <w:tabs>
              <w:tab w:val="clear" w:pos="8176"/>
              <w:tab w:val="right" w:pos="9026" w:leader="dot"/>
            </w:tabs>
            <w:rPr/>
          </w:pPr>
          <w:hyperlink w:anchor="__RefHeading___Toc9026106_41743263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هل تجري المعاطاة في سائر المعاملات مطلقاً</w:t>
            </w:r>
            <w:r>
              <w:rPr>
                <w:rStyle w:val="IndexLink"/>
                <w:rtl w:val="true"/>
              </w:rPr>
              <w:t>]</w:t>
              <w:tab/>
            </w:r>
            <w:r>
              <w:rPr>
                <w:rStyle w:val="IndexLink"/>
              </w:rPr>
              <w:t>37</w:t>
            </w:r>
          </w:hyperlink>
        </w:p>
        <w:p>
          <w:pPr>
            <w:pStyle w:val="Contents4"/>
            <w:tabs>
              <w:tab w:val="clear" w:pos="8176"/>
              <w:tab w:val="right" w:pos="9026" w:leader="dot"/>
            </w:tabs>
            <w:rPr/>
          </w:pPr>
          <w:hyperlink w:anchor="__RefHeading___Toc9026108_417432637">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كما يقع البيع و الشراء بمباشرة المالك، يقع بالتوكيل أو الولاية</w:t>
            </w:r>
            <w:r>
              <w:rPr>
                <w:rStyle w:val="IndexLink"/>
                <w:rtl w:val="true"/>
              </w:rPr>
              <w:t>]</w:t>
              <w:tab/>
            </w:r>
            <w:r>
              <w:rPr>
                <w:rStyle w:val="IndexLink"/>
              </w:rPr>
              <w:t>38</w:t>
            </w:r>
          </w:hyperlink>
        </w:p>
        <w:p>
          <w:pPr>
            <w:pStyle w:val="Contents4"/>
            <w:tabs>
              <w:tab w:val="clear" w:pos="8176"/>
              <w:tab w:val="right" w:pos="9026" w:leader="dot"/>
            </w:tabs>
            <w:rPr/>
          </w:pPr>
          <w:hyperlink w:anchor="__RefHeading___Toc9026110_417432637">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لا يجوز على الأحوط تعليق البيع على شي‌ء غير حاصل حين العقد</w:t>
            </w:r>
            <w:r>
              <w:rPr>
                <w:rStyle w:val="IndexLink"/>
                <w:rtl w:val="true"/>
              </w:rPr>
              <w:t>]</w:t>
              <w:tab/>
            </w:r>
            <w:r>
              <w:rPr>
                <w:rStyle w:val="IndexLink"/>
              </w:rPr>
              <w:t>40</w:t>
            </w:r>
          </w:hyperlink>
        </w:p>
        <w:p>
          <w:pPr>
            <w:pStyle w:val="Contents4"/>
            <w:tabs>
              <w:tab w:val="clear" w:pos="8176"/>
              <w:tab w:val="right" w:pos="9026" w:leader="dot"/>
            </w:tabs>
            <w:rPr/>
          </w:pPr>
          <w:hyperlink w:anchor="__RefHeading___Toc9026112_417432637">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لو قبض المشتري ما ابتاعه بالعقد الفاسد لم يملكه</w:t>
            </w:r>
            <w:r>
              <w:rPr>
                <w:rStyle w:val="IndexLink"/>
                <w:rtl w:val="true"/>
              </w:rPr>
              <w:t>]</w:t>
              <w:tab/>
            </w:r>
            <w:r>
              <w:rPr>
                <w:rStyle w:val="IndexLink"/>
              </w:rPr>
              <w:t>46</w:t>
            </w:r>
          </w:hyperlink>
        </w:p>
        <w:p>
          <w:pPr>
            <w:pStyle w:val="Contents3"/>
            <w:tabs>
              <w:tab w:val="clear" w:pos="8459"/>
              <w:tab w:val="right" w:pos="9026" w:leader="dot"/>
            </w:tabs>
            <w:rPr/>
          </w:pPr>
          <w:hyperlink w:anchor="__RefHeading___Toc9026114_417432637">
            <w:r>
              <w:rPr>
                <w:webHidden/>
                <w:rStyle w:val="IndexLink"/>
                <w:rtl w:val="true"/>
              </w:rPr>
              <w:t>[</w:t>
            </w:r>
            <w:r>
              <w:rPr>
                <w:rStyle w:val="IndexLink"/>
                <w:rtl w:val="true"/>
              </w:rPr>
              <w:t>القول في شروط البيع</w:t>
            </w:r>
            <w:r>
              <w:rPr>
                <w:rStyle w:val="IndexLink"/>
                <w:rtl w:val="true"/>
              </w:rPr>
              <w:t>]</w:t>
              <w:tab/>
            </w:r>
            <w:r>
              <w:rPr>
                <w:rStyle w:val="IndexLink"/>
              </w:rPr>
              <w:t>60</w:t>
            </w:r>
          </w:hyperlink>
        </w:p>
        <w:p>
          <w:pPr>
            <w:pStyle w:val="Contents4"/>
            <w:tabs>
              <w:tab w:val="clear" w:pos="8176"/>
              <w:tab w:val="right" w:pos="9026" w:leader="dot"/>
            </w:tabs>
            <w:rPr/>
          </w:pPr>
          <w:hyperlink w:anchor="__RefHeading___Toc9026116_417432637">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9026118_417432637">
            <w:r>
              <w:rPr>
                <w:webHidden/>
                <w:rStyle w:val="IndexLink"/>
                <w:rtl w:val="true"/>
              </w:rPr>
              <w:t>[</w:t>
            </w:r>
            <w:r>
              <w:rPr>
                <w:rStyle w:val="IndexLink"/>
                <w:rtl w:val="true"/>
              </w:rPr>
              <w:t>الأوّل</w:t>
            </w:r>
            <w:r>
              <w:rPr>
                <w:rStyle w:val="IndexLink"/>
                <w:rtl w:val="true"/>
              </w:rPr>
              <w:t xml:space="preserve">: </w:t>
            </w:r>
            <w:r>
              <w:rPr>
                <w:rStyle w:val="IndexLink"/>
                <w:rtl w:val="true"/>
              </w:rPr>
              <w:t>البلوغ</w:t>
            </w:r>
            <w:r>
              <w:rPr>
                <w:rStyle w:val="IndexLink"/>
                <w:rtl w:val="true"/>
              </w:rPr>
              <w:t>]</w:t>
              <w:tab/>
            </w:r>
            <w:r>
              <w:rPr>
                <w:rStyle w:val="IndexLink"/>
              </w:rPr>
              <w:t>61</w:t>
            </w:r>
          </w:hyperlink>
        </w:p>
        <w:p>
          <w:pPr>
            <w:pStyle w:val="Contents4"/>
            <w:tabs>
              <w:tab w:val="clear" w:pos="8176"/>
              <w:tab w:val="right" w:pos="9026" w:leader="dot"/>
            </w:tabs>
            <w:rPr/>
          </w:pPr>
          <w:hyperlink w:anchor="__RefHeading___Toc9026120_417432637">
            <w:r>
              <w:rPr>
                <w:webHidden/>
                <w:rStyle w:val="IndexLink"/>
                <w:rtl w:val="true"/>
              </w:rPr>
              <w:t>[</w:t>
            </w:r>
            <w:r>
              <w:rPr>
                <w:rStyle w:val="IndexLink"/>
                <w:rtl w:val="true"/>
              </w:rPr>
              <w:t>الثاني</w:t>
            </w:r>
            <w:r>
              <w:rPr>
                <w:rStyle w:val="IndexLink"/>
                <w:rtl w:val="true"/>
              </w:rPr>
              <w:t xml:space="preserve">: </w:t>
            </w:r>
            <w:r>
              <w:rPr>
                <w:rStyle w:val="IndexLink"/>
                <w:rtl w:val="true"/>
              </w:rPr>
              <w:t>العقل</w:t>
            </w:r>
            <w:r>
              <w:rPr>
                <w:rStyle w:val="IndexLink"/>
                <w:rtl w:val="true"/>
              </w:rPr>
              <w:t>]</w:t>
              <w:tab/>
            </w:r>
            <w:r>
              <w:rPr>
                <w:rStyle w:val="IndexLink"/>
              </w:rPr>
              <w:t>77</w:t>
            </w:r>
          </w:hyperlink>
        </w:p>
        <w:p>
          <w:pPr>
            <w:pStyle w:val="Contents4"/>
            <w:tabs>
              <w:tab w:val="clear" w:pos="8176"/>
              <w:tab w:val="right" w:pos="9026" w:leader="dot"/>
            </w:tabs>
            <w:rPr/>
          </w:pPr>
          <w:hyperlink w:anchor="__RefHeading___Toc9026122_417432637">
            <w:r>
              <w:rPr>
                <w:webHidden/>
                <w:rStyle w:val="IndexLink"/>
                <w:rtl w:val="true"/>
              </w:rPr>
              <w:t>[</w:t>
            </w:r>
            <w:r>
              <w:rPr>
                <w:rStyle w:val="IndexLink"/>
                <w:rtl w:val="true"/>
              </w:rPr>
              <w:t>الثالث</w:t>
            </w:r>
            <w:r>
              <w:rPr>
                <w:rStyle w:val="IndexLink"/>
                <w:rtl w:val="true"/>
              </w:rPr>
              <w:t xml:space="preserve">: </w:t>
            </w:r>
            <w:r>
              <w:rPr>
                <w:rStyle w:val="IndexLink"/>
                <w:rtl w:val="true"/>
              </w:rPr>
              <w:t>القصد</w:t>
            </w:r>
            <w:r>
              <w:rPr>
                <w:rStyle w:val="IndexLink"/>
                <w:rtl w:val="true"/>
              </w:rPr>
              <w:t>]</w:t>
              <w:tab/>
            </w:r>
            <w:r>
              <w:rPr>
                <w:rStyle w:val="IndexLink"/>
              </w:rPr>
              <w:t>78</w:t>
            </w:r>
          </w:hyperlink>
        </w:p>
        <w:p>
          <w:pPr>
            <w:pStyle w:val="Contents4"/>
            <w:tabs>
              <w:tab w:val="clear" w:pos="8176"/>
              <w:tab w:val="right" w:pos="9026" w:leader="dot"/>
            </w:tabs>
            <w:rPr/>
          </w:pPr>
          <w:hyperlink w:anchor="__RefHeading___Toc9026124_417432637">
            <w:r>
              <w:rPr>
                <w:webHidden/>
                <w:rStyle w:val="IndexLink"/>
                <w:rtl w:val="true"/>
              </w:rPr>
              <w:t>[</w:t>
            </w:r>
            <w:r>
              <w:rPr>
                <w:rStyle w:val="IndexLink"/>
                <w:rtl w:val="true"/>
              </w:rPr>
              <w:t>الرابع</w:t>
            </w:r>
            <w:r>
              <w:rPr>
                <w:rStyle w:val="IndexLink"/>
                <w:rtl w:val="true"/>
              </w:rPr>
              <w:t xml:space="preserve">: </w:t>
            </w:r>
            <w:r>
              <w:rPr>
                <w:rStyle w:val="IndexLink"/>
                <w:rtl w:val="true"/>
              </w:rPr>
              <w:t>الاختيار</w:t>
            </w:r>
            <w:r>
              <w:rPr>
                <w:rStyle w:val="IndexLink"/>
                <w:rtl w:val="true"/>
              </w:rPr>
              <w:t>]</w:t>
              <w:tab/>
            </w:r>
            <w:r>
              <w:rPr>
                <w:rStyle w:val="IndexLink"/>
              </w:rPr>
              <w:t>80</w:t>
            </w:r>
          </w:hyperlink>
        </w:p>
        <w:p>
          <w:pPr>
            <w:pStyle w:val="Contents2"/>
            <w:tabs>
              <w:tab w:val="clear" w:pos="8743"/>
              <w:tab w:val="right" w:pos="9026" w:leader="dot"/>
            </w:tabs>
            <w:rPr/>
          </w:pPr>
          <w:hyperlink w:anchor="__RefHeading___Toc9026126_417432637">
            <w:r>
              <w:rPr>
                <w:webHidden/>
                <w:rStyle w:val="IndexLink"/>
                <w:rtl w:val="true"/>
              </w:rPr>
              <w:t>[</w:t>
            </w:r>
            <w:r>
              <w:rPr>
                <w:rStyle w:val="IndexLink"/>
                <w:rtl w:val="true"/>
              </w:rPr>
              <w:t>كتاب الخيارات</w:t>
            </w:r>
            <w:r>
              <w:rPr>
                <w:rStyle w:val="IndexLink"/>
                <w:rtl w:val="true"/>
              </w:rPr>
              <w:t>]</w:t>
              <w:tab/>
            </w:r>
            <w:r>
              <w:rPr>
                <w:rStyle w:val="IndexLink"/>
              </w:rPr>
              <w:t>82</w:t>
            </w:r>
          </w:hyperlink>
        </w:p>
        <w:p>
          <w:pPr>
            <w:pStyle w:val="Contents3"/>
            <w:tabs>
              <w:tab w:val="clear" w:pos="8459"/>
              <w:tab w:val="right" w:pos="9026" w:leader="dot"/>
            </w:tabs>
            <w:rPr/>
          </w:pPr>
          <w:hyperlink w:anchor="__RefHeading___Toc9026128_417432637">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9026130_417432637">
            <w:r>
              <w:rPr>
                <w:webHidden/>
                <w:rStyle w:val="IndexLink"/>
                <w:rtl w:val="true"/>
              </w:rPr>
              <w:t>[</w:t>
            </w:r>
            <w:r>
              <w:rPr>
                <w:rStyle w:val="IndexLink"/>
                <w:rtl w:val="true"/>
              </w:rPr>
              <w:t>القول في الخيارات</w:t>
            </w:r>
            <w:r>
              <w:rPr>
                <w:rStyle w:val="IndexLink"/>
                <w:rtl w:val="true"/>
              </w:rPr>
              <w:t>]</w:t>
              <w:tab/>
            </w:r>
            <w:r>
              <w:rPr>
                <w:rStyle w:val="IndexLink"/>
              </w:rPr>
              <w:t>83</w:t>
            </w:r>
          </w:hyperlink>
        </w:p>
        <w:p>
          <w:pPr>
            <w:pStyle w:val="Contents4"/>
            <w:tabs>
              <w:tab w:val="clear" w:pos="8176"/>
              <w:tab w:val="right" w:pos="9026" w:leader="dot"/>
            </w:tabs>
            <w:rPr/>
          </w:pPr>
          <w:hyperlink w:anchor="__RefHeading___Toc9026132_41743263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9026134_417432637">
            <w:r>
              <w:rPr>
                <w:webHidden/>
                <w:rStyle w:val="IndexLink"/>
                <w:rtl w:val="true"/>
              </w:rPr>
              <w:t>[</w:t>
            </w:r>
            <w:r>
              <w:rPr>
                <w:rStyle w:val="IndexLink"/>
                <w:rtl w:val="true"/>
              </w:rPr>
              <w:t>الأوّل</w:t>
            </w:r>
            <w:r>
              <w:rPr>
                <w:rStyle w:val="IndexLink"/>
                <w:rtl w:val="true"/>
              </w:rPr>
              <w:t xml:space="preserve">: </w:t>
            </w:r>
            <w:r>
              <w:rPr>
                <w:rStyle w:val="IndexLink"/>
                <w:rtl w:val="true"/>
              </w:rPr>
              <w:t>خيار المجلس</w:t>
            </w:r>
            <w:r>
              <w:rPr>
                <w:rStyle w:val="IndexLink"/>
                <w:rtl w:val="true"/>
              </w:rPr>
              <w:t>]</w:t>
              <w:tab/>
            </w:r>
            <w:r>
              <w:rPr>
                <w:rStyle w:val="IndexLink"/>
              </w:rPr>
              <w:t>83</w:t>
            </w:r>
          </w:hyperlink>
        </w:p>
        <w:p>
          <w:pPr>
            <w:pStyle w:val="Contents4"/>
            <w:tabs>
              <w:tab w:val="clear" w:pos="8176"/>
              <w:tab w:val="right" w:pos="9026" w:leader="dot"/>
            </w:tabs>
            <w:rPr/>
          </w:pPr>
          <w:hyperlink w:anchor="__RefHeading___Toc9026136_417432637">
            <w:r>
              <w:rPr>
                <w:webHidden/>
                <w:rStyle w:val="IndexLink"/>
                <w:rtl w:val="true"/>
              </w:rPr>
              <w:t>[</w:t>
            </w:r>
            <w:r>
              <w:rPr>
                <w:rStyle w:val="IndexLink"/>
                <w:rtl w:val="true"/>
              </w:rPr>
              <w:t>الثاني</w:t>
            </w:r>
            <w:r>
              <w:rPr>
                <w:rStyle w:val="IndexLink"/>
                <w:rtl w:val="true"/>
              </w:rPr>
              <w:t xml:space="preserve">: </w:t>
            </w:r>
            <w:r>
              <w:rPr>
                <w:rStyle w:val="IndexLink"/>
                <w:rtl w:val="true"/>
              </w:rPr>
              <w:t>خيار الحيوان</w:t>
            </w:r>
            <w:r>
              <w:rPr>
                <w:rStyle w:val="IndexLink"/>
                <w:rtl w:val="true"/>
              </w:rPr>
              <w:t>]</w:t>
              <w:tab/>
            </w:r>
            <w:r>
              <w:rPr>
                <w:rStyle w:val="IndexLink"/>
              </w:rPr>
              <w:t>101</w:t>
            </w:r>
          </w:hyperlink>
        </w:p>
        <w:p>
          <w:pPr>
            <w:pStyle w:val="Contents5"/>
            <w:tabs>
              <w:tab w:val="clear" w:pos="7892"/>
              <w:tab w:val="right" w:pos="9026" w:leader="dot"/>
            </w:tabs>
            <w:rPr/>
          </w:pPr>
          <w:hyperlink w:anchor="__RefHeading___Toc9026138_41743263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9026140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لو تصرّف المشتري في الحيوان تصرّفاً يدلّ على الرضا</w:t>
            </w:r>
            <w:r>
              <w:rPr>
                <w:rStyle w:val="IndexLink"/>
                <w:rtl w:val="true"/>
              </w:rPr>
              <w:t>]</w:t>
              <w:tab/>
            </w:r>
            <w:r>
              <w:rPr>
                <w:rStyle w:val="IndexLink"/>
              </w:rPr>
              <w:t>112</w:t>
            </w:r>
          </w:hyperlink>
        </w:p>
        <w:p>
          <w:pPr>
            <w:pStyle w:val="Contents5"/>
            <w:tabs>
              <w:tab w:val="clear" w:pos="7892"/>
              <w:tab w:val="right" w:pos="9026" w:leader="dot"/>
            </w:tabs>
            <w:rPr/>
          </w:pPr>
          <w:hyperlink w:anchor="__RefHeading___Toc9026142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لو تلف الحيوان في مدّة الخيار فهو من مال البائع</w:t>
            </w:r>
            <w:r>
              <w:rPr>
                <w:rStyle w:val="IndexLink"/>
                <w:rtl w:val="true"/>
              </w:rPr>
              <w:t>]</w:t>
              <w:tab/>
            </w:r>
            <w:r>
              <w:rPr>
                <w:rStyle w:val="IndexLink"/>
              </w:rPr>
              <w:t>117</w:t>
            </w:r>
          </w:hyperlink>
        </w:p>
        <w:p>
          <w:pPr>
            <w:pStyle w:val="Contents5"/>
            <w:tabs>
              <w:tab w:val="clear" w:pos="7892"/>
              <w:tab w:val="right" w:pos="9026" w:leader="dot"/>
            </w:tabs>
            <w:rPr/>
          </w:pPr>
          <w:hyperlink w:anchor="__RefHeading___Toc9026144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العيب الحادث في الثلاثة من غير تفريط من المشتري</w:t>
            </w:r>
            <w:r>
              <w:rPr>
                <w:rStyle w:val="IndexLink"/>
                <w:rtl w:val="true"/>
              </w:rPr>
              <w:t>]</w:t>
              <w:tab/>
            </w:r>
            <w:r>
              <w:rPr>
                <w:rStyle w:val="IndexLink"/>
              </w:rPr>
              <w:t>120</w:t>
            </w:r>
          </w:hyperlink>
        </w:p>
        <w:p>
          <w:pPr>
            <w:pStyle w:val="Contents4"/>
            <w:tabs>
              <w:tab w:val="clear" w:pos="8176"/>
              <w:tab w:val="right" w:pos="9026" w:leader="dot"/>
            </w:tabs>
            <w:rPr/>
          </w:pPr>
          <w:hyperlink w:anchor="__RefHeading___Toc9026146_417432637">
            <w:r>
              <w:rPr>
                <w:webHidden/>
                <w:rStyle w:val="IndexLink"/>
                <w:rtl w:val="true"/>
              </w:rPr>
              <w:t>[</w:t>
            </w:r>
            <w:r>
              <w:rPr>
                <w:rStyle w:val="IndexLink"/>
                <w:rtl w:val="true"/>
              </w:rPr>
              <w:t>الثالث</w:t>
            </w:r>
            <w:r>
              <w:rPr>
                <w:rStyle w:val="IndexLink"/>
                <w:rtl w:val="true"/>
              </w:rPr>
              <w:t xml:space="preserve">: </w:t>
            </w:r>
            <w:r>
              <w:rPr>
                <w:rStyle w:val="IndexLink"/>
                <w:rtl w:val="true"/>
              </w:rPr>
              <w:t>خيار الشرط</w:t>
            </w:r>
            <w:r>
              <w:rPr>
                <w:rStyle w:val="IndexLink"/>
                <w:rtl w:val="true"/>
              </w:rPr>
              <w:t>]</w:t>
              <w:tab/>
            </w:r>
            <w:r>
              <w:rPr>
                <w:rStyle w:val="IndexLink"/>
              </w:rPr>
              <w:t>122</w:t>
            </w:r>
          </w:hyperlink>
        </w:p>
        <w:p>
          <w:pPr>
            <w:pStyle w:val="Contents5"/>
            <w:tabs>
              <w:tab w:val="clear" w:pos="7892"/>
              <w:tab w:val="right" w:pos="9026" w:leader="dot"/>
            </w:tabs>
            <w:rPr/>
          </w:pPr>
          <w:hyperlink w:anchor="__RefHeading___Toc9026148_417432637">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9026150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يجوز أن يشترط لأحدهما أو لهما الخيار بعد الاستئمار و الاستشارة</w:t>
            </w:r>
            <w:r>
              <w:rPr>
                <w:rStyle w:val="IndexLink"/>
                <w:rtl w:val="true"/>
              </w:rPr>
              <w:t>]</w:t>
              <w:tab/>
            </w:r>
            <w:r>
              <w:rPr>
                <w:rStyle w:val="IndexLink"/>
              </w:rPr>
              <w:t>128</w:t>
            </w:r>
          </w:hyperlink>
        </w:p>
        <w:p>
          <w:pPr>
            <w:pStyle w:val="Contents5"/>
            <w:tabs>
              <w:tab w:val="clear" w:pos="7892"/>
              <w:tab w:val="right" w:pos="9026" w:leader="dot"/>
            </w:tabs>
            <w:rPr/>
          </w:pPr>
          <w:hyperlink w:anchor="__RefHeading___Toc9026152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لا إشكال في عدم اختصاص خيار الشرط بالبيع</w:t>
            </w:r>
            <w:r>
              <w:rPr>
                <w:rStyle w:val="IndexLink"/>
                <w:rtl w:val="true"/>
              </w:rPr>
              <w:t>]</w:t>
              <w:tab/>
            </w:r>
            <w:r>
              <w:rPr>
                <w:rStyle w:val="IndexLink"/>
              </w:rPr>
              <w:t>131</w:t>
            </w:r>
          </w:hyperlink>
        </w:p>
        <w:p>
          <w:pPr>
            <w:pStyle w:val="Contents5"/>
            <w:tabs>
              <w:tab w:val="clear" w:pos="7892"/>
              <w:tab w:val="right" w:pos="9026" w:leader="dot"/>
            </w:tabs>
            <w:rPr/>
          </w:pPr>
          <w:hyperlink w:anchor="__RefHeading___Toc9026154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يجوز اشتراط الخيار للبائع</w:t>
            </w:r>
            <w:r>
              <w:rPr>
                <w:rStyle w:val="IndexLink"/>
                <w:rtl w:val="true"/>
              </w:rPr>
              <w:t>]</w:t>
              <w:tab/>
            </w:r>
            <w:r>
              <w:rPr>
                <w:rStyle w:val="IndexLink"/>
              </w:rPr>
              <w:t>132</w:t>
            </w:r>
          </w:hyperlink>
        </w:p>
        <w:p>
          <w:pPr>
            <w:pStyle w:val="Contents5"/>
            <w:tabs>
              <w:tab w:val="clear" w:pos="7892"/>
              <w:tab w:val="right" w:pos="9026" w:leader="dot"/>
            </w:tabs>
            <w:rPr/>
          </w:pPr>
          <w:hyperlink w:anchor="__RefHeading___Toc9026156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نماء المبيع و منافعه في هذه المدّة للمشتري</w:t>
            </w:r>
            <w:r>
              <w:rPr>
                <w:rStyle w:val="IndexLink"/>
                <w:rtl w:val="true"/>
              </w:rPr>
              <w:t>]</w:t>
              <w:tab/>
            </w:r>
            <w:r>
              <w:rPr>
                <w:rStyle w:val="IndexLink"/>
              </w:rPr>
              <w:t>138</w:t>
            </w:r>
          </w:hyperlink>
        </w:p>
        <w:p>
          <w:pPr>
            <w:pStyle w:val="Contents5"/>
            <w:tabs>
              <w:tab w:val="clear" w:pos="7892"/>
              <w:tab w:val="right" w:pos="9026" w:leader="dot"/>
            </w:tabs>
            <w:rPr/>
          </w:pPr>
          <w:hyperlink w:anchor="__RefHeading___Toc9026158_41743263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الثمن المشروط ردّه إن كان كلّياً في ذمّة البائع</w:t>
            </w:r>
            <w:r>
              <w:rPr>
                <w:rStyle w:val="IndexLink"/>
                <w:rtl w:val="true"/>
              </w:rPr>
              <w:t>]</w:t>
              <w:tab/>
            </w:r>
            <w:r>
              <w:rPr>
                <w:rStyle w:val="IndexLink"/>
              </w:rPr>
              <w:t>143</w:t>
            </w:r>
          </w:hyperlink>
        </w:p>
        <w:p>
          <w:pPr>
            <w:pStyle w:val="Contents5"/>
            <w:tabs>
              <w:tab w:val="clear" w:pos="7892"/>
              <w:tab w:val="right" w:pos="9026" w:leader="dot"/>
            </w:tabs>
            <w:rPr/>
          </w:pPr>
          <w:hyperlink w:anchor="__RefHeading___Toc9026160_41743263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إن لم يقبض البائع الثمن أصلًا</w:t>
            </w:r>
            <w:r>
              <w:rPr>
                <w:rStyle w:val="IndexLink"/>
                <w:rtl w:val="true"/>
              </w:rPr>
              <w:t>]</w:t>
              <w:tab/>
            </w:r>
            <w:r>
              <w:rPr>
                <w:rStyle w:val="IndexLink"/>
              </w:rPr>
              <w:t>144</w:t>
            </w:r>
          </w:hyperlink>
        </w:p>
        <w:p>
          <w:pPr>
            <w:pStyle w:val="Contents5"/>
            <w:tabs>
              <w:tab w:val="clear" w:pos="7892"/>
              <w:tab w:val="right" w:pos="9026" w:leader="dot"/>
            </w:tabs>
            <w:rPr/>
          </w:pPr>
          <w:hyperlink w:anchor="__RefHeading___Toc9026162_41743263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كما يتحقّق الردّ بإيصاله إلى المشتري، يتحقّق بإيصاله إلى وكيله المطلق</w:t>
            </w:r>
            <w:r>
              <w:rPr>
                <w:rStyle w:val="IndexLink"/>
                <w:rtl w:val="true"/>
              </w:rPr>
              <w:t>]</w:t>
              <w:tab/>
            </w:r>
            <w:r>
              <w:rPr>
                <w:rStyle w:val="IndexLink"/>
              </w:rPr>
              <w:t>148</w:t>
            </w:r>
          </w:hyperlink>
        </w:p>
        <w:p>
          <w:pPr>
            <w:pStyle w:val="Contents5"/>
            <w:tabs>
              <w:tab w:val="clear" w:pos="7892"/>
              <w:tab w:val="right" w:pos="9026" w:leader="dot"/>
            </w:tabs>
            <w:rPr/>
          </w:pPr>
          <w:hyperlink w:anchor="__RefHeading___Toc9026164_41743263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لو اشترى الوليّ شيئاً للمولّى عليه ببيع الخيار</w:t>
            </w:r>
            <w:r>
              <w:rPr>
                <w:rStyle w:val="IndexLink"/>
                <w:rtl w:val="true"/>
              </w:rPr>
              <w:t>]</w:t>
              <w:tab/>
            </w:r>
            <w:r>
              <w:rPr>
                <w:rStyle w:val="IndexLink"/>
              </w:rPr>
              <w:t>151</w:t>
            </w:r>
          </w:hyperlink>
        </w:p>
        <w:p>
          <w:pPr>
            <w:pStyle w:val="Contents5"/>
            <w:tabs>
              <w:tab w:val="clear" w:pos="7892"/>
              <w:tab w:val="right" w:pos="9026" w:leader="dot"/>
            </w:tabs>
            <w:rPr/>
          </w:pPr>
          <w:hyperlink w:anchor="__RefHeading___Toc9026166_417432637">
            <w:r>
              <w:rPr>
                <w:webHidden/>
                <w:rStyle w:val="IndexLink"/>
                <w:rtl w:val="true"/>
              </w:rPr>
              <w:t>[</w:t>
            </w:r>
            <w:r>
              <w:rPr>
                <w:rStyle w:val="IndexLink"/>
                <w:rtl w:val="true"/>
              </w:rPr>
              <w:t xml:space="preserve">مسألة </w:t>
            </w:r>
            <w:r>
              <w:rPr>
                <w:rStyle w:val="IndexLink"/>
              </w:rPr>
              <w:t>9</w:t>
            </w:r>
            <w:r>
              <w:rPr>
                <w:rStyle w:val="IndexLink"/>
                <w:rtl w:val="true"/>
              </w:rPr>
              <w:t xml:space="preserve">: </w:t>
            </w:r>
            <w:r>
              <w:rPr>
                <w:rStyle w:val="IndexLink"/>
                <w:rtl w:val="true"/>
              </w:rPr>
              <w:t>لو مات البائع ينتقل هذا الخيار كسائر الخيارات</w:t>
            </w:r>
            <w:r>
              <w:rPr>
                <w:rStyle w:val="IndexLink"/>
                <w:rtl w:val="true"/>
              </w:rPr>
              <w:t xml:space="preserve">- </w:t>
            </w:r>
            <w:r>
              <w:rPr>
                <w:rStyle w:val="IndexLink"/>
                <w:rtl w:val="true"/>
              </w:rPr>
              <w:t>إلى ورّاثه</w:t>
            </w:r>
            <w:r>
              <w:rPr>
                <w:rStyle w:val="IndexLink"/>
                <w:rtl w:val="true"/>
              </w:rPr>
              <w:t>]</w:t>
              <w:tab/>
            </w:r>
            <w:r>
              <w:rPr>
                <w:rStyle w:val="IndexLink"/>
              </w:rPr>
              <w:t>155</w:t>
            </w:r>
          </w:hyperlink>
        </w:p>
        <w:p>
          <w:pPr>
            <w:pStyle w:val="Contents5"/>
            <w:tabs>
              <w:tab w:val="clear" w:pos="7892"/>
              <w:tab w:val="right" w:pos="9026" w:leader="dot"/>
            </w:tabs>
            <w:rPr/>
          </w:pPr>
          <w:hyperlink w:anchor="__RefHeading___Toc9026168_417432637">
            <w:r>
              <w:rPr>
                <w:webHidden/>
                <w:rStyle w:val="IndexLink"/>
                <w:rtl w:val="true"/>
              </w:rPr>
              <w:t>[</w:t>
            </w:r>
            <w:r>
              <w:rPr>
                <w:rStyle w:val="IndexLink"/>
                <w:rtl w:val="true"/>
              </w:rPr>
              <w:t xml:space="preserve">مسألة </w:t>
            </w:r>
            <w:r>
              <w:rPr>
                <w:rStyle w:val="IndexLink"/>
              </w:rPr>
              <w:t>10</w:t>
            </w:r>
            <w:r>
              <w:rPr>
                <w:rStyle w:val="IndexLink"/>
                <w:rtl w:val="true"/>
              </w:rPr>
              <w:t xml:space="preserve">: </w:t>
            </w:r>
            <w:r>
              <w:rPr>
                <w:rStyle w:val="IndexLink"/>
                <w:rtl w:val="true"/>
              </w:rPr>
              <w:t>كما يجوز للبائع اشتراط الخيار له بردّ الثمن</w:t>
            </w:r>
            <w:r>
              <w:rPr>
                <w:rStyle w:val="IndexLink"/>
                <w:rtl w:val="true"/>
              </w:rPr>
              <w:t>]</w:t>
              <w:tab/>
            </w:r>
            <w:r>
              <w:rPr>
                <w:rStyle w:val="IndexLink"/>
              </w:rPr>
              <w:t>156</w:t>
            </w:r>
          </w:hyperlink>
        </w:p>
        <w:p>
          <w:pPr>
            <w:pStyle w:val="Contents4"/>
            <w:tabs>
              <w:tab w:val="clear" w:pos="8176"/>
              <w:tab w:val="right" w:pos="9026" w:leader="dot"/>
            </w:tabs>
            <w:rPr/>
          </w:pPr>
          <w:hyperlink w:anchor="__RefHeading___Toc9026170_417432637">
            <w:r>
              <w:rPr>
                <w:webHidden/>
                <w:rStyle w:val="IndexLink"/>
                <w:rtl w:val="true"/>
              </w:rPr>
              <w:t>[</w:t>
            </w:r>
            <w:r>
              <w:rPr>
                <w:rStyle w:val="IndexLink"/>
                <w:rtl w:val="true"/>
              </w:rPr>
              <w:t>الرابع</w:t>
            </w:r>
            <w:r>
              <w:rPr>
                <w:rStyle w:val="IndexLink"/>
                <w:rtl w:val="true"/>
              </w:rPr>
              <w:t xml:space="preserve">: </w:t>
            </w:r>
            <w:r>
              <w:rPr>
                <w:rStyle w:val="IndexLink"/>
                <w:rtl w:val="true"/>
              </w:rPr>
              <w:t>خيار الغبن</w:t>
            </w:r>
            <w:r>
              <w:rPr>
                <w:rStyle w:val="IndexLink"/>
                <w:rtl w:val="true"/>
              </w:rPr>
              <w:t>]</w:t>
              <w:tab/>
            </w:r>
            <w:r>
              <w:rPr>
                <w:rStyle w:val="IndexLink"/>
              </w:rPr>
              <w:t>158</w:t>
            </w:r>
          </w:hyperlink>
        </w:p>
        <w:p>
          <w:pPr>
            <w:pStyle w:val="Contents5"/>
            <w:tabs>
              <w:tab w:val="clear" w:pos="7892"/>
              <w:tab w:val="right" w:pos="9026" w:leader="dot"/>
            </w:tabs>
            <w:rPr/>
          </w:pPr>
          <w:hyperlink w:anchor="__RefHeading___Toc9026172_41743263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9026174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ليس للمغبون مطالبة الغابن بتفاوت القيمة</w:t>
            </w:r>
            <w:r>
              <w:rPr>
                <w:rStyle w:val="IndexLink"/>
                <w:rtl w:val="true"/>
              </w:rPr>
              <w:t>]</w:t>
              <w:tab/>
            </w:r>
            <w:r>
              <w:rPr>
                <w:rStyle w:val="IndexLink"/>
              </w:rPr>
              <w:t>164</w:t>
            </w:r>
          </w:hyperlink>
        </w:p>
        <w:p>
          <w:pPr>
            <w:pStyle w:val="Contents5"/>
            <w:tabs>
              <w:tab w:val="clear" w:pos="7892"/>
              <w:tab w:val="right" w:pos="9026" w:leader="dot"/>
            </w:tabs>
            <w:rPr/>
          </w:pPr>
          <w:hyperlink w:anchor="__RefHeading___Toc9026176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الخيار ثابت للمغبون من حين العقد</w:t>
            </w:r>
            <w:r>
              <w:rPr>
                <w:rStyle w:val="IndexLink"/>
                <w:rtl w:val="true"/>
              </w:rPr>
              <w:t>]</w:t>
              <w:tab/>
            </w:r>
            <w:r>
              <w:rPr>
                <w:rStyle w:val="IndexLink"/>
              </w:rPr>
              <w:t>165</w:t>
            </w:r>
          </w:hyperlink>
        </w:p>
        <w:p>
          <w:pPr>
            <w:pStyle w:val="Contents5"/>
            <w:tabs>
              <w:tab w:val="clear" w:pos="7892"/>
              <w:tab w:val="right" w:pos="9026" w:leader="dot"/>
            </w:tabs>
            <w:rPr/>
          </w:pPr>
          <w:hyperlink w:anchor="__RefHeading___Toc9026178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لو اطلع على الغبن و لم يبادر بالفسخ</w:t>
            </w:r>
            <w:r>
              <w:rPr>
                <w:rStyle w:val="IndexLink"/>
                <w:rtl w:val="true"/>
              </w:rPr>
              <w:t>]</w:t>
              <w:tab/>
            </w:r>
            <w:r>
              <w:rPr>
                <w:rStyle w:val="IndexLink"/>
              </w:rPr>
              <w:t>169</w:t>
            </w:r>
          </w:hyperlink>
        </w:p>
        <w:p>
          <w:pPr>
            <w:pStyle w:val="Contents5"/>
            <w:tabs>
              <w:tab w:val="clear" w:pos="7892"/>
              <w:tab w:val="right" w:pos="9026" w:leader="dot"/>
            </w:tabs>
            <w:rPr/>
          </w:pPr>
          <w:hyperlink w:anchor="__RefHeading___Toc9026180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المدار في الغبن على القيمة حال العقد</w:t>
            </w:r>
            <w:r>
              <w:rPr>
                <w:rStyle w:val="IndexLink"/>
                <w:rtl w:val="true"/>
              </w:rPr>
              <w:t>]</w:t>
              <w:tab/>
            </w:r>
            <w:r>
              <w:rPr>
                <w:rStyle w:val="IndexLink"/>
              </w:rPr>
              <w:t>172</w:t>
            </w:r>
          </w:hyperlink>
        </w:p>
        <w:p>
          <w:pPr>
            <w:pStyle w:val="Contents5"/>
            <w:tabs>
              <w:tab w:val="clear" w:pos="7892"/>
              <w:tab w:val="right" w:pos="9026" w:leader="dot"/>
            </w:tabs>
            <w:rPr/>
          </w:pPr>
          <w:hyperlink w:anchor="__RefHeading___Toc9026182_41743263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يسقط هذا الخيار بأمور</w:t>
            </w:r>
            <w:r>
              <w:rPr>
                <w:rStyle w:val="IndexLink"/>
                <w:rtl w:val="true"/>
              </w:rPr>
              <w:t>]</w:t>
              <w:tab/>
            </w:r>
            <w:r>
              <w:rPr>
                <w:rStyle w:val="IndexLink"/>
              </w:rPr>
              <w:t>175</w:t>
            </w:r>
          </w:hyperlink>
        </w:p>
        <w:p>
          <w:pPr>
            <w:pStyle w:val="Contents6"/>
            <w:tabs>
              <w:tab w:val="clear" w:pos="7609"/>
              <w:tab w:val="right" w:pos="9026" w:leader="dot"/>
            </w:tabs>
            <w:rPr/>
          </w:pPr>
          <w:hyperlink w:anchor="__RefHeading___Toc9026184_417432637">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9026186_417432637">
            <w:r>
              <w:rPr>
                <w:webHidden/>
                <w:rStyle w:val="IndexLink"/>
                <w:rtl w:val="true"/>
              </w:rPr>
              <w:t>[</w:t>
            </w:r>
            <w:r>
              <w:rPr>
                <w:rStyle w:val="IndexLink"/>
                <w:rtl w:val="true"/>
              </w:rPr>
              <w:t>أحدها</w:t>
            </w:r>
            <w:r>
              <w:rPr>
                <w:rStyle w:val="IndexLink"/>
                <w:rtl w:val="true"/>
              </w:rPr>
              <w:t xml:space="preserve">: </w:t>
            </w:r>
            <w:r>
              <w:rPr>
                <w:rStyle w:val="IndexLink"/>
                <w:rtl w:val="true"/>
              </w:rPr>
              <w:t>اشتراط سقوطه في ضمن العقد</w:t>
            </w:r>
            <w:r>
              <w:rPr>
                <w:rStyle w:val="IndexLink"/>
                <w:rtl w:val="true"/>
              </w:rPr>
              <w:t>]</w:t>
              <w:tab/>
            </w:r>
            <w:r>
              <w:rPr>
                <w:rStyle w:val="IndexLink"/>
              </w:rPr>
              <w:t>175</w:t>
            </w:r>
          </w:hyperlink>
        </w:p>
        <w:p>
          <w:pPr>
            <w:pStyle w:val="Contents6"/>
            <w:tabs>
              <w:tab w:val="clear" w:pos="7609"/>
              <w:tab w:val="right" w:pos="9026" w:leader="dot"/>
            </w:tabs>
            <w:rPr/>
          </w:pPr>
          <w:hyperlink w:anchor="__RefHeading___Toc9026188_417432637">
            <w:r>
              <w:rPr>
                <w:webHidden/>
                <w:rStyle w:val="IndexLink"/>
                <w:rtl w:val="true"/>
              </w:rPr>
              <w:t>[</w:t>
            </w:r>
            <w:r>
              <w:rPr>
                <w:rStyle w:val="IndexLink"/>
                <w:rtl w:val="true"/>
              </w:rPr>
              <w:t>ثانيها</w:t>
            </w:r>
            <w:r>
              <w:rPr>
                <w:rStyle w:val="IndexLink"/>
                <w:rtl w:val="true"/>
              </w:rPr>
              <w:t xml:space="preserve">: </w:t>
            </w:r>
            <w:r>
              <w:rPr>
                <w:rStyle w:val="IndexLink"/>
                <w:rtl w:val="true"/>
              </w:rPr>
              <w:t>إسقاطه بعد العقد و لو قبل ظهور الغبن</w:t>
            </w:r>
            <w:r>
              <w:rPr>
                <w:rStyle w:val="IndexLink"/>
                <w:rtl w:val="true"/>
              </w:rPr>
              <w:t>]</w:t>
              <w:tab/>
            </w:r>
            <w:r>
              <w:rPr>
                <w:rStyle w:val="IndexLink"/>
              </w:rPr>
              <w:t>179</w:t>
            </w:r>
          </w:hyperlink>
        </w:p>
        <w:p>
          <w:pPr>
            <w:pStyle w:val="Contents6"/>
            <w:tabs>
              <w:tab w:val="clear" w:pos="7609"/>
              <w:tab w:val="right" w:pos="9026" w:leader="dot"/>
            </w:tabs>
            <w:rPr/>
          </w:pPr>
          <w:hyperlink w:anchor="__RefHeading___Toc9026190_417432637">
            <w:r>
              <w:rPr>
                <w:webHidden/>
                <w:rStyle w:val="IndexLink"/>
                <w:rtl w:val="true"/>
              </w:rPr>
              <w:t>[</w:t>
            </w:r>
            <w:r>
              <w:rPr>
                <w:rStyle w:val="IndexLink"/>
                <w:rtl w:val="true"/>
              </w:rPr>
              <w:t>الثالث</w:t>
            </w:r>
            <w:r>
              <w:rPr>
                <w:rStyle w:val="IndexLink"/>
                <w:rtl w:val="true"/>
              </w:rPr>
              <w:t xml:space="preserve">: </w:t>
            </w:r>
            <w:r>
              <w:rPr>
                <w:rStyle w:val="IndexLink"/>
                <w:rtl w:val="true"/>
              </w:rPr>
              <w:t>تصرّف المغبون بعد العلم بالغبن فيما انتقل إليه</w:t>
            </w:r>
            <w:r>
              <w:rPr>
                <w:rStyle w:val="IndexLink"/>
                <w:rtl w:val="true"/>
              </w:rPr>
              <w:t>]</w:t>
              <w:tab/>
            </w:r>
            <w:r>
              <w:rPr>
                <w:rStyle w:val="IndexLink"/>
              </w:rPr>
              <w:t>187</w:t>
            </w:r>
          </w:hyperlink>
        </w:p>
        <w:p>
          <w:pPr>
            <w:pStyle w:val="Contents5"/>
            <w:tabs>
              <w:tab w:val="clear" w:pos="7892"/>
              <w:tab w:val="right" w:pos="9026" w:leader="dot"/>
            </w:tabs>
            <w:rPr/>
          </w:pPr>
          <w:hyperlink w:anchor="__RefHeading___Toc9026192_41743263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لو فسخ البائع المغبون البيع</w:t>
            </w:r>
            <w:r>
              <w:rPr>
                <w:rStyle w:val="IndexLink"/>
                <w:rtl w:val="true"/>
              </w:rPr>
              <w:t>]</w:t>
              <w:tab/>
            </w:r>
            <w:r>
              <w:rPr>
                <w:rStyle w:val="IndexLink"/>
              </w:rPr>
              <w:t>194</w:t>
            </w:r>
          </w:hyperlink>
        </w:p>
        <w:p>
          <w:pPr>
            <w:pStyle w:val="Contents5"/>
            <w:tabs>
              <w:tab w:val="clear" w:pos="7892"/>
              <w:tab w:val="right" w:pos="9026" w:leader="dot"/>
            </w:tabs>
            <w:rPr/>
          </w:pPr>
          <w:hyperlink w:anchor="__RefHeading___Toc9026194_417432637">
            <w:r>
              <w:rPr>
                <w:webHidden/>
                <w:rStyle w:val="IndexLink"/>
                <w:rtl w:val="true"/>
              </w:rPr>
              <w:t>[</w:t>
            </w:r>
            <w:r>
              <w:rPr>
                <w:rStyle w:val="IndexLink"/>
                <w:rtl w:val="true"/>
              </w:rPr>
              <w:t xml:space="preserve">مسألة </w:t>
            </w:r>
            <w:r>
              <w:rPr>
                <w:rStyle w:val="IndexLink"/>
              </w:rPr>
              <w:t>7</w:t>
            </w:r>
            <w:r>
              <w:rPr>
                <w:rStyle w:val="IndexLink"/>
                <w:rtl w:val="true"/>
              </w:rPr>
              <w:t xml:space="preserve">: </w:t>
            </w:r>
            <w:r>
              <w:rPr>
                <w:rStyle w:val="IndexLink"/>
                <w:rtl w:val="true"/>
              </w:rPr>
              <w:t>بعد فسخ البائع المغبون لو كان المبيع موجوداً عند المشتري، لكن تصرّف فيه تصرّفاً مغيّراً له</w:t>
            </w:r>
            <w:r>
              <w:rPr>
                <w:rStyle w:val="IndexLink"/>
                <w:rtl w:val="true"/>
              </w:rPr>
              <w:t>]</w:t>
              <w:tab/>
            </w:r>
            <w:r>
              <w:rPr>
                <w:rStyle w:val="IndexLink"/>
              </w:rPr>
              <w:t>206</w:t>
            </w:r>
          </w:hyperlink>
        </w:p>
        <w:p>
          <w:pPr>
            <w:pStyle w:val="Contents5"/>
            <w:tabs>
              <w:tab w:val="clear" w:pos="7892"/>
              <w:tab w:val="right" w:pos="9026" w:leader="dot"/>
            </w:tabs>
            <w:rPr/>
          </w:pPr>
          <w:hyperlink w:anchor="__RefHeading___Toc9026196_417432637">
            <w:r>
              <w:rPr>
                <w:webHidden/>
                <w:rStyle w:val="IndexLink"/>
                <w:rtl w:val="true"/>
              </w:rPr>
              <w:t>[</w:t>
            </w:r>
            <w:r>
              <w:rPr>
                <w:rStyle w:val="IndexLink"/>
                <w:rtl w:val="true"/>
              </w:rPr>
              <w:t xml:space="preserve">مسألة </w:t>
            </w:r>
            <w:r>
              <w:rPr>
                <w:rStyle w:val="IndexLink"/>
              </w:rPr>
              <w:t>8</w:t>
            </w:r>
            <w:r>
              <w:rPr>
                <w:rStyle w:val="IndexLink"/>
                <w:rtl w:val="true"/>
              </w:rPr>
              <w:t xml:space="preserve">: </w:t>
            </w:r>
            <w:r>
              <w:rPr>
                <w:rStyle w:val="IndexLink"/>
                <w:rtl w:val="true"/>
              </w:rPr>
              <w:t>لو باع أو اشترى شيئين صفقة واحدة، و كان مغبوناً في أحدهما دون الآخر</w:t>
            </w:r>
            <w:r>
              <w:rPr>
                <w:rStyle w:val="IndexLink"/>
                <w:rtl w:val="true"/>
              </w:rPr>
              <w:t>]</w:t>
              <w:tab/>
            </w:r>
            <w:r>
              <w:rPr>
                <w:rStyle w:val="IndexLink"/>
              </w:rPr>
              <w:t>227</w:t>
            </w:r>
          </w:hyperlink>
        </w:p>
        <w:p>
          <w:pPr>
            <w:pStyle w:val="Contents4"/>
            <w:tabs>
              <w:tab w:val="clear" w:pos="8176"/>
              <w:tab w:val="right" w:pos="9026" w:leader="dot"/>
            </w:tabs>
            <w:rPr/>
          </w:pPr>
          <w:hyperlink w:anchor="__RefHeading___Toc9026198_417432637">
            <w:r>
              <w:rPr>
                <w:webHidden/>
                <w:rStyle w:val="IndexLink"/>
                <w:rtl w:val="true"/>
              </w:rPr>
              <w:t>[</w:t>
            </w:r>
            <w:r>
              <w:rPr>
                <w:rStyle w:val="IndexLink"/>
                <w:rtl w:val="true"/>
              </w:rPr>
              <w:t>الخامس</w:t>
            </w:r>
            <w:r>
              <w:rPr>
                <w:rStyle w:val="IndexLink"/>
                <w:rtl w:val="true"/>
              </w:rPr>
              <w:t xml:space="preserve">: </w:t>
            </w:r>
            <w:r>
              <w:rPr>
                <w:rStyle w:val="IndexLink"/>
                <w:rtl w:val="true"/>
              </w:rPr>
              <w:t>خيار التأخير</w:t>
            </w:r>
            <w:r>
              <w:rPr>
                <w:rStyle w:val="IndexLink"/>
                <w:rtl w:val="true"/>
              </w:rPr>
              <w:t>]</w:t>
              <w:tab/>
            </w:r>
            <w:r>
              <w:rPr>
                <w:rStyle w:val="IndexLink"/>
              </w:rPr>
              <w:t>229</w:t>
            </w:r>
          </w:hyperlink>
        </w:p>
        <w:p>
          <w:pPr>
            <w:pStyle w:val="Contents5"/>
            <w:tabs>
              <w:tab w:val="clear" w:pos="7892"/>
              <w:tab w:val="right" w:pos="9026" w:leader="dot"/>
            </w:tabs>
            <w:rPr/>
          </w:pPr>
          <w:hyperlink w:anchor="__RefHeading___Toc9026200_41743263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9026202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الظاهر أنّ هذا الخيار ليس على الفور</w:t>
            </w:r>
            <w:r>
              <w:rPr>
                <w:rStyle w:val="IndexLink"/>
                <w:rtl w:val="true"/>
              </w:rPr>
              <w:t>]</w:t>
              <w:tab/>
            </w:r>
            <w:r>
              <w:rPr>
                <w:rStyle w:val="IndexLink"/>
              </w:rPr>
              <w:t>239</w:t>
            </w:r>
          </w:hyperlink>
        </w:p>
        <w:p>
          <w:pPr>
            <w:pStyle w:val="Contents5"/>
            <w:tabs>
              <w:tab w:val="clear" w:pos="7892"/>
              <w:tab w:val="right" w:pos="9026" w:leader="dot"/>
            </w:tabs>
            <w:rPr/>
          </w:pPr>
          <w:hyperlink w:anchor="__RefHeading___Toc9026204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يسقط هذا الخيار باشتراط سقوطه في ضمن العقد</w:t>
            </w:r>
            <w:r>
              <w:rPr>
                <w:rStyle w:val="IndexLink"/>
                <w:rtl w:val="true"/>
              </w:rPr>
              <w:t>]</w:t>
              <w:tab/>
            </w:r>
            <w:r>
              <w:rPr>
                <w:rStyle w:val="IndexLink"/>
              </w:rPr>
              <w:t>240</w:t>
            </w:r>
          </w:hyperlink>
        </w:p>
        <w:p>
          <w:pPr>
            <w:pStyle w:val="Contents5"/>
            <w:tabs>
              <w:tab w:val="clear" w:pos="7892"/>
              <w:tab w:val="right" w:pos="9026" w:leader="dot"/>
            </w:tabs>
            <w:rPr/>
          </w:pPr>
          <w:hyperlink w:anchor="__RefHeading___Toc9026206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 xml:space="preserve">المراد ب </w:t>
            </w:r>
            <w:r>
              <w:rPr>
                <w:rStyle w:val="IndexLink"/>
                <w:rtl w:val="true"/>
              </w:rPr>
              <w:t>«</w:t>
            </w:r>
            <w:r>
              <w:rPr>
                <w:rStyle w:val="IndexLink"/>
                <w:rtl w:val="true"/>
              </w:rPr>
              <w:t>ثلاثة أيّام</w:t>
            </w:r>
            <w:r>
              <w:rPr>
                <w:rStyle w:val="IndexLink"/>
                <w:rtl w:val="true"/>
              </w:rPr>
              <w:t xml:space="preserve">» </w:t>
            </w:r>
            <w:r>
              <w:rPr>
                <w:rStyle w:val="IndexLink"/>
                <w:rtl w:val="true"/>
              </w:rPr>
              <w:t>هو بياض اليوم</w:t>
            </w:r>
            <w:r>
              <w:rPr>
                <w:rStyle w:val="IndexLink"/>
                <w:rtl w:val="true"/>
              </w:rPr>
              <w:t>]</w:t>
              <w:tab/>
            </w:r>
            <w:r>
              <w:rPr>
                <w:rStyle w:val="IndexLink"/>
              </w:rPr>
              <w:t>246</w:t>
            </w:r>
          </w:hyperlink>
        </w:p>
        <w:p>
          <w:pPr>
            <w:pStyle w:val="Contents5"/>
            <w:tabs>
              <w:tab w:val="clear" w:pos="7892"/>
              <w:tab w:val="right" w:pos="9026" w:leader="dot"/>
            </w:tabs>
            <w:rPr/>
          </w:pPr>
          <w:hyperlink w:anchor="__RefHeading___Toc9026208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لا يجري هذا الخيار في غير البيع</w:t>
            </w:r>
            <w:r>
              <w:rPr>
                <w:rStyle w:val="IndexLink"/>
                <w:rtl w:val="true"/>
              </w:rPr>
              <w:t>]</w:t>
              <w:tab/>
            </w:r>
            <w:r>
              <w:rPr>
                <w:rStyle w:val="IndexLink"/>
              </w:rPr>
              <w:t>248</w:t>
            </w:r>
          </w:hyperlink>
        </w:p>
        <w:p>
          <w:pPr>
            <w:pStyle w:val="Contents5"/>
            <w:tabs>
              <w:tab w:val="clear" w:pos="7892"/>
              <w:tab w:val="right" w:pos="9026" w:leader="dot"/>
            </w:tabs>
            <w:rPr/>
          </w:pPr>
          <w:hyperlink w:anchor="__RefHeading___Toc9026210_41743263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لو تلف المبيع كان من مال البائع في الثلاثة، و بعدها على الأقوى</w:t>
            </w:r>
            <w:r>
              <w:rPr>
                <w:rStyle w:val="IndexLink"/>
                <w:rtl w:val="true"/>
              </w:rPr>
              <w:t>]</w:t>
              <w:tab/>
            </w:r>
            <w:r>
              <w:rPr>
                <w:rStyle w:val="IndexLink"/>
              </w:rPr>
              <w:t>249</w:t>
            </w:r>
          </w:hyperlink>
        </w:p>
        <w:p>
          <w:pPr>
            <w:pStyle w:val="Contents5"/>
            <w:tabs>
              <w:tab w:val="clear" w:pos="7892"/>
              <w:tab w:val="right" w:pos="9026" w:leader="dot"/>
            </w:tabs>
            <w:rPr/>
          </w:pPr>
          <w:hyperlink w:anchor="__RefHeading___Toc9026212_41743263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لو باع ما يتسارع إليه الفساد</w:t>
            </w:r>
            <w:r>
              <w:rPr>
                <w:rStyle w:val="IndexLink"/>
                <w:rtl w:val="true"/>
              </w:rPr>
              <w:t>]</w:t>
              <w:tab/>
            </w:r>
            <w:r>
              <w:rPr>
                <w:rStyle w:val="IndexLink"/>
              </w:rPr>
              <w:t>250</w:t>
            </w:r>
          </w:hyperlink>
        </w:p>
        <w:p>
          <w:pPr>
            <w:pStyle w:val="Contents4"/>
            <w:tabs>
              <w:tab w:val="clear" w:pos="8176"/>
              <w:tab w:val="right" w:pos="9026" w:leader="dot"/>
            </w:tabs>
            <w:rPr/>
          </w:pPr>
          <w:hyperlink w:anchor="__RefHeading___Toc9026214_417432637">
            <w:r>
              <w:rPr>
                <w:webHidden/>
                <w:rStyle w:val="IndexLink"/>
                <w:rtl w:val="true"/>
              </w:rPr>
              <w:t>[</w:t>
            </w:r>
            <w:r>
              <w:rPr>
                <w:rStyle w:val="IndexLink"/>
                <w:rtl w:val="true"/>
              </w:rPr>
              <w:t>السادس</w:t>
            </w:r>
            <w:r>
              <w:rPr>
                <w:rStyle w:val="IndexLink"/>
                <w:rtl w:val="true"/>
              </w:rPr>
              <w:t xml:space="preserve">: </w:t>
            </w:r>
            <w:r>
              <w:rPr>
                <w:rStyle w:val="IndexLink"/>
                <w:rtl w:val="true"/>
              </w:rPr>
              <w:t>خيار الرؤية</w:t>
            </w:r>
            <w:r>
              <w:rPr>
                <w:rStyle w:val="IndexLink"/>
                <w:rtl w:val="true"/>
              </w:rPr>
              <w:t>]</w:t>
              <w:tab/>
            </w:r>
            <w:r>
              <w:rPr>
                <w:rStyle w:val="IndexLink"/>
              </w:rPr>
              <w:t>253</w:t>
            </w:r>
          </w:hyperlink>
        </w:p>
        <w:p>
          <w:pPr>
            <w:pStyle w:val="Contents5"/>
            <w:tabs>
              <w:tab w:val="clear" w:pos="7892"/>
              <w:tab w:val="right" w:pos="9026" w:leader="dot"/>
            </w:tabs>
            <w:rPr/>
          </w:pPr>
          <w:hyperlink w:anchor="__RefHeading___Toc9026216_41743263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9026218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الخيار هنا بين الردّ و الإمساك مجّاناً</w:t>
            </w:r>
            <w:r>
              <w:rPr>
                <w:rStyle w:val="IndexLink"/>
                <w:rtl w:val="true"/>
              </w:rPr>
              <w:t>]</w:t>
              <w:tab/>
            </w:r>
            <w:r>
              <w:rPr>
                <w:rStyle w:val="IndexLink"/>
              </w:rPr>
              <w:t>257</w:t>
            </w:r>
          </w:hyperlink>
        </w:p>
        <w:p>
          <w:pPr>
            <w:pStyle w:val="Contents5"/>
            <w:tabs>
              <w:tab w:val="clear" w:pos="7892"/>
              <w:tab w:val="right" w:pos="9026" w:leader="dot"/>
            </w:tabs>
            <w:rPr/>
          </w:pPr>
          <w:hyperlink w:anchor="__RefHeading___Toc9026220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مورد هذا الخيار بيع العين الشخصيّة الغائبة حين المبايعة</w:t>
            </w:r>
            <w:r>
              <w:rPr>
                <w:rStyle w:val="IndexLink"/>
                <w:rtl w:val="true"/>
              </w:rPr>
              <w:t>]</w:t>
              <w:tab/>
            </w:r>
            <w:r>
              <w:rPr>
                <w:rStyle w:val="IndexLink"/>
              </w:rPr>
              <w:t>260</w:t>
            </w:r>
          </w:hyperlink>
        </w:p>
        <w:p>
          <w:pPr>
            <w:pStyle w:val="Contents5"/>
            <w:tabs>
              <w:tab w:val="clear" w:pos="7892"/>
              <w:tab w:val="right" w:pos="9026" w:leader="dot"/>
            </w:tabs>
            <w:rPr/>
          </w:pPr>
          <w:hyperlink w:anchor="__RefHeading___Toc9026222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هذا الخيار فوري عند الرؤية على المشهور</w:t>
            </w:r>
            <w:r>
              <w:rPr>
                <w:rStyle w:val="IndexLink"/>
                <w:rtl w:val="true"/>
              </w:rPr>
              <w:t>]</w:t>
              <w:tab/>
            </w:r>
            <w:r>
              <w:rPr>
                <w:rStyle w:val="IndexLink"/>
              </w:rPr>
              <w:t>263</w:t>
            </w:r>
          </w:hyperlink>
        </w:p>
        <w:p>
          <w:pPr>
            <w:pStyle w:val="Contents5"/>
            <w:tabs>
              <w:tab w:val="clear" w:pos="7892"/>
              <w:tab w:val="right" w:pos="9026" w:leader="dot"/>
            </w:tabs>
            <w:rPr/>
          </w:pPr>
          <w:hyperlink w:anchor="__RefHeading___Toc9026224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يسقط هذا الخيار باشتراط سقوطه في ضمن العقد</w:t>
            </w:r>
            <w:r>
              <w:rPr>
                <w:rStyle w:val="IndexLink"/>
                <w:rtl w:val="true"/>
              </w:rPr>
              <w:t>]</w:t>
              <w:tab/>
            </w:r>
            <w:r>
              <w:rPr>
                <w:rStyle w:val="IndexLink"/>
              </w:rPr>
              <w:t>265</w:t>
            </w:r>
          </w:hyperlink>
        </w:p>
        <w:p>
          <w:pPr>
            <w:pStyle w:val="Contents4"/>
            <w:tabs>
              <w:tab w:val="clear" w:pos="8176"/>
              <w:tab w:val="right" w:pos="9026" w:leader="dot"/>
            </w:tabs>
            <w:rPr/>
          </w:pPr>
          <w:hyperlink w:anchor="__RefHeading___Toc9026226_417432637">
            <w:r>
              <w:rPr>
                <w:webHidden/>
                <w:rStyle w:val="IndexLink"/>
                <w:rtl w:val="true"/>
              </w:rPr>
              <w:t>[</w:t>
            </w:r>
            <w:r>
              <w:rPr>
                <w:rStyle w:val="IndexLink"/>
                <w:rtl w:val="true"/>
              </w:rPr>
              <w:t>السابع</w:t>
            </w:r>
            <w:r>
              <w:rPr>
                <w:rStyle w:val="IndexLink"/>
                <w:rtl w:val="true"/>
              </w:rPr>
              <w:t xml:space="preserve">: </w:t>
            </w:r>
            <w:r>
              <w:rPr>
                <w:rStyle w:val="IndexLink"/>
                <w:rtl w:val="true"/>
              </w:rPr>
              <w:t>خيار العيب</w:t>
            </w:r>
            <w:r>
              <w:rPr>
                <w:rStyle w:val="IndexLink"/>
                <w:rtl w:val="true"/>
              </w:rPr>
              <w:t>]</w:t>
              <w:tab/>
            </w:r>
            <w:r>
              <w:rPr>
                <w:rStyle w:val="IndexLink"/>
              </w:rPr>
              <w:t>270</w:t>
            </w:r>
          </w:hyperlink>
        </w:p>
        <w:p>
          <w:pPr>
            <w:pStyle w:val="Contents5"/>
            <w:tabs>
              <w:tab w:val="clear" w:pos="7892"/>
              <w:tab w:val="right" w:pos="9026" w:leader="dot"/>
            </w:tabs>
            <w:rPr/>
          </w:pPr>
          <w:hyperlink w:anchor="__RefHeading___Toc9026228_41743263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9026230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يثبت هذا الخيار بمجرّد العيب واقعاً عند العقد و إن لم يظهر بعدُ</w:t>
            </w:r>
            <w:r>
              <w:rPr>
                <w:rStyle w:val="IndexLink"/>
                <w:rtl w:val="true"/>
              </w:rPr>
              <w:t>]</w:t>
              <w:tab/>
            </w:r>
            <w:r>
              <w:rPr>
                <w:rStyle w:val="IndexLink"/>
              </w:rPr>
              <w:t>288</w:t>
            </w:r>
          </w:hyperlink>
        </w:p>
        <w:p>
          <w:pPr>
            <w:pStyle w:val="Contents5"/>
            <w:tabs>
              <w:tab w:val="clear" w:pos="7892"/>
              <w:tab w:val="right" w:pos="9026" w:leader="dot"/>
            </w:tabs>
            <w:rPr/>
          </w:pPr>
          <w:hyperlink w:anchor="__RefHeading___Toc9026232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كما يثبت الخيار بوجود العيب عند العقد، كذلك يثبت بحدوثه بعده قبل القبض</w:t>
            </w:r>
            <w:r>
              <w:rPr>
                <w:rStyle w:val="IndexLink"/>
                <w:rtl w:val="true"/>
              </w:rPr>
              <w:t>]</w:t>
              <w:tab/>
            </w:r>
            <w:r>
              <w:rPr>
                <w:rStyle w:val="IndexLink"/>
              </w:rPr>
              <w:t>296</w:t>
            </w:r>
          </w:hyperlink>
        </w:p>
        <w:p>
          <w:pPr>
            <w:pStyle w:val="Contents5"/>
            <w:tabs>
              <w:tab w:val="clear" w:pos="7892"/>
              <w:tab w:val="right" w:pos="9026" w:leader="dot"/>
            </w:tabs>
            <w:rPr/>
          </w:pPr>
          <w:hyperlink w:anchor="__RefHeading___Toc9026234_417432637">
            <w:r>
              <w:rPr>
                <w:webHidden/>
                <w:rStyle w:val="IndexLink"/>
                <w:rtl w:val="true"/>
              </w:rPr>
              <w:t>[</w:t>
            </w:r>
            <w:r>
              <w:rPr>
                <w:rStyle w:val="IndexLink"/>
                <w:rtl w:val="true"/>
              </w:rPr>
              <w:t xml:space="preserve">مسألة </w:t>
            </w:r>
            <w:r>
              <w:rPr>
                <w:rStyle w:val="IndexLink"/>
              </w:rPr>
              <w:t>3</w:t>
            </w:r>
            <w:r>
              <w:rPr>
                <w:rStyle w:val="IndexLink"/>
                <w:rtl w:val="true"/>
              </w:rPr>
              <w:t xml:space="preserve">: </w:t>
            </w:r>
            <w:r>
              <w:rPr>
                <w:rStyle w:val="IndexLink"/>
                <w:rtl w:val="true"/>
              </w:rPr>
              <w:t>لو كان معيوباً عند العقد، و زال العيب قبل ظهوره</w:t>
            </w:r>
            <w:r>
              <w:rPr>
                <w:rStyle w:val="IndexLink"/>
                <w:rtl w:val="true"/>
              </w:rPr>
              <w:t>]</w:t>
              <w:tab/>
            </w:r>
            <w:r>
              <w:rPr>
                <w:rStyle w:val="IndexLink"/>
              </w:rPr>
              <w:t>302</w:t>
            </w:r>
          </w:hyperlink>
        </w:p>
        <w:p>
          <w:pPr>
            <w:pStyle w:val="Contents5"/>
            <w:tabs>
              <w:tab w:val="clear" w:pos="7892"/>
              <w:tab w:val="right" w:pos="9026" w:leader="dot"/>
            </w:tabs>
            <w:rPr/>
          </w:pPr>
          <w:hyperlink w:anchor="__RefHeading___Toc9026236_417432637">
            <w:r>
              <w:rPr>
                <w:webHidden/>
                <w:rStyle w:val="IndexLink"/>
                <w:rtl w:val="true"/>
              </w:rPr>
              <w:t>[</w:t>
            </w:r>
            <w:r>
              <w:rPr>
                <w:rStyle w:val="IndexLink"/>
                <w:rtl w:val="true"/>
              </w:rPr>
              <w:t xml:space="preserve">مسألة </w:t>
            </w:r>
            <w:r>
              <w:rPr>
                <w:rStyle w:val="IndexLink"/>
              </w:rPr>
              <w:t>4</w:t>
            </w:r>
            <w:r>
              <w:rPr>
                <w:rStyle w:val="IndexLink"/>
                <w:rtl w:val="true"/>
              </w:rPr>
              <w:t xml:space="preserve">: </w:t>
            </w:r>
            <w:r>
              <w:rPr>
                <w:rStyle w:val="IndexLink"/>
                <w:rtl w:val="true"/>
              </w:rPr>
              <w:t>كيفيّة أخذ الأرش</w:t>
            </w:r>
            <w:r>
              <w:rPr>
                <w:rStyle w:val="IndexLink"/>
                <w:rtl w:val="true"/>
              </w:rPr>
              <w:t>]</w:t>
              <w:tab/>
            </w:r>
            <w:r>
              <w:rPr>
                <w:rStyle w:val="IndexLink"/>
              </w:rPr>
              <w:t>306</w:t>
            </w:r>
          </w:hyperlink>
        </w:p>
        <w:p>
          <w:pPr>
            <w:pStyle w:val="Contents5"/>
            <w:tabs>
              <w:tab w:val="clear" w:pos="7892"/>
              <w:tab w:val="right" w:pos="9026" w:leader="dot"/>
            </w:tabs>
            <w:rPr/>
          </w:pPr>
          <w:hyperlink w:anchor="__RefHeading___Toc9026238_417432637">
            <w:r>
              <w:rPr>
                <w:webHidden/>
                <w:rStyle w:val="IndexLink"/>
                <w:rtl w:val="true"/>
              </w:rPr>
              <w:t>[</w:t>
            </w:r>
            <w:r>
              <w:rPr>
                <w:rStyle w:val="IndexLink"/>
                <w:rtl w:val="true"/>
              </w:rPr>
              <w:t xml:space="preserve">مسألة </w:t>
            </w:r>
            <w:r>
              <w:rPr>
                <w:rStyle w:val="IndexLink"/>
              </w:rPr>
              <w:t>5</w:t>
            </w:r>
            <w:r>
              <w:rPr>
                <w:rStyle w:val="IndexLink"/>
                <w:rtl w:val="true"/>
              </w:rPr>
              <w:t xml:space="preserve">: </w:t>
            </w:r>
            <w:r>
              <w:rPr>
                <w:rStyle w:val="IndexLink"/>
                <w:rtl w:val="true"/>
              </w:rPr>
              <w:t>لو تعارض المقوّمون في تقويم الصحيح أو المعيب أو كليهما</w:t>
            </w:r>
            <w:r>
              <w:rPr>
                <w:rStyle w:val="IndexLink"/>
                <w:rtl w:val="true"/>
              </w:rPr>
              <w:t>]</w:t>
              <w:tab/>
            </w:r>
            <w:r>
              <w:rPr>
                <w:rStyle w:val="IndexLink"/>
              </w:rPr>
              <w:t>312</w:t>
            </w:r>
          </w:hyperlink>
        </w:p>
        <w:p>
          <w:pPr>
            <w:pStyle w:val="Contents5"/>
            <w:tabs>
              <w:tab w:val="clear" w:pos="7892"/>
              <w:tab w:val="right" w:pos="9026" w:leader="dot"/>
            </w:tabs>
            <w:rPr/>
          </w:pPr>
          <w:hyperlink w:anchor="__RefHeading___Toc9026240_417432637">
            <w:r>
              <w:rPr>
                <w:webHidden/>
                <w:rStyle w:val="IndexLink"/>
                <w:rtl w:val="true"/>
              </w:rPr>
              <w:t>[</w:t>
            </w:r>
            <w:r>
              <w:rPr>
                <w:rStyle w:val="IndexLink"/>
                <w:rtl w:val="true"/>
              </w:rPr>
              <w:t xml:space="preserve">مسألة </w:t>
            </w:r>
            <w:r>
              <w:rPr>
                <w:rStyle w:val="IndexLink"/>
              </w:rPr>
              <w:t>6</w:t>
            </w:r>
            <w:r>
              <w:rPr>
                <w:rStyle w:val="IndexLink"/>
                <w:rtl w:val="true"/>
              </w:rPr>
              <w:t xml:space="preserve">: </w:t>
            </w:r>
            <w:r>
              <w:rPr>
                <w:rStyle w:val="IndexLink"/>
                <w:rtl w:val="true"/>
              </w:rPr>
              <w:t>لو باع شيئين صفقة واحدة، فظهر العيب في أحدهما</w:t>
            </w:r>
            <w:r>
              <w:rPr>
                <w:rStyle w:val="IndexLink"/>
                <w:rtl w:val="true"/>
              </w:rPr>
              <w:t>]</w:t>
              <w:tab/>
            </w:r>
            <w:r>
              <w:rPr>
                <w:rStyle w:val="IndexLink"/>
              </w:rPr>
              <w:t>314</w:t>
            </w:r>
          </w:hyperlink>
        </w:p>
        <w:p>
          <w:pPr>
            <w:pStyle w:val="Contents3"/>
            <w:tabs>
              <w:tab w:val="clear" w:pos="8459"/>
              <w:tab w:val="right" w:pos="9026" w:leader="dot"/>
            </w:tabs>
            <w:rPr/>
          </w:pPr>
          <w:hyperlink w:anchor="__RefHeading___Toc9026242_417432637">
            <w:r>
              <w:rPr>
                <w:webHidden/>
                <w:rStyle w:val="IndexLink"/>
                <w:rtl w:val="true"/>
              </w:rPr>
              <w:t>[</w:t>
            </w:r>
            <w:r>
              <w:rPr>
                <w:rStyle w:val="IndexLink"/>
                <w:rtl w:val="true"/>
              </w:rPr>
              <w:t>القول في أحكام الخيار</w:t>
            </w:r>
            <w:r>
              <w:rPr>
                <w:rStyle w:val="IndexLink"/>
                <w:rtl w:val="true"/>
              </w:rPr>
              <w:t>]</w:t>
              <w:tab/>
            </w:r>
            <w:r>
              <w:rPr>
                <w:rStyle w:val="IndexLink"/>
              </w:rPr>
              <w:t>319</w:t>
            </w:r>
          </w:hyperlink>
        </w:p>
        <w:p>
          <w:pPr>
            <w:pStyle w:val="Contents4"/>
            <w:tabs>
              <w:tab w:val="clear" w:pos="8176"/>
              <w:tab w:val="right" w:pos="9026" w:leader="dot"/>
            </w:tabs>
            <w:rPr/>
          </w:pPr>
          <w:hyperlink w:anchor="__RefHeading___Toc9026244_417432637">
            <w:r>
              <w:rPr>
                <w:webHidden/>
                <w:rStyle w:val="IndexLink"/>
                <w:rtl w:val="true"/>
              </w:rPr>
              <w:t>القول في أحكام الخيار و له أحكام مشتركة بين الجميع، و أحكام مختصّة ببعض لا يناسب هذا المختصر تفصيلها</w:t>
            </w:r>
            <w:r>
              <w:rPr>
                <w:rStyle w:val="IndexLink"/>
                <w:rtl w:val="true"/>
              </w:rPr>
              <w:t>.</w:t>
              <w:tab/>
            </w:r>
            <w:r>
              <w:rPr>
                <w:rStyle w:val="IndexLink"/>
              </w:rPr>
              <w:t>319</w:t>
            </w:r>
          </w:hyperlink>
        </w:p>
        <w:p>
          <w:pPr>
            <w:pStyle w:val="Contents4"/>
            <w:tabs>
              <w:tab w:val="clear" w:pos="8176"/>
              <w:tab w:val="right" w:pos="9026" w:leader="dot"/>
            </w:tabs>
            <w:rPr/>
          </w:pPr>
          <w:hyperlink w:anchor="__RefHeading___Toc9026246_417432637">
            <w:r>
              <w:rPr>
                <w:webHidden/>
                <w:rStyle w:val="IndexLink"/>
                <w:rtl w:val="true"/>
              </w:rPr>
              <w:t>[</w:t>
            </w:r>
            <w:r>
              <w:rPr>
                <w:rStyle w:val="IndexLink"/>
                <w:rtl w:val="true"/>
              </w:rPr>
              <w:t xml:space="preserve">مسألة </w:t>
            </w:r>
            <w:r>
              <w:rPr>
                <w:rStyle w:val="IndexLink"/>
              </w:rPr>
              <w:t>1</w:t>
            </w:r>
            <w:r>
              <w:rPr>
                <w:rStyle w:val="IndexLink"/>
                <w:rtl w:val="true"/>
              </w:rPr>
              <w:t xml:space="preserve">: </w:t>
            </w:r>
            <w:r>
              <w:rPr>
                <w:rStyle w:val="IndexLink"/>
                <w:rtl w:val="true"/>
              </w:rPr>
              <w:t>لا إشكال فيما إذا كان الوارث واحداً، و لو تعدّد فالأقوى أنّ الخيار للمجموع</w:t>
            </w:r>
            <w:r>
              <w:rPr>
                <w:rStyle w:val="IndexLink"/>
                <w:rtl w:val="true"/>
              </w:rPr>
              <w:t>]</w:t>
              <w:tab/>
            </w:r>
            <w:r>
              <w:rPr>
                <w:rStyle w:val="IndexLink"/>
              </w:rPr>
              <w:t>326</w:t>
            </w:r>
          </w:hyperlink>
        </w:p>
        <w:p>
          <w:pPr>
            <w:pStyle w:val="Contents4"/>
            <w:tabs>
              <w:tab w:val="clear" w:pos="8176"/>
              <w:tab w:val="right" w:pos="9026" w:leader="dot"/>
            </w:tabs>
            <w:rPr/>
          </w:pPr>
          <w:hyperlink w:anchor="__RefHeading___Toc9026248_417432637">
            <w:r>
              <w:rPr>
                <w:webHidden/>
                <w:rStyle w:val="IndexLink"/>
                <w:rtl w:val="true"/>
              </w:rPr>
              <w:t>[</w:t>
            </w:r>
            <w:r>
              <w:rPr>
                <w:rStyle w:val="IndexLink"/>
                <w:rtl w:val="true"/>
              </w:rPr>
              <w:t xml:space="preserve">مسألة </w:t>
            </w:r>
            <w:r>
              <w:rPr>
                <w:rStyle w:val="IndexLink"/>
              </w:rPr>
              <w:t>2</w:t>
            </w:r>
            <w:r>
              <w:rPr>
                <w:rStyle w:val="IndexLink"/>
                <w:rtl w:val="true"/>
              </w:rPr>
              <w:t xml:space="preserve">: </w:t>
            </w:r>
            <w:r>
              <w:rPr>
                <w:rStyle w:val="IndexLink"/>
                <w:rtl w:val="true"/>
              </w:rPr>
              <w:t>لو اجتمع الورثة على الفسخ فيما باعه مورّثهم</w:t>
            </w:r>
            <w:r>
              <w:rPr>
                <w:rStyle w:val="IndexLink"/>
                <w:rtl w:val="true"/>
              </w:rPr>
              <w:t>]</w:t>
              <w:tab/>
            </w:r>
            <w:r>
              <w:rPr>
                <w:rStyle w:val="IndexLink"/>
              </w:rPr>
              <w:t>328</w:t>
            </w:r>
          </w:hyperlink>
        </w:p>
        <w:p>
          <w:pPr>
            <w:pStyle w:val="Contents2"/>
            <w:tabs>
              <w:tab w:val="clear" w:pos="8743"/>
              <w:tab w:val="right" w:pos="9026" w:leader="dot"/>
            </w:tabs>
            <w:rPr/>
          </w:pPr>
          <w:hyperlink w:anchor="__RefHeading___Toc9026250_417432637">
            <w:r>
              <w:rPr>
                <w:webHidden/>
                <w:rStyle w:val="IndexLink"/>
                <w:rtl w:val="true"/>
              </w:rPr>
              <w:t>[</w:t>
            </w:r>
            <w:r>
              <w:rPr>
                <w:rStyle w:val="IndexLink"/>
                <w:rtl w:val="true"/>
              </w:rPr>
              <w:t>كتاب النكاح</w:t>
            </w:r>
            <w:r>
              <w:rPr>
                <w:rStyle w:val="IndexLink"/>
                <w:rtl w:val="true"/>
              </w:rPr>
              <w:t>]</w:t>
              <w:tab/>
            </w:r>
            <w:r>
              <w:rPr>
                <w:rStyle w:val="IndexLink"/>
              </w:rPr>
              <w:t>330</w:t>
            </w:r>
          </w:hyperlink>
        </w:p>
        <w:p>
          <w:pPr>
            <w:pStyle w:val="Contents3"/>
            <w:tabs>
              <w:tab w:val="clear" w:pos="8459"/>
              <w:tab w:val="right" w:pos="9026" w:leader="dot"/>
            </w:tabs>
            <w:rPr/>
          </w:pPr>
          <w:hyperlink w:anchor="__RefHeading___Toc9026252_417432637">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9026254_417432637">
            <w:r>
              <w:rPr>
                <w:webHidden/>
                <w:rStyle w:val="IndexLink"/>
                <w:rtl w:val="true"/>
              </w:rPr>
              <w:t>[</w:t>
            </w:r>
            <w:r>
              <w:rPr>
                <w:rStyle w:val="IndexLink"/>
                <w:rtl w:val="true"/>
              </w:rPr>
              <w:t>أحكام الوطء</w:t>
            </w:r>
            <w:r>
              <w:rPr>
                <w:rStyle w:val="IndexLink"/>
                <w:rtl w:val="true"/>
              </w:rPr>
              <w:t>]</w:t>
              <w:tab/>
            </w:r>
            <w:r>
              <w:rPr>
                <w:rStyle w:val="IndexLink"/>
              </w:rPr>
              <w:t>331</w:t>
            </w:r>
          </w:hyperlink>
        </w:p>
        <w:p>
          <w:pPr>
            <w:pStyle w:val="Contents4"/>
            <w:tabs>
              <w:tab w:val="clear" w:pos="8176"/>
              <w:tab w:val="right" w:pos="9026" w:leader="dot"/>
            </w:tabs>
            <w:rPr/>
          </w:pPr>
          <w:hyperlink w:anchor="__RefHeading___Toc9026256_417432637">
            <w:r>
              <w:rPr>
                <w:webHidden/>
                <w:rStyle w:val="IndexLink"/>
                <w:rtl w:val="true"/>
              </w:rPr>
              <w:t>[</w:t>
            </w:r>
            <w:r>
              <w:rPr>
                <w:rStyle w:val="IndexLink"/>
                <w:rtl w:val="true"/>
              </w:rPr>
              <w:t xml:space="preserve">مسألة </w:t>
            </w:r>
            <w:r>
              <w:rPr>
                <w:rStyle w:val="IndexLink"/>
              </w:rPr>
              <w:t>11</w:t>
            </w:r>
            <w:r>
              <w:rPr>
                <w:rStyle w:val="IndexLink"/>
                <w:rtl w:val="true"/>
              </w:rPr>
              <w:t xml:space="preserve">: </w:t>
            </w:r>
            <w:r>
              <w:rPr>
                <w:rStyle w:val="IndexLink"/>
                <w:rtl w:val="true"/>
              </w:rPr>
              <w:t>المشهور الأقوى جواز وطء الزوجة دبراً</w:t>
            </w:r>
            <w:r>
              <w:rPr>
                <w:rStyle w:val="IndexLink"/>
                <w:rtl w:val="true"/>
              </w:rPr>
              <w:t>]</w:t>
              <w:tab/>
            </w:r>
            <w:r>
              <w:rPr>
                <w:rStyle w:val="IndexLink"/>
              </w:rPr>
              <w:t>331</w:t>
            </w:r>
          </w:hyperlink>
        </w:p>
        <w:p>
          <w:pPr>
            <w:pStyle w:val="Contents4"/>
            <w:tabs>
              <w:tab w:val="clear" w:pos="8176"/>
              <w:tab w:val="right" w:pos="9026" w:leader="dot"/>
            </w:tabs>
            <w:rPr/>
          </w:pPr>
          <w:hyperlink w:anchor="__RefHeading___Toc9026258_417432637">
            <w:r>
              <w:rPr>
                <w:webHidden/>
                <w:rStyle w:val="IndexLink"/>
                <w:rtl w:val="true"/>
              </w:rPr>
              <w:t>[</w:t>
            </w:r>
            <w:r>
              <w:rPr>
                <w:rStyle w:val="IndexLink"/>
                <w:rtl w:val="true"/>
              </w:rPr>
              <w:t xml:space="preserve">مسألة </w:t>
            </w:r>
            <w:r>
              <w:rPr>
                <w:rStyle w:val="IndexLink"/>
              </w:rPr>
              <w:t>12</w:t>
            </w:r>
            <w:r>
              <w:rPr>
                <w:rStyle w:val="IndexLink"/>
                <w:rtl w:val="true"/>
              </w:rPr>
              <w:t xml:space="preserve">: </w:t>
            </w:r>
            <w:r>
              <w:rPr>
                <w:rStyle w:val="IndexLink"/>
                <w:rtl w:val="true"/>
              </w:rPr>
              <w:t>لا يجوز وطء الزوجة قبل إكمال تسع سنين</w:t>
            </w:r>
            <w:r>
              <w:rPr>
                <w:rStyle w:val="IndexLink"/>
                <w:rtl w:val="true"/>
              </w:rPr>
              <w:t>]</w:t>
              <w:tab/>
            </w:r>
            <w:r>
              <w:rPr>
                <w:rStyle w:val="IndexLink"/>
              </w:rPr>
              <w:t>337</w:t>
            </w:r>
          </w:hyperlink>
        </w:p>
        <w:p>
          <w:pPr>
            <w:pStyle w:val="Contents4"/>
            <w:tabs>
              <w:tab w:val="clear" w:pos="8176"/>
              <w:tab w:val="right" w:pos="9026" w:leader="dot"/>
            </w:tabs>
            <w:rPr/>
          </w:pPr>
          <w:hyperlink w:anchor="__RefHeading___Toc9026260_417432637">
            <w:r>
              <w:rPr>
                <w:webHidden/>
                <w:rStyle w:val="IndexLink"/>
                <w:rtl w:val="true"/>
              </w:rPr>
              <w:t>[</w:t>
            </w:r>
            <w:r>
              <w:rPr>
                <w:rStyle w:val="IndexLink"/>
                <w:rtl w:val="true"/>
              </w:rPr>
              <w:t xml:space="preserve">مسألة </w:t>
            </w:r>
            <w:r>
              <w:rPr>
                <w:rStyle w:val="IndexLink"/>
              </w:rPr>
              <w:t>13</w:t>
            </w:r>
            <w:r>
              <w:rPr>
                <w:rStyle w:val="IndexLink"/>
                <w:rtl w:val="true"/>
              </w:rPr>
              <w:t xml:space="preserve">: </w:t>
            </w:r>
            <w:r>
              <w:rPr>
                <w:rStyle w:val="IndexLink"/>
                <w:rtl w:val="true"/>
              </w:rPr>
              <w:t>لا يجوز ترك وطء الزوجة أكثر من أربعة أشهر</w:t>
            </w:r>
            <w:r>
              <w:rPr>
                <w:rStyle w:val="IndexLink"/>
                <w:rtl w:val="true"/>
              </w:rPr>
              <w:t>]</w:t>
              <w:tab/>
            </w:r>
            <w:r>
              <w:rPr>
                <w:rStyle w:val="IndexLink"/>
              </w:rPr>
              <w:t>360</w:t>
            </w:r>
          </w:hyperlink>
        </w:p>
        <w:p>
          <w:pPr>
            <w:pStyle w:val="Contents4"/>
            <w:tabs>
              <w:tab w:val="clear" w:pos="8176"/>
              <w:tab w:val="right" w:pos="9026" w:leader="dot"/>
            </w:tabs>
            <w:rPr/>
          </w:pPr>
          <w:hyperlink w:anchor="__RefHeading___Toc9026262_417432637">
            <w:r>
              <w:rPr>
                <w:webHidden/>
                <w:rStyle w:val="IndexLink"/>
                <w:rtl w:val="true"/>
              </w:rPr>
              <w:t>[</w:t>
            </w:r>
            <w:r>
              <w:rPr>
                <w:rStyle w:val="IndexLink"/>
                <w:rtl w:val="true"/>
              </w:rPr>
              <w:t xml:space="preserve">مسألة </w:t>
            </w:r>
            <w:r>
              <w:rPr>
                <w:rStyle w:val="IndexLink"/>
              </w:rPr>
              <w:t>14</w:t>
            </w:r>
            <w:r>
              <w:rPr>
                <w:rStyle w:val="IndexLink"/>
                <w:rtl w:val="true"/>
              </w:rPr>
              <w:t xml:space="preserve">: </w:t>
            </w:r>
            <w:r>
              <w:rPr>
                <w:rStyle w:val="IndexLink"/>
                <w:rtl w:val="true"/>
              </w:rPr>
              <w:t>لا إشكال في جواز العزل</w:t>
            </w:r>
            <w:r>
              <w:rPr>
                <w:rStyle w:val="IndexLink"/>
                <w:rtl w:val="true"/>
              </w:rPr>
              <w:t>]</w:t>
              <w:tab/>
            </w:r>
            <w:r>
              <w:rPr>
                <w:rStyle w:val="IndexLink"/>
              </w:rPr>
              <w:t>368</w:t>
            </w:r>
          </w:hyperlink>
        </w:p>
        <w:p>
          <w:pPr>
            <w:pStyle w:val="Contents3"/>
            <w:tabs>
              <w:tab w:val="clear" w:pos="8459"/>
              <w:tab w:val="right" w:pos="9026" w:leader="dot"/>
            </w:tabs>
            <w:rPr/>
          </w:pPr>
          <w:hyperlink w:anchor="__RefHeading___Toc9026264_417432637">
            <w:r>
              <w:rPr>
                <w:webHidden/>
                <w:rStyle w:val="IndexLink"/>
                <w:rtl w:val="true"/>
              </w:rPr>
              <w:t>[</w:t>
            </w:r>
            <w:r>
              <w:rPr>
                <w:rStyle w:val="IndexLink"/>
                <w:rtl w:val="true"/>
              </w:rPr>
              <w:t>أحكام النظر</w:t>
            </w:r>
            <w:r>
              <w:rPr>
                <w:rStyle w:val="IndexLink"/>
                <w:rtl w:val="true"/>
              </w:rPr>
              <w:t>]</w:t>
              <w:tab/>
            </w:r>
            <w:r>
              <w:rPr>
                <w:rStyle w:val="IndexLink"/>
              </w:rPr>
              <w:t>376</w:t>
            </w:r>
          </w:hyperlink>
        </w:p>
        <w:p>
          <w:pPr>
            <w:pStyle w:val="Contents4"/>
            <w:tabs>
              <w:tab w:val="clear" w:pos="8176"/>
              <w:tab w:val="right" w:pos="9026" w:leader="dot"/>
            </w:tabs>
            <w:rPr/>
          </w:pPr>
          <w:hyperlink w:anchor="__RefHeading___Toc9026266_417432637">
            <w:r>
              <w:rPr>
                <w:webHidden/>
                <w:rStyle w:val="IndexLink"/>
                <w:rtl w:val="true"/>
              </w:rPr>
              <w:t>[</w:t>
            </w:r>
            <w:r>
              <w:rPr>
                <w:rStyle w:val="IndexLink"/>
                <w:rtl w:val="true"/>
              </w:rPr>
              <w:t xml:space="preserve">مسألة </w:t>
            </w:r>
            <w:r>
              <w:rPr>
                <w:rStyle w:val="IndexLink"/>
              </w:rPr>
              <w:t>15</w:t>
            </w:r>
            <w:r>
              <w:rPr>
                <w:rStyle w:val="IndexLink"/>
                <w:rtl w:val="true"/>
              </w:rPr>
              <w:t xml:space="preserve">: </w:t>
            </w:r>
            <w:r>
              <w:rPr>
                <w:rStyle w:val="IndexLink"/>
                <w:rtl w:val="true"/>
              </w:rPr>
              <w:t>يجوز لكلّ من الزوج و الزوجة النظر إلى جسد الآخر</w:t>
            </w:r>
            <w:r>
              <w:rPr>
                <w:rStyle w:val="IndexLink"/>
                <w:rtl w:val="true"/>
              </w:rPr>
              <w:t>]</w:t>
              <w:tab/>
            </w:r>
            <w:r>
              <w:rPr>
                <w:rStyle w:val="IndexLink"/>
              </w:rPr>
              <w:t>376</w:t>
            </w:r>
          </w:hyperlink>
        </w:p>
        <w:p>
          <w:pPr>
            <w:pStyle w:val="Contents4"/>
            <w:tabs>
              <w:tab w:val="clear" w:pos="8176"/>
              <w:tab w:val="right" w:pos="9026" w:leader="dot"/>
            </w:tabs>
            <w:rPr/>
          </w:pPr>
          <w:hyperlink w:anchor="__RefHeading___Toc9026268_417432637">
            <w:r>
              <w:rPr>
                <w:webHidden/>
                <w:rStyle w:val="IndexLink"/>
                <w:rtl w:val="true"/>
              </w:rPr>
              <w:t>[</w:t>
            </w:r>
            <w:r>
              <w:rPr>
                <w:rStyle w:val="IndexLink"/>
                <w:rtl w:val="true"/>
              </w:rPr>
              <w:t xml:space="preserve">مسألة </w:t>
            </w:r>
            <w:r>
              <w:rPr>
                <w:rStyle w:val="IndexLink"/>
              </w:rPr>
              <w:t>16</w:t>
            </w:r>
            <w:r>
              <w:rPr>
                <w:rStyle w:val="IndexLink"/>
                <w:rtl w:val="true"/>
              </w:rPr>
              <w:t xml:space="preserve">: </w:t>
            </w:r>
            <w:r>
              <w:rPr>
                <w:rStyle w:val="IndexLink"/>
                <w:rtl w:val="true"/>
              </w:rPr>
              <w:t>لا إشكال في جواز نظر الرجل إلى ما عدا العورة من مماثله</w:t>
            </w:r>
            <w:r>
              <w:rPr>
                <w:rStyle w:val="IndexLink"/>
                <w:rtl w:val="true"/>
              </w:rPr>
              <w:t>]</w:t>
              <w:tab/>
            </w:r>
            <w:r>
              <w:rPr>
                <w:rStyle w:val="IndexLink"/>
              </w:rPr>
              <w:t>379</w:t>
            </w:r>
          </w:hyperlink>
        </w:p>
        <w:p>
          <w:pPr>
            <w:pStyle w:val="Contents4"/>
            <w:tabs>
              <w:tab w:val="clear" w:pos="8176"/>
              <w:tab w:val="right" w:pos="9026" w:leader="dot"/>
            </w:tabs>
            <w:rPr/>
          </w:pPr>
          <w:hyperlink w:anchor="__RefHeading___Toc9026270_417432637">
            <w:r>
              <w:rPr>
                <w:webHidden/>
                <w:rStyle w:val="IndexLink"/>
                <w:rtl w:val="true"/>
              </w:rPr>
              <w:t>[</w:t>
            </w:r>
            <w:r>
              <w:rPr>
                <w:rStyle w:val="IndexLink"/>
                <w:rtl w:val="true"/>
              </w:rPr>
              <w:t xml:space="preserve">مسألة </w:t>
            </w:r>
            <w:r>
              <w:rPr>
                <w:rStyle w:val="IndexLink"/>
              </w:rPr>
              <w:t>17</w:t>
            </w:r>
            <w:r>
              <w:rPr>
                <w:rStyle w:val="IndexLink"/>
                <w:rtl w:val="true"/>
              </w:rPr>
              <w:t xml:space="preserve">: </w:t>
            </w:r>
            <w:r>
              <w:rPr>
                <w:rStyle w:val="IndexLink"/>
                <w:rtl w:val="true"/>
              </w:rPr>
              <w:t>يجوز الرجل أن ينظر إلى جسد محارمه، ما عدا العورة</w:t>
            </w:r>
            <w:r>
              <w:rPr>
                <w:rStyle w:val="IndexLink"/>
                <w:rtl w:val="true"/>
              </w:rPr>
              <w:t>]</w:t>
              <w:tab/>
            </w:r>
            <w:r>
              <w:rPr>
                <w:rStyle w:val="IndexLink"/>
              </w:rPr>
              <w:t>382</w:t>
            </w:r>
          </w:hyperlink>
        </w:p>
        <w:p>
          <w:pPr>
            <w:pStyle w:val="Contents4"/>
            <w:tabs>
              <w:tab w:val="clear" w:pos="8176"/>
              <w:tab w:val="right" w:pos="9026" w:leader="dot"/>
            </w:tabs>
            <w:rPr/>
          </w:pPr>
          <w:hyperlink w:anchor="__RefHeading___Toc9026272_417432637">
            <w:r>
              <w:rPr>
                <w:webHidden/>
                <w:rStyle w:val="IndexLink"/>
                <w:rtl w:val="true"/>
              </w:rPr>
              <w:t>[</w:t>
            </w:r>
            <w:r>
              <w:rPr>
                <w:rStyle w:val="IndexLink"/>
                <w:rtl w:val="true"/>
              </w:rPr>
              <w:t xml:space="preserve">مسألة </w:t>
            </w:r>
            <w:r>
              <w:rPr>
                <w:rStyle w:val="IndexLink"/>
              </w:rPr>
              <w:t>18</w:t>
            </w:r>
            <w:r>
              <w:rPr>
                <w:rStyle w:val="IndexLink"/>
                <w:rtl w:val="true"/>
              </w:rPr>
              <w:t xml:space="preserve">: </w:t>
            </w:r>
            <w:r>
              <w:rPr>
                <w:rStyle w:val="IndexLink"/>
                <w:rtl w:val="true"/>
              </w:rPr>
              <w:t>لا إشكال في عدم جواز نظر الرجل إلى ما عدا الوجه و الكفّين؛ من المرأة الأجنبيّة</w:t>
            </w:r>
            <w:r>
              <w:rPr>
                <w:rStyle w:val="IndexLink"/>
                <w:rtl w:val="true"/>
              </w:rPr>
              <w:t>]</w:t>
              <w:tab/>
            </w:r>
            <w:r>
              <w:rPr>
                <w:rStyle w:val="IndexLink"/>
              </w:rPr>
              <w:t>387</w:t>
            </w:r>
          </w:hyperlink>
        </w:p>
        <w:p>
          <w:pPr>
            <w:pStyle w:val="Contents4"/>
            <w:tabs>
              <w:tab w:val="clear" w:pos="8176"/>
              <w:tab w:val="right" w:pos="9026" w:leader="dot"/>
            </w:tabs>
            <w:rPr/>
          </w:pPr>
          <w:hyperlink w:anchor="__RefHeading___Toc9026274_417432637">
            <w:r>
              <w:rPr>
                <w:webHidden/>
                <w:rStyle w:val="IndexLink"/>
                <w:rtl w:val="true"/>
              </w:rPr>
              <w:t>[</w:t>
            </w:r>
            <w:r>
              <w:rPr>
                <w:rStyle w:val="IndexLink"/>
                <w:rtl w:val="true"/>
              </w:rPr>
              <w:t xml:space="preserve">مسألة </w:t>
            </w:r>
            <w:r>
              <w:rPr>
                <w:rStyle w:val="IndexLink"/>
              </w:rPr>
              <w:t>19</w:t>
            </w:r>
            <w:r>
              <w:rPr>
                <w:rStyle w:val="IndexLink"/>
                <w:rtl w:val="true"/>
              </w:rPr>
              <w:t xml:space="preserve">: </w:t>
            </w:r>
            <w:r>
              <w:rPr>
                <w:rStyle w:val="IndexLink"/>
                <w:rtl w:val="true"/>
              </w:rPr>
              <w:t>لا يجوز للمرأة النظر إلى الأجنبي كالعكس</w:t>
            </w:r>
            <w:r>
              <w:rPr>
                <w:rStyle w:val="IndexLink"/>
                <w:rtl w:val="true"/>
              </w:rPr>
              <w:t>]</w:t>
              <w:tab/>
            </w:r>
            <w:r>
              <w:rPr>
                <w:rStyle w:val="IndexLink"/>
              </w:rPr>
              <w:t>399</w:t>
            </w:r>
          </w:hyperlink>
        </w:p>
        <w:p>
          <w:pPr>
            <w:pStyle w:val="Contents4"/>
            <w:tabs>
              <w:tab w:val="clear" w:pos="8176"/>
              <w:tab w:val="right" w:pos="9026" w:leader="dot"/>
            </w:tabs>
            <w:rPr/>
          </w:pPr>
          <w:hyperlink w:anchor="__RefHeading___Toc9026276_417432637">
            <w:r>
              <w:rPr>
                <w:webHidden/>
                <w:rStyle w:val="IndexLink"/>
                <w:rtl w:val="true"/>
              </w:rPr>
              <w:t>[</w:t>
            </w:r>
            <w:r>
              <w:rPr>
                <w:rStyle w:val="IndexLink"/>
                <w:rtl w:val="true"/>
              </w:rPr>
              <w:t xml:space="preserve">مسألة </w:t>
            </w:r>
            <w:r>
              <w:rPr>
                <w:rStyle w:val="IndexLink"/>
              </w:rPr>
              <w:t>20</w:t>
            </w:r>
            <w:r>
              <w:rPr>
                <w:rStyle w:val="IndexLink"/>
                <w:rtl w:val="true"/>
              </w:rPr>
              <w:t xml:space="preserve">: </w:t>
            </w:r>
            <w:r>
              <w:rPr>
                <w:rStyle w:val="IndexLink"/>
                <w:rtl w:val="true"/>
              </w:rPr>
              <w:t>كلّ من يحرم النظر إليه يحرم مسّه</w:t>
            </w:r>
            <w:r>
              <w:rPr>
                <w:rStyle w:val="IndexLink"/>
                <w:rtl w:val="true"/>
              </w:rPr>
              <w:t>]</w:t>
              <w:tab/>
            </w:r>
            <w:r>
              <w:rPr>
                <w:rStyle w:val="IndexLink"/>
              </w:rPr>
              <w:t>402</w:t>
            </w:r>
          </w:hyperlink>
        </w:p>
        <w:p>
          <w:pPr>
            <w:pStyle w:val="Contents4"/>
            <w:tabs>
              <w:tab w:val="clear" w:pos="8176"/>
              <w:tab w:val="right" w:pos="9026" w:leader="dot"/>
            </w:tabs>
            <w:rPr/>
          </w:pPr>
          <w:hyperlink w:anchor="__RefHeading___Toc9026278_417432637">
            <w:r>
              <w:rPr>
                <w:webHidden/>
                <w:rStyle w:val="IndexLink"/>
                <w:rtl w:val="true"/>
              </w:rPr>
              <w:t>[</w:t>
            </w:r>
            <w:r>
              <w:rPr>
                <w:rStyle w:val="IndexLink"/>
                <w:rtl w:val="true"/>
              </w:rPr>
              <w:t xml:space="preserve">مسألة </w:t>
            </w:r>
            <w:r>
              <w:rPr>
                <w:rStyle w:val="IndexLink"/>
              </w:rPr>
              <w:t>21</w:t>
            </w:r>
            <w:r>
              <w:rPr>
                <w:rStyle w:val="IndexLink"/>
                <w:rtl w:val="true"/>
              </w:rPr>
              <w:t xml:space="preserve">: </w:t>
            </w:r>
            <w:r>
              <w:rPr>
                <w:rStyle w:val="IndexLink"/>
                <w:rtl w:val="true"/>
              </w:rPr>
              <w:t>لا يجوز النظر إلى العضو المبان من الأجنبيّ و الأجنبيّة</w:t>
            </w:r>
            <w:r>
              <w:rPr>
                <w:rStyle w:val="IndexLink"/>
                <w:rtl w:val="true"/>
              </w:rPr>
              <w:t>]</w:t>
              <w:tab/>
            </w:r>
            <w:r>
              <w:rPr>
                <w:rStyle w:val="IndexLink"/>
              </w:rPr>
              <w:t>407</w:t>
            </w:r>
          </w:hyperlink>
        </w:p>
        <w:p>
          <w:pPr>
            <w:pStyle w:val="Contents4"/>
            <w:tabs>
              <w:tab w:val="clear" w:pos="8176"/>
              <w:tab w:val="right" w:pos="9026" w:leader="dot"/>
            </w:tabs>
            <w:rPr/>
          </w:pPr>
          <w:hyperlink w:anchor="__RefHeading___Toc9026280_417432637">
            <w:r>
              <w:rPr>
                <w:webHidden/>
                <w:rStyle w:val="IndexLink"/>
                <w:rtl w:val="true"/>
              </w:rPr>
              <w:t>[</w:t>
            </w:r>
            <w:r>
              <w:rPr>
                <w:rStyle w:val="IndexLink"/>
                <w:rtl w:val="true"/>
              </w:rPr>
              <w:t xml:space="preserve">مسألة </w:t>
            </w:r>
            <w:r>
              <w:rPr>
                <w:rStyle w:val="IndexLink"/>
              </w:rPr>
              <w:t>22</w:t>
            </w:r>
            <w:r>
              <w:rPr>
                <w:rStyle w:val="IndexLink"/>
                <w:rtl w:val="true"/>
              </w:rPr>
              <w:t xml:space="preserve">: </w:t>
            </w:r>
            <w:r>
              <w:rPr>
                <w:rStyle w:val="IndexLink"/>
                <w:rtl w:val="true"/>
              </w:rPr>
              <w:t>يستثنى من حرمة النظر و اللّمس في الأجنبيّ و الأجنبيّة، مقام المعالجة</w:t>
            </w:r>
            <w:r>
              <w:rPr>
                <w:rStyle w:val="IndexLink"/>
                <w:rtl w:val="true"/>
              </w:rPr>
              <w:t>]</w:t>
              <w:tab/>
            </w:r>
            <w:r>
              <w:rPr>
                <w:rStyle w:val="IndexLink"/>
              </w:rPr>
              <w:t>412</w:t>
            </w:r>
          </w:hyperlink>
        </w:p>
        <w:p>
          <w:pPr>
            <w:pStyle w:val="Contents4"/>
            <w:tabs>
              <w:tab w:val="clear" w:pos="8176"/>
              <w:tab w:val="right" w:pos="9026" w:leader="dot"/>
            </w:tabs>
            <w:rPr/>
          </w:pPr>
          <w:hyperlink w:anchor="__RefHeading___Toc9026282_417432637">
            <w:r>
              <w:rPr>
                <w:webHidden/>
                <w:rStyle w:val="IndexLink"/>
                <w:rtl w:val="true"/>
              </w:rPr>
              <w:t>[</w:t>
            </w:r>
            <w:r>
              <w:rPr>
                <w:rStyle w:val="IndexLink"/>
                <w:rtl w:val="true"/>
              </w:rPr>
              <w:t xml:space="preserve">مسألة </w:t>
            </w:r>
            <w:r>
              <w:rPr>
                <w:rStyle w:val="IndexLink"/>
              </w:rPr>
              <w:t>23</w:t>
            </w:r>
            <w:r>
              <w:rPr>
                <w:rStyle w:val="IndexLink"/>
                <w:rtl w:val="true"/>
              </w:rPr>
              <w:t xml:space="preserve">: </w:t>
            </w:r>
            <w:r>
              <w:rPr>
                <w:rStyle w:val="IndexLink"/>
                <w:rtl w:val="true"/>
              </w:rPr>
              <w:t>كما يحرم على الرجل النظر إلى الأجنبيّة، يجب عليها التستّر من الأجانب</w:t>
            </w:r>
            <w:r>
              <w:rPr>
                <w:rStyle w:val="IndexLink"/>
                <w:rtl w:val="true"/>
              </w:rPr>
              <w:t>]</w:t>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70_121483"/>
      <w:bookmarkStart w:id="1" w:name="pg12370_121483"/>
      <w:bookmarkEnd w:id="1"/>
    </w:p>
    <w:p>
      <w:pPr>
        <w:pStyle w:val="Heading2"/>
        <w:numPr>
          <w:ilvl w:val="1"/>
          <w:numId w:val="1"/>
        </w:numPr>
        <w:rPr/>
      </w:pPr>
      <w:bookmarkStart w:id="2" w:name="pg12370_121483"/>
      <w:bookmarkStart w:id="3" w:name="__RefHeading___Toc9026080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مصطفی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الامام الخمینی،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۳۰۲۳۳۲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۲۴۷۹۶</w:t>
      </w:r>
    </w:p>
    <w:p>
      <w:pPr>
        <w:pStyle w:val="Heading2"/>
        <w:numPr>
          <w:ilvl w:val="1"/>
          <w:numId w:val="1"/>
        </w:numPr>
        <w:rPr/>
      </w:pPr>
      <w:bookmarkStart w:id="5" w:name="__RefHeading___Toc9026082_417432637"/>
      <w:bookmarkStart w:id="6" w:name="_Toc2"/>
      <w:bookmarkEnd w:id="5"/>
      <w:r>
        <w:rPr>
          <w:rtl w:val="true"/>
        </w:rPr>
        <w:t>[</w:t>
      </w:r>
      <w:r>
        <w:rPr>
          <w:rtl w:val="true"/>
        </w:rPr>
        <w:t>كتاب البيع</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9026084_417432637"/>
      <w:bookmarkStart w:id="8" w:name="_Toc3"/>
      <w:bookmarkEnd w:id="7"/>
      <w:r>
        <w:rPr>
          <w:rtl w:val="true"/>
        </w:rPr>
        <w:t>اشارة</w:t>
      </w:r>
      <w:bookmarkStart w:id="9" w:name="pg12370_121485"/>
      <w:bookmarkEnd w:id="8"/>
    </w:p>
    <w:p>
      <w:pPr>
        <w:pStyle w:val="Heading3"/>
        <w:numPr>
          <w:ilvl w:val="2"/>
          <w:numId w:val="1"/>
        </w:numPr>
        <w:rPr/>
      </w:pPr>
      <w:bookmarkStart w:id="10" w:name="__RefHeading___Toc9026086_417432637"/>
      <w:bookmarkStart w:id="11" w:name="_Toc4"/>
      <w:bookmarkEnd w:id="9"/>
      <w:bookmarkEnd w:id="10"/>
      <w:r>
        <w:rPr>
          <w:rtl w:val="true"/>
        </w:rPr>
        <w:t>[</w:t>
      </w:r>
      <w:r>
        <w:rPr>
          <w:rtl w:val="true"/>
        </w:rPr>
        <w:t>القول في الإيجاب و القبول</w:t>
      </w:r>
      <w:r>
        <w:rPr>
          <w:rtl w:val="true"/>
        </w:rPr>
        <w:t>]</w:t>
      </w:r>
      <w:bookmarkEnd w:id="11"/>
    </w:p>
    <w:p>
      <w:pPr>
        <w:pStyle w:val="Heading4"/>
        <w:numPr>
          <w:ilvl w:val="3"/>
          <w:numId w:val="1"/>
        </w:numPr>
        <w:rPr/>
      </w:pPr>
      <w:bookmarkStart w:id="12" w:name="__RefHeading___Toc9026088_417432637"/>
      <w:bookmarkStart w:id="13" w:name="_Toc5"/>
      <w:bookmarkEnd w:id="12"/>
      <w:r>
        <w:rPr>
          <w:rtl w:val="true"/>
        </w:rPr>
        <w:t>[</w:t>
      </w:r>
      <w:r>
        <w:rPr>
          <w:rtl w:val="true"/>
        </w:rPr>
        <w:t xml:space="preserve">مسألة </w:t>
      </w:r>
      <w:r>
        <w:rPr/>
        <w:t>1</w:t>
      </w:r>
      <w:r>
        <w:rPr>
          <w:rtl w:val="true"/>
        </w:rPr>
        <w:t xml:space="preserve">: </w:t>
      </w:r>
      <w:r>
        <w:rPr>
          <w:rtl w:val="true"/>
        </w:rPr>
        <w:t>عقد البيع يحتاج إلى إيجاب و قبول</w:t>
      </w:r>
      <w:r>
        <w:rPr>
          <w:rtl w:val="true"/>
        </w:rPr>
        <w:t>]</w:t>
      </w:r>
      <w:bookmarkEnd w:id="1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 يحتاج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إيجاب و قبول، و قد يستغني عن القبول، في الإيجاب و القبول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و اتفاقاً بين الملل، سواء قلنا باشتراط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عناوين المعاملات المعاوضيّة و المتقوّمة بالطرفين، أو قلنا بعدمه، كما هو التحقيق؛ فإنّ الضرورة قاضيّة بصحّة البيع و لزومه و إن سلب عنه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الكتاب و السنّة، فهو ناظر إلى ما هو بالحمل الشائع بيع و إجارة، و تكون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تقسيم القوم العناوين إلى العقود و الإيقاعات، ليس في محلّه؛ فإنّ جميع الماهيّات الاعتباريّة مشتركة في تحقّقها بالموجب تحقّقاً إنشائيّاً، و لكنّها لا تؤثّر في العقود إلّا بإمضاء المشتري، فماهيّة البيع هي التمليك، أو إنشاؤه، أو التبادل، أو المبادلة، أو غيرها، و كلّ ذلك يحصل بإنشاء الموجب، و لكنّها كالفضوليّ لا أثر لها إلّا بعد ظهور الرضا من</w:t>
      </w:r>
    </w:p>
    <w:p>
      <w:pPr>
        <w:pStyle w:val="BookText"/>
        <w:rPr/>
      </w:pPr>
      <w:r>
        <w:rPr>
          <w:rFonts w:ascii="Amiri" w:hAnsi="Amiri" w:eastAsia="Amiri" w:cs="Amiri"/>
          <w:color w:val="111111"/>
          <w:sz w:val="28"/>
          <w:sz w:val="28"/>
          <w:szCs w:val="28"/>
          <w:rtl w:val="true"/>
          <w:lang w:bidi="ar-SA"/>
        </w:rPr>
        <w:t>قبل الطرف المقابل، فلو كان الأثر الفعليّ من مقوّمات الماهيّة، يلزم عدم كون بيع الفضوليّ بيعاً حقيقة، و لو لم يكن ذلك مقوّماً لها، فهي و هي إنشاء التمليك بالعوض متحقّقة في الاعتبار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عقداً، ممنوعة أوّلًا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عقديّة العقد تحصل بالعقدة، و هي توجد بإنشاء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الخاطر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المعاملات و منها البيع، لها إطلاقات، قد يراد منها المعنى المسبّبي؛ و هو النقل و الانتقال، و لعلّه المراد من قوله تعالى وَ أَحَلَّ اللَّهُ الْبَيْعَ</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يراد منها السبب التامّ المتعقّب بالأثر و المسبّب، و هذا لعلّه المراد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يطلق و يراد منه فعل البائع الملازم لقبول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فعله و إن لم ينضمّ إليه القبول؛ ضرورة أنّه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زيد و ما اشترى عمرو منه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المقصود في أدلّة النفوذ و في الاستعمالات المتعارفة، أحد الأوّلين، و ليس معناه على التقديرين متقوّماً بالأثر الفعليّ، و عليه كما يتحقّق</w:t>
      </w:r>
    </w:p>
    <w:p>
      <w:pPr>
        <w:pStyle w:val="BookText"/>
        <w:rPr/>
      </w:pPr>
      <w:r>
        <w:rPr>
          <w:rFonts w:ascii="Amiri" w:hAnsi="Amiri" w:eastAsia="Amiri" w:cs="Amiri"/>
          <w:color w:val="111111"/>
          <w:sz w:val="28"/>
          <w:sz w:val="28"/>
          <w:szCs w:val="28"/>
          <w:rtl w:val="true"/>
          <w:lang w:bidi="ar-SA"/>
        </w:rPr>
        <w:t>كما إذا وكّل المشتري أو البائع صاحبه في البيع و الشراء، أو وكّلا ثالثاً،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الأقوى عدم الاحتياج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ماهيّته بالإيجاب، كذلك يتحقّق بالقبول فيما كان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حصول الأثر حقيقة إلّا بهما، و في حصول تماميّة الماهيّة الاعتباريّة بهما؛ و هي إنشاء المعاوضة عن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عدم الاحتياج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عدم تقوّم الماهيّة به، فإذن يحصل عقد البيع بعمله الوحدانيّ واجداً جميعَ الآثار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الظاهر من قوله تعالى فَلَمَّا قَضى زَيْدٌ مِنْها وَطَراً زَوَّجْناكَها </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فإنّه لم يعهد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 بعد ذلك، فلو أوقع وليّ الابن و البنت بينهما عقد الزواج، فلا معنى للقبول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الظاهر من بعض ما ورد في قصص زواج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سلام اللَّه تعالى عليهما و كون الآية قابلة لحملها على الإخبار، لا ينافي ظهورها العرفي في الإنشاء بعد اقتضاء القواعد صحّته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قضيّة الإجماعات المحصّلة ممنوعيّته و شرطيّة القبول، و لكنّها بمعزل عن إفادة أمر وراء ما فهموه،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عدم اعتبار العربيّة، بل يقع بكلّ لغة و لو مع إمكان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مع إمكان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لجمع، كالسيّد عميد الدين</w:t>
      </w:r>
      <w:r>
        <w:rPr>
          <w:rStyle w:val="FootnoteAnchor"/>
          <w:rtl w:val="true"/>
        </w:rPr>
        <w:footnoteReference w:id="4"/>
      </w:r>
      <w:r>
        <w:rPr>
          <w:rFonts w:ascii="IRNazanin" w:hAnsi="IRNazanin" w:eastAsia="IRNazanin"/>
          <w:color w:val="111111"/>
          <w:sz w:val="28"/>
          <w:sz w:val="28"/>
          <w:szCs w:val="28"/>
          <w:rtl w:val="true"/>
          <w:lang w:bidi="fa-IR"/>
        </w:rPr>
        <w:t>، و الفاضل المقداد</w:t>
      </w:r>
      <w:r>
        <w:rPr>
          <w:rStyle w:val="FootnoteAnchor"/>
          <w:rtl w:val="true"/>
        </w:rPr>
        <w:footnoteReference w:id="5"/>
      </w:r>
      <w:r>
        <w:rPr>
          <w:rFonts w:ascii="Amiri" w:hAnsi="Amiri" w:eastAsia="Amiri" w:cs="Amiri"/>
          <w:color w:val="111111"/>
          <w:sz w:val="28"/>
          <w:sz w:val="28"/>
          <w:szCs w:val="28"/>
          <w:rtl w:val="true"/>
          <w:lang w:bidi="ar-SA"/>
        </w:rPr>
        <w:t>، و الثاني من المحقّقين</w:t>
      </w:r>
      <w:r>
        <w:rPr>
          <w:rStyle w:val="FootnoteAnchor"/>
          <w:rtl w:val="true"/>
        </w:rPr>
        <w:footnoteReference w:id="6"/>
      </w:r>
      <w:r>
        <w:rPr>
          <w:rFonts w:ascii="Amiri" w:hAnsi="Amiri" w:eastAsia="Amiri" w:cs="Amiri"/>
          <w:color w:val="111111"/>
          <w:sz w:val="28"/>
          <w:sz w:val="28"/>
          <w:szCs w:val="28"/>
          <w:rtl w:val="true"/>
          <w:lang w:bidi="ar-SA"/>
        </w:rPr>
        <w:t>و الشهيدين</w:t>
      </w:r>
      <w:r>
        <w:rPr>
          <w:rStyle w:val="FootnoteAnchor"/>
          <w:rtl w:val="true"/>
        </w:rPr>
        <w:footnoteReference w:id="7"/>
      </w:r>
      <w:r>
        <w:rPr>
          <w:rFonts w:ascii="Amiri" w:hAnsi="Amiri" w:eastAsia="Amiri" w:cs="Amiri"/>
          <w:color w:val="111111"/>
          <w:sz w:val="28"/>
          <w:sz w:val="28"/>
          <w:szCs w:val="28"/>
          <w:rtl w:val="true"/>
          <w:lang w:bidi="ar-SA"/>
        </w:rPr>
        <w:t xml:space="preserve">، معلّلًا بالحجج العليلة، مثل إنكار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من العربيّة، و هو قضيّة التأسّي، و غير ذلك، و وفاقاً للمحقّقين</w:t>
      </w:r>
      <w:r>
        <w:rPr>
          <w:rStyle w:val="FootnoteAnchor"/>
          <w:rtl w:val="true"/>
        </w:rPr>
        <w:footnoteReference w:id="8"/>
      </w:r>
      <w:r>
        <w:rPr>
          <w:rFonts w:ascii="Amiri" w:hAnsi="Amiri" w:eastAsia="Amiri" w:cs="Amiri"/>
          <w:color w:val="111111"/>
          <w:sz w:val="28"/>
          <w:sz w:val="28"/>
          <w:szCs w:val="28"/>
          <w:rtl w:val="true"/>
          <w:lang w:bidi="ar-SA"/>
        </w:rPr>
        <w:t>لعدم الدليل، و للعمومات</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الذي سلكناه في كتابنا الكبير</w:t>
      </w:r>
      <w:r>
        <w:rPr>
          <w:rStyle w:val="FootnoteAnchor"/>
          <w:rtl w:val="true"/>
        </w:rPr>
        <w:footnoteReference w:id="9"/>
      </w:r>
      <w:r>
        <w:rPr>
          <w:rFonts w:ascii="Amiri" w:hAnsi="Amiri" w:eastAsia="Amiri" w:cs="Amiri"/>
          <w:color w:val="111111"/>
          <w:sz w:val="28"/>
          <w:sz w:val="28"/>
          <w:szCs w:val="28"/>
          <w:rtl w:val="true"/>
          <w:lang w:bidi="ar-SA"/>
        </w:rPr>
        <w:t>أنّ الأحوط أن يعقد كلّ بلسانه، لأنّه أخبر بخصوصيّاته، فيتمكّن من الغفلة عن اللغات بإبراز المعنى المقصود، و إنشاء العقد و الإيقاع، و لقد سمعت عن بعض المشايخ التجنّب عن تكفّل عقد النكاح بالعربيّ؛ لأنّ العاقد لا يعتبر الزواج، و لا ينشئ عقدة النكاح، بل تمام توجّهه إلى الألفاظ و كيفيّة الاستعمالات، غافلًا عن إبراز المعنى و إيجاد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يعتبر فيه الصراحة، بل يقع بكلّ 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المقصود عند أهل المحاورة،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نحوهما في الإيجاب،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دعوى انصراف العمومات إلى العقود المتعارفة بين الملل و الأقوام، و هي ما حصلت بألفاظهم، دون ألفاظ آخرين، و هذا هو القدر المتيقّن، دون ما توهّمه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 المتأخّرين</w:t>
      </w:r>
      <w:r>
        <w:rPr>
          <w:rStyle w:val="FootnoteAnchor"/>
          <w:rtl w:val="true"/>
        </w:rPr>
        <w:footnoteReference w:id="10"/>
      </w:r>
      <w:r>
        <w:rPr>
          <w:rFonts w:ascii="Amiri" w:hAnsi="Amiri" w:eastAsia="Amiri" w:cs="Amiri"/>
          <w:color w:val="111111"/>
          <w:sz w:val="28"/>
          <w:sz w:val="28"/>
          <w:szCs w:val="28"/>
          <w:rtl w:val="true"/>
          <w:lang w:bidi="ar-SA"/>
        </w:rPr>
        <w:t>، و في المسألة أقوال ربّما تبلغ إلى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جوازه بغير الألفاظ المتعارفة الصريحة الموضوعة المشتملة على عناوين المعاملات؛ لما يظهر من كلّ متصدٍّ للفقه اعتبار ألفاظ مخصوصة؛ حتّى تصدّى جمع لتأليف كتاب في ألفاظ الصيغ، فيعلم التعبد الشرعيّ بالإجماع القطعيّ، ففي غير هذه الصورة يشكل شمول عمومات الكتاب و السنّة للعقد العرفيّ، و التمسّك بها غير جائز؛ لاستلزامه الإخلال بمعقد الإجماع</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بمعزل عن التحقيق؛ ضرورة أنّ الإجماع لا يكشف في هذه المسائل عن رأي متّبع، و لو سلّمنا فله القدر المتيقّن، و لا يلزم منه</w:t>
      </w:r>
    </w:p>
    <w:p>
      <w:pPr>
        <w:pStyle w:val="BookText"/>
        <w:rPr/>
      </w:pPr>
      <w:r>
        <w:rPr>
          <w:rFonts w:ascii="Amiri" w:hAnsi="Amiri" w:eastAsia="Amiri" w:cs="Amiri"/>
          <w:color w:val="111111"/>
          <w:sz w:val="28"/>
          <w:sz w:val="28"/>
          <w:szCs w:val="28"/>
          <w:rtl w:val="true"/>
          <w:lang w:bidi="ar-SA"/>
        </w:rPr>
        <w:t>و الظاهر عدم اعتبار الماضويّة، فيجوز بالمضارع و إن كان 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ممنوعيّة التمسّك بالعمومات في جميع ما يحتمل دخالته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بعض المجازات البعيدة أو الكنايات غير المأنوسة، غير قابل لإيقاع العقد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الثانية بعد نفي اعتبار الصراحة، هي الدلالة بالقرائن المقاميّة و المقاليّة، و ظاهرهم عدم الصحّة بالألفاظ الموضوعة بالخصوص بين المتعاملين؛ بأن كان بناؤهم على إيقاع البيع بألفاظ النكاح و هكذا، فإنّ المدار على الأسباب العرفيّة، دون مطلق ما يمكن أن يتسبّب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بعض الأجلّة جوازه بها أيضاً</w:t>
      </w:r>
      <w:r>
        <w:rPr>
          <w:rStyle w:val="FootnoteAnchor"/>
          <w:rtl w:val="true"/>
        </w:rPr>
        <w:footnoteReference w:id="11"/>
      </w:r>
      <w:r>
        <w:rPr>
          <w:rFonts w:ascii="Amiri" w:hAnsi="Amiri" w:eastAsia="Amiri" w:cs="Amiri"/>
          <w:color w:val="111111"/>
          <w:sz w:val="28"/>
          <w:sz w:val="28"/>
          <w:szCs w:val="28"/>
          <w:rtl w:val="true"/>
          <w:lang w:bidi="ar-SA"/>
        </w:rPr>
        <w:t>، و 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اقتضت الضرورة إخفاءَ المقاصد العرفيّة، فأرادوا بألفاظ النكاح البيع؛ لجهة عقلائيّة، فإنّه حينئذٍ لا يبعد شمول الأدلّة؛ لولا مخافة مخالفة الإجماع المزبور،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الإجماع عليه</w:t>
      </w:r>
      <w:r>
        <w:rPr>
          <w:rStyle w:val="FootnoteAnchor"/>
          <w:rtl w:val="true"/>
        </w:rPr>
        <w:footnoteReference w:id="12"/>
      </w:r>
      <w:r>
        <w:rPr>
          <w:rFonts w:ascii="Amiri" w:hAnsi="Amiri" w:eastAsia="Amiri" w:cs="Amiri"/>
          <w:color w:val="111111"/>
          <w:sz w:val="28"/>
          <w:sz w:val="28"/>
          <w:szCs w:val="28"/>
          <w:rtl w:val="true"/>
          <w:lang w:bidi="ar-SA"/>
        </w:rPr>
        <w:t>، و ممّا يدلّ</w:t>
      </w:r>
    </w:p>
    <w:p>
      <w:pPr>
        <w:pStyle w:val="BookText"/>
        <w:rPr/>
      </w:pPr>
      <w:r>
        <w:rPr>
          <w:rFonts w:ascii="Amiri" w:hAnsi="Amiri" w:eastAsia="Amiri" w:cs="Amiri"/>
          <w:color w:val="111111"/>
          <w:sz w:val="28"/>
          <w:sz w:val="28"/>
          <w:szCs w:val="28"/>
          <w:rtl w:val="true"/>
          <w:lang w:bidi="ar-SA"/>
        </w:rPr>
        <w:t xml:space="preserve">و لا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عدم اللّحن من حيث المادّة و الهيئة و الإعراب؛ إذا كان دالّاً على المقصود عند أبناء المحاورة، و عدّ ملحوناً منه، لا كلاماً آخر ذكر في هذا المقام،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أو بكسر العين و سكون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بذلك اللغات المحرّفة، كالمتداولة بين أهل السواد و من ضاهاهم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خلافه النصوص الواردة في كتاب النكاح في مسألة الاستيجاب</w:t>
      </w:r>
      <w:r>
        <w:rPr>
          <w:rStyle w:val="FootnoteAnchor"/>
          <w:rtl w:val="true"/>
        </w:rPr>
        <w:footnoteReference w:id="13"/>
      </w:r>
      <w:r>
        <w:rPr>
          <w:rFonts w:ascii="Amiri" w:hAnsi="Amiri" w:eastAsia="Amiri" w:cs="Amiri"/>
          <w:color w:val="111111"/>
          <w:sz w:val="28"/>
          <w:sz w:val="28"/>
          <w:szCs w:val="28"/>
          <w:rtl w:val="true"/>
          <w:lang w:bidi="ar-SA"/>
        </w:rPr>
        <w:t>، فإنّها كما تدلّ على حكم المسألة الآتية، تدلّ على حكم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قد يتوهّم من عدم مساعدة العرف، لا يخلو من غرابة؛ لأنّ الماضي ليس موضوعاً للإنشاء، بل الاستعمال فيه مع القرينة خصّه به، و هذا أيضاً يصحّ في غيره؛ أمراً كان، أو مضارعاً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الدليل عليه بعدُ، و لو كان كلاماً آخر فقد عرفت وجه الإشكال و تصحيحَه في بعض الحالات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اللّغات المحرّفة من أهل السواد، ففي صحّة تعبيرها إشكال مضى سبيله في مسألة اعتبار العربيّة</w:t>
      </w:r>
      <w:r>
        <w:rPr>
          <w:rFonts w:eastAsia="Amiri" w:cs="Amiri" w:ascii="Amiri" w:hAnsi="Amiri"/>
          <w:color w:val="111111"/>
          <w:sz w:val="28"/>
          <w:szCs w:val="28"/>
          <w:rtl w:val="true"/>
          <w:lang w:bidi="ar-SA"/>
        </w:rPr>
        <w:t>.</w:t>
      </w:r>
      <w:bookmarkStart w:id="14" w:name="pg12370_121492"/>
    </w:p>
    <w:p>
      <w:pPr>
        <w:pStyle w:val="Heading4"/>
        <w:numPr>
          <w:ilvl w:val="3"/>
          <w:numId w:val="1"/>
        </w:numPr>
        <w:rPr/>
      </w:pPr>
      <w:bookmarkStart w:id="15" w:name="__RefHeading___Toc9026090_417432637"/>
      <w:bookmarkStart w:id="16" w:name="_Toc6"/>
      <w:bookmarkEnd w:id="14"/>
      <w:bookmarkEnd w:id="15"/>
      <w:r>
        <w:rPr>
          <w:rtl w:val="true"/>
        </w:rPr>
        <w:t>[</w:t>
      </w:r>
      <w:r>
        <w:rPr>
          <w:rtl w:val="true"/>
        </w:rPr>
        <w:t xml:space="preserve">مسألة </w:t>
      </w:r>
      <w:r>
        <w:rPr/>
        <w:t>2</w:t>
      </w:r>
      <w:r>
        <w:rPr>
          <w:rtl w:val="true"/>
        </w:rPr>
        <w:t xml:space="preserve">: </w:t>
      </w:r>
      <w:r>
        <w:rPr>
          <w:rtl w:val="true"/>
        </w:rPr>
        <w:t>الظاهر جواز تقديم القبول على الإيجاب</w:t>
      </w:r>
      <w:r>
        <w:rPr>
          <w:rtl w:val="true"/>
        </w:rPr>
        <w:t>]</w:t>
      </w:r>
      <w:bookmarkEnd w:id="1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تقديم القبول على الإيجاب إذا كان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الشراء، لا المعنى المطاوعيّ، و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بنحو الأمر و الاستيجاب، كما إذا قال من يريد الشراء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الشي‌ء الفلانيّ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في هذه الصورة يكون من الإيجاب المقدّم بلفظ الشراء، و فيما كان نظره إلى المطاوعة يعدّ من الألفاظ الصريحة في القبول الممنوع عندهم و المُدّعى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عقلًا و إجماعاً؛ ضرورة أنّ المعدوم غير قابل للقبول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إنشاء التمليك بألفاظ الإيجاب، كإنشاء القبول بألفاظه، فكما أنّ الاعتبار هناك قائم ببقاء الملكيّة المنشأة، كذلك الاعتبار قائم هنا بحدوثه، فهو يقبل ما يراه في الخارج و يجده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تأخّر القبول أيضاً في مفهومه؛ و لو كان متقدّماً في وجوده، فعليه تندفع الشبهة العقليّة من غير حاجة إلى تصوير الواجب المشروط أو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إعادة المشتري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الأمر الباعث إلى البيع، يستلزم عرفاً رضا الآمر بالمأمور به، و لا نحتاج في قبول الإنشاء المتأخّر إلّا الرضا بالمنشإ البارز بأحد الدلالات الثلاثة، و هكذا الاستيجاب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يشكل على مبنى القوم؛ و هو ممنوعيّة القبول المتقدّم، و الرضا المظهر بالإيجاب المتأخّر غير كافٍ عندهم، فما اختاره الماتن هنا يناقض منعه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التفصيل هو الإجماع، دون الدليل العقليّ و القواعد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الأمر، و تقديم القبول بلفظه، فإنّه شامل للماهيّة المقصودة من البيع و غيره،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مقصود المجوّز ليس تقديم مادّة القبول من غير سبق المقاولة، و إذا سبقت المقاولة، فترى بعد تماميّتها يصحّ أن يقول المشتري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إشكال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أنّه يمكن أن يقول المشتري بدواً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هذا بهذا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عند العقلاء أيضاً صحيح قطعاً</w:t>
      </w:r>
      <w:r>
        <w:rPr>
          <w:rFonts w:eastAsia="Amiri" w:cs="Amiri" w:ascii="Amiri" w:hAnsi="Amiri"/>
          <w:color w:val="111111"/>
          <w:sz w:val="28"/>
          <w:szCs w:val="28"/>
          <w:rtl w:val="true"/>
          <w:lang w:bidi="ar-SA"/>
        </w:rPr>
        <w:t>.</w:t>
      </w:r>
      <w:bookmarkStart w:id="17" w:name="pg12370_121494"/>
    </w:p>
    <w:p>
      <w:pPr>
        <w:pStyle w:val="Heading4"/>
        <w:numPr>
          <w:ilvl w:val="3"/>
          <w:numId w:val="1"/>
        </w:numPr>
        <w:rPr/>
      </w:pPr>
      <w:bookmarkStart w:id="18" w:name="__RefHeading___Toc9026092_417432637"/>
      <w:bookmarkStart w:id="19" w:name="_Toc7"/>
      <w:bookmarkEnd w:id="17"/>
      <w:bookmarkEnd w:id="18"/>
      <w:r>
        <w:rPr>
          <w:rtl w:val="true"/>
        </w:rPr>
        <w:t>[</w:t>
      </w:r>
      <w:r>
        <w:rPr>
          <w:rtl w:val="true"/>
        </w:rPr>
        <w:t xml:space="preserve">مسألة </w:t>
      </w:r>
      <w:r>
        <w:rPr/>
        <w:t>3</w:t>
      </w:r>
      <w:r>
        <w:rPr>
          <w:rtl w:val="true"/>
        </w:rPr>
        <w:t xml:space="preserve">: </w:t>
      </w:r>
      <w:r>
        <w:rPr>
          <w:rtl w:val="true"/>
        </w:rPr>
        <w:t>يعتبر الموالاة بين الإيجاب و القبول</w:t>
      </w:r>
      <w:r>
        <w:rPr>
          <w:rtl w:val="true"/>
        </w:rPr>
        <w:t>]</w:t>
      </w:r>
      <w:bookmarkEnd w:id="1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الإيجاب و القبول؛ بمعنى عدم الفصل الطويل بينهما بما يخرجهما عن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القليل؛ بحيث يصدق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قبول لذلك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و عليه السيرة القطعيّة، و الخروج عنه خلاف المرتكز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يرجع إلى المسألة الآتية من لزوم التطابق؛ فإنّ القبول المتأخّر إذا لم يعدّ من قبول الإيجاب المتقدّم، فلا يحصل التطابق،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العقد لا يحصل إلّا به، و هو ممنوع كما في العقود الجائزة، و قد مرّ عدم الحاجة إليه في تحقّق عناوين المعاملات صحّة و لزوماً، فما في المتن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الماتن في مقام آخر عدم اعتبار الموالاة</w:t>
      </w:r>
      <w:r>
        <w:rPr>
          <w:rStyle w:val="FootnoteAnchor"/>
          <w:rtl w:val="true"/>
        </w:rPr>
        <w:footnoteReference w:id="15"/>
      </w:r>
      <w:r>
        <w:rPr>
          <w:rFonts w:ascii="Amiri" w:hAnsi="Amiri" w:eastAsia="Amiri" w:cs="Amiri"/>
          <w:color w:val="111111"/>
          <w:sz w:val="28"/>
          <w:sz w:val="28"/>
          <w:szCs w:val="28"/>
          <w:rtl w:val="true"/>
          <w:lang w:bidi="ar-SA"/>
        </w:rPr>
        <w:t>لما اختار أنّ تمام ماهيّة المعاملة تحصل بالإيجاب</w:t>
      </w:r>
      <w:r>
        <w:rPr>
          <w:rStyle w:val="FootnoteAnchor"/>
          <w:rtl w:val="true"/>
        </w:rPr>
        <w:footnoteReference w:id="16"/>
      </w:r>
      <w:r>
        <w:rPr>
          <w:rFonts w:ascii="Amiri" w:hAnsi="Amiri" w:eastAsia="Amiri" w:cs="Amiri"/>
          <w:color w:val="111111"/>
          <w:sz w:val="28"/>
          <w:sz w:val="28"/>
          <w:szCs w:val="28"/>
          <w:rtl w:val="true"/>
          <w:lang w:bidi="ar-SA"/>
        </w:rPr>
        <w:t xml:space="preserve">، و قد أنكر العقود بالمعنى المعروف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يحصل بنفس الإيجاب، و تأخّر القبول كتأخّر الإجازة في الفضوليّ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و إن كان موافقاً للتحقيق، إلّا أنّه لا يستنتج منه نفي اعتبارها؛ لأنّه لا يحصل التطابق المعتبر عرفاً، فتأمّل</w:t>
      </w:r>
      <w:r>
        <w:rPr>
          <w:rFonts w:eastAsia="Amiri" w:cs="Amiri" w:ascii="Amiri" w:hAnsi="Amiri"/>
          <w:color w:val="111111"/>
          <w:sz w:val="28"/>
          <w:szCs w:val="28"/>
          <w:rtl w:val="true"/>
          <w:lang w:bidi="ar-SA"/>
        </w:rPr>
        <w:t>.</w:t>
      </w:r>
      <w:bookmarkStart w:id="20" w:name="pg12370_121495"/>
    </w:p>
    <w:p>
      <w:pPr>
        <w:pStyle w:val="Heading4"/>
        <w:numPr>
          <w:ilvl w:val="3"/>
          <w:numId w:val="1"/>
        </w:numPr>
        <w:rPr/>
      </w:pPr>
      <w:bookmarkStart w:id="21" w:name="__RefHeading___Toc9026094_417432637"/>
      <w:bookmarkStart w:id="22" w:name="_Toc8"/>
      <w:bookmarkEnd w:id="20"/>
      <w:bookmarkEnd w:id="21"/>
      <w:r>
        <w:rPr>
          <w:rtl w:val="true"/>
        </w:rPr>
        <w:t>[</w:t>
      </w:r>
      <w:r>
        <w:rPr>
          <w:rtl w:val="true"/>
        </w:rPr>
        <w:t xml:space="preserve">مسألة </w:t>
      </w:r>
      <w:r>
        <w:rPr/>
        <w:t>4</w:t>
      </w:r>
      <w:r>
        <w:rPr>
          <w:rtl w:val="true"/>
        </w:rPr>
        <w:t xml:space="preserve">: </w:t>
      </w:r>
      <w:r>
        <w:rPr>
          <w:rtl w:val="true"/>
        </w:rPr>
        <w:t>يعتبر في العقد التطابق بين الإيجاب و القبول</w:t>
      </w:r>
      <w:r>
        <w:rPr>
          <w:rtl w:val="true"/>
        </w:rPr>
        <w:t>]</w:t>
      </w:r>
      <w:bookmarkEnd w:id="2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العقد التطابق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الإيجاب و القبول، فلو اختلفا بأن أوجب البائع على وجه خاصّ من حيث المشتري، أو المبيع، أو الثمن، أو توابع العقد من الشروط، و قَبِل المشتري على وجه آخر، 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 البائع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من موكِّلك بكذا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كبرى هذه المسألة، و لا معنى لعدّه من الشرائط؛ لأنّه من مقوّمات ماهيّة البيع المتوقّف على القبول المتعلّق بإنشاء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من الشرائط؛ بناءً على كون القبول علّة تأثير الماهيّة الموجودة بفعل الموجب، على ما تقرّر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في حصوله في بعض الفروض المذكورة في المتن؛ و أنّه حصلت صغرى التطابق،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مورثاً لقصور الإنشاء و تحدّده، أو احتمل ذلك، و أمّا لو كان المقصود بيع متاعه مخاطباً في بيعه أحدَ الحضّار من أجل أنّه واحد منهم، من غير النظر إلى الخصوصيّة في أمره، فإنّه إذا قبله الآخر ينعقد، و من ذلك يعلم النظر في مشابهات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في الوجه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من موكِّلك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الموكّل الحاضر غير المخاطب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لموكِّلي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الموجب قاصداً لوقوع البيع للمخاطب نفسه، لم ينعقد، و إن كان قاصداً له أعمّ من كونه أصيلًا أو وكيلًا،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نصفه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لنفي البعد لقطعيّة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قبول الوكيل مع حضور الموكِّل الذي هو المشتري حقيقة، الناظر الشاعر بالبيع و خصوصيّاته، لا يخلو من توهّم الإشكال؛ بدعوى قصور أدلّة الوكالة عن شمول هذه الموارد،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رجع الإنشاء إلى الجامع المنطبق عليهما، أو رجع ذلك إلى إلغاء الخصوصيّة عن المخاطب؛ بدعوى ما أشرنا إليه، و إلّا فهو المستحيل؛ لأنّ المخاطب الجزئيّ إمّا هو الوكيل، أو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عدم الفرق بين ما نحن فيه، و المسألةِ السابقة، التي مضى قوله فيها بعدم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فيما كان البيع عند العرف ينحلّ إلى البيوع، فإنّه ينعقد</w:t>
      </w:r>
    </w:p>
    <w:p>
      <w:pPr>
        <w:pStyle w:val="BookText"/>
        <w:rPr/>
      </w:pPr>
      <w:r>
        <w:rPr>
          <w:rFonts w:ascii="Amiri" w:hAnsi="Amiri" w:eastAsia="Amiri" w:cs="Amiri"/>
          <w:color w:val="111111"/>
          <w:sz w:val="28"/>
          <w:sz w:val="28"/>
          <w:szCs w:val="28"/>
          <w:rtl w:val="true"/>
          <w:lang w:bidi="ar-SA"/>
        </w:rPr>
        <w:t>بل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كلّ نصفٍ منه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الصحّة لو أراد كلّ نصف مشاعاً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قال لشخصين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بعتكما هذا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نصفه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قال كُلّ منهما ذلك لا يبعد الصحّة؛ و إن 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البعض،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القطعات من الأرض الكذائيّة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في واحدة منها بالنسبة أو الأزيد، فإنّه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للإشكال بعد إرادة اشتراء جميع المبيع؛ لأنّه قد قبل جميع ما أنشأه، و اختلاف الألفاظ و تشتّت التعابير لا يضرّ بالتطابق المعتبر، من غير فرق بين اشتراء النصف المعيّن، أو المشاع؛ لأنّه أمر خارج عن إنشاء البيع، فإنّ البائع لا ينشئ إلّا بيع أمر وحدانيّ من غير النظر إلى القسمة الوهميّة، فلو قبل تمامه بأيّ وجه كان، فقد أتى بما هو اللازم في التطابق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المطلوب متعدّداً، فأورث عرفاً انحلال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غير هذا الوجه يبطل؛ لظهور اللفظ في وحدة الغرض، فلا ينبغي الخلط بين الفروض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إشكال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فيه، و لا وجه لتوهّمه؛ من غير فرق بين أن يقول كلّ واحد</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هذا بهذا على أن يكون لي الخيار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بلا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بأن أوجب البائع بلا شرط، و قَبِل المشتري معه، فلا ينعقد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ينعقد مطلقاً و بلا شرط؟ فيه إشكال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نصفه بخمسمائة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صحّ الإشكال فيه يلزم عدم التمكّن من قبول هذا الإيجاب على الوجه الصحيح، إلّا بأن يوكّلا أحداً فيقبل منهما، و هذا شاهد على أنّ الإشكال المذكور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الشرط في كلام المشتري بنفع البائع؛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على أن أخيط لك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الصورة ينعقد البيع قطعاً، و في لزوم هذا الشرط عليه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عمومات الشروط تشملها؛ لأنّها في الإنشاء تبع العقد، و في الحقيقة ليس إلّا مجرّد الوعد، و ما يدلّ على عدم وجوب الوفاء بالوعد و هي السيرة قاصرة عن شمول هذا المورد و أمثاله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الشرط في كلامه ينفعه، بأن يقبل على أن يكون له الخيار إلى ثلاثة أيّام، أو على أن يخيط له البائع ثوبه، فإنّه في هذه الصورة لا ينعقد بلا إشكال؛ لأنّ القبول المقيّد غير القبول المطلق</w:t>
      </w:r>
      <w:r>
        <w:rPr>
          <w:rFonts w:eastAsia="Amiri" w:cs="Amiri" w:ascii="Amiri" w:hAnsi="Amiri"/>
          <w:color w:val="111111"/>
          <w:sz w:val="28"/>
          <w:szCs w:val="28"/>
          <w:rtl w:val="true"/>
          <w:lang w:bidi="ar-SA"/>
        </w:rPr>
        <w:t>.</w:t>
      </w:r>
      <w:bookmarkStart w:id="23" w:name="pg12370_121499"/>
    </w:p>
    <w:p>
      <w:pPr>
        <w:pStyle w:val="Heading4"/>
        <w:numPr>
          <w:ilvl w:val="3"/>
          <w:numId w:val="1"/>
        </w:numPr>
        <w:rPr/>
      </w:pPr>
      <w:bookmarkStart w:id="24" w:name="__RefHeading___Toc9026096_417432637"/>
      <w:bookmarkStart w:id="25" w:name="_Toc9"/>
      <w:bookmarkEnd w:id="23"/>
      <w:bookmarkEnd w:id="24"/>
      <w:r>
        <w:rPr>
          <w:rtl w:val="true"/>
        </w:rPr>
        <w:t>[</w:t>
      </w:r>
      <w:r>
        <w:rPr>
          <w:rtl w:val="true"/>
        </w:rPr>
        <w:t xml:space="preserve">مسألة </w:t>
      </w:r>
      <w:r>
        <w:rPr/>
        <w:t>5</w:t>
      </w:r>
      <w:r>
        <w:rPr>
          <w:rtl w:val="true"/>
        </w:rPr>
        <w:t xml:space="preserve">: </w:t>
      </w:r>
      <w:r>
        <w:rPr>
          <w:rtl w:val="true"/>
        </w:rPr>
        <w:t>لو تعذّر التلفّظ لخرس و نحوه، تقوم الإشارة المفهمة مقامه</w:t>
      </w:r>
      <w:r>
        <w:rPr>
          <w:rtl w:val="true"/>
        </w:rPr>
        <w:t>]</w:t>
      </w:r>
      <w:bookmarkEnd w:id="2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التلفّظ لخرس و نحوه، تقوم الإشارة المفهمة مقامه؛ حتّى مع التمكّن من التوكيل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عجز عن الإشارة أيضاً فالأحوط التوكيل أو المعاطاة، و مع تعذّرهما إنشاؤه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قضيّة المطلقات الواردة فيه</w:t>
      </w:r>
      <w:r>
        <w:rPr>
          <w:rStyle w:val="FootnoteAnchor"/>
          <w:rtl w:val="true"/>
        </w:rPr>
        <w:footnoteReference w:id="17"/>
      </w:r>
      <w:r>
        <w:rPr>
          <w:rFonts w:ascii="Amiri" w:hAnsi="Amiri" w:eastAsia="Amiri" w:cs="Amiri"/>
          <w:color w:val="111111"/>
          <w:sz w:val="28"/>
          <w:sz w:val="28"/>
          <w:szCs w:val="28"/>
          <w:rtl w:val="true"/>
          <w:lang w:bidi="ar-SA"/>
        </w:rPr>
        <w:t>، مع إمكان التوكيل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قيامه مقامه كما في أكثر المتون، ربّما كان للإشارة إلى سريان الأحكام الخاصّة بالعقد اللفظيّ إليه؛ و أنّه ليس من قبيل المعاطاة المتنازع فيها صحّة و لزوماً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المبرزات مشتركة في تحقّق عنوان العقود و الإيقاعات بها و إن لا يحصل اعتبار العقد مفهوماً؛ لعدم الاحتياج إليه في صحّتها، و لا في لزومها؛ على ما تقرّر منّا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إجماع على خلاف ذلك بعد اقتضاء الأدلّة العامّة 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المتن من الاحتياط طولًا، إن كان يرجع إلى قصور الكتابة بذاتها عن السببيّة، فهي ممنوعة مطلقاً، لا في فرض</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يرجع إلى قصور الأدلّة العامّة عن شمولها في عَرْض غيرها، أو يرجع إلى وجود الإجماع على الممنوعيّة بالكتابة إلّا في هذه</w:t>
      </w:r>
    </w:p>
    <w:p>
      <w:pPr>
        <w:pStyle w:val="BookText"/>
        <w:rPr/>
      </w:pPr>
      <w:r>
        <w:rPr>
          <w:rFonts w:ascii="Amiri" w:hAnsi="Amiri" w:eastAsia="Amiri" w:cs="Amiri"/>
          <w:color w:val="111111"/>
          <w:sz w:val="28"/>
          <w:sz w:val="28"/>
          <w:szCs w:val="28"/>
          <w:rtl w:val="true"/>
          <w:lang w:bidi="ar-SA"/>
        </w:rPr>
        <w:t>الصورة، فهو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طلاق الأخرس</w:t>
      </w:r>
      <w:r>
        <w:rPr>
          <w:rStyle w:val="FootnoteAnchor"/>
          <w:rtl w:val="true"/>
        </w:rPr>
        <w:footnoteReference w:id="18"/>
      </w:r>
      <w:r>
        <w:rPr>
          <w:rFonts w:ascii="IRNazanin" w:hAnsi="IRNazanin" w:eastAsia="IRNazanin"/>
          <w:color w:val="111111"/>
          <w:sz w:val="28"/>
          <w:sz w:val="28"/>
          <w:szCs w:val="28"/>
          <w:rtl w:val="true"/>
          <w:lang w:bidi="fa-IR"/>
        </w:rPr>
        <w:t>و قراءته</w:t>
      </w:r>
      <w:r>
        <w:rPr>
          <w:rStyle w:val="FootnoteAnchor"/>
          <w:rtl w:val="true"/>
        </w:rPr>
        <w:footnoteReference w:id="19"/>
      </w:r>
      <w:r>
        <w:rPr>
          <w:rFonts w:ascii="Amiri" w:hAnsi="Amiri" w:eastAsia="Amiri" w:cs="Amiri"/>
          <w:color w:val="111111"/>
          <w:sz w:val="28"/>
          <w:sz w:val="28"/>
          <w:szCs w:val="28"/>
          <w:rtl w:val="true"/>
          <w:lang w:bidi="ar-SA"/>
        </w:rPr>
        <w:t xml:space="preserve">، لا يورث تعيّن الإشارة في غير موردها، و لا تقدّم التوكيل و المعاطاة على الكتابة؛ لأنّ عرفان الأخرس للكتابة غير ممكن في عصر المآثير، 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 فيها بحيث يستنتج منه ذلك، خلاف المتبادر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إنّه بعد عدم دخالة الشرع الأقدس في السبب، فدخالة أرباب الفتوى نفياً و إثباتاً، توجب الفساد؛ لتوهّم العرف لزوم تبعيّتهم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الأحوط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البيع فأحكامه كذا و كذا، و ما به يتحقّق موكول إلى العرف، و تشخيص مصاديقه بيدهم، و عليهم رضوان اللَّه تعالى عليهم اتباعهم، فهم و العرف متعاكسان في المرجعيّة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قد يتوهّم من لزوم المراجعة إلى العرف في المفاهيم، دون تشخيص المصاديق</w:t>
      </w:r>
      <w:r>
        <w:rPr>
          <w:rStyle w:val="FootnoteAnchor"/>
          <w:rtl w:val="true"/>
        </w:rPr>
        <w:footnoteReference w:id="20"/>
      </w:r>
      <w:r>
        <w:rPr>
          <w:rFonts w:ascii="Amiri" w:hAnsi="Amiri" w:eastAsia="Amiri" w:cs="Amiri"/>
          <w:color w:val="111111"/>
          <w:sz w:val="28"/>
          <w:sz w:val="28"/>
          <w:szCs w:val="28"/>
          <w:rtl w:val="true"/>
          <w:lang w:bidi="ar-SA"/>
        </w:rPr>
        <w:t>، إن كان ذلك يرجع إلى أنّ مع اتحاد العرف على مصداقيّة أمر لعنوان، لا بدّ من العمل على طبق تشخيصه دون تشخيصهم،</w:t>
      </w:r>
    </w:p>
    <w:p>
      <w:pPr>
        <w:pStyle w:val="BookText"/>
        <w:rPr/>
      </w:pPr>
      <w:r>
        <w:rPr>
          <w:rFonts w:ascii="Amiri" w:hAnsi="Amiri" w:eastAsia="Amiri" w:cs="Amiri"/>
          <w:color w:val="111111"/>
          <w:sz w:val="28"/>
          <w:sz w:val="28"/>
          <w:szCs w:val="28"/>
          <w:rtl w:val="true"/>
          <w:lang w:bidi="ar-SA"/>
        </w:rPr>
        <w:t>فهو باطل؛ لأنّه يرجع إلى عدم دركه المفهوم العرفيّ من العنوان الوارد في الدليل مثلًا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ذلك يرجع إلى أنّ مع اختلاف العرف في ذلك، أو مع جهلهم بالواقعة، لا يصحّ الاتكال على دركهم، فهو الحقّ الذي لا محيص عنه، و للمسألة مقام آخر يحتاج إلى البسط فيها</w:t>
      </w:r>
      <w:r>
        <w:rPr>
          <w:rFonts w:eastAsia="Amiri" w:cs="Amiri" w:ascii="Amiri" w:hAnsi="Amiri"/>
          <w:color w:val="111111"/>
          <w:sz w:val="28"/>
          <w:szCs w:val="28"/>
          <w:rtl w:val="true"/>
          <w:lang w:bidi="ar-SA"/>
        </w:rPr>
        <w:t>.</w:t>
      </w:r>
      <w:bookmarkStart w:id="26" w:name="pg12370_121502"/>
    </w:p>
    <w:p>
      <w:pPr>
        <w:pStyle w:val="Heading4"/>
        <w:numPr>
          <w:ilvl w:val="3"/>
          <w:numId w:val="1"/>
        </w:numPr>
        <w:rPr/>
      </w:pPr>
      <w:bookmarkStart w:id="27" w:name="__RefHeading___Toc9026098_417432637"/>
      <w:bookmarkStart w:id="28" w:name="_Toc10"/>
      <w:bookmarkEnd w:id="26"/>
      <w:bookmarkEnd w:id="27"/>
      <w:r>
        <w:rPr>
          <w:rtl w:val="true"/>
        </w:rPr>
        <w:t>[</w:t>
      </w:r>
      <w:r>
        <w:rPr>
          <w:rtl w:val="true"/>
        </w:rPr>
        <w:t xml:space="preserve">مسألة </w:t>
      </w:r>
      <w:r>
        <w:rPr/>
        <w:t>6</w:t>
      </w:r>
      <w:r>
        <w:rPr>
          <w:rtl w:val="true"/>
        </w:rPr>
        <w:t xml:space="preserve">: </w:t>
      </w:r>
      <w:r>
        <w:rPr>
          <w:rtl w:val="true"/>
        </w:rPr>
        <w:t>الأقوى وقوع البيع بالمعاطاة في الحقير و الخطير</w:t>
      </w:r>
      <w:r>
        <w:rPr>
          <w:rtl w:val="true"/>
        </w:rPr>
        <w:t>]</w:t>
      </w:r>
      <w:bookmarkEnd w:id="2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وقوع البيع بالمعاطاة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الحقير و الخطير، و هي عبارة عن تسليم العين بقصد صيرورتها ملكاً للغير بالعوض، و تسلّم العوض بعنوان العوضيّة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بالمعاطاة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 متأخّري المتأخّرين</w:t>
      </w:r>
      <w:r>
        <w:rPr>
          <w:rStyle w:val="FootnoteAnchor"/>
          <w:rtl w:val="true"/>
        </w:rPr>
        <w:footnoteReference w:id="21"/>
      </w:r>
      <w:r>
        <w:rPr>
          <w:rFonts w:ascii="IRNazanin" w:hAnsi="IRNazanin" w:eastAsia="IRNazanin"/>
          <w:color w:val="111111"/>
          <w:sz w:val="28"/>
          <w:sz w:val="28"/>
          <w:szCs w:val="28"/>
          <w:rtl w:val="true"/>
          <w:lang w:bidi="fa-IR"/>
        </w:rPr>
        <w:t xml:space="preserve">، خلافاً للمشهور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للجواهر</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و غيره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تقتضيه القواعد هو صحّة المعاطاة التي كان عليها مدار المبادلات في الأزمنة الأوّلية، و غيرها يحتاج إلى الدليل؛ ضرورة أنّ الاعتبارات الموجودة بين الملل، حصلت بعد ما كانت تلك المفاهيم الاعتباريّة متّخذة من المصاديق التكوينيّة، و ما من مفهوم اعتباري إلّا و هو ذو مصداق تكوينيّ، هو الموضوع في اللّغات، و عليه كان العمل لدى الأسلاف</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التوسعة في المعيشة، و إمساس الاحتياج إلى المبادلات نسيئة وكالياً بكالٍ، أحسوا الاعتبار و التبادل التوهّمي و غير الواقعيّ، منزّلين ذلك منزلة ذلك التعاطي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أيضاً قد كان</w:t>
      </w:r>
    </w:p>
    <w:p>
      <w:pPr>
        <w:pStyle w:val="BookText"/>
        <w:rPr/>
      </w:pPr>
      <w:r>
        <w:rPr>
          <w:rFonts w:ascii="Amiri" w:hAnsi="Amiri" w:eastAsia="Amiri" w:cs="Amiri"/>
          <w:color w:val="111111"/>
          <w:sz w:val="28"/>
          <w:sz w:val="28"/>
          <w:szCs w:val="28"/>
          <w:rtl w:val="true"/>
          <w:lang w:bidi="ar-SA"/>
        </w:rPr>
        <w:t>حاصلًا قبل الشريعة المقدّسة بالضرورة، و ليس من المستحدثات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يقع الكلام في أنّها بعد مرورها عليهما، و على هذين السبيلين المتعارفين، هل أمضتهما، أو أمضت ما هو الأصل دون الفرع، أو أمضت العكس، و ردعت عن الأصل، أو يفصّل بين العقود؟</w:t>
      </w:r>
    </w:p>
    <w:p>
      <w:pPr>
        <w:pStyle w:val="BookText"/>
        <w:rPr/>
      </w:pPr>
      <w:r>
        <w:rPr>
          <w:rFonts w:ascii="Amiri" w:hAnsi="Amiri" w:eastAsia="Amiri" w:cs="Amiri"/>
          <w:color w:val="111111"/>
          <w:sz w:val="28"/>
          <w:sz w:val="28"/>
          <w:szCs w:val="28"/>
          <w:rtl w:val="true"/>
          <w:lang w:bidi="ar-SA"/>
        </w:rPr>
        <w:t>بل يمكن دعوى الشكّ في حصول اعتبار بعض العقود قبل الإسلام، مثل عقد المساقاة و أمثالها ممّا قلّ تداولها في الملل السابقة التي تمضيها الشريعة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وجوه و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المشهور مردوعيّة المعاطاة، و إمضاء الفرع و العقود القوليّة، و ما يحتمل حدوثها بعدها يستصحّ بالعمومات الواردة في الكتاب، و السنّة، و النصوص الخاصّة في كلّ كتاب و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غيرهم عدم مردوعيّتها</w:t>
      </w:r>
      <w:r>
        <w:rPr>
          <w:rStyle w:val="FootnoteAnchor"/>
          <w:rtl w:val="true"/>
        </w:rPr>
        <w:footnoteReference w:id="24"/>
      </w:r>
      <w:r>
        <w:rPr>
          <w:rFonts w:ascii="Amiri" w:hAnsi="Amiri" w:eastAsia="Amiri" w:cs="Amiri"/>
          <w:color w:val="111111"/>
          <w:sz w:val="28"/>
          <w:sz w:val="28"/>
          <w:szCs w:val="28"/>
          <w:rtl w:val="true"/>
          <w:lang w:bidi="ar-SA"/>
        </w:rPr>
        <w:t>، و يكفي ذلك من غير الحاجة إلى الأدلّة الإمضائيّة؛ كتاباً كانت، أو سنّة، مع إمكان تأتّي الخدشات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قصور موضوعاتها عن شمولها، أو قصور إطلاقها و عمومها عن الشمول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يتوهّم كونه رادعاً مضافاً إلى الإجماعات المحصّلة، و الشهرات المحقّقة قديماً و حديثاً، بل إرسالها من المسلّمات؛ لشهادة</w:t>
      </w:r>
    </w:p>
    <w:p>
      <w:pPr>
        <w:pStyle w:val="BookText"/>
        <w:rPr/>
      </w:pPr>
      <w:r>
        <w:rPr>
          <w:rFonts w:ascii="Amiri" w:hAnsi="Amiri" w:eastAsia="Amiri" w:cs="Amiri"/>
          <w:color w:val="111111"/>
          <w:sz w:val="28"/>
          <w:sz w:val="28"/>
          <w:szCs w:val="28"/>
          <w:rtl w:val="true"/>
          <w:lang w:bidi="ar-SA"/>
        </w:rPr>
        <w:t>كلّ كتاب من كلّ مصنّف عليه، مع تكفّل جماعة لتأليف كتب في صيغ العقود بعض المآثير المذكورة في الكتب المفصّلة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أنّها لا ترجع إلى محصّل، بل المقرّر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الاغتراسات العرفيّة التي ذات العروق في القلوب و البواطن، غير قابلة للردع بروايات، فضلًا عن الرواية المهجورة، أو الإطلاق و العموم في الكلام المحتمل فيه الوجوه، و الإجماع في المسألة غير كاشف، و اشتهار المسألة عند القدماء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فرضنا جميع هذه المبادئ، فاستكشاف الرواية الصريحة أو الرأي الحجّة في هذا الموقف الذي لا وجه لخفائه بعد شدّة الابتلاء مشكل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المعاطاة ليست مردوعة، و المعاملات العقديّة أحوج إلى الدليل، و قد تحرّر منا في كتاب الإجارة</w:t>
      </w:r>
      <w:r>
        <w:rPr>
          <w:rStyle w:val="FootnoteAnchor"/>
          <w:rtl w:val="true"/>
        </w:rPr>
        <w:footnoteReference w:id="26"/>
      </w:r>
      <w:r>
        <w:rPr>
          <w:rFonts w:ascii="Amiri" w:hAnsi="Amiri" w:eastAsia="Amiri" w:cs="Amiri"/>
          <w:color w:val="111111"/>
          <w:sz w:val="28"/>
          <w:sz w:val="28"/>
          <w:szCs w:val="28"/>
          <w:rtl w:val="true"/>
          <w:lang w:bidi="ar-SA"/>
        </w:rPr>
        <w:t>عدم وجود الدليل على إمضاء الإجارة القوليّة؛ و إن أمكن إثبات نفوذها من بعض الطرق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تحقّقها بمجرّد تسليم المبيع بقصد التمليك بالعوض، مع قصد المشتري في أخذه التملّك بالعوض، فيجوز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الثمن كلّياً في ذمّة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تحقّقها بتسلّم العوض فقط من المشتري بقصد المعاوضة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و لعدم ثبوت الدليل على التعاطي من الطرفين، بل السيرة الناهضة عليه، أقوى من القائمة على التبادل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منشأُه قصور السيرة، و عدم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أمثالها بمثله، و لا أقلّ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أمكن إنشاء التمليك بتسلّم العوض، و لا يكون البيع أكثر منه، فعدم كونه بيعاً عند العرف هو لا يضرّ؛ لعدم لزوم التبعيّة لهم في تشخيص المصاديق، بل المتّبع هي المفاهيم، كما مضى بعض البحث حوله في التعاليق السابقة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برجوع ذلك إلى الاختلاف في المفهوم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التحقّق به لا يخلو من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لأكثر القائلين بصحّة المعاطاة، و خلافاً للفقيه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 حيث إنّ السيرة ناهضة على كفايته في حصول عنوان المعاملة، فالأقوى تحقّقها به، و ما ترى من المساهلات لا يرجع إلى قصور المعاطاة في إفادة الملكيّة، و إلّا يلزم الإشكال مطلقاً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المعوّض في هذه الصورة كلّياً، فكأنّ العرف لا يمتنع من بيع جميع ما عنده؛ و إن كان فيه ما باعه بنحو الكلّي، و ذلك لما لا يرى أنّ ذلك تصرّف في ملك الغير، فلاحظ و تدبّر</w:t>
      </w:r>
      <w:r>
        <w:rPr>
          <w:rFonts w:eastAsia="Amiri" w:cs="Amiri" w:ascii="Amiri" w:hAnsi="Amiri"/>
          <w:color w:val="111111"/>
          <w:sz w:val="28"/>
          <w:szCs w:val="28"/>
          <w:rtl w:val="true"/>
          <w:lang w:bidi="ar-SA"/>
        </w:rPr>
        <w:t>.</w:t>
      </w:r>
      <w:bookmarkStart w:id="29" w:name="pg12370_121507"/>
    </w:p>
    <w:p>
      <w:pPr>
        <w:pStyle w:val="Heading4"/>
        <w:numPr>
          <w:ilvl w:val="3"/>
          <w:numId w:val="1"/>
        </w:numPr>
        <w:rPr/>
      </w:pPr>
      <w:bookmarkStart w:id="30" w:name="__RefHeading___Toc9026100_417432637"/>
      <w:bookmarkStart w:id="31" w:name="_Toc11"/>
      <w:bookmarkEnd w:id="29"/>
      <w:bookmarkEnd w:id="30"/>
      <w:r>
        <w:rPr>
          <w:rtl w:val="true"/>
        </w:rPr>
        <w:t>[</w:t>
      </w:r>
      <w:r>
        <w:rPr>
          <w:rtl w:val="true"/>
        </w:rPr>
        <w:t xml:space="preserve">مسألة </w:t>
      </w:r>
      <w:r>
        <w:rPr/>
        <w:t>7</w:t>
      </w:r>
      <w:r>
        <w:rPr>
          <w:rtl w:val="true"/>
        </w:rPr>
        <w:t xml:space="preserve">: </w:t>
      </w:r>
      <w:r>
        <w:rPr>
          <w:rtl w:val="true"/>
        </w:rPr>
        <w:t>يعتبر في المعاطاة جميع ما يعتبر في البيع بالصيغة</w:t>
      </w:r>
      <w:r>
        <w:rPr>
          <w:rtl w:val="true"/>
        </w:rPr>
        <w:t>]</w:t>
      </w:r>
      <w:bookmarkEnd w:id="3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المعاطاة جميع ما يعتبر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بالصيغة من الشروط الآتية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القدر المتيقّن من الأدلّة، و لو فرض إهمالها فالأولى الشكّ في اعتبار تلك الشروط في البيع بالصيغة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يشكل بناءً على أنّ المعاطاة ليست بعقد، فحينئذٍ لو كان في الأدلّة المتكفّلة لبيان الشروط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ينحصر بالصيغة، و لا يشمل المعاطاة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لكنّه مضافاً إلى فساد المبنى لا أثر من البناء في المآثير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الشروط قاصرة عن شمول المعاطاة؛ لأنّها مختصّة بما فيه الالتزام، و المعاطاة خالية منه</w:t>
      </w:r>
      <w:r>
        <w:rPr>
          <w:rStyle w:val="FootnoteAnchor"/>
          <w:rtl w:val="true"/>
        </w:rPr>
        <w:footnoteReference w:id="29"/>
      </w:r>
      <w:r>
        <w:rPr>
          <w:rFonts w:ascii="Amiri" w:hAnsi="Amiri" w:eastAsia="Amiri" w:cs="Amiri"/>
          <w:color w:val="111111"/>
          <w:sz w:val="28"/>
          <w:sz w:val="28"/>
          <w:szCs w:val="28"/>
          <w:rtl w:val="true"/>
          <w:lang w:bidi="ar-SA"/>
        </w:rPr>
        <w:t xml:space="preserve">، في غير موضعه؛ و ذلك لفساد المبنى أيضاً، و هو خلوّها منه، و عدم الحاجة إليه في شمول تلك الأدلّة؛ فإنّ الشرط إمّا بماهيّته يشمل جميع المعاهدات بدويّة كانت أو ضمنيّة، أو تكون الماهيّة قاصرة عنه، و تختصّ بالتعاليق الضمنيّة، و لا يوجد في كلام الأصحاب ما يورث كونه مختصّاً بما في ضمن الأمر الالتزاميّ؛ و الذي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عدا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مع فقد واحد منها؛ سواء كان ممّا اعتبر في المتبايعين، أو في العوضين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عدا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الاستثناء المنقطع، فتأتي الشروط المربوطة بالصيغة في المعاطاة، كالموالاة، و التنجيز، و التطابق،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متّصلًا، فلا تأتي تلك الشرائط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تفصيل؛ فما كان من قبيل شرطيّة التنجيز،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دليله الإجماع، فالقدر المتيقّن منه عندهم هي الصيغة، دون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بإلغاء الخصوصيّة عرفاً، أو إنّ دليله العقل، فهي مشتركة معها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عدم تصوير هذه الشروط في الفعل، فهو غير قابل للتصديق، مثلًا إذا اعتبر التعاطي من الطرفين، يأتي البحث عن مسألة اعتبار الموالاة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سلّم البائع المبيع إلى المشتري بعنوان البيع معلّقاً على مجي‌ء زيد مثلًا، و قبله عليه، فإنّه عنده أمانة إلى حال المجي‌ء، و يصير بعده ملكه، و إلّا فعليه ردّه إليه، كما إذا باعه بالصيغة، و سلم المبيع قبل حصول المعلّق عليه، فما يظهر منهم من قصور الفعل عن تأتّي هذه الشروط فيه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الخيارات الآتية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سلّم البائع بعنوان البيع، و قبله المشتري بعنوان الهبة، فلا يحصل التطابق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يشترط في المعاطاة جميع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هو التحقيق من تحقّقها بفعل الطرف الواحد، لا معنى لشرطيّة الموالاة،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تتصوّر الموالاة هنا بين بسط يد المالك لبيع ماله، و تأخير المشتري في قبضه، الذي هو بمنزلة القبول في ماهيّته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لإطلاق أدلّتها، و قد يمكن دعوى إمكان جريانها فيها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جائزة؛ لأنّه من قبيل جريان خيار المجلس في الحيوان و بالعكس، و لا يمكن إنكاره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يأبى عن ذلك إلّا بالدليل، و هو ناهض هناك، دون ما نحن فيه،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دعوى عدم جريان الخيارات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لازمة بالذّات أو بإحدى الملزمات؛ و ذلك لأنّ الخيار هو حلّ العقد، و العقد لا يحصل إلّا باللّفظ</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القائل بعدم كونها عقداً، لا بدّ و أن يلتزم إمّا بأنّ الخيار</w:t>
      </w:r>
    </w:p>
    <w:p>
      <w:pPr>
        <w:pStyle w:val="BookText"/>
        <w:rPr/>
      </w:pPr>
      <w:r>
        <w:rPr>
          <w:rFonts w:ascii="Amiri" w:hAnsi="Amiri" w:eastAsia="Amiri" w:cs="Amiri"/>
          <w:color w:val="111111"/>
          <w:sz w:val="28"/>
          <w:sz w:val="28"/>
          <w:szCs w:val="28"/>
          <w:rtl w:val="true"/>
          <w:lang w:bidi="ar-SA"/>
        </w:rPr>
        <w:t>معناه أعمّ، أو باختصاصه بالصيغة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الحقّ أنّ المعاطاة عقد، و عقديّة الصيغة في الرتبة المتأخرة كما عرفت</w:t>
      </w:r>
      <w:r>
        <w:rPr>
          <w:rStyle w:val="FootnoteAnchor"/>
          <w:rtl w:val="true"/>
        </w:rPr>
        <w:footnoteReference w:id="30"/>
      </w:r>
      <w:r>
        <w:rPr>
          <w:rFonts w:ascii="Amiri" w:hAnsi="Amiri" w:eastAsia="Amiri" w:cs="Amiri"/>
          <w:color w:val="111111"/>
          <w:sz w:val="28"/>
          <w:sz w:val="28"/>
          <w:szCs w:val="28"/>
          <w:rtl w:val="true"/>
          <w:lang w:bidi="ar-SA"/>
        </w:rPr>
        <w:t>، و عرفت أنّ من البديهيّ بطلانه، عدمَ الحاجة في المعاملات إلى إثبات عقديّتها مطلقاً، و معنى الخيار ليس إلّا الإقالة الإيقاعيّة، و لا شبهة في جريان الإقالة في المعاطاة بعد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أنّ موضوع أدلّتها البيع، لا العقد</w:t>
      </w:r>
      <w:r>
        <w:rPr>
          <w:rFonts w:eastAsia="Amiri" w:cs="Amiri" w:ascii="Amiri" w:hAnsi="Amiri"/>
          <w:color w:val="111111"/>
          <w:sz w:val="28"/>
          <w:szCs w:val="28"/>
          <w:rtl w:val="true"/>
          <w:lang w:bidi="ar-SA"/>
        </w:rPr>
        <w:t>.</w:t>
      </w:r>
      <w:bookmarkStart w:id="32" w:name="pg12370_121511"/>
    </w:p>
    <w:p>
      <w:pPr>
        <w:pStyle w:val="Heading4"/>
        <w:numPr>
          <w:ilvl w:val="3"/>
          <w:numId w:val="1"/>
        </w:numPr>
        <w:rPr/>
      </w:pPr>
      <w:bookmarkStart w:id="33" w:name="__RefHeading___Toc9026102_417432637"/>
      <w:bookmarkStart w:id="34" w:name="_Toc12"/>
      <w:bookmarkEnd w:id="32"/>
      <w:bookmarkEnd w:id="33"/>
      <w:r>
        <w:rPr>
          <w:rtl w:val="true"/>
        </w:rPr>
        <w:t>[</w:t>
      </w:r>
      <w:r>
        <w:rPr>
          <w:rtl w:val="true"/>
        </w:rPr>
        <w:t xml:space="preserve">مسألة </w:t>
      </w:r>
      <w:r>
        <w:rPr/>
        <w:t>8</w:t>
      </w:r>
      <w:r>
        <w:rPr>
          <w:rtl w:val="true"/>
        </w:rPr>
        <w:t xml:space="preserve">: </w:t>
      </w:r>
      <w:r>
        <w:rPr>
          <w:rtl w:val="true"/>
        </w:rPr>
        <w:t>البيع بالصيغة لازم من الطرفين</w:t>
      </w:r>
      <w:r>
        <w:rPr>
          <w:rtl w:val="true"/>
        </w:rPr>
        <w:t>]</w:t>
      </w:r>
      <w:bookmarkEnd w:id="3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بالصيغة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الطرفين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للأدلّة الخاصّة</w:t>
      </w:r>
      <w:r>
        <w:rPr>
          <w:rStyle w:val="FootnoteAnchor"/>
          <w:rtl w:val="true"/>
        </w:rPr>
        <w:footnoteReference w:id="31"/>
      </w:r>
      <w:r>
        <w:rPr>
          <w:rFonts w:ascii="Amiri" w:hAnsi="Amiri" w:eastAsia="Amiri" w:cs="Amiri"/>
          <w:color w:val="111111"/>
          <w:sz w:val="28"/>
          <w:sz w:val="28"/>
          <w:szCs w:val="28"/>
          <w:rtl w:val="true"/>
          <w:lang w:bidi="ar-SA"/>
        </w:rPr>
        <w:t>، و لبناء العقلاء، و أمّا التمسّك</w:t>
      </w:r>
      <w:r>
        <w:rPr>
          <w:rStyle w:val="FootnoteAnchor"/>
          <w:rtl w:val="true"/>
        </w:rPr>
        <w:footnoteReference w:id="32"/>
      </w:r>
      <w:r>
        <w:rPr>
          <w:rFonts w:ascii="Amiri" w:hAnsi="Amiri" w:eastAsia="Amiri" w:cs="Amiri"/>
          <w:color w:val="111111"/>
          <w:sz w:val="28"/>
          <w:sz w:val="28"/>
          <w:szCs w:val="28"/>
          <w:rtl w:val="true"/>
          <w:lang w:bidi="ar-SA"/>
        </w:rPr>
        <w:t>بآية وجوب الوفاء</w:t>
      </w:r>
      <w:r>
        <w:rPr>
          <w:rStyle w:val="FootnoteAnchor"/>
          <w:rtl w:val="true"/>
        </w:rPr>
        <w:footnoteReference w:id="33"/>
      </w:r>
      <w:r>
        <w:rPr>
          <w:rFonts w:ascii="Amiri" w:hAnsi="Amiri" w:eastAsia="Amiri" w:cs="Amiri"/>
          <w:color w:val="111111"/>
          <w:sz w:val="28"/>
          <w:sz w:val="28"/>
          <w:szCs w:val="28"/>
          <w:rtl w:val="true"/>
          <w:lang w:bidi="ar-SA"/>
        </w:rPr>
        <w:t>، فهو غير تام عندنا؛ لأجنبيّتها عن الموقف، أو لإجمالها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التمسّك ببناء العرف؛ لأنّه غير ثابت قبل الإسلام على البيع العقدي، و البناء بعده غير كافٍ، خصوصاً إذا كان مستنداً إلى الإسلام، فالدليل الوحيد هو النصّ الخاصّ في البيع، و بعض العمومات الأُخر المذكورة في المفصّلات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فرضنا قصورها، و إجمالَ النصّ الوارد في خيار المجلس عن البيع اللفظيّ؛ لأنّ موضوعه ليس مطلق البيع، بل هو البيع اللازم؛ و هو المعاطاة عند العرف قطعاً، فلا يدلّ على لزوم العقد بالصيغة، فيكفينا الاتفاق،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مع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الإقالة؛ و هي الفسخ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أنّ المعاطاة أيضاً لازمة من الطرفين إلّا مع الخيار، و تجري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تخلو العبارة من المسامحة؛ لأنّ الخيار لا ينافي لزومه الذاتيّ، و لذلك لا يجوز حلّه و فسخه بطريق آخر غير الحقّ الثابت له، فلو أراد مع وجود خيار المجلس الإقالة، فهي لا يمكن إلّا برضا الآخر و هكذا،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البيع ذو الخيار لازم بذاته، و جائز حيثيّ؛ أي فيه طريق معيّن لحلّه و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تجري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لإطلاق أدلّتها</w:t>
      </w:r>
      <w:r>
        <w:rPr>
          <w:rStyle w:val="FootnoteAnchor"/>
          <w:rtl w:val="true"/>
        </w:rPr>
        <w:footnoteReference w:id="35"/>
      </w:r>
      <w:r>
        <w:rPr>
          <w:rFonts w:ascii="Amiri" w:hAnsi="Amiri" w:eastAsia="Amiri" w:cs="Amiri"/>
          <w:color w:val="111111"/>
          <w:sz w:val="28"/>
          <w:sz w:val="28"/>
          <w:szCs w:val="28"/>
          <w:rtl w:val="true"/>
          <w:lang w:bidi="ar-SA"/>
        </w:rPr>
        <w:t>، بل هي أي المعاطاة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قلنا بجوازها، فإجراء الإقالة أيضاً موافق للاحتياط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كونها الإقالة الشرعيّة التي وردت بها النصوص</w:t>
      </w:r>
      <w:r>
        <w:rPr>
          <w:rStyle w:val="FootnoteAnchor"/>
          <w:rtl w:val="true"/>
        </w:rPr>
        <w:footnoteReference w:id="36"/>
      </w:r>
      <w:r>
        <w:rPr>
          <w:rFonts w:ascii="Amiri" w:hAnsi="Amiri" w:eastAsia="Amiri" w:cs="Amiri"/>
          <w:color w:val="111111"/>
          <w:sz w:val="28"/>
          <w:sz w:val="28"/>
          <w:szCs w:val="28"/>
          <w:rtl w:val="true"/>
          <w:lang w:bidi="ar-SA"/>
        </w:rPr>
        <w:t>، إشكال بل منع؛ لأنّ ظاهرها في مورد لزوم ما يستقال، كما لا يخفى</w:t>
      </w:r>
      <w:r>
        <w:rPr>
          <w:rFonts w:eastAsia="Amiri" w:cs="Amiri" w:ascii="Amiri" w:hAnsi="Amiri"/>
          <w:color w:val="111111"/>
          <w:sz w:val="28"/>
          <w:szCs w:val="28"/>
          <w:rtl w:val="true"/>
          <w:lang w:bidi="ar-SA"/>
        </w:rPr>
        <w:t>.</w:t>
      </w:r>
      <w:bookmarkStart w:id="35" w:name="pg12370_121513"/>
    </w:p>
    <w:p>
      <w:pPr>
        <w:pStyle w:val="Heading4"/>
        <w:numPr>
          <w:ilvl w:val="3"/>
          <w:numId w:val="1"/>
        </w:numPr>
        <w:rPr/>
      </w:pPr>
      <w:bookmarkStart w:id="36" w:name="__RefHeading___Toc9026104_417432637"/>
      <w:bookmarkStart w:id="37" w:name="_Toc13"/>
      <w:bookmarkEnd w:id="35"/>
      <w:bookmarkEnd w:id="36"/>
      <w:r>
        <w:rPr>
          <w:rtl w:val="true"/>
        </w:rPr>
        <w:t>[</w:t>
      </w:r>
      <w:r>
        <w:rPr>
          <w:rtl w:val="true"/>
        </w:rPr>
        <w:t xml:space="preserve">مسألة </w:t>
      </w:r>
      <w:r>
        <w:rPr/>
        <w:t>9</w:t>
      </w:r>
      <w:r>
        <w:rPr>
          <w:rtl w:val="true"/>
        </w:rPr>
        <w:t xml:space="preserve">: </w:t>
      </w:r>
      <w:r>
        <w:rPr>
          <w:rtl w:val="true"/>
        </w:rPr>
        <w:t>البيع المعاطاتيّ ليس قابلًا للشرط على الأحوط</w:t>
      </w:r>
      <w:r>
        <w:rPr>
          <w:rtl w:val="true"/>
        </w:rPr>
        <w:t>]</w:t>
      </w:r>
      <w:bookmarkEnd w:id="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المعاطاتيّ ليس قابلًا للشرط على الأحوط، فلو أُريد ثبوت خيار بالشرط، أو سقوطه به، أو شرط آخر حتّى جعل مدّة و أجل لأحد العوضين يتوسّل بإجراء البيع بالصيغة، و إدراجه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قبوله لذلك بالمقاولة قُبيله، و التعاطي مبنيّاً عليها، لا يخلو من وجه و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وجه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غاية ما يمكن أن يكون وجهاً للمنع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الأفعال تأبى عن قبوله؛ لأنّها ليست إلّا مورثة للنقل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الحاصل في ضمن العقد، و المعاطاة ليست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حال ذكر الشرط لم يتحقّق البيع، و بعد تحقّق البيع لا يذكر الشرط</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لدعوى الإجماعات في كلمات الشيخ</w:t>
      </w:r>
      <w:r>
        <w:rPr>
          <w:rStyle w:val="FootnoteAnchor"/>
          <w:rtl w:val="true"/>
        </w:rPr>
        <w:footnoteReference w:id="37"/>
      </w:r>
      <w:r>
        <w:rPr>
          <w:rFonts w:ascii="Amiri" w:hAnsi="Amiri" w:eastAsia="Amiri" w:cs="Amiri"/>
          <w:color w:val="111111"/>
          <w:sz w:val="28"/>
          <w:sz w:val="28"/>
          <w:szCs w:val="28"/>
          <w:rtl w:val="true"/>
          <w:lang w:bidi="ar-SA"/>
        </w:rPr>
        <w:t>و غيره</w:t>
      </w:r>
      <w:r>
        <w:rPr>
          <w:rStyle w:val="FootnoteAnchor"/>
          <w:rtl w:val="true"/>
        </w:rPr>
        <w:footnoteReference w:id="38"/>
      </w:r>
      <w:r>
        <w:rPr>
          <w:rFonts w:ascii="Amiri" w:hAnsi="Amiri" w:eastAsia="Amiri" w:cs="Amiri"/>
          <w:color w:val="111111"/>
          <w:sz w:val="28"/>
          <w:sz w:val="28"/>
          <w:szCs w:val="28"/>
          <w:rtl w:val="true"/>
          <w:lang w:bidi="ar-SA"/>
        </w:rPr>
        <w:t>، و عليه الشهرة في باب ذكر الشرط قبل العقد، و إيقاع العقد مبنيّاً عليه، فإنّهم منعوا من نفوذ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الوجوه قاصرة عن منع ذلك، بل لو سلّمنا عدم تعلّق الشرط بالمعاملة إذا ذكر قبلها، فالذي هو الخارج عن عموم أدلّة الشروط؛ هي الشروط البدويّة، لا التي تذكر على العقد و المعاوضة، و لذلك أفتى الأصحاب بلزوم المهر المذكور بعد عقد النكاح بالتراضي، و لا يجوز لأحدهما التخلّف</w:t>
      </w:r>
      <w:r>
        <w:rPr>
          <w:rStyle w:val="FootnoteAnchor"/>
          <w:rtl w:val="true"/>
        </w:rPr>
        <w:footnoteReference w:id="39"/>
      </w:r>
      <w:r>
        <w:rPr>
          <w:rFonts w:ascii="Amiri" w:hAnsi="Amiri" w:eastAsia="Amiri" w:cs="Amiri"/>
          <w:color w:val="111111"/>
          <w:sz w:val="28"/>
          <w:sz w:val="28"/>
          <w:szCs w:val="28"/>
          <w:rtl w:val="true"/>
          <w:lang w:bidi="ar-SA"/>
        </w:rPr>
        <w:t>، و هذا ليس أمراً تعبّدياً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ذلك، فإيقاع المعاطاة مبنيّة على القيود و الشروط، كإيقاع العقود بالصيغة كذلك، و لا يكاد يمنع عنه، و قد صرّحوا في مواضع كثيرة بصحّة ما وقع العقد مبنيّاً عليه، و لا خصوصيّة للشرط</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الإجماع المدّعى بعد قصوره عن كشف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 بمخالفة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4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ظاهرهم منع نفوذ الشرط المذكور في العقد بالصيغة، و لو كان ذلك من التعبّد فلنا دعوى عدم جريانه في المعاطاة</w:t>
      </w:r>
      <w:r>
        <w:rPr>
          <w:rFonts w:eastAsia="Amiri" w:cs="Amiri" w:ascii="Amiri" w:hAnsi="Amiri"/>
          <w:color w:val="111111"/>
          <w:sz w:val="28"/>
          <w:szCs w:val="28"/>
          <w:rtl w:val="true"/>
          <w:lang w:bidi="ar-SA"/>
        </w:rPr>
        <w:t>.</w:t>
      </w:r>
      <w:bookmarkStart w:id="38" w:name="pg12370_121515"/>
    </w:p>
    <w:p>
      <w:pPr>
        <w:pStyle w:val="Heading4"/>
        <w:numPr>
          <w:ilvl w:val="3"/>
          <w:numId w:val="1"/>
        </w:numPr>
        <w:rPr/>
      </w:pPr>
      <w:bookmarkStart w:id="39" w:name="__RefHeading___Toc9026106_417432637"/>
      <w:bookmarkStart w:id="40" w:name="_Toc14"/>
      <w:bookmarkEnd w:id="38"/>
      <w:bookmarkEnd w:id="39"/>
      <w:r>
        <w:rPr>
          <w:rtl w:val="true"/>
        </w:rPr>
        <w:t>[</w:t>
      </w:r>
      <w:r>
        <w:rPr>
          <w:rtl w:val="true"/>
        </w:rPr>
        <w:t xml:space="preserve">مسألة </w:t>
      </w:r>
      <w:r>
        <w:rPr/>
        <w:t>10</w:t>
      </w:r>
      <w:r>
        <w:rPr>
          <w:rtl w:val="true"/>
        </w:rPr>
        <w:t xml:space="preserve">: </w:t>
      </w:r>
      <w:r>
        <w:rPr>
          <w:rtl w:val="true"/>
        </w:rPr>
        <w:t>هل تجري المعاطاة في سائر المعاملات مطلقاً</w:t>
      </w:r>
      <w:r>
        <w:rPr>
          <w:rtl w:val="true"/>
        </w:rPr>
        <w:t>]</w:t>
      </w:r>
      <w:bookmarkEnd w:id="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تجري المعاطاة في سائر المعاملات مطلقاً، أو لا كذلك، أو في بعضها دون بعض؟ سيظهر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الأبواب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سيظهر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لا بدّ من التنبيه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كثيراً ما يشكل جريان المعاطاة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يقبل العوضان النقل و الانتقال، كالأراضي، فتحويل الأرض اليابسة لا يمكن إلّا بالمقاولة و اللّفظ، أو يكون كلّ من العوضين عند المتعاوضين قبل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الإمكان لا يكفي لخروجه من المتعارف، كما لا يخفى</w:t>
      </w:r>
      <w:r>
        <w:rPr>
          <w:rFonts w:eastAsia="Amiri" w:cs="Amiri" w:ascii="Amiri" w:hAnsi="Amiri"/>
          <w:color w:val="111111"/>
          <w:sz w:val="28"/>
          <w:szCs w:val="28"/>
          <w:rtl w:val="true"/>
          <w:lang w:bidi="ar-SA"/>
        </w:rPr>
        <w:t>.</w:t>
      </w:r>
      <w:bookmarkStart w:id="41" w:name="pg12370_121516"/>
    </w:p>
    <w:p>
      <w:pPr>
        <w:pStyle w:val="Heading4"/>
        <w:numPr>
          <w:ilvl w:val="3"/>
          <w:numId w:val="1"/>
        </w:numPr>
        <w:rPr/>
      </w:pPr>
      <w:bookmarkStart w:id="42" w:name="__RefHeading___Toc9026108_417432637"/>
      <w:bookmarkStart w:id="43" w:name="_Toc15"/>
      <w:bookmarkEnd w:id="41"/>
      <w:bookmarkEnd w:id="42"/>
      <w:r>
        <w:rPr>
          <w:rtl w:val="true"/>
        </w:rPr>
        <w:t>[</w:t>
      </w:r>
      <w:r>
        <w:rPr>
          <w:rtl w:val="true"/>
        </w:rPr>
        <w:t xml:space="preserve">مسألة </w:t>
      </w:r>
      <w:r>
        <w:rPr/>
        <w:t>11</w:t>
      </w:r>
      <w:r>
        <w:rPr>
          <w:rtl w:val="true"/>
        </w:rPr>
        <w:t xml:space="preserve">: </w:t>
      </w:r>
      <w:r>
        <w:rPr>
          <w:rtl w:val="true"/>
        </w:rPr>
        <w:t>كما يقع البيع و الشراء بمباشرة المالك، يقع بالتوكيل أو الولاية</w:t>
      </w:r>
      <w:r>
        <w:rPr>
          <w:rtl w:val="true"/>
        </w:rPr>
        <w:t>]</w:t>
      </w:r>
      <w:bookmarkEnd w:id="4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 البيع و الشراء بمباشرة المالك، يقع بالتوكيل أو الولاية من طرف واحد، أو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 واحد تولّي طرفي العقد أصالة من طرف و وكالةً، أو ولايةً من آخر، أو وكالةً من الطرفين، أو ولايةً منهما، أو وكالةً من طرف، و ولايةً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الدليل على المنع، و تحقّق عناوين المعاملات بما يصنعه قطعاً، مع دعوى الإجماع بقسميه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هو مقتضى النصوص الواردة في تقويم الجارية على نفسه</w:t>
      </w:r>
      <w:r>
        <w:rPr>
          <w:rStyle w:val="FootnoteAnchor"/>
          <w:rtl w:val="true"/>
        </w:rPr>
        <w:footnoteReference w:id="44"/>
      </w:r>
      <w:r>
        <w:rPr>
          <w:rFonts w:ascii="Amiri" w:hAnsi="Amiri" w:eastAsia="Amiri" w:cs="Amiri"/>
          <w:color w:val="111111"/>
          <w:sz w:val="28"/>
          <w:sz w:val="28"/>
          <w:szCs w:val="28"/>
          <w:rtl w:val="true"/>
          <w:lang w:bidi="ar-SA"/>
        </w:rPr>
        <w:t>، و الاقتراض من مال المولّى عليه</w:t>
      </w:r>
      <w:r>
        <w:rPr>
          <w:rStyle w:val="FootnoteAnchor"/>
          <w:rtl w:val="true"/>
        </w:rPr>
        <w:footnoteReference w:id="45"/>
      </w:r>
      <w:r>
        <w:rPr>
          <w:rFonts w:ascii="Amiri" w:hAnsi="Amiri" w:eastAsia="Amiri" w:cs="Amiri"/>
          <w:color w:val="111111"/>
          <w:sz w:val="28"/>
          <w:sz w:val="28"/>
          <w:szCs w:val="28"/>
          <w:rtl w:val="true"/>
          <w:lang w:bidi="ar-SA"/>
        </w:rPr>
        <w:t xml:space="preserve">، كما عن فعل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 الفرق بين الوكيل و الوصيّ كما عن بعض</w:t>
      </w:r>
      <w:r>
        <w:rPr>
          <w:rStyle w:val="FootnoteAnchor"/>
          <w:rtl w:val="true"/>
        </w:rPr>
        <w:footnoteReference w:id="47"/>
      </w:r>
      <w:r>
        <w:rPr>
          <w:rFonts w:ascii="Amiri" w:hAnsi="Amiri" w:eastAsia="Amiri" w:cs="Amiri"/>
          <w:color w:val="111111"/>
          <w:sz w:val="28"/>
          <w:sz w:val="28"/>
          <w:szCs w:val="28"/>
          <w:rtl w:val="true"/>
          <w:lang w:bidi="ar-SA"/>
        </w:rPr>
        <w:t>ظنّاً أنّ النصّ وارد في الثاني دون الأوّل، غير مرضيّ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القوي أنّ الجهة المبحوث عنها في مسألة تولّي طرفي العقد،</w:t>
      </w:r>
    </w:p>
    <w:p>
      <w:pPr>
        <w:pStyle w:val="BookText"/>
        <w:rPr/>
      </w:pPr>
      <w:r>
        <w:rPr>
          <w:rFonts w:ascii="Amiri" w:hAnsi="Amiri" w:eastAsia="Amiri" w:cs="Amiri"/>
          <w:color w:val="111111"/>
          <w:sz w:val="28"/>
          <w:sz w:val="28"/>
          <w:szCs w:val="28"/>
          <w:rtl w:val="true"/>
          <w:lang w:bidi="ar-SA"/>
        </w:rPr>
        <w:t>مورد الاتفاق، و الذي مورد الإشكال هو ما إذا أمر آمر بالبيع و الشراء و غيرهما، و المأمور باعه من نفسه، أو اشترى له من ماله، فإنّه هنا مشكل لأمر آخر، فلا ينبغي الخلط، فهذه المسألة اتّفاقيّة، و تلك المسألة أيضاً تامّة، إلّا إذا كان في البين موجب الانصراف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استفادة المنع</w:t>
      </w:r>
      <w:r>
        <w:rPr>
          <w:rStyle w:val="FootnoteAnchor"/>
          <w:rtl w:val="true"/>
        </w:rPr>
        <w:footnoteReference w:id="48"/>
      </w:r>
      <w:r>
        <w:rPr>
          <w:rFonts w:ascii="Amiri" w:hAnsi="Amiri" w:eastAsia="Amiri" w:cs="Amiri"/>
          <w:color w:val="111111"/>
          <w:sz w:val="28"/>
          <w:sz w:val="28"/>
          <w:szCs w:val="28"/>
          <w:rtl w:val="true"/>
          <w:lang w:bidi="ar-SA"/>
        </w:rPr>
        <w:t>من معتبرة عمّار الساباطيّ في كتاب النكاح</w:t>
      </w:r>
      <w:r>
        <w:rPr>
          <w:rStyle w:val="FootnoteAnchor"/>
          <w:rtl w:val="true"/>
        </w:rPr>
        <w:footnoteReference w:id="49"/>
      </w:r>
      <w:r>
        <w:rPr>
          <w:rFonts w:ascii="Amiri" w:hAnsi="Amiri" w:eastAsia="Amiri" w:cs="Amiri"/>
          <w:color w:val="111111"/>
          <w:sz w:val="28"/>
          <w:sz w:val="28"/>
          <w:szCs w:val="28"/>
          <w:rtl w:val="true"/>
          <w:lang w:bidi="ar-SA"/>
        </w:rPr>
        <w:t>، فاسد؛ لاحتمال الخصوصيّة جدّاً في موردها</w:t>
      </w:r>
      <w:r>
        <w:rPr>
          <w:rFonts w:eastAsia="Amiri" w:cs="Amiri" w:ascii="Amiri" w:hAnsi="Amiri"/>
          <w:color w:val="111111"/>
          <w:sz w:val="28"/>
          <w:szCs w:val="28"/>
          <w:rtl w:val="true"/>
          <w:lang w:bidi="ar-SA"/>
        </w:rPr>
        <w:t>.</w:t>
      </w:r>
      <w:bookmarkStart w:id="44" w:name="pg12370_121518"/>
    </w:p>
    <w:p>
      <w:pPr>
        <w:pStyle w:val="Heading4"/>
        <w:numPr>
          <w:ilvl w:val="3"/>
          <w:numId w:val="1"/>
        </w:numPr>
        <w:rPr/>
      </w:pPr>
      <w:bookmarkStart w:id="45" w:name="__RefHeading___Toc9026110_417432637"/>
      <w:bookmarkStart w:id="46" w:name="_Toc16"/>
      <w:bookmarkEnd w:id="44"/>
      <w:bookmarkEnd w:id="45"/>
      <w:r>
        <w:rPr>
          <w:rtl w:val="true"/>
        </w:rPr>
        <w:t>[</w:t>
      </w:r>
      <w:r>
        <w:rPr>
          <w:rtl w:val="true"/>
        </w:rPr>
        <w:t xml:space="preserve">مسألة </w:t>
      </w:r>
      <w:r>
        <w:rPr/>
        <w:t>12</w:t>
      </w:r>
      <w:r>
        <w:rPr>
          <w:rtl w:val="true"/>
        </w:rPr>
        <w:t xml:space="preserve">: </w:t>
      </w:r>
      <w:r>
        <w:rPr>
          <w:rtl w:val="true"/>
        </w:rPr>
        <w:t>لا يجوز على الأحوط تعليق البيع على شي‌ء غير حاصل حين العقد</w:t>
      </w:r>
      <w:r>
        <w:rPr>
          <w:rtl w:val="true"/>
        </w:rPr>
        <w:t>]</w:t>
      </w:r>
      <w:bookmarkEnd w:id="4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البيع على شي‌ء غير حاصل حين العقد؛ سواء علم حصوله فيما بعد، أم لا، و لا على شي‌ء مجهول الحصول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تعليقه على معلوم الحصول حينه؛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إن كان اليوم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به، فالأقوى جوازه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للإجماعات المحكيّة على بطلانه جزماً عن الفخر</w:t>
      </w:r>
      <w:r>
        <w:rPr>
          <w:rStyle w:val="FootnoteAnchor"/>
          <w:rtl w:val="true"/>
        </w:rPr>
        <w:footnoteReference w:id="50"/>
      </w:r>
      <w:r>
        <w:rPr>
          <w:rFonts w:ascii="Amiri" w:hAnsi="Amiri" w:eastAsia="Amiri" w:cs="Amiri"/>
          <w:color w:val="111111"/>
          <w:sz w:val="28"/>
          <w:sz w:val="28"/>
          <w:szCs w:val="28"/>
          <w:rtl w:val="true"/>
          <w:lang w:bidi="ar-SA"/>
        </w:rPr>
        <w:t>، و الشهيد الثاني</w:t>
      </w:r>
      <w:r>
        <w:rPr>
          <w:rStyle w:val="FootnoteAnchor"/>
          <w:rtl w:val="true"/>
        </w:rPr>
        <w:footnoteReference w:id="51"/>
      </w:r>
      <w:r>
        <w:rPr>
          <w:rFonts w:ascii="Amiri" w:hAnsi="Amiri" w:eastAsia="Amiri" w:cs="Amiri"/>
          <w:color w:val="111111"/>
          <w:sz w:val="28"/>
          <w:sz w:val="28"/>
          <w:szCs w:val="28"/>
          <w:rtl w:val="true"/>
          <w:lang w:bidi="ar-SA"/>
        </w:rPr>
        <w:t>، و الشيخ</w:t>
      </w:r>
      <w:r>
        <w:rPr>
          <w:rStyle w:val="FootnoteAnchor"/>
          <w:rtl w:val="true"/>
        </w:rPr>
        <w:footnoteReference w:id="52"/>
      </w:r>
      <w:r>
        <w:rPr>
          <w:rFonts w:ascii="Amiri" w:hAnsi="Amiri" w:eastAsia="Amiri" w:cs="Amiri"/>
          <w:color w:val="111111"/>
          <w:sz w:val="28"/>
          <w:sz w:val="28"/>
          <w:szCs w:val="28"/>
          <w:rtl w:val="true"/>
          <w:lang w:bidi="ar-SA"/>
        </w:rPr>
        <w:t>، و المسألة معروفة بين المتأخّرين</w:t>
      </w:r>
      <w:r>
        <w:rPr>
          <w:rStyle w:val="FootnoteAnchor"/>
          <w:rtl w:val="true"/>
        </w:rPr>
        <w:footnoteReference w:id="53"/>
      </w: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متسالم عليه عند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غير معلوم، خصوصاً بعد تعليلهم بعلل؛ فإنّه يعلم منهم عدم ثبوت الإجماع التعبّدي في المقام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المذكور إمّا راجع إلى الإنشاء، أو المنشأ، أو المتعلّق، أو الموضوع،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إن كنت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أنّه باعه للعالم جزماً، فهو إن كان عالماً فقبله صحّ البيع، و هذا في الحقيقة راجع إلى كون المشتري كلّياً، و قد فرغنا سابقاً عن صحّة مثله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رجوع القيد إلى الإنشاء دون المنشأ، هو الذي اختار المتأخّرون امتناعه</w:t>
      </w:r>
      <w:r>
        <w:rPr>
          <w:rStyle w:val="FootnoteAnchor"/>
          <w:rtl w:val="true"/>
        </w:rPr>
        <w:footnoteReference w:id="55"/>
      </w:r>
      <w:r>
        <w:rPr>
          <w:rFonts w:ascii="Amiri" w:hAnsi="Amiri" w:eastAsia="Amiri" w:cs="Amiri"/>
          <w:color w:val="111111"/>
          <w:sz w:val="28"/>
          <w:sz w:val="28"/>
          <w:szCs w:val="28"/>
          <w:rtl w:val="true"/>
          <w:lang w:bidi="ar-SA"/>
        </w:rPr>
        <w:t>لأنّه من التعليق في الإيجاد، و اضطراب كلماتهم لعدم نيلهم ما هو مقصودهم،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إن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فالعنوان المعلّق حاصل، و لا يعقل تعلّق هذا المعلّق بقيد، و هذا هو الضروري عند من يتصوّر أطراف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قلنا بجواز التعليق في التكوينيّات؛ قضاءً لحقّ البراهين القطعيّة في مسألة ارتباط الحوادث فيما لا يزال بالموجود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الممنوع عقلًا في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 و التشريع، هو التعليق في الإنشاء؛ بمعنى أن لا يحصل المعنى المعلّق، لا الأمر الآخر الآتي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رجوع القيد إلى المنشإ أو الإنشاء؛ بمعنى منعه عن تأثيره، و توقّفه في إفادة الأثر على أمر آخر؛ إذا حصل تحصل العلّة التامّة، هو من الواضح إمكانه و وقوعه، و لا فرق بين المنشأ و الإنشاء إلّا في اللحاظ، فما هو المعلّق هو البيع السببيّ المدلول عليه بالهيئة الموضوعة للإنشاء و الإيجاد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الأُمور ثلاثة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السبب التامّ من غير قيد في الكلام، و هو المتعارف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السبب الناقص المتوقّف تأثيره على الجزء الآخر الذي أخذه البائع قيداً و جزءاً، فإنّه عند ما حصل يترتّب الأثر، و لا شبهة عندنا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منع تقييد المعاني الحرفيّة، تامّ</w:t>
      </w:r>
      <w:r>
        <w:rPr>
          <w:rStyle w:val="FootnoteAnchor"/>
          <w:rtl w:val="true"/>
        </w:rPr>
        <w:footnoteReference w:id="56"/>
      </w:r>
      <w:r>
        <w:rPr>
          <w:rFonts w:ascii="Amiri" w:hAnsi="Amiri" w:eastAsia="Amiri" w:cs="Amiri"/>
          <w:color w:val="111111"/>
          <w:sz w:val="28"/>
          <w:sz w:val="28"/>
          <w:szCs w:val="28"/>
          <w:rtl w:val="true"/>
          <w:lang w:bidi="ar-SA"/>
        </w:rPr>
        <w:t>، إلّا أنّه لا يفيد ذلك؛ لأنّ التوصيف غير التقييد في اصطلاحنا، كما في الأعلام الشخصيّة، و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 عدم نفوذ دخالة المالكين في الأسباب العرفيّة و الشرعيّة، و لعلّ المانعين يمنعون لأجله، بل هو صريح كلام جماعة، حيث حكي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العقود أُنيطت بضوابط متلقّاة من الشرع، و تبطل فيما خرج عنها و إن أفاد فائدتها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لكنّها غير مسموعة؛ لعرفيّة ذلك، و عدم المنع اللّفظيّ، و يكشف الإمضاء من طرق ذكرناها في محلّها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السبب التامّ على المسبّب المتأخّر وجوده؛ بمعنى أنّ الإرادة تعلّقت بالمتأخّر، و هذا في التكوين له بساط آخر لا يليق بالجاهل الورود فيه، و أمّا هو في التشريع فمع كون السبب تامّاً يتحقّق المسبّب،</w:t>
      </w:r>
    </w:p>
    <w:p>
      <w:pPr>
        <w:pStyle w:val="BookText"/>
        <w:rPr/>
      </w:pPr>
      <w:r>
        <w:rPr>
          <w:rFonts w:ascii="Amiri" w:hAnsi="Amiri" w:eastAsia="Amiri" w:cs="Amiri"/>
          <w:color w:val="111111"/>
          <w:sz w:val="28"/>
          <w:sz w:val="28"/>
          <w:szCs w:val="28"/>
          <w:rtl w:val="true"/>
          <w:lang w:bidi="ar-SA"/>
        </w:rPr>
        <w:t>و هو خلف، و إذا كان السبب بمعنى الزمان المتوسّط مسبّباً، فهو خلف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إمّا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المسبّب يحصل بعد السبب، فيكون المستأجر للسنة الآتية مالكاً لمنفعة الدار فعلًا، و يجوز له إيجارها قبل مجي‌ء السنة، إلّا أنّ ظرف مملوكه متأخّر، كالتأخّر المكانيّ، و هذا هو المتراءى منهم في كتاب الإجارة</w:t>
      </w:r>
      <w:r>
        <w:rPr>
          <w:rStyle w:val="FootnoteAnchor"/>
          <w:rtl w:val="true"/>
        </w:rPr>
        <w:footnoteReference w:id="58"/>
      </w:r>
      <w:r>
        <w:rPr>
          <w:rFonts w:ascii="Amiri" w:hAnsi="Amiri" w:eastAsia="Amiri" w:cs="Amiri"/>
          <w:color w:val="111111"/>
          <w:sz w:val="28"/>
          <w:sz w:val="28"/>
          <w:szCs w:val="28"/>
          <w:rtl w:val="true"/>
          <w:lang w:bidi="ar-SA"/>
        </w:rPr>
        <w:t>، فلا تعليق أصلًا، و إنّما التأخّر لأمر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خلط الأسباب التكوينيّة بالاعتباريّة، أورث ذلك، فهو أيضاً يستلزم الخلف،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فرجوع القيد إلى المتعلّق و المادّة ممتنع؛ بأن يكون السبب التامّ موجوداً، و المسبّب متعلّقاً على أمر غير حاصل، فإنّه تفكيك بين العلّة و المعلول على الفرض، و بين الموضوع و الحكم على الاعتبار الآخر المذكور تفصيله في مقامه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السبب أمر واضح إمكانه، و أمّا بعد تماميّة السبب فلا يعقل التصرّف في المسبّب، فإنّه خارج عن مصبّ الاختيار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وقوع ذلك في الوصيّة و التدبير، فاسد؛ ضرورة أنّ</w:t>
      </w:r>
    </w:p>
    <w:p>
      <w:pPr>
        <w:pStyle w:val="BookText"/>
        <w:rPr/>
      </w:pPr>
      <w:r>
        <w:rPr>
          <w:rFonts w:ascii="Amiri" w:hAnsi="Amiri" w:eastAsia="Amiri" w:cs="Amiri"/>
          <w:color w:val="111111"/>
          <w:sz w:val="28"/>
          <w:sz w:val="28"/>
          <w:szCs w:val="28"/>
          <w:rtl w:val="true"/>
          <w:lang w:bidi="ar-SA"/>
        </w:rPr>
        <w:t>المستحيل لا يمكن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موقف كذائيّ، يعلم إمّا بقصور السبب، و لا يكون مضيّ الزمان دخيلًا في تأثيره، و لا يعقل اعتبار السبب التامّ مع عدم المسبّب؛ لأنّه متقوّم بالغرض، و لا معنى لتماميّة السّبب إلّا حصول المسبّب خلفه بلا 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المسبّب حاصلًا بلا فصل فهو حرّ فعلًا دبر حياته، و لكنّه ما دام لم يمت لم يتحقّق الموضوع، كما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المعلّق أمر واقعيّ بهذا المعنى؛ لأنّ الواجب متحقّق بعد الإنشاء، و متأخّر لتأخّر ما هو الخارج عن حدود الإنشاء، لا بمعنى حصول الأمر و الإنشاء، و عدم حصول الواجب إلّا بعد دخول الوقت فتدبّر، فكما أنّ الانتقال حاصل بعد حصول سببه، و لكنّ الاستيفاء من المنتقل إليه لا يمكن إلّا بعد برهة من الزمان، كذلك الواجب حاصل بعد الإيجاب، و لكنّ الانبعاث نحوه و انقداح إرادة العبد، لا يعقل إلّا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أسمعناك، يظهر جواز التعليق في الإنشاء؛ أي مفاد الهيئة، و في المنشإ؛ أي مفادها الانتزاعيّ، و الحاصل المصدري، و جواز التعليق في المادّة و المتعلّق و المنشأ؛ بمعناه الآخر بالوجه الذي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القواعد الكليّة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قضيّة الإجماع فممنوعيّة التعليق؛ بمعنى اشتراط الجزم، و مصبّه أعمّ، و لكن تماميّة هذا الإجماع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جوازه في المتعلّق فقط، دون الهيئة، و هو مختار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يدلّ على ممنوعيّة رجوع القيد إلى الإنشاء، غير كافٍ، و لكن نقل ملكيّة العين يوم الجمعة، أو ملكيّة العين المقيّدة بمجي‌ء زيد، غير صحيح؛ لعدم مالكيّة الإنسان للأملاك المتعدّدة إذا كان مالكاً لعين واحدة، فالتحصيص بالحصص في الإجارة لا يستلزم، صحّته في البيع؛ لأنّها متقوّمة بالزمان، فبحسبه يصحّ التحصيص، و لكنّه مغفول فيه الزمان و العصر، فلا يكون زيد مالكاً للعين المقيّدة هكذا و كذا؛ حتّى ينقله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بحسب نظر العرف بدواً تامّ، و لكنّه فرق بين ما إذا أُريد نقل ملكيّة العين يوم الجمعة على أن يكون قيد الملكيّة، و تكون العين منتقلة إليه في يوم الجمعة، و بين ما كان المقصود انتقال ملكيّة العين يوم الجمعة من يوم الجمعة، فإنّ الأوّل باطل، و لا أظنّ أنّه المراد هنا، و الثاني صحيح، و هو مقصود القائلين بصحّة التعليق، فافهم و تدبّر جدّاً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تكثير الصور، فيه النتيجة لو كان المستند الإجماع المحكيّ في كلام جمع كما تقدّم</w:t>
      </w:r>
      <w:r>
        <w:rPr>
          <w:rStyle w:val="FootnoteAnchor"/>
          <w:rtl w:val="true"/>
        </w:rPr>
        <w:footnoteReference w:id="60"/>
      </w:r>
      <w:r>
        <w:rPr>
          <w:rFonts w:ascii="Amiri" w:hAnsi="Amiri" w:eastAsia="Amiri" w:cs="Amiri"/>
          <w:color w:val="111111"/>
          <w:sz w:val="28"/>
          <w:sz w:val="28"/>
          <w:szCs w:val="28"/>
          <w:rtl w:val="true"/>
          <w:lang w:bidi="ar-SA"/>
        </w:rPr>
        <w:t>، و إلّا فعلى القواعد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بشرطيّة الجزم، فيكون التعليق على الحاصل غير منافٍ للجزم، فافهم</w:t>
      </w:r>
      <w:r>
        <w:rPr>
          <w:rFonts w:eastAsia="Amiri" w:cs="Amiri" w:ascii="Amiri" w:hAnsi="Amiri"/>
          <w:color w:val="111111"/>
          <w:sz w:val="28"/>
          <w:szCs w:val="28"/>
          <w:rtl w:val="true"/>
          <w:lang w:bidi="ar-SA"/>
        </w:rPr>
        <w:t>.</w:t>
      </w:r>
      <w:bookmarkStart w:id="47" w:name="pg12370_121524"/>
    </w:p>
    <w:p>
      <w:pPr>
        <w:pStyle w:val="Heading4"/>
        <w:numPr>
          <w:ilvl w:val="3"/>
          <w:numId w:val="1"/>
        </w:numPr>
        <w:rPr/>
      </w:pPr>
      <w:bookmarkStart w:id="48" w:name="__RefHeading___Toc9026112_417432637"/>
      <w:bookmarkStart w:id="49" w:name="_Toc17"/>
      <w:bookmarkEnd w:id="47"/>
      <w:bookmarkEnd w:id="48"/>
      <w:r>
        <w:rPr>
          <w:rtl w:val="true"/>
        </w:rPr>
        <w:t>[</w:t>
      </w:r>
      <w:r>
        <w:rPr>
          <w:rtl w:val="true"/>
        </w:rPr>
        <w:t xml:space="preserve">مسألة </w:t>
      </w:r>
      <w:r>
        <w:rPr/>
        <w:t>13</w:t>
      </w:r>
      <w:r>
        <w:rPr>
          <w:rtl w:val="true"/>
        </w:rPr>
        <w:t xml:space="preserve">: </w:t>
      </w:r>
      <w:r>
        <w:rPr>
          <w:rtl w:val="true"/>
        </w:rPr>
        <w:t>لو قبض المشتري ما ابتاعه بالعقد الفاسد لم يملكه</w:t>
      </w:r>
      <w:r>
        <w:rPr>
          <w:rtl w:val="true"/>
        </w:rPr>
        <w:t>]</w:t>
      </w:r>
      <w:bookmarkEnd w:id="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 المشتري ما ابتاعه بالعقد الفاسد لم يملكه،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بالعقد بالضرورة؛ للزوم الخلف، فإنّ السبب المملِّك هو العقد، و إذا كان فاسداً فهو كأن لم يكن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تملّكه بسبب آخر مثل القبض، أو يقال بكفاية الألفاظ المذكورة في النقل و إن لم يكن بيعاً؛ حتّى يجري فيه أحكامه، و به يجاب عن من يتوهّم أنّ سببيّة الفعل و القول المذكورين، تنافي اعتبار العقد و اعتبار القيود فيه، فهو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البيع إلّا التمليك بالعوض إنشاء؛ و المبادلة بين المالين في الإضافة من الملكيّة أو السلطنة، و هو حاصل بالسببين عرفاً، فيعلم أنّ العقد الفاسد و القبض المترتّب عليه، لا يورث النقل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العقد الفاسد عند الشرع سبب عند العرف، فيحصل النقل و الانتقال، إلّا أنّه غير ممضى؛ بمعنى أنّه لا يجوز لكلّ واحد منهما ترتيب آثار الملكيّة على المقبوض، و إذا ردّ إلى صاحبه يحصل لهما الملكيّة الجديدة عند العرف، و لكن لدى الشرع الأقدس يعاد مملوكه إليه، و في المسألة من هذه الجهة بحث يطلب من مقام آخر،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القبض هنا أسوأ حالًا من المعاطاة المورثة للملكيّة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المعاملة على الإنشاء، و هو هنا غير حاصل، بخلافه هناك، فالإعطاء المقارن لإنشاء التمليك، غير الإعطاء المقارن للوفاء</w:t>
      </w:r>
    </w:p>
    <w:p>
      <w:pPr>
        <w:pStyle w:val="BookText"/>
        <w:rPr/>
      </w:pPr>
      <w:r>
        <w:rPr>
          <w:rFonts w:ascii="Amiri" w:hAnsi="Amiri" w:eastAsia="Amiri" w:cs="Amiri"/>
          <w:color w:val="111111"/>
          <w:sz w:val="28"/>
          <w:sz w:val="28"/>
          <w:szCs w:val="28"/>
          <w:rtl w:val="true"/>
          <w:lang w:bidi="ar-SA"/>
        </w:rPr>
        <w:t xml:space="preserve">و كان مضموناً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بالعقد، فإذا كان السبب فاسداً فلا معنى لكون المسبّب مفيداً لمعنى السبب بالضرورة، أو إذا كان المقتضي بلا أثر، فلا يعقل كون المقتضى بالفتح، و هو النقل و الانتقال الخارجيّ قائماً مقام المقتضي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شهرة كادت تكون إجماعاً،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دعوى الاتفاق و القطع به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دعوى إجماعه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ظاهر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تمسّكه بالإجماع أنّ المسألة ليست إجماعيّة،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جارية شراء فاسداً، ثمّ قبضها فأعتقها، لم يملك بالقبض، و لم ينفذ عتقها، و لا يصحّ شي‌ء من تصرّفه فيها، مثل البيع، و الهبة، و الوقف، و غير ذلك، و يجب عليه ردّها على البائع بجميع نمائها المنفصل منها، و به قال الشافعيّ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بالقبض، و يصحّ تصرّفه فيها، و يجب على كلّ واحد منهما فسخ الملك و ردّ المبيع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64"/>
      </w:r>
      <w:r>
        <w:rPr>
          <w:rFonts w:ascii="Amiri" w:hAnsi="Amiri" w:eastAsia="Amiri" w:cs="Amiri"/>
          <w:color w:val="111111"/>
          <w:sz w:val="28"/>
          <w:sz w:val="28"/>
          <w:szCs w:val="28"/>
          <w:rtl w:val="true"/>
          <w:lang w:bidi="ar-SA"/>
        </w:rPr>
        <w:t>من الوجه العرفيّ، و عدم الدليل على صحّته،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عبارات القوم حول عدم سببيّة الفاسد، و عدمِ جواز التصرّف فيما قبضه، و عدمِ نفوذ تصرّفاته فيه، و لكنّ الضمان مسكوت عنه إلّا فيما نسب إلى رهن الشيخ</w:t>
      </w:r>
      <w:r>
        <w:rPr>
          <w:rStyle w:val="FootnoteAnchor"/>
          <w:rtl w:val="true"/>
        </w:rPr>
        <w:footnoteReference w:id="65"/>
      </w:r>
      <w:r>
        <w:rPr>
          <w:rFonts w:ascii="Amiri" w:hAnsi="Amiri" w:eastAsia="Amiri" w:cs="Amiri"/>
          <w:color w:val="111111"/>
          <w:sz w:val="28"/>
          <w:sz w:val="28"/>
          <w:szCs w:val="28"/>
          <w:rtl w:val="true"/>
          <w:lang w:bidi="ar-SA"/>
        </w:rPr>
        <w:t>، و في موضع من البيع</w:t>
      </w:r>
      <w:r>
        <w:rPr>
          <w:rStyle w:val="FootnoteAnchor"/>
          <w:rtl w:val="true"/>
        </w:rPr>
        <w:footnoteReference w:id="66"/>
      </w:r>
      <w:r>
        <w:rPr>
          <w:rFonts w:ascii="Amiri" w:hAnsi="Amiri" w:eastAsia="Amiri" w:cs="Amiri"/>
          <w:color w:val="111111"/>
          <w:sz w:val="28"/>
          <w:sz w:val="28"/>
          <w:szCs w:val="28"/>
          <w:rtl w:val="true"/>
          <w:lang w:bidi="ar-SA"/>
        </w:rPr>
        <w:t xml:space="preserve">، و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تلفه عليه بالإجماع</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 هذا 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البيع الفاسد يجري مجرى الغصب عند المحصّلين في الضمان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غصبيّة المقبوض موضوعاً فاسدة، و يكذّبها شهادة العرف بخلافه، مع ظهور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الغصب هو الاستيلاء عدواناً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في كونه عالماً بأنّه مال الغير على نعت جزء الموضوع، فإثبات الضمان</w:t>
      </w:r>
    </w:p>
    <w:p>
      <w:pPr>
        <w:pStyle w:val="BookText"/>
        <w:rPr/>
      </w:pPr>
      <w:r>
        <w:rPr>
          <w:rFonts w:ascii="Amiri" w:hAnsi="Amiri" w:eastAsia="Amiri" w:cs="Amiri"/>
          <w:color w:val="111111"/>
          <w:sz w:val="28"/>
          <w:sz w:val="28"/>
          <w:szCs w:val="28"/>
          <w:rtl w:val="true"/>
          <w:lang w:bidi="ar-SA"/>
        </w:rPr>
        <w:t>بأدلّة مخصوصة بالغصب</w:t>
      </w:r>
      <w:r>
        <w:rPr>
          <w:rStyle w:val="FootnoteAnchor"/>
          <w:rtl w:val="true"/>
        </w:rPr>
        <w:footnoteReference w:id="70"/>
      </w:r>
      <w:r>
        <w:rPr>
          <w:rFonts w:ascii="Amiri" w:hAnsi="Amiri" w:eastAsia="Amiri" w:cs="Amiri"/>
          <w:color w:val="111111"/>
          <w:sz w:val="28"/>
          <w:sz w:val="28"/>
          <w:szCs w:val="28"/>
          <w:rtl w:val="true"/>
          <w:lang w:bidi="ar-SA"/>
        </w:rPr>
        <w:t>، غير مرضيّ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العقلاء على الضمان حسب ما قرّرناه في قاعدة الإقدام</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الإقدام على تسليم المال إلى الغير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مجّاني، و غير مجّاني، فلو كان التسليط مجّانياً سواء كان على العين كالهبة، أو المنفعة كالعارية فإنّه لا يورث الضمان عندهم، إلّا في صورة الإتلاف في الفرض الثاني بل لا يبعد حكمهم به في صورة التلف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غير مجّاني، بل يحاذيه شي‌ء مفروض أو مجهول، فإنّه مضمون عندهم قطعاً، و القابض يقبضه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عندهم بلا فرق بين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القبض، و بعده؛ لحصول الملكيّة عندهم بالفاسد الشرعيّ، و لكنّه لدى الشرع الأقدس قبل القبض فيما كان صحيحاً في البيع، أو فاسداً فيه، و في غيره ليس على الطرف، و لا يكون تلفه عليه، و أمّا بعده فقضيّة البناء العرفيّ و السيرة المستمرّة، ضمان المقبوض بالفاسد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يتوجّه إلى قصور هذه القاعدة بعض إشكالات لا أساس</w:t>
      </w:r>
    </w:p>
    <w:p>
      <w:pPr>
        <w:pStyle w:val="BookText"/>
        <w:rPr/>
      </w:pPr>
      <w:r>
        <w:rPr>
          <w:rFonts w:ascii="Amiri" w:hAnsi="Amiri" w:eastAsia="Amiri" w:cs="Amiri"/>
          <w:color w:val="111111"/>
          <w:sz w:val="28"/>
          <w:sz w:val="28"/>
          <w:szCs w:val="28"/>
          <w:rtl w:val="true"/>
          <w:lang w:bidi="ar-SA"/>
        </w:rPr>
        <w:t>لها، مع أنّها ليس كافلة للضمان إلّا مع لحاظ شرائطها، و عدم المخصّص الشرعيّ في مورد من مواردها، فلا ينبغي الخلط كما وقع من الأعلام</w:t>
      </w:r>
      <w:r>
        <w:rPr>
          <w:rStyle w:val="FootnoteAnchor"/>
          <w:rtl w:val="true"/>
        </w:rPr>
        <w:footnoteReference w:id="72"/>
      </w:r>
      <w:r>
        <w:rPr>
          <w:rFonts w:ascii="Amiri" w:hAnsi="Amiri" w:eastAsia="Amiri" w:cs="Amiri"/>
          <w:color w:val="111111"/>
          <w:sz w:val="28"/>
          <w:sz w:val="28"/>
          <w:szCs w:val="28"/>
          <w:rtl w:val="true"/>
          <w:lang w:bidi="ar-SA"/>
        </w:rPr>
        <w:t>، و ما تمسّكوا به من أدلّة الضمان في المقام</w:t>
      </w:r>
      <w:r>
        <w:rPr>
          <w:rStyle w:val="FootnoteAnchor"/>
          <w:rtl w:val="true"/>
        </w:rPr>
        <w:footnoteReference w:id="73"/>
      </w:r>
      <w:r>
        <w:rPr>
          <w:rFonts w:ascii="Amiri" w:hAnsi="Amiri" w:eastAsia="Amiri" w:cs="Amiri"/>
          <w:color w:val="111111"/>
          <w:sz w:val="28"/>
          <w:sz w:val="28"/>
          <w:szCs w:val="28"/>
          <w:rtl w:val="true"/>
          <w:lang w:bidi="ar-SA"/>
        </w:rPr>
        <w:t>، غير تامّ، و التفصيل يطلب من كتابنا الكبير</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يشكل قاعدة الإقدام؛ لأجل أنّ إسقاط الشرع اعتبار العوضيّة، و إيجابَه عدم ترتيب آثار الملك على كلّ من العوض و المعوّض، لا يستلزم كون المقبوض بلا عوض عرفاً، و لا يورث في معتبر العقلاء أن يصير مالًا يقصد به المجّانية مجّاناً؛ حتّى يجب عوضه الواقعيّ، أو المماثل مع المسمّى في الماليّة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غاية ما يظهر؛ سقوط المعاملة عن التأثير في محيط الشرع، أو عدم جواز ترتيب الآثار، و هذا غير ذاك قطعاً، فعليه يكون المقبوض ذا عوض، فلو قبضا ما ابتاعا فتلفا، فلا شي‌ء عند العقلاء عليهما بعد ذلك، كما</w:t>
      </w:r>
    </w:p>
    <w:p>
      <w:pPr>
        <w:pStyle w:val="BookText"/>
        <w:rPr/>
      </w:pPr>
      <w:r>
        <w:rPr>
          <w:rFonts w:ascii="Amiri" w:hAnsi="Amiri" w:eastAsia="Amiri" w:cs="Amiri"/>
          <w:color w:val="111111"/>
          <w:sz w:val="28"/>
          <w:sz w:val="28"/>
          <w:szCs w:val="28"/>
          <w:rtl w:val="true"/>
          <w:lang w:bidi="ar-SA"/>
        </w:rPr>
        <w:t>لو لم يتلف العوض الشخصيّ مثلًا، فإنّه و إن لا يجب حسب الشرع ردّه؛ لعدم كونه ملك الغير، و لكنّه حسب حكم العقلاء يجب؛ حتّى يسقط ضمانه بالنسبة إلى المعوّض التالف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 الإقدام أيضاً قاصرة عن إثبات عموم المدّعى؛ و هو ضمان المقبوض على الإطلاق، كالمغصوب، فما اشتهر من الحكم بالضمان في المسألة،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فساد العقد عدم الانتقال شرعاً، و معنى ذلك أنّ المقبوض ملك الطرف، و معناه أنّه لا يجوز التصرّف فيه إلّا بإذنه و طيبة منه، و معنى ذلك أنّه لو أخبره و أعلنه بعدم رضاه بعد الاطّلاع مع قيامه بردّ ما عنده من القابض، كما هو المفروض في الجهة المبحوث عنها أنّه يكون غاصباً، فيكون ضامناً، و لكنّه لا يفي للضمان قبل الإعلام، و فيما كان غافلًا عن فساد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كلّ واحد من المتعاقدين بالنسبة إلى المقبوضين، لا تخلو من صور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يكون كلّ واحد راضياً فعلًا بما عند الآخر، كما هو المتعارف في العقود؛ لأنّ مقصود الناس في العقود هو الوصول إلى مقاصدهم و أغراضهم، فلو علم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طيب الآخر لا يحصل إلّا بطيبة، فإنّه يتحقّق منه ذلك الطيب بالتصرّف؛ لقيام غرضه بذلك، فعندئذٍ لا معنى</w:t>
      </w:r>
    </w:p>
    <w:p>
      <w:pPr>
        <w:pStyle w:val="BookText"/>
        <w:rPr/>
      </w:pPr>
      <w:r>
        <w:rPr>
          <w:rFonts w:ascii="Amiri" w:hAnsi="Amiri" w:eastAsia="Amiri" w:cs="Amiri"/>
          <w:color w:val="111111"/>
          <w:sz w:val="28"/>
          <w:sz w:val="28"/>
          <w:szCs w:val="28"/>
          <w:rtl w:val="true"/>
          <w:lang w:bidi="ar-SA"/>
        </w:rPr>
        <w:t>للضمان، كما أفاده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يكون كلّ واحد راضياً تقديراً، فهي مثل السابقة في الكفاية عرفاً؛ و إن كان ظاهر المستثنى في الروايتين الواصلتين عن أوّل المعصومين و آخرهم صلوات اللَّه عليهم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بطيبة نفسٍ منه</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 قوله 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إذنه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هو الرضا الفعليّ، و لكنّ العرف يتجاوز منه إلى الأعمّ،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تلف أحدهما قبل الإعلام و في حال الغفلة، و كان الأمر قبل التلف على ذلك، فلا ضمان أيضاً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التلف بعد الإعلام بعدم رضاه، فهو من الغصب موضوعاً بالضرورة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التلف في حال الغفلة، أو قبل الإعلام، و كان في نفسه عدم رضاه بذلك؛ لندامته على أصل المعاملة، فإنّ الحكم حسب البناء العرفيّ عدم الضمان و عدم الاعتناء به، و لا يرون استحقاقه إلّا للمسمّى، و ليس لصاحب العوض منعه عنه؛ بدعوى أنّه ليس عوضه الشرعيّ،</w:t>
      </w:r>
    </w:p>
    <w:p>
      <w:pPr>
        <w:pStyle w:val="BookText"/>
        <w:rPr/>
      </w:pPr>
      <w:r>
        <w:rPr>
          <w:rFonts w:ascii="Amiri" w:hAnsi="Amiri" w:eastAsia="Amiri" w:cs="Amiri"/>
          <w:color w:val="111111"/>
          <w:sz w:val="28"/>
          <w:sz w:val="28"/>
          <w:szCs w:val="28"/>
          <w:rtl w:val="true"/>
          <w:lang w:bidi="ar-SA"/>
        </w:rPr>
        <w:t xml:space="preserve">بمعنى أنّه يجب عليه أن يردّه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مالكه، و لا ضمان بالنسبة إلى المعوّض؛ لأنّه خلاف قاعدة الإقدام التي قدر متيقّنها هذه الصورة، كما أُشير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حسب القواعد الشرعيّة، فالحقّ قصورها عن إثباته، و مقتضى البراءات الشرعيّة و العقلائيّة و العقليّة، عدم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أن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عقلًا و شرعاً إن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التخلية بينه و بين صاحبه و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الردّ بالمعنى الأخصّ و هو الإيصال إلى صاحبه فهو غير معلوم حتّى إذا صارت يده غاصبة؛ لأنّه ليس من الغصب الحدوثيّ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الإمساك، فيجب الردّ عقلًا أو شرعاً</w:t>
      </w:r>
      <w:r>
        <w:rPr>
          <w:rStyle w:val="FootnoteAnchor"/>
          <w:rtl w:val="true"/>
        </w:rPr>
        <w:footnoteReference w:id="77"/>
      </w:r>
      <w:r>
        <w:rPr>
          <w:rFonts w:ascii="Amiri" w:hAnsi="Amiri" w:eastAsia="Amiri" w:cs="Amiri"/>
          <w:color w:val="111111"/>
          <w:sz w:val="28"/>
          <w:sz w:val="28"/>
          <w:szCs w:val="28"/>
          <w:rtl w:val="true"/>
          <w:lang w:bidi="ar-SA"/>
        </w:rPr>
        <w:t>، فاسد لأنّه أوّل البحث، و الذي يحرم هو التصرّف بدون الإذن، و ليس الإمساك منه عرفاً، كما في العين المستأجرة بعد انقضاء مدّة الإجارة، فلا تغفل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دلالة صحيحة زيد الشحّام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من كانت عنده أمانة فليؤدّها إلى من ائتمنه عليها؛ فإنّه لا يحلّ دم امرئ</w:t>
      </w:r>
    </w:p>
    <w:p>
      <w:pPr>
        <w:pStyle w:val="BookText"/>
        <w:rPr/>
      </w:pPr>
      <w:r>
        <w:rPr>
          <w:rFonts w:ascii="Amiri" w:hAnsi="Amiri" w:eastAsia="Amiri" w:cs="Amiri"/>
          <w:color w:val="111111"/>
          <w:sz w:val="28"/>
          <w:sz w:val="28"/>
          <w:szCs w:val="28"/>
          <w:rtl w:val="true"/>
          <w:lang w:bidi="ar-SA"/>
        </w:rPr>
        <w:t xml:space="preserve">و لو تلف و لو بآفة سماويّة يجب عليه ردّ 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المثل أو القيمة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 لا ماله إلّا بطيبة نفسه</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على وجوب الردّ</w:t>
      </w:r>
      <w:r>
        <w:rPr>
          <w:rStyle w:val="FootnoteAnchor"/>
          <w:rtl w:val="true"/>
        </w:rPr>
        <w:footnoteReference w:id="79"/>
      </w:r>
      <w:r>
        <w:rPr>
          <w:rFonts w:ascii="Amiri" w:hAnsi="Amiri" w:eastAsia="Amiri" w:cs="Amiri"/>
          <w:color w:val="111111"/>
          <w:sz w:val="28"/>
          <w:sz w:val="28"/>
          <w:szCs w:val="28"/>
          <w:rtl w:val="true"/>
          <w:lang w:bidi="ar-SA"/>
        </w:rPr>
        <w:t>لأنّ ظاهرها الاستدلال على وجوب ردّ الأمانة بالجملة الأخيرة، غير تامّة؛ لأنّ الصحيحة ليست في هذا الموقف، لأنّ وجوب الأداء منوط بالطلب، فيعلم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المنع عن الخيانة في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الأمر كما توهّم، فالتأدية ليست بالردّ حتّى يستلزم وقوع المؤتمن في المشقّة بلا وجه، بل هي بالتخلية كما هو المفتى به في الأمانة بالمعنى الأخصّ، مع ظهور الصحيحة فيها، و عدم شمولها لمطلق الأمانة الشرعيّة و المالكيّة،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ردّ 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ضمانه في المثليّات بالمثل، و في القيميّات بالقيمة، و لا يجب الردّ على الإطلاق و لو لم يطلب، بل و لو طلب لا يجب إلّا التخلية، و لعلّ المقصود منه ليس إلّا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المثل أو القيمة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آراء القوم في هذه المسألة على أنّ قضيّة العرف و الشرع،</w:t>
      </w:r>
    </w:p>
    <w:p>
      <w:pPr>
        <w:pStyle w:val="BookText"/>
        <w:rPr/>
      </w:pPr>
      <w:r>
        <w:rPr>
          <w:rFonts w:ascii="Amiri" w:hAnsi="Amiri" w:eastAsia="Amiri" w:cs="Amiri"/>
          <w:color w:val="111111"/>
          <w:sz w:val="28"/>
          <w:sz w:val="28"/>
          <w:szCs w:val="28"/>
          <w:rtl w:val="true"/>
          <w:lang w:bidi="ar-SA"/>
        </w:rPr>
        <w:t>هل هي أصالة المثليّة؛ بمعنى وجوب المثل، أو لا، و إذا تعذّر تتعيّن القيمة؟ أو أصالة القيميّة؟</w:t>
      </w:r>
    </w:p>
    <w:p>
      <w:pPr>
        <w:pStyle w:val="BookText"/>
        <w:rPr/>
      </w:pPr>
      <w:r>
        <w:rPr>
          <w:rFonts w:ascii="Amiri" w:hAnsi="Amiri" w:eastAsia="Amiri" w:cs="Amiri"/>
          <w:color w:val="111111"/>
          <w:sz w:val="28"/>
          <w:sz w:val="28"/>
          <w:szCs w:val="28"/>
          <w:rtl w:val="true"/>
          <w:lang w:bidi="ar-SA"/>
        </w:rPr>
        <w:t>أو الأشياء مختلفة؛ فمنها المثليّات، و منها القيميّات؟</w:t>
      </w:r>
    </w:p>
    <w:p>
      <w:pPr>
        <w:pStyle w:val="BookText"/>
        <w:rPr/>
      </w:pPr>
      <w:r>
        <w:rPr>
          <w:rFonts w:ascii="Amiri" w:hAnsi="Amiri" w:eastAsia="Amiri" w:cs="Amiri"/>
          <w:color w:val="111111"/>
          <w:sz w:val="28"/>
          <w:sz w:val="28"/>
          <w:szCs w:val="28"/>
          <w:rtl w:val="true"/>
          <w:lang w:bidi="ar-SA"/>
        </w:rPr>
        <w:t>أو أصالة تخيير المالك، فإن عيّن المثل فهو، و إن عيّن القيمة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أصالة تخيير الضامن؟</w:t>
      </w:r>
    </w:p>
    <w:p>
      <w:pPr>
        <w:pStyle w:val="BookText"/>
        <w:rPr/>
      </w:pPr>
      <w:r>
        <w:rPr>
          <w:rFonts w:ascii="Amiri" w:hAnsi="Amiri" w:eastAsia="Amiri" w:cs="Amiri"/>
          <w:color w:val="111111"/>
          <w:sz w:val="28"/>
          <w:sz w:val="28"/>
          <w:szCs w:val="28"/>
          <w:rtl w:val="true"/>
          <w:lang w:bidi="ar-SA"/>
        </w:rPr>
        <w:t>أو الأشياء مختلفة عند المالك، فما كان النظر فيها إلى ماليّتها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كأموال التجارة يتعيّن القيمة، و إذا كان النظر فيها إلى خواصّها و آثارها يتعيّن ردّ المثل؟</w:t>
      </w:r>
    </w:p>
    <w:p>
      <w:pPr>
        <w:pStyle w:val="BookText"/>
        <w:rPr/>
      </w:pPr>
      <w:r>
        <w:rPr>
          <w:rFonts w:ascii="Amiri" w:hAnsi="Amiri" w:eastAsia="Amiri" w:cs="Amiri"/>
          <w:color w:val="111111"/>
          <w:sz w:val="28"/>
          <w:sz w:val="28"/>
          <w:szCs w:val="28"/>
          <w:rtl w:val="true"/>
          <w:lang w:bidi="ar-SA"/>
        </w:rPr>
        <w:t>أو المالك و الضامن كلاهما بالخيار، فإن توافقا على أمر فهو، و إلّا فيرجع الأمر إلى الحاكم؟</w:t>
      </w:r>
    </w:p>
    <w:p>
      <w:pPr>
        <w:pStyle w:val="BookText"/>
        <w:rPr/>
      </w:pPr>
      <w:r>
        <w:rPr>
          <w:rFonts w:ascii="Amiri" w:hAnsi="Amiri" w:eastAsia="Amiri" w:cs="Amiri"/>
          <w:color w:val="111111"/>
          <w:sz w:val="28"/>
          <w:sz w:val="28"/>
          <w:szCs w:val="28"/>
          <w:rtl w:val="true"/>
          <w:lang w:bidi="ar-SA"/>
        </w:rPr>
        <w:t>أو غير ذلك من الوجوه و المحتملات؟</w:t>
      </w:r>
    </w:p>
    <w:p>
      <w:pPr>
        <w:pStyle w:val="BookText"/>
        <w:rPr/>
      </w:pPr>
      <w:r>
        <w:rPr>
          <w:rFonts w:ascii="Amiri" w:hAnsi="Amiri" w:eastAsia="Amiri" w:cs="Amiri"/>
          <w:color w:val="111111"/>
          <w:sz w:val="28"/>
          <w:sz w:val="28"/>
          <w:szCs w:val="28"/>
          <w:rtl w:val="true"/>
          <w:lang w:bidi="ar-SA"/>
        </w:rPr>
        <w:t>و الذي يستدعي مقالة المشهور و إليه ذهب الماتن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بناء العقلاء على هذا التفصيل، و أنّ الأشياء المتعارفة في هذه المدن و الأزمان و العصور و الأمصار، مختلفة عند العرف، و لا طريقة للشرع الأقدس حذاء بنائهم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أصالة المثليّة؛ لأنّه الأقرب إلى القواعد و الأفهام، خصوصاً في هذه الأيّام التي تخرج من المكائن الأشياء المتماثلة المتّحدة في جميع الجهات المرغوب فيها، إلّا الهويّة الشخصيّة غير</w:t>
      </w:r>
    </w:p>
    <w:p>
      <w:pPr>
        <w:pStyle w:val="BookText"/>
        <w:rPr/>
      </w:pPr>
      <w:r>
        <w:rPr>
          <w:rFonts w:ascii="Amiri" w:hAnsi="Amiri" w:eastAsia="Amiri" w:cs="Amiri"/>
          <w:color w:val="111111"/>
          <w:sz w:val="28"/>
          <w:sz w:val="28"/>
          <w:szCs w:val="28"/>
          <w:rtl w:val="true"/>
          <w:lang w:bidi="ar-SA"/>
        </w:rPr>
        <w:t>المرغوب فيها، مع أنّها قيميّات عند المشهور على ما عرّفوهما في كتبهم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فيما كان المثل كثيراً و متعارفاً في الأسواق، و أمّا مجرّد المماثلة مع ندرة الوجود، فهو غير مرضيّ عند أحد في إلزام الضامن تسليمه، كما هو الظاهر و فيما لم تكن الأدلّة الشرعيّة قاضية بالقيمة في كثير من المواقف، و مقتضى الجمع بين حكم العرف و تلك الأدلّة التي موردها القيميّات كأثاث البيت</w:t>
      </w:r>
      <w:r>
        <w:rPr>
          <w:rStyle w:val="FootnoteAnchor"/>
          <w:rtl w:val="true"/>
        </w:rPr>
        <w:footnoteReference w:id="81"/>
      </w:r>
      <w:r>
        <w:rPr>
          <w:rFonts w:ascii="Amiri" w:hAnsi="Amiri" w:eastAsia="Amiri" w:cs="Amiri"/>
          <w:color w:val="111111"/>
          <w:sz w:val="28"/>
          <w:sz w:val="28"/>
          <w:szCs w:val="28"/>
          <w:rtl w:val="true"/>
          <w:lang w:bidi="ar-SA"/>
        </w:rPr>
        <w:t>، و الحيوانات</w:t>
      </w:r>
      <w:r>
        <w:rPr>
          <w:rStyle w:val="FootnoteAnchor"/>
          <w:rtl w:val="true"/>
        </w:rPr>
        <w:footnoteReference w:id="82"/>
      </w:r>
      <w:r>
        <w:rPr>
          <w:rFonts w:ascii="IRNazanin" w:hAnsi="IRNazanin" w:eastAsia="IRNazanin"/>
          <w:color w:val="111111"/>
          <w:sz w:val="28"/>
          <w:sz w:val="28"/>
          <w:szCs w:val="28"/>
          <w:rtl w:val="true"/>
          <w:lang w:bidi="fa-IR"/>
        </w:rPr>
        <w:t>مذهب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خبير بما في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المزبورة، فهي غير مسموعة جدّاً، و لا حاجة إلى بيانها بعد وضوحها بمجرّد المراجعة إلى الوجدان، و إلى العقلاء و العرف في الأسواق و معاملاتهم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الجمع بين الأدلّة، فلِمَ لا يقتضي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الأقرب إلى الصناعة؛ فإنّ في المذكورات و أثاث البيت الواردة في المآثير و الروايات، مثليّا و قيميّاً، و لا وجه لحصرها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المتقيّمات بالقيمة معناها أعمّ من القيمة بالمعنى الأخصّ؛ و هي الماليّة المتقوّمة</w:t>
      </w:r>
    </w:p>
    <w:p>
      <w:pPr>
        <w:pStyle w:val="BookText"/>
        <w:rPr/>
      </w:pPr>
      <w:r>
        <w:rPr>
          <w:rFonts w:ascii="Amiri" w:hAnsi="Amiri" w:eastAsia="Amiri" w:cs="Amiri"/>
          <w:color w:val="111111"/>
          <w:sz w:val="28"/>
          <w:sz w:val="28"/>
          <w:szCs w:val="28"/>
          <w:rtl w:val="true"/>
          <w:lang w:bidi="ar-SA"/>
        </w:rPr>
        <w:t>بالنقود، أو الماليّة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ذكر القيمة من باب أحد مصاديق التخيير، لا من باب التعيين، فإنّه لا يتمّ إلّا بتماميّة الدعوى الاولى، فتكون حجّة المشهور أمراً واحداً بلا بيّنة 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 الاشتهار في خصوص المسألة، مع عدم كونه حكماً عقلائيّاً، ربّما يكشف عن اطّلاعهم على رأي المعصوم عليه الصلاة و السلام إلّا أنّها غير ناهضة بعد قوّة احتمال اعتقادهم ذلك من الجمع بين الشرع و العرف،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كان يستقرّ عليه رأينا في السلف؛ هو تخيير الضامن؛ لعدم وجوب شي‌ء عليه إلّا إفراغ ذمّته و إسقاط ضمانه، و لا دليل على الأزيد منه؛ حسب الأدلّة الشرعيّة و العمليّة عند الشكّ، على ما تقرّر في محلّه تفصيلًا، و لا يلزمون العقلاء أحداً بتسليم المثل أو القيمة؛ و إن كان أحدهما رائجاً دون الآخر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 ما سلكناه في الجملة؛ من أنّ تلف العين في باب الضمانات القائمة بالميول و الرغبات، بتلف جميع الأمثال، و أنّ الوحدة و الكثرة في هذا الموقف، غير الوحدة و الكثرة في العلوم الأُخر، فإذا كان المماثل واجداً لجميع ما في التالف ممّا ترغب إليه النفوس؛ ماليّة، و غيرها من الألوان المطلوبة فلا يعدّ ذلك غيره عرفاً، بل هي ذاك، فعندئذٍ يتعيّن أصالة المثليّة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كلّ من البائع و المشتري، راضياً بتصرّف الآخر مطلقاً فيما قبضه و لو على تقدير الفساد، يباح لكلّ منهما التصرّف و الانتفاع بما قبضه و لو بإتلافه، و لا ضمان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التلف بإذن مالكه و رضاه، و منه يعلم عدم جواز تصرّفه فيه بما يتوقّف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مطلق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كفاية الرضا المعاملي عن ذلك الرضا</w:t>
      </w:r>
      <w:r>
        <w:rPr>
          <w:rStyle w:val="FootnoteAnchor"/>
          <w:rtl w:val="true"/>
        </w:rPr>
        <w:footnoteReference w:id="83"/>
      </w:r>
      <w:r>
        <w:rPr>
          <w:rFonts w:ascii="Amiri" w:hAnsi="Amiri" w:eastAsia="Amiri" w:cs="Amiri"/>
          <w:color w:val="111111"/>
          <w:sz w:val="28"/>
          <w:sz w:val="28"/>
          <w:szCs w:val="28"/>
          <w:rtl w:val="true"/>
          <w:lang w:bidi="ar-SA"/>
        </w:rPr>
        <w:t>، في غير محلّه؛ لأنّ المتعلّقين مختلفان، و لا يعقل ترشّح الرّضا منه مع الاعتقاد بالصحّة؛ لأنّه لا يرى ما بيده ماله حتّى يرضى بتصرّف الآخر فيه، و لا معنى لرضاه بتصرّف الآخر في ماله، و مع الشكّ في الصحّة أو العلم بالفساد، لا يترشّح منه الإرادة الجديّة للمعاملة المؤثّرة في النقل إلّا مع الغفلة، و عندئذٍ لا يكون ذلك الرضا أيضاً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تحصّل، يمكن دعوى حصول الملكيّة في غير صورة العلم بالصحّة؛ لأنّه تحصل المبادلة عندهم بين المالين بعد القبض، و لا حاجة إلى أكثر منها في المعاملات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يشبه المعاطاة، و يترتّب عليه أحكامها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الصورة الأُولى و هي الاعتقاد بالصحّة، يمكن دعوى عدم</w:t>
      </w:r>
    </w:p>
    <w:p>
      <w:pPr>
        <w:pStyle w:val="BookText"/>
        <w:rPr/>
      </w:pPr>
      <w:r>
        <w:rPr>
          <w:rFonts w:ascii="Amiri" w:hAnsi="Amiri" w:eastAsia="Amiri" w:cs="Amiri"/>
          <w:color w:val="111111"/>
          <w:sz w:val="28"/>
          <w:sz w:val="28"/>
          <w:szCs w:val="28"/>
          <w:rtl w:val="true"/>
          <w:lang w:bidi="ar-SA"/>
        </w:rPr>
        <w:t>الضمان إذا أتلف؛ لأنّه فيما يسلّم المبيع إلى المشتري مثلًا، يكون راضياً بتصرّفه فيه و إن كان منشأُ الغفلة عن القصّة و الواقعة؛ فإنّ التقييد في الموضوعات الخارجيّة و المعاني الجزئيّة، لا يستلزم الكثرة النفس الأمريّة كما لا يخفى، فعلى هذا يمكن دعوى كفاية التسليط الخارجيّ في 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اشتراط التصرّفات الناقلة بالملكيّة، كما هو المشهور المقطوع به في كلام الأصحاب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عندي فيه نظر فصّلناه في كتابنا الكبير</w:t>
      </w:r>
      <w:r>
        <w:rPr>
          <w:rStyle w:val="FootnoteAnchor"/>
          <w:rtl w:val="true"/>
        </w:rPr>
        <w:footnoteReference w:id="84"/>
      </w:r>
      <w:r>
        <w:rPr>
          <w:rFonts w:ascii="Amiri" w:hAnsi="Amiri" w:eastAsia="Amiri" w:cs="Amiri"/>
          <w:color w:val="111111"/>
          <w:sz w:val="28"/>
          <w:sz w:val="28"/>
          <w:szCs w:val="28"/>
          <w:rtl w:val="true"/>
          <w:lang w:bidi="ar-SA"/>
        </w:rPr>
        <w:t>، و قد بيّنا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القواعد لا تقضي بذلك، و يجوز تبادل المالين في الملكيّة، و تكون الإضافة الحادثة بين المالين و المالكين الآخرين لا الأوّلين في الملكيّة، أو السلطنة، أو هما معاً، فعليه لا منع من تصرّفات القابض بعد رضا المالك بجميع التصرّفات فيما قبضه، من غير لزوم الالتزام بالملكيّة آناً ما الذي هو من الأباطيل الواضحة، أو الالتزام بالهبة، أو غير ذلك</w:t>
      </w:r>
      <w:r>
        <w:rPr>
          <w:rFonts w:eastAsia="Amiri" w:cs="Amiri" w:ascii="Amiri" w:hAnsi="Amiri"/>
          <w:color w:val="111111"/>
          <w:sz w:val="28"/>
          <w:szCs w:val="28"/>
          <w:rtl w:val="true"/>
          <w:lang w:bidi="ar-SA"/>
        </w:rPr>
        <w:t>.</w:t>
      </w:r>
      <w:bookmarkStart w:id="50" w:name="pg12370_121539"/>
    </w:p>
    <w:p>
      <w:pPr>
        <w:pStyle w:val="Heading3"/>
        <w:numPr>
          <w:ilvl w:val="2"/>
          <w:numId w:val="1"/>
        </w:numPr>
        <w:rPr/>
      </w:pPr>
      <w:bookmarkStart w:id="51" w:name="__RefHeading___Toc9026114_417432637"/>
      <w:bookmarkStart w:id="52" w:name="_Toc18"/>
      <w:bookmarkEnd w:id="50"/>
      <w:bookmarkEnd w:id="51"/>
      <w:r>
        <w:rPr>
          <w:rtl w:val="true"/>
        </w:rPr>
        <w:t>[</w:t>
      </w:r>
      <w:r>
        <w:rPr>
          <w:rtl w:val="true"/>
        </w:rPr>
        <w:t>القول في شروط البيع</w:t>
      </w:r>
      <w:r>
        <w:rPr>
          <w:rtl w:val="true"/>
        </w:rPr>
        <w:t>]</w:t>
      </w:r>
      <w:bookmarkEnd w:id="52"/>
    </w:p>
    <w:p>
      <w:pPr>
        <w:pStyle w:val="Heading4"/>
        <w:numPr>
          <w:ilvl w:val="3"/>
          <w:numId w:val="1"/>
        </w:numPr>
        <w:rPr/>
      </w:pPr>
      <w:bookmarkStart w:id="53" w:name="__RefHeading___Toc9026116_417432637"/>
      <w:bookmarkStart w:id="54" w:name="_Toc19"/>
      <w:bookmarkEnd w:id="53"/>
      <w:r>
        <w:rPr>
          <w:rtl w:val="true"/>
        </w:rPr>
        <w:t>اشارة</w:t>
      </w:r>
      <w:bookmarkEnd w:id="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شروط البيع و هي إمّا في المتعاقدين، و إمّا في العوضين</w:t>
      </w:r>
      <w:bookmarkStart w:id="55" w:name="pg12370_121541"/>
    </w:p>
    <w:p>
      <w:pPr>
        <w:pStyle w:val="BookText"/>
        <w:rPr/>
      </w:pPr>
      <w:bookmarkEnd w:id="55"/>
      <w:r>
        <w:rPr>
          <w:rFonts w:ascii="Amiri" w:hAnsi="Amiri" w:eastAsia="Amiri" w:cs="Amiri"/>
          <w:color w:val="111111"/>
          <w:sz w:val="28"/>
          <w:sz w:val="28"/>
          <w:szCs w:val="28"/>
          <w:rtl w:val="true"/>
          <w:lang w:bidi="ar-SA"/>
        </w:rPr>
        <w:t>القول في شرائط المتعاقدين و هي أُمور</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9026118_417432637"/>
      <w:bookmarkStart w:id="57" w:name="_Toc20"/>
      <w:bookmarkEnd w:id="56"/>
      <w:r>
        <w:rPr>
          <w:rtl w:val="true"/>
        </w:rPr>
        <w:t>[</w:t>
      </w:r>
      <w:r>
        <w:rPr>
          <w:rtl w:val="true"/>
        </w:rPr>
        <w:t>الأوّل</w:t>
      </w:r>
      <w:r>
        <w:rPr>
          <w:rtl w:val="true"/>
        </w:rPr>
        <w:t xml:space="preserve">: </w:t>
      </w:r>
      <w:r>
        <w:rPr>
          <w:rtl w:val="true"/>
        </w:rPr>
        <w:t>البلوغ</w:t>
      </w:r>
      <w:r>
        <w:rPr>
          <w:rtl w:val="true"/>
        </w:rPr>
        <w:t>]</w:t>
      </w:r>
      <w:bookmarkEnd w:id="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فلا يصحّ بيع الصغير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بقسميه، بل عليه اتفاق المسلمين في الجملة، و لا فرق بين بيعه و غيره من العقود إلّا بعض منها يأتي في محالّها تفصيلها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فيما كان غير رشيد و كان غير يتيم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الإشكال في غير اليتيم الرشيد، فإنّه خارج من الآية</w:t>
      </w:r>
      <w:r>
        <w:rPr>
          <w:rStyle w:val="FootnoteAnchor"/>
          <w:rtl w:val="true"/>
        </w:rPr>
        <w:footnoteReference w:id="85"/>
      </w:r>
      <w:r>
        <w:rPr>
          <w:rFonts w:ascii="Amiri" w:hAnsi="Amiri" w:eastAsia="Amiri" w:cs="Amiri"/>
          <w:color w:val="111111"/>
          <w:sz w:val="28"/>
          <w:sz w:val="28"/>
          <w:szCs w:val="28"/>
          <w:rtl w:val="true"/>
          <w:lang w:bidi="ar-SA"/>
        </w:rPr>
        <w:t>، و من كثير من الروايات في المسألة</w:t>
      </w:r>
      <w:r>
        <w:rPr>
          <w:rStyle w:val="FootnoteAnchor"/>
          <w:rtl w:val="true"/>
        </w:rPr>
        <w:footnoteReference w:id="86"/>
      </w:r>
      <w:r>
        <w:rPr>
          <w:rFonts w:ascii="Amiri" w:hAnsi="Amiri" w:eastAsia="Amiri" w:cs="Amiri"/>
          <w:color w:val="111111"/>
          <w:sz w:val="28"/>
          <w:sz w:val="28"/>
          <w:szCs w:val="28"/>
          <w:rtl w:val="true"/>
          <w:lang w:bidi="ar-SA"/>
        </w:rPr>
        <w:t>، و لا ينبغي الخلط، و لا معنى لإلغاء الخصوصيّة بعد وضوح وجودها في اليتيم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الأخبار التي موضوعها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فهي بعد صحّة إسنادها ذاتاً، أو انجباراً تدلّ على عدم جواز أمره و المنصرف إليه منها ما كان متعارفاً من الصغار، دون الرشيد الذي هو الأقوى من البالغ بمراتب و مراحل، فإنّ المآثير ربّما تكون منصرفة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القواعد و العمومات عدم الفرق بين عقد الصبيّ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فيما رواه الصدوق بإسناده عن الأصبغ، عن أمير المؤمنين عليه الصلاة و السلام إلى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أن يحجر على الغلام المفسد حتّى يعقل</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دلالة واضحة على حكم العقلاء، و مساعدة الحكم و الموضوع أيضاً توجب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رواية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المعتوهة الذاهبة العقل، أ يجوز بيعها و صدقتها؟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تدلّ مضافاً إلى الحكم المذكور في الجملة، على اغتراس ذهن السائل في أنّ المدار على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أوضح منهما معتبر السكونيّ الآتي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 بإذن الوليّ؛ إذا كان مستقلا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و عليه المنقولات و الشهرات المحقّقة في جميع الأعصار، بل هو المنساق من الأدلّة؛ لأنّ ما لا تمييز له لا يحتاج إلى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مستقلا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عندئذٍ يكون الأمر بيده؛ و هو التصدّي لشأن المعاملة، و يشمله الأدلّة، مثل دليل خيار المجلس</w:t>
      </w:r>
      <w:r>
        <w:rPr>
          <w:rStyle w:val="FootnoteAnchor"/>
          <w:rtl w:val="true"/>
        </w:rPr>
        <w:footnoteReference w:id="91"/>
      </w:r>
      <w:r>
        <w:rPr>
          <w:rFonts w:ascii="Amiri" w:hAnsi="Amiri" w:eastAsia="Amiri" w:cs="Amiri"/>
          <w:color w:val="111111"/>
          <w:sz w:val="28"/>
          <w:sz w:val="28"/>
          <w:szCs w:val="28"/>
          <w:rtl w:val="true"/>
          <w:lang w:bidi="ar-SA"/>
        </w:rPr>
        <w:t xml:space="preserve">و نحوه، فهو البيِّع قطعاً، و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أمره في البيع و الشراء</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فإطلاقه يشمل الفرضين من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استقلاله النفسي، و استقلاله الإعطائي من قبل الولي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قضيّة الحكمة أو العلّة عدم الفرق بينهما؛ لأنّ منعه من هذه التصرّفات و عدم إمضائها، ليس إلّا لأجل عدم ترتّب الفساد عليه، و المقصود سدّه حتّى في صورة الاحتمال، و عدم الوقوع في المشاكل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إذن الوليّ هنا كإذنه في نكاح البالغة الرشيدة، و أنّه تعبّد محض لحفظ الاحترام، في غير محلّه؛ لشهادة العرف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الفقهاء هناك</w:t>
      </w:r>
      <w:r>
        <w:rPr>
          <w:rStyle w:val="FootnoteAnchor"/>
          <w:rtl w:val="true"/>
        </w:rPr>
        <w:footnoteReference w:id="93"/>
      </w:r>
      <w:r>
        <w:rPr>
          <w:rFonts w:ascii="IRNazanin" w:hAnsi="IRNazanin" w:eastAsia="IRNazanin"/>
          <w:color w:val="111111"/>
          <w:sz w:val="28"/>
          <w:sz w:val="28"/>
          <w:szCs w:val="28"/>
          <w:rtl w:val="true"/>
          <w:lang w:bidi="fa-IR"/>
        </w:rPr>
        <w:t>، و اتفاقهم هنا</w:t>
      </w:r>
      <w:r>
        <w:rPr>
          <w:rStyle w:val="FootnoteAnchor"/>
          <w:rtl w:val="true"/>
        </w:rPr>
        <w:footnoteReference w:id="94"/>
      </w:r>
      <w:r>
        <w:rPr>
          <w:rFonts w:ascii="Amiri" w:hAnsi="Amiri" w:eastAsia="Amiri" w:cs="Amiri"/>
          <w:color w:val="111111"/>
          <w:sz w:val="28"/>
          <w:sz w:val="28"/>
          <w:szCs w:val="28"/>
          <w:rtl w:val="true"/>
          <w:lang w:bidi="ar-SA"/>
        </w:rPr>
        <w:t>، أيضاً يمنع عن هذا</w:t>
      </w:r>
    </w:p>
    <w:p>
      <w:pPr>
        <w:pStyle w:val="BookText"/>
        <w:rPr/>
      </w:pPr>
      <w:r>
        <w:rPr>
          <w:rFonts w:ascii="Amiri" w:hAnsi="Amiri" w:eastAsia="Amiri" w:cs="Amiri"/>
          <w:color w:val="111111"/>
          <w:sz w:val="28"/>
          <w:sz w:val="28"/>
          <w:szCs w:val="28"/>
          <w:rtl w:val="true"/>
          <w:lang w:bidi="ar-SA"/>
        </w:rPr>
        <w:t xml:space="preserve">على الأقوى في الأشياء الخطيرة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الأحوط في 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ما تخيّلناه من خروج الرشيد من الأدلّة، و هو غير المميّز المعنون في متون الأصحاب، فلا حاجة إلى الإذن مطلقاً، و إلّا فقضيّة الإطلاق بعد الشمول عدم الفرق بين الصور، حتّى الصور الآتية من ذي قِبَل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الأردبيلي على ما ذكرنا كلامه في كتابنا الكبير</w:t>
      </w:r>
      <w:r>
        <w:rPr>
          <w:rStyle w:val="FootnoteAnchor"/>
          <w:rtl w:val="true"/>
        </w:rPr>
        <w:footnoteReference w:id="95"/>
      </w:r>
      <w:r>
        <w:rPr>
          <w:rFonts w:ascii="Amiri" w:hAnsi="Amiri" w:eastAsia="Amiri" w:cs="Amiri"/>
          <w:color w:val="111111"/>
          <w:sz w:val="28"/>
          <w:sz w:val="28"/>
          <w:szCs w:val="28"/>
          <w:rtl w:val="true"/>
          <w:lang w:bidi="ar-SA"/>
        </w:rPr>
        <w:t>، ذهب إلى ما أفدناه في أصل المسألة</w:t>
      </w:r>
      <w:r>
        <w:rPr>
          <w:rStyle w:val="FootnoteAnchor"/>
          <w:rtl w:val="true"/>
        </w:rPr>
        <w:footnoteReference w:id="96"/>
      </w:r>
      <w:r>
        <w:rPr>
          <w:rFonts w:ascii="IRNazanin" w:hAnsi="IRNazanin" w:eastAsia="IRNazanin"/>
          <w:color w:val="111111"/>
          <w:sz w:val="28"/>
          <w:sz w:val="28"/>
          <w:szCs w:val="28"/>
          <w:rtl w:val="true"/>
          <w:lang w:bidi="fa-IR"/>
        </w:rPr>
        <w:t>، فراجع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الأشياء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القدر المتيقّن من الأدلّة، و من الخروج عن السيرة غير المردوعة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الأعمّ من السيرة جدّاً، و غير الخطيرة، فإنّ كثيراً من التجارات و المكاسب ليست خطيرة، و لا يسيرة، مثل ما تعارف بين الأطفال، فعليه يمكن دعوى شمول العبارة لثلاثة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الصحّة في اليسيرة إذا كان مميّزاً ممّا جرت عليها السيرة، لا تخلو من وجه و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فيها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فيها على الاحتياط؛ لأنّ قضيّة الإطلاقات</w:t>
      </w:r>
      <w:r>
        <w:rPr>
          <w:rStyle w:val="FootnoteAnchor"/>
          <w:rtl w:val="true"/>
        </w:rPr>
        <w:footnoteReference w:id="97"/>
      </w:r>
      <w:r>
        <w:rPr>
          <w:rFonts w:ascii="Amiri" w:hAnsi="Amiri" w:eastAsia="Amiri" w:cs="Amiri"/>
          <w:color w:val="111111"/>
          <w:sz w:val="28"/>
          <w:sz w:val="28"/>
          <w:szCs w:val="28"/>
          <w:rtl w:val="true"/>
          <w:lang w:bidi="ar-SA"/>
        </w:rPr>
        <w:t>هي الممنوعيّة، و لا شاهد على شمول السيرة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الحكم فيها الجواز، و هي اليسيرة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معاملات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نعت إضافة الموصوف إلى الصفة،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وجه 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تلك السيرة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متّصلة، و ليست منقطعة الأوّل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مردوعة، و دعوى أنّها غير مرتدعة، و هي عندئذٍ غير كافية</w:t>
      </w:r>
      <w:r>
        <w:rPr>
          <w:rStyle w:val="FootnoteAnchor"/>
          <w:rtl w:val="true"/>
        </w:rPr>
        <w:footnoteReference w:id="98"/>
      </w:r>
      <w:r>
        <w:rPr>
          <w:rFonts w:ascii="Amiri" w:hAnsi="Amiri" w:eastAsia="Amiri" w:cs="Amiri"/>
          <w:color w:val="111111"/>
          <w:sz w:val="28"/>
          <w:sz w:val="28"/>
          <w:szCs w:val="28"/>
          <w:rtl w:val="true"/>
          <w:lang w:bidi="ar-SA"/>
        </w:rPr>
        <w:t>، غير مسموعة جدّاً، و لو كان الأمر كما قيل يلزم وضوح الحكم، و صدور المآثير الكثيرة، و لا يكفي في هذه الموضوعات التي عليها العقلاء، الإطلاقُ و العموم فيعلم منه قصور الأدلّة عن الرادعيّة، عنها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يستلزم ذلك فسق العلماء و الفقهاء رضوان اللَّه تعالى عليهم لعدم أمرهم بالمعروف، و نهيهم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ابتلائهم في جميع الأعصار و الأمصار بها في كلّ يوم مراراً، و هذا يستلزم العسر و الحرج في معيشة</w:t>
      </w:r>
    </w:p>
    <w:p>
      <w:pPr>
        <w:pStyle w:val="BookText"/>
        <w:rPr/>
      </w:pPr>
      <w:r>
        <w:rPr>
          <w:rFonts w:ascii="Amiri" w:hAnsi="Amiri" w:eastAsia="Amiri" w:cs="Amiri"/>
          <w:color w:val="111111"/>
          <w:sz w:val="28"/>
          <w:sz w:val="28"/>
          <w:szCs w:val="28"/>
          <w:rtl w:val="true"/>
          <w:lang w:bidi="ar-SA"/>
        </w:rPr>
        <w:t>الإنسان، و هي مشقّة أعظم من الالتزام بالأطفال، أو التدخّل في أُمورهم،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الحكم كما في المتن قوي جدّاً، و دعوى الإجماع عليه</w:t>
      </w:r>
      <w:r>
        <w:rPr>
          <w:rStyle w:val="FootnoteAnchor"/>
          <w:rtl w:val="true"/>
        </w:rPr>
        <w:footnoteReference w:id="99"/>
      </w:r>
      <w:r>
        <w:rPr>
          <w:rFonts w:ascii="Amiri" w:hAnsi="Amiri" w:eastAsia="Amiri" w:cs="Amiri"/>
          <w:color w:val="111111"/>
          <w:sz w:val="28"/>
          <w:sz w:val="28"/>
          <w:szCs w:val="28"/>
          <w:rtl w:val="true"/>
          <w:lang w:bidi="ar-SA"/>
        </w:rPr>
        <w:t>، غير ثابتة، خصوصاً بعد وجود النصوص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شهادة معتبر السكونيّ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الصلاة و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كسب الإماء؛ فإنّها إن لم تجد زنت، إلّا أمة قد عرفت بصنعة يد، و نهى عن كسب الغلام الصغير الذي لا يحسن صناعة بيده؛ فإنّه إن لم يجد سرق</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على أنّ كسب الغلام في الجملة، ممّا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تعرّضنا للوجوه المحتملة في هذه الرواية في محالّها</w:t>
      </w:r>
      <w:r>
        <w:rPr>
          <w:rStyle w:val="FootnoteAnchor"/>
          <w:rtl w:val="true"/>
        </w:rPr>
        <w:footnoteReference w:id="101"/>
      </w:r>
      <w:r>
        <w:rPr>
          <w:rFonts w:ascii="Amiri" w:hAnsi="Amiri" w:eastAsia="Amiri" w:cs="Amiri"/>
          <w:color w:val="111111"/>
          <w:sz w:val="28"/>
          <w:sz w:val="28"/>
          <w:szCs w:val="28"/>
          <w:rtl w:val="true"/>
          <w:lang w:bidi="ar-SA"/>
        </w:rPr>
        <w:t>، و لكنّها بكثرتها لا تنافي دلالتها عرفاً على الصحّة إجمالًا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قضيّة إطلاقها صحّتها في جميع الصور و لو كان منهيّاً من قبل الوليّ، و لا منع من الالتزام به لولا مخافة مخالفة الإجماع فيما كان رشيداً مميّزاً بالغاً في العقل؛ و إن كان غير بالغ إلى أشدّه و هو الجسم بالاحتلام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كان بمنزلة الآلة بحيث تكون حقيقة المعاملة بين البالغين ممّا لا بأس به مطلقاً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منهيّاً من قبل وليّه؛ لأنّه لا يؤثّر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تكليفاً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وضعاً، فلأجنبيّته عنه، فإنّه إذا لم يكن إذنه شرطاً، فلا دليل على مضرّية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شمول الإطلاقات لهذه الصورة، غير تامّ؛ لأنّه ليس متصدّياً لأمر المعاملة حتّى يكون مشمول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النظر الدقيق يؤدّي إلى عدم الفرق؛ ضرورة أنّ ما يتكفّله الصغير و إن لم يكن أمر البيع و الشراء، إلّا أنّه لا بدّ و أن ينطبق عليه أحد العناوين المعروفة، و هو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شبهة في أنّه عندئذٍ ممنوع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عدم كونها شيئاً حتّى يحتاج إلى تطبيق العناوين عليه، فاسد؛ ضرورة أنّ من الممكن أخذ الأجر و حقّ الوكالة على ذلك الأمر، فعدم جواز أمره يؤدّي إلى جميع أُموره، خصوصاً في الوكالة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كونه آلة مثل الحيوان، لا يستلزم عدم انطباق عنوان عليه، و إلّا يلزم ذلك فيما يتصدّى الكبير لإجراء العقد، و يأخذ الأجر حذاءه، و لا يمكن الالتزام بخروجه عن العناوين المعروفة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عدم نفوذ أمره على الإطلاق، و إلغاء الخصوصيّة عمّا ورد في البيع و الشراء مشكل؛ لما أنّه التجارة المتعارفة المستلزمة لوقوعه في الهلكة، بخلاف غيرها، خصوصاً إذا لم يكن مرتبطاً بالماليّات التي هي المقصودة في عدم الإمضاء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إلى أبي الحسين الخادم بيّاع اللؤلؤ،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 أنا حاضر عن اليتيم الذي يجوز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 عشرة سنة، أو أقلّ أو أكثر و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و كتب عليه الشي‌ء، و نبت عليه الشعر، جاز عليه أمره، إلّا أن يكون سفيهاً أو ضعيفاً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مطلقاً، إلّا أنّ أبا الحسين غير معلوم، و دعوى كونه آدم بن</w:t>
      </w:r>
    </w:p>
    <w:p>
      <w:pPr>
        <w:pStyle w:val="BookText"/>
        <w:rPr/>
      </w:pPr>
      <w:r>
        <w:rPr>
          <w:rFonts w:ascii="Amiri" w:hAnsi="Amiri" w:eastAsia="Amiri" w:cs="Amiri"/>
          <w:color w:val="111111"/>
          <w:sz w:val="28"/>
          <w:sz w:val="28"/>
          <w:szCs w:val="28"/>
          <w:rtl w:val="true"/>
          <w:lang w:bidi="ar-SA"/>
        </w:rPr>
        <w:t>المتوكّل</w:t>
      </w:r>
      <w:r>
        <w:rPr>
          <w:rStyle w:val="FootnoteAnchor"/>
          <w:rtl w:val="true"/>
        </w:rPr>
        <w:footnoteReference w:id="103"/>
      </w:r>
      <w:r>
        <w:rPr>
          <w:rFonts w:ascii="Amiri" w:hAnsi="Amiri" w:eastAsia="Amiri" w:cs="Amiri"/>
          <w:color w:val="111111"/>
          <w:sz w:val="28"/>
          <w:sz w:val="28"/>
          <w:szCs w:val="28"/>
          <w:rtl w:val="true"/>
          <w:lang w:bidi="ar-SA"/>
        </w:rPr>
        <w:t>و إن كانت قريبة، إلّا أنّها لا تتمّ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بتماميتها؛ لرواية البَزنطيّ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إطلاق معتبر ابن سِنان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 أنا حاضر عن قول اللَّه عزّ و جلّ حَتَّى إِذا بَلَغَ أَشُدَّهُ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يحتلم في ستّ عشرة، أو سبع عشرة سنة و نحوها؟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إذا أتت عليه ثلاث عشرة سنة كتبت له الحسنات، و كتبت عليه السيّئات، و جاز أمره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الذي يسهّل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إسراء الحكم من اليتيم إلى غيره في غاية الإشكال، فافهم و تأمّل جدّاً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تماميّة إطلاق المنع بالنسبة إلى اليتيم في أمواله، فإنّه في غاية المتانة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صحّة وكالته في إجراء العقد بالنسبة إلى أمواله، فهي لأجل عدم مساعدة الاعتبار، و عليه لا منع من تصدّيه لإجرائه؛</w:t>
      </w:r>
    </w:p>
    <w:p>
      <w:pPr>
        <w:pStyle w:val="BookText"/>
        <w:rPr/>
      </w:pPr>
      <w:r>
        <w:rPr>
          <w:rFonts w:ascii="Amiri" w:hAnsi="Amiri" w:eastAsia="Amiri" w:cs="Amiri"/>
          <w:color w:val="111111"/>
          <w:sz w:val="28"/>
          <w:sz w:val="28"/>
          <w:szCs w:val="28"/>
          <w:rtl w:val="true"/>
          <w:lang w:bidi="ar-SA"/>
        </w:rPr>
        <w:t>و كما لا تصحّ معاملة الصبيّ في الأشياء الخطيرة لنفسه، كذلك لا تصحّ لغيره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المطلقات ناظرة إلى عدم نفوذ أمره؛ أي بيعه و شرائه، أو وكالته و إجارته، و هذا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كونه مسلوب العبارة كما يأتي الإيماء إليه، يلزم عدم نفوذ تصدّيه له أيضاً، و لكنّه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وكيل عن وليّه، طويل الذيل، من شاء فعليه بالرجوع إلى الكتاب الكبير</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 لغيره أيضاً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للإطلاق في النصّ</w:t>
      </w:r>
      <w:r>
        <w:rPr>
          <w:rStyle w:val="FootnoteAnchor"/>
          <w:rtl w:val="true"/>
        </w:rPr>
        <w:footnoteReference w:id="107"/>
      </w:r>
      <w:r>
        <w:rPr>
          <w:rFonts w:ascii="IRNazanin" w:hAnsi="IRNazanin" w:eastAsia="IRNazanin"/>
          <w:color w:val="111111"/>
          <w:sz w:val="28"/>
          <w:sz w:val="28"/>
          <w:szCs w:val="28"/>
          <w:rtl w:val="true"/>
          <w:lang w:bidi="fa-IR"/>
        </w:rPr>
        <w:t>، و الفتوى</w:t>
      </w:r>
      <w:r>
        <w:rPr>
          <w:rStyle w:val="FootnoteAnchor"/>
          <w:rtl w:val="true"/>
        </w:rPr>
        <w:footnoteReference w:id="108"/>
      </w:r>
      <w:r>
        <w:rPr>
          <w:rFonts w:ascii="Amiri" w:hAnsi="Amiri" w:eastAsia="Amiri" w:cs="Amiri"/>
          <w:color w:val="111111"/>
          <w:sz w:val="28"/>
          <w:sz w:val="28"/>
          <w:szCs w:val="28"/>
          <w:rtl w:val="true"/>
          <w:lang w:bidi="ar-SA"/>
        </w:rPr>
        <w:t>، و لأنّ تصدّيه لأمر الغير يرجع إلى الوكالة، أو الولاية، أو النيابة، و كلّ يطلب من محلّه، أو يرجع إلى بعض العقود الأُخر،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وكيلًا حتّى مع إذن الوليّ في الوكالة، و أمّا لو كان وكيلًا لمجرّد إجراء الصيغة و كان أصل المعاملة بين البالغين فصحّته لا تخلو من 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مسلوب العبارة، لكن لا ينبغي ترك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من 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وجهه و وجه الإشكال فيه</w:t>
      </w:r>
      <w:r>
        <w:rPr>
          <w:rStyle w:val="FootnoteAnchor"/>
          <w:rtl w:val="true"/>
        </w:rPr>
        <w:footnoteReference w:id="109"/>
      </w:r>
      <w:r>
        <w:rPr>
          <w:rFonts w:ascii="Amiri" w:hAnsi="Amiri" w:eastAsia="Amiri" w:cs="Amiri"/>
          <w:color w:val="111111"/>
          <w:sz w:val="28"/>
          <w:sz w:val="28"/>
          <w:szCs w:val="28"/>
          <w:rtl w:val="true"/>
          <w:lang w:bidi="ar-SA"/>
        </w:rPr>
        <w:t>، و غاية ما يوجّه به نفوذ هذا الأمر؛ عدم ثبوت الإطلاق، و عدم صحّة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و أصحابه يعتقدون بأنّ الأخبار المشتملة على حكم اليتيم، لا تختصّ به، و الموضوع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كما يشهد به بعض المآثير</w:t>
      </w:r>
      <w:r>
        <w:rPr>
          <w:rStyle w:val="FootnoteAnchor"/>
          <w:rtl w:val="true"/>
        </w:rPr>
        <w:footnoteReference w:id="111"/>
      </w:r>
      <w:r>
        <w:rPr>
          <w:rFonts w:ascii="Amiri" w:hAnsi="Amiri" w:eastAsia="Amiri" w:cs="Amiri"/>
          <w:color w:val="111111"/>
          <w:sz w:val="28"/>
          <w:sz w:val="28"/>
          <w:szCs w:val="28"/>
          <w:rtl w:val="true"/>
          <w:lang w:bidi="ar-SA"/>
        </w:rPr>
        <w:t>وهماً، و مع ذلك أفتوا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إلّا دعوى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غير مسموعة؛ لعدم تماميّة سندها و كأنّه لكونه فعلًا يسيراً لا يعبأ به، يكون خارجاً منها، و لو تمّ ذلك يلزم بعض ما لا يلتزمون به،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هو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نسب إلى الشهرة</w:t>
      </w:r>
      <w:r>
        <w:rPr>
          <w:rStyle w:val="FootnoteAnchor"/>
          <w:rtl w:val="true"/>
        </w:rPr>
        <w:footnoteReference w:id="112"/>
      </w:r>
      <w:r>
        <w:rPr>
          <w:rFonts w:ascii="Amiri" w:hAnsi="Amiri" w:eastAsia="Amiri" w:cs="Amiri"/>
          <w:color w:val="111111"/>
          <w:sz w:val="28"/>
          <w:sz w:val="28"/>
          <w:szCs w:val="28"/>
          <w:rtl w:val="true"/>
          <w:lang w:bidi="ar-SA"/>
        </w:rPr>
        <w:t>، و سند هجرانه ليس بناء العقلاء حتّى</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منشأُه قصور المقتضي، بل سنده بعض الإطلاقات، كحديث الرفع</w:t>
      </w:r>
      <w:r>
        <w:rPr>
          <w:rStyle w:val="FootnoteAnchor"/>
          <w:rtl w:val="true"/>
        </w:rPr>
        <w:footnoteReference w:id="113"/>
      </w:r>
      <w:r>
        <w:rPr>
          <w:rFonts w:ascii="Amiri" w:hAnsi="Amiri" w:eastAsia="Amiri" w:cs="Amiri"/>
          <w:color w:val="111111"/>
          <w:sz w:val="28"/>
          <w:sz w:val="28"/>
          <w:szCs w:val="28"/>
          <w:rtl w:val="true"/>
          <w:lang w:bidi="ar-SA"/>
        </w:rPr>
        <w:t xml:space="preserve">،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 بعض النصوص الناطقة بأنّ الحسنات لا تكتب له إلّا بعد البلوغ</w:t>
      </w:r>
      <w:r>
        <w:rPr>
          <w:rStyle w:val="FootnoteAnchor"/>
          <w:rtl w:val="true"/>
        </w:rPr>
        <w:footnoteReference w:id="115"/>
      </w:r>
      <w:r>
        <w:rPr>
          <w:rFonts w:ascii="Amiri" w:hAnsi="Amiri" w:eastAsia="Amiri" w:cs="Amiri"/>
          <w:color w:val="111111"/>
          <w:sz w:val="28"/>
          <w:sz w:val="28"/>
          <w:szCs w:val="28"/>
          <w:rtl w:val="true"/>
          <w:lang w:bidi="ar-SA"/>
        </w:rPr>
        <w:t>، و الأُمور تكون أمّا حسنة أو سيّئة، و العقود ليست خارجة عنها، فإذن هو مسلوب العبارة تعبّداً، خرج منه بعض المواضع، كالوصيّة</w:t>
      </w:r>
      <w:r>
        <w:rPr>
          <w:rStyle w:val="FootnoteAnchor"/>
          <w:rtl w:val="true"/>
        </w:rPr>
        <w:footnoteReference w:id="116"/>
      </w:r>
      <w:r>
        <w:rPr>
          <w:rFonts w:ascii="IRNazanin" w:hAnsi="IRNazanin" w:eastAsia="IRNazanin"/>
          <w:color w:val="111111"/>
          <w:sz w:val="28"/>
          <w:sz w:val="28"/>
          <w:szCs w:val="28"/>
          <w:rtl w:val="true"/>
          <w:lang w:bidi="fa-IR"/>
        </w:rPr>
        <w:t>، و العتق</w:t>
      </w:r>
      <w:r>
        <w:rPr>
          <w:rStyle w:val="FootnoteAnchor"/>
          <w:rtl w:val="true"/>
        </w:rPr>
        <w:footnoteReference w:id="117"/>
      </w:r>
      <w:r>
        <w:rPr>
          <w:rFonts w:ascii="IRNazanin" w:hAnsi="IRNazanin" w:eastAsia="IRNazanin"/>
          <w:color w:val="111111"/>
          <w:sz w:val="28"/>
          <w:sz w:val="28"/>
          <w:szCs w:val="28"/>
          <w:rtl w:val="true"/>
          <w:lang w:bidi="fa-IR"/>
        </w:rPr>
        <w:t>، و الطلاق</w:t>
      </w:r>
      <w:r>
        <w:rPr>
          <w:rStyle w:val="FootnoteAnchor"/>
          <w:rtl w:val="true"/>
        </w:rPr>
        <w:footnoteReference w:id="118"/>
      </w:r>
      <w:r>
        <w:rPr>
          <w:rFonts w:ascii="Amiri" w:hAnsi="Amiri" w:eastAsia="Amiri" w:cs="Amiri"/>
          <w:color w:val="111111"/>
          <w:sz w:val="28"/>
          <w:sz w:val="28"/>
          <w:szCs w:val="28"/>
          <w:rtl w:val="true"/>
          <w:lang w:bidi="ar-SA"/>
        </w:rPr>
        <w:t>، و التدبير</w:t>
      </w:r>
      <w:r>
        <w:rPr>
          <w:rStyle w:val="FootnoteAnchor"/>
          <w:rtl w:val="true"/>
        </w:rPr>
        <w:footnoteReference w:id="119"/>
      </w:r>
      <w:r>
        <w:rPr>
          <w:rFonts w:ascii="Amiri" w:hAnsi="Amiri" w:eastAsia="Amiri" w:cs="Amiri"/>
          <w:color w:val="111111"/>
          <w:sz w:val="28"/>
          <w:sz w:val="28"/>
          <w:szCs w:val="28"/>
          <w:rtl w:val="true"/>
          <w:lang w:bidi="ar-SA"/>
        </w:rPr>
        <w:t>، و في باب الشهادات باب منعقد لاستماع شهادته في القتل</w:t>
      </w:r>
      <w:r>
        <w:rPr>
          <w:rStyle w:val="FootnoteAnchor"/>
          <w:rtl w:val="true"/>
        </w:rPr>
        <w:footnoteReference w:id="120"/>
      </w:r>
      <w:r>
        <w:rPr>
          <w:rFonts w:ascii="Amiri" w:hAnsi="Amiri" w:eastAsia="Amiri" w:cs="Amiri"/>
          <w:color w:val="111111"/>
          <w:sz w:val="28"/>
          <w:sz w:val="28"/>
          <w:szCs w:val="28"/>
          <w:rtl w:val="true"/>
          <w:lang w:bidi="ar-SA"/>
        </w:rPr>
        <w:t>، و هذا لا يضرّ بتلك</w:t>
      </w:r>
    </w:p>
    <w:p>
      <w:pPr>
        <w:pStyle w:val="BookText"/>
        <w:rPr/>
      </w:pPr>
      <w:r>
        <w:rPr>
          <w:rFonts w:ascii="Amiri" w:hAnsi="Amiri" w:eastAsia="Amiri" w:cs="Amiri"/>
          <w:color w:val="111111"/>
          <w:sz w:val="28"/>
          <w:sz w:val="28"/>
          <w:szCs w:val="28"/>
          <w:rtl w:val="true"/>
          <w:lang w:bidi="ar-SA"/>
        </w:rPr>
        <w:t>الإطلاقات و النصوص،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حجّه و سائر عباداته التي ورد الأمر بحثّ الموالي إيّاه عليها</w:t>
      </w:r>
      <w:r>
        <w:rPr>
          <w:rStyle w:val="FootnoteAnchor"/>
          <w:rtl w:val="true"/>
        </w:rPr>
        <w:footnoteReference w:id="121"/>
      </w:r>
      <w:r>
        <w:rPr>
          <w:rFonts w:ascii="Amiri" w:hAnsi="Amiri" w:eastAsia="Amiri" w:cs="Amiri"/>
          <w:color w:val="111111"/>
          <w:sz w:val="28"/>
          <w:sz w:val="28"/>
          <w:szCs w:val="28"/>
          <w:rtl w:val="true"/>
          <w:lang w:bidi="ar-SA"/>
        </w:rPr>
        <w:t>، الظاهرة على إشكال في صحّتها، و قضيّة الجمع بين الأدلّة كونها تمرينيّة، و ليست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تعرّضنا لهذه الأدلّة تفصيلًا و ما يتوجّه إليها في كتابنا الكبير</w:t>
      </w:r>
      <w:r>
        <w:rPr>
          <w:rStyle w:val="FootnoteAnchor"/>
          <w:rtl w:val="true"/>
        </w:rPr>
        <w:footnoteReference w:id="122"/>
      </w:r>
      <w:r>
        <w:rPr>
          <w:rFonts w:ascii="Amiri" w:hAnsi="Amiri" w:eastAsia="Amiri" w:cs="Amiri"/>
          <w:color w:val="111111"/>
          <w:sz w:val="28"/>
          <w:sz w:val="28"/>
          <w:szCs w:val="28"/>
          <w:rtl w:val="true"/>
          <w:lang w:bidi="ar-SA"/>
        </w:rPr>
        <w:t>، و المحرّر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w:t>
      </w:r>
      <w:r>
        <w:rPr>
          <w:rStyle w:val="FootnoteAnchor"/>
          <w:rtl w:val="true"/>
        </w:rPr>
        <w:footnoteReference w:id="123"/>
      </w:r>
      <w:r>
        <w:rPr>
          <w:rFonts w:ascii="Amiri" w:hAnsi="Amiri" w:eastAsia="Amiri" w:cs="Amiri"/>
          <w:color w:val="111111"/>
          <w:sz w:val="28"/>
          <w:sz w:val="28"/>
          <w:szCs w:val="28"/>
          <w:rtl w:val="true"/>
          <w:lang w:bidi="ar-SA"/>
        </w:rPr>
        <w:t>مضافاً إلى عدم ثبوت سند قوي له غير واضح الدلالة، و فيه المحتملات الكثيرة</w:t>
      </w:r>
      <w:r>
        <w:rPr>
          <w:rStyle w:val="FootnoteAnchor"/>
          <w:rtl w:val="true"/>
        </w:rPr>
        <w:footnoteReference w:id="124"/>
      </w:r>
      <w:r>
        <w:rPr>
          <w:rFonts w:ascii="Amiri" w:hAnsi="Amiri" w:eastAsia="Amiri" w:cs="Amiri"/>
          <w:color w:val="111111"/>
          <w:sz w:val="28"/>
          <w:sz w:val="28"/>
          <w:szCs w:val="28"/>
          <w:rtl w:val="true"/>
          <w:lang w:bidi="ar-SA"/>
        </w:rPr>
        <w:t>، و لعلّ الأظهر من بينها؛ أنّ ما هو الثابت في الشريعة على نحوين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ثابت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ثابت للكبير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المرفوع هو الثاني؛ لأنّ الظاهر أنّ منشأ الرفع هو صباه و جنونه و نومه، فما يثبت للكبير العاقل المنتبه مرفوع عن الثلاثة، و أمّا</w:t>
      </w:r>
    </w:p>
    <w:p>
      <w:pPr>
        <w:pStyle w:val="BookText"/>
        <w:rPr/>
      </w:pPr>
      <w:r>
        <w:rPr>
          <w:rFonts w:ascii="Amiri" w:hAnsi="Amiri" w:eastAsia="Amiri" w:cs="Amiri"/>
          <w:color w:val="111111"/>
          <w:sz w:val="28"/>
          <w:sz w:val="28"/>
          <w:szCs w:val="28"/>
          <w:rtl w:val="true"/>
          <w:lang w:bidi="ar-SA"/>
        </w:rPr>
        <w:t>هذا الأمر ما هو؟ فهو يحتاج إلى دليل آخر، و القدر المسلّم هو العقاب و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نسبة الرفع فهي خفيفة المئونة؛ فإنّ توجيه الخطاب القانونيّ، أو جعل العنوان الكلّي القابل للانطباق عليه في القانون الكلّي، كافٍ لصحّة الرفع، و لا تمسّ الحاجة إلى الشرائط العامّة في ذلك، بل هي شرائط الإرادة الجديّة و تنجيز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التسوية، فهي ثابتة و مدّعاة بين خطأ الصبيّ و عمده، لا الخطأ و عمده، و ما هو المفيد هو الثاني، دون الأوّل،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 الصبيّ خطأ </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فإطلاقه يستلزم ارتفاع جميع الأحكام الثبوتيّة عنه، فهو مسلوب العبارة، و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ابن مسلم</w:t>
      </w:r>
      <w:r>
        <w:rPr>
          <w:rStyle w:val="FootnoteAnchor"/>
          <w:rtl w:val="true"/>
        </w:rPr>
        <w:footnoteReference w:id="126"/>
      </w:r>
      <w:r>
        <w:rPr>
          <w:rFonts w:ascii="Amiri" w:hAnsi="Amiri" w:eastAsia="Amiri" w:cs="Amiri"/>
          <w:color w:val="111111"/>
          <w:sz w:val="28"/>
          <w:sz w:val="28"/>
          <w:szCs w:val="28"/>
          <w:rtl w:val="true"/>
          <w:lang w:bidi="ar-SA"/>
        </w:rPr>
        <w:t>، فهو دليل على أنّ لخطأ الصبيّ حكماً خاصّاً لا بدّ من الفحص عنه و إثباته لعمده، و هذا الحكم هو الحكم الثبوتيّ، لا الأعم منه و من العدميّ، و لا يختصّ بالعدميّ، فلا ينبغي الغفلة عن هذه النكتة، فتكون الرواية مخصوصة بباب الدية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الالتزام بالتسوية، يستلزم الفقه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توهّمه جمع من اللزوم المذكور</w:t>
      </w:r>
      <w:r>
        <w:rPr>
          <w:rStyle w:val="FootnoteAnchor"/>
          <w:rtl w:val="true"/>
        </w:rPr>
        <w:footnoteReference w:id="127"/>
      </w:r>
      <w:r>
        <w:rPr>
          <w:rFonts w:ascii="Amiri" w:hAnsi="Amiri" w:eastAsia="Amiri" w:cs="Amiri"/>
          <w:color w:val="111111"/>
          <w:sz w:val="28"/>
          <w:sz w:val="28"/>
          <w:szCs w:val="28"/>
          <w:rtl w:val="true"/>
          <w:lang w:bidi="ar-SA"/>
        </w:rPr>
        <w:t>، منشأُه الاعتقاد بصحّة عباداته، و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تمرينيّة فلا يلزم، فتدبّر جدّاً، و 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الصحيحة في مقام الامتنان، فكلّ حكم و لو كان عدميّاً ثابتاً للخطإ امتناناً فهو ثابت لعمد الصبيّ، و ما لا امتنان فيه مثل الأحكام الثابتة لخطأ غير الصبيّ فهو غير ثابت للصبيّ؛ رعاية لحقّ الامتنان عليه، و أمّا النصوص</w:t>
      </w:r>
      <w:r>
        <w:rPr>
          <w:rStyle w:val="FootnoteAnchor"/>
          <w:rtl w:val="true"/>
        </w:rPr>
        <w:footnoteReference w:id="128"/>
      </w:r>
      <w:r>
        <w:rPr>
          <w:rFonts w:ascii="Amiri" w:hAnsi="Amiri" w:eastAsia="Amiri" w:cs="Amiri"/>
          <w:color w:val="111111"/>
          <w:sz w:val="28"/>
          <w:sz w:val="28"/>
          <w:szCs w:val="28"/>
          <w:rtl w:val="true"/>
          <w:lang w:bidi="ar-SA"/>
        </w:rPr>
        <w:t>فشمولها للعقود ممنوع؛ لأنّها عرفاً و لغة ليست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الأولويّة غير بعيدة، إلّا أنّ الالتزام بمفاد هذه الأخبار، مشكل بعد خروج الحسنات المكتوبة، فتحمل على حسنات الواجبات المرفوعة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أنّها معارضة بمعتبر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أولاد المسلمين موسومون عند اللَّه عزّ و جلّ شافع و مشفّع، فإذا بلغوا اثنتي عشرة سنة كتبت لهم الحسنات، فإذا بلغوا الحلم كتبت عليهم السيّئات</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التحديد الأوّل لإفادة التمييز، مع أنّ المعارضة بين المفهوم و المنطوق، فهذه الرواية في حكم القرينة على انتفاء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المآثير الدالّة بالمفهوم على أنّ الحسنات و السيّئات تكتب بعد البلوغ</w:t>
      </w:r>
      <w:r>
        <w:rPr>
          <w:rStyle w:val="FootnoteAnchor"/>
          <w:rtl w:val="true"/>
        </w:rPr>
        <w:footnoteReference w:id="130"/>
      </w:r>
      <w:r>
        <w:rPr>
          <w:rFonts w:ascii="Amiri" w:hAnsi="Amiri" w:eastAsia="Amiri" w:cs="Amiri"/>
          <w:color w:val="111111"/>
          <w:sz w:val="28"/>
          <w:sz w:val="28"/>
          <w:szCs w:val="28"/>
          <w:rtl w:val="true"/>
          <w:lang w:bidi="ar-SA"/>
        </w:rPr>
        <w:t>، قاصرة عن إثبات مسلوبيّة عبارة الصبيّ، بل و عدم مشروعيّة عبادته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عدم المشروعيّة غير عدم مكتوبيّة الحسنات، فيصحّ الالتزام بالثاني من غير لزوم الالتزام بالأوّل، فجميع عباداته و معاملاته صحيحة إمّا بالفعل، أو بالقوّة، فتحتاج إلى الإجازة، إلّا أنّها إذا كانت ذات حسنة لغيره، لا تكتب تلك الحسنة له</w:t>
      </w:r>
      <w:r>
        <w:rPr>
          <w:rFonts w:eastAsia="Amiri" w:cs="Amiri" w:ascii="Amiri" w:hAnsi="Amiri"/>
          <w:color w:val="111111"/>
          <w:sz w:val="28"/>
          <w:szCs w:val="28"/>
          <w:rtl w:val="true"/>
          <w:lang w:bidi="ar-SA"/>
        </w:rPr>
        <w:t>.</w:t>
      </w:r>
      <w:bookmarkStart w:id="58" w:name="pg12370_121557"/>
    </w:p>
    <w:p>
      <w:pPr>
        <w:pStyle w:val="Heading4"/>
        <w:numPr>
          <w:ilvl w:val="3"/>
          <w:numId w:val="1"/>
        </w:numPr>
        <w:rPr/>
      </w:pPr>
      <w:bookmarkStart w:id="59" w:name="__RefHeading___Toc9026120_417432637"/>
      <w:bookmarkStart w:id="60" w:name="_Toc21"/>
      <w:bookmarkEnd w:id="58"/>
      <w:bookmarkEnd w:id="59"/>
      <w:r>
        <w:rPr>
          <w:rtl w:val="true"/>
        </w:rPr>
        <w:t>[</w:t>
      </w:r>
      <w:r>
        <w:rPr>
          <w:rtl w:val="true"/>
        </w:rPr>
        <w:t>الثاني</w:t>
      </w:r>
      <w:r>
        <w:rPr>
          <w:rtl w:val="true"/>
        </w:rPr>
        <w:t xml:space="preserve">: </w:t>
      </w:r>
      <w:r>
        <w:rPr>
          <w:rtl w:val="true"/>
        </w:rPr>
        <w:t>العقل</w:t>
      </w:r>
      <w:r>
        <w:rPr>
          <w:rtl w:val="true"/>
        </w:rPr>
        <w:t>]</w:t>
      </w:r>
      <w:bookmarkEnd w:id="6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بيع المجنون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صحّته فعليّة إذا ترشّح منه الجدّ إلى المعاملة، و صحّته بالقوّة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تصدّاها حال جنونه، و إلّا فالصحّة مطلقاً قويّة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عدم إمضاء عقد المجنون على إطلاقه و إن كان عاقلًا في برهة</w:t>
      </w:r>
      <w:r>
        <w:rPr>
          <w:rStyle w:val="FootnoteAnchor"/>
          <w:rtl w:val="true"/>
        </w:rPr>
        <w:footnoteReference w:id="131"/>
      </w:r>
      <w:r>
        <w:rPr>
          <w:rFonts w:ascii="Amiri" w:hAnsi="Amiri" w:eastAsia="Amiri" w:cs="Amiri"/>
          <w:color w:val="111111"/>
          <w:sz w:val="28"/>
          <w:sz w:val="28"/>
          <w:szCs w:val="28"/>
          <w:rtl w:val="true"/>
          <w:lang w:bidi="ar-SA"/>
        </w:rPr>
        <w:t>، كاحتمال عدم إمضاء المجنون في بعض الأُمور و هو عاقل في المعاملات، و كلاهما غير مبرهن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باستيحاش العقلاء من تجارة هؤلاء؛ لعدم الاعتماد عليهم و عندئذٍ يؤيّد الإطلاق في بعض الأخبار</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مضى في قضاء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روي في الصغير</w:t>
      </w:r>
      <w:r>
        <w:rPr>
          <w:rStyle w:val="FootnoteAnchor"/>
          <w:rtl w:val="true"/>
        </w:rPr>
        <w:footnoteReference w:id="133"/>
      </w:r>
      <w:r>
        <w:rPr>
          <w:rFonts w:ascii="Amiri" w:hAnsi="Amiri" w:eastAsia="Amiri" w:cs="Amiri"/>
          <w:color w:val="111111"/>
          <w:sz w:val="28"/>
          <w:sz w:val="28"/>
          <w:szCs w:val="28"/>
          <w:rtl w:val="true"/>
          <w:lang w:bidi="ar-SA"/>
        </w:rPr>
        <w:t>، ما يدلّ على أنّ المدار على كونه عاقلًا</w:t>
      </w:r>
      <w:r>
        <w:rPr>
          <w:rStyle w:val="FootnoteAnchor"/>
          <w:rtl w:val="true"/>
        </w:rPr>
        <w:footnoteReference w:id="134"/>
      </w:r>
      <w:r>
        <w:rPr>
          <w:rFonts w:ascii="Amiri" w:hAnsi="Amiri" w:eastAsia="Amiri" w:cs="Amiri"/>
          <w:color w:val="111111"/>
          <w:sz w:val="28"/>
          <w:sz w:val="28"/>
          <w:szCs w:val="28"/>
          <w:rtl w:val="true"/>
          <w:lang w:bidi="ar-SA"/>
        </w:rPr>
        <w:t>، فتبصّر</w:t>
      </w:r>
      <w:r>
        <w:rPr>
          <w:rFonts w:eastAsia="Amiri" w:cs="Amiri" w:ascii="Amiri" w:hAnsi="Amiri"/>
          <w:color w:val="111111"/>
          <w:sz w:val="28"/>
          <w:szCs w:val="28"/>
          <w:rtl w:val="true"/>
          <w:lang w:bidi="ar-SA"/>
        </w:rPr>
        <w:t>.</w:t>
      </w:r>
      <w:bookmarkStart w:id="61" w:name="pg12370_121558"/>
    </w:p>
    <w:p>
      <w:pPr>
        <w:pStyle w:val="Heading4"/>
        <w:numPr>
          <w:ilvl w:val="3"/>
          <w:numId w:val="1"/>
        </w:numPr>
        <w:rPr/>
      </w:pPr>
      <w:bookmarkStart w:id="62" w:name="__RefHeading___Toc9026122_417432637"/>
      <w:bookmarkStart w:id="63" w:name="_Toc22"/>
      <w:bookmarkEnd w:id="61"/>
      <w:bookmarkEnd w:id="62"/>
      <w:r>
        <w:rPr>
          <w:rtl w:val="true"/>
        </w:rPr>
        <w:t>[</w:t>
      </w:r>
      <w:r>
        <w:rPr>
          <w:rtl w:val="true"/>
        </w:rPr>
        <w:t>الثالث</w:t>
      </w:r>
      <w:r>
        <w:rPr>
          <w:rtl w:val="true"/>
        </w:rPr>
        <w:t xml:space="preserve">: </w:t>
      </w:r>
      <w:r>
        <w:rPr>
          <w:rtl w:val="true"/>
        </w:rPr>
        <w:t>القصد</w:t>
      </w:r>
      <w:r>
        <w:rPr>
          <w:rtl w:val="true"/>
        </w:rPr>
        <w:t>]</w:t>
      </w:r>
      <w:bookmarkEnd w:id="6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فلا يصحّ بيع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القاصد، كالهازل، و الغالط، و الساهي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بيع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صحّته فعليّة بالضرورة، و صحّته بالقوّة؛ بحيث لا تنفع الإجازة اللاحقة؛ لعدم ترشّح الإرادة إلى معنى العقد، بل و لا إلى معنى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ليس من شرائط ماهيّة العقد، و لا من شرائط المتعاقدين، و لا من مقوّمات الماهيّة، بل هو السبب لوجود العقد، فيكون العقد بوجوده متقوّماً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القصد كما يعتبر في المداليل التصوّرية، و يعتبر في تحقّق الألفاظ الموضوعة لتلك المعاني، و يعتبر في المداليل التصديقيّة الناقصة،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زيداً غير آجرته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يعتبر في المداليل التصديقيّة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دخالته في الأثر الفعليّ، فهي كلام طويل الذيل في بحث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إجمالًا من أجزأ ماهيّة العقد، و إلّا يلزم صحّة عقد الهازل بالقوّة، و إذا لحقته الإجازة يصحّ بالفعل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كون الشي‌ء من أجزاء الماهيّة، و بين كونه دخيلًا في</w:t>
      </w:r>
    </w:p>
    <w:p>
      <w:pPr>
        <w:pStyle w:val="BookText"/>
        <w:rPr/>
      </w:pPr>
      <w:r>
        <w:rPr>
          <w:rFonts w:ascii="Amiri" w:hAnsi="Amiri" w:eastAsia="Amiri" w:cs="Amiri"/>
          <w:color w:val="111111"/>
          <w:sz w:val="28"/>
          <w:sz w:val="28"/>
          <w:szCs w:val="28"/>
          <w:rtl w:val="true"/>
          <w:lang w:bidi="ar-SA"/>
        </w:rPr>
        <w:t>كونه الماهيّة ماهيّةً، مثلًا ماهيّة الإنسان ليست إلّا الأجناس المترتّبة و الفصل الأخير، و لكنّ الإنسان لا يصدق بالحمل الشائع إلّا حين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فالبيع ليس إلّا إنشاء المبادلة، و هذا الإنشاء ليس إنشاءً إلّا بالوجود و الجدّ و الإرادة المتعلّقة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ذكرناه يظهر مواقف النظر و الخلط في كلمات القوم صدراً و ذيلًا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المقام فروعاً كثيرة تعرّضنا لحدودها في كتابنا الكبير، و من شاء تفصيلها فليراجع هناك</w:t>
      </w:r>
      <w:r>
        <w:rPr>
          <w:rStyle w:val="FootnoteAnchor"/>
          <w:rtl w:val="true"/>
        </w:rPr>
        <w:footnoteReference w:id="136"/>
      </w:r>
      <w:r>
        <w:rPr>
          <w:rFonts w:ascii="Amiri" w:hAnsi="Amiri" w:eastAsia="Amiri" w:cs="Amiri"/>
          <w:color w:val="111111"/>
          <w:sz w:val="28"/>
          <w:sz w:val="28"/>
          <w:szCs w:val="28"/>
          <w:rtl w:val="true"/>
          <w:lang w:bidi="ar-SA"/>
        </w:rPr>
        <w:t>، و تدبّر فيما أسمعناك</w:t>
      </w:r>
      <w:r>
        <w:rPr>
          <w:rFonts w:eastAsia="Amiri" w:cs="Amiri" w:ascii="Amiri" w:hAnsi="Amiri"/>
          <w:color w:val="111111"/>
          <w:sz w:val="28"/>
          <w:szCs w:val="28"/>
          <w:rtl w:val="true"/>
          <w:lang w:bidi="ar-SA"/>
        </w:rPr>
        <w:t>.</w:t>
      </w:r>
      <w:bookmarkStart w:id="64" w:name="pg12370_121560"/>
    </w:p>
    <w:p>
      <w:pPr>
        <w:pStyle w:val="Heading4"/>
        <w:numPr>
          <w:ilvl w:val="3"/>
          <w:numId w:val="1"/>
        </w:numPr>
        <w:rPr/>
      </w:pPr>
      <w:bookmarkStart w:id="65" w:name="__RefHeading___Toc9026124_417432637"/>
      <w:bookmarkStart w:id="66" w:name="_Toc23"/>
      <w:bookmarkEnd w:id="64"/>
      <w:bookmarkEnd w:id="65"/>
      <w:r>
        <w:rPr>
          <w:rtl w:val="true"/>
        </w:rPr>
        <w:t>[</w:t>
      </w:r>
      <w:r>
        <w:rPr>
          <w:rtl w:val="true"/>
        </w:rPr>
        <w:t>الرابع</w:t>
      </w:r>
      <w:r>
        <w:rPr>
          <w:rtl w:val="true"/>
        </w:rPr>
        <w:t xml:space="preserve">: </w:t>
      </w:r>
      <w:r>
        <w:rPr>
          <w:rtl w:val="true"/>
        </w:rPr>
        <w:t>الاختيار</w:t>
      </w:r>
      <w:r>
        <w:rPr>
          <w:rtl w:val="true"/>
        </w:rPr>
        <w:t>]</w:t>
      </w:r>
      <w:bookmarkEnd w:id="66"/>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فلا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من المكره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و عليه بناء العقلاء، و أمّا النصوص الواردة في مواقف أُخر</w:t>
      </w:r>
      <w:r>
        <w:rPr>
          <w:rStyle w:val="FootnoteAnchor"/>
          <w:rtl w:val="true"/>
        </w:rPr>
        <w:footnoteReference w:id="137"/>
      </w:r>
      <w:r>
        <w:rPr>
          <w:rFonts w:ascii="Amiri" w:hAnsi="Amiri" w:eastAsia="Amiri" w:cs="Amiri"/>
          <w:color w:val="111111"/>
          <w:sz w:val="28"/>
          <w:sz w:val="28"/>
          <w:szCs w:val="28"/>
          <w:rtl w:val="true"/>
          <w:lang w:bidi="ar-SA"/>
        </w:rPr>
        <w:t>، فدلالتها على بطلان البيع بعد عدم وجه للسراية منها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إشكال في كونها واردة في مفروض كلام الأصحاب؛ و هو القاصد إلى البيع، و اعتباره في الخارج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بعض منها إبطال الطلاق؛ لعدم القصد إليه، كرواية منصور ابن يونس</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الحاجة إلى الرواية في المسألة بعد وضوحها حسب القواعد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 الإطلاقات تردع عن البناء المعروف؛ بعد كون عقد المكره بيعاً جامعاً للشرائط</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صدق العناوين عليه، لا لفقدانه القصد و الاختيار، بل لفقدانه الشرط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كون الإرادة المتعلّقة بتلك العناوين، مقهورةً للإرادة الأُخرى عرفاً، و موجودةً بالإرادة الأُخرى عند العقلاء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فيما نحن فيه قطعيّ بالوجدان، بل العقل قاضٍ بأنّه كيف يمكن الالتزام بإجبار الغير على البيع، ثمّ بعد ذلك يجبره الحاكم على ردّ المبيع بعنوان الامتناع من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حكم لو صدر من أحد، فهو أحوج إلى المعالجة من التحصيل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اشتراط الاختيار في كلمات الأصحاب؟</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منه اشتراط الاستقلال في الإرادة حسب الدواعي الشخصيّة قبال المكره الذي هو و إن كان مستقلا في الإرادة بنظر العقل، إلّا أنّه بنظر العرف ليس مستقلا فيها، و تكون إرادته مترشّحة من القاهر الجابر فهو صحيح</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67" w:name="pg12370_121563"/>
    </w:p>
    <w:p>
      <w:pPr>
        <w:pStyle w:val="Heading2"/>
        <w:numPr>
          <w:ilvl w:val="1"/>
          <w:numId w:val="1"/>
        </w:numPr>
        <w:rPr/>
      </w:pPr>
      <w:bookmarkStart w:id="68" w:name="__RefHeading___Toc9026126_417432637"/>
      <w:bookmarkStart w:id="69" w:name="_Toc24"/>
      <w:bookmarkEnd w:id="67"/>
      <w:bookmarkEnd w:id="68"/>
      <w:r>
        <w:rPr>
          <w:rtl w:val="true"/>
        </w:rPr>
        <w:t>[</w:t>
      </w:r>
      <w:r>
        <w:rPr>
          <w:rtl w:val="true"/>
        </w:rPr>
        <w:t>كتاب الخيارات</w:t>
      </w:r>
      <w:r>
        <w:rPr>
          <w:rtl w:val="true"/>
        </w:rPr>
        <w:t>]</w:t>
      </w:r>
      <w:bookmarkEnd w:id="69"/>
    </w:p>
    <w:p>
      <w:pPr>
        <w:pStyle w:val="Heading3"/>
        <w:numPr>
          <w:ilvl w:val="2"/>
          <w:numId w:val="1"/>
        </w:numPr>
        <w:rPr/>
      </w:pPr>
      <w:bookmarkStart w:id="70" w:name="__RefHeading___Toc9026128_417432637"/>
      <w:bookmarkStart w:id="71" w:name="_Toc25"/>
      <w:bookmarkEnd w:id="70"/>
      <w:r>
        <w:rPr>
          <w:rtl w:val="true"/>
        </w:rPr>
        <w:t>اشارة</w:t>
      </w:r>
      <w:bookmarkEnd w:id="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الخيارات</w:t>
      </w:r>
      <w:bookmarkStart w:id="72" w:name="pg12370_121565"/>
    </w:p>
    <w:p>
      <w:pPr>
        <w:pStyle w:val="Heading3"/>
        <w:numPr>
          <w:ilvl w:val="2"/>
          <w:numId w:val="1"/>
        </w:numPr>
        <w:rPr/>
      </w:pPr>
      <w:bookmarkStart w:id="73" w:name="__RefHeading___Toc9026130_417432637"/>
      <w:bookmarkStart w:id="74" w:name="_Toc26"/>
      <w:bookmarkEnd w:id="72"/>
      <w:bookmarkEnd w:id="73"/>
      <w:r>
        <w:rPr>
          <w:rtl w:val="true"/>
        </w:rPr>
        <w:t>[</w:t>
      </w:r>
      <w:r>
        <w:rPr>
          <w:rtl w:val="true"/>
        </w:rPr>
        <w:t>القول في الخيارات</w:t>
      </w:r>
      <w:r>
        <w:rPr>
          <w:rtl w:val="true"/>
        </w:rPr>
        <w:t>]</w:t>
      </w:r>
      <w:bookmarkEnd w:id="74"/>
    </w:p>
    <w:p>
      <w:pPr>
        <w:pStyle w:val="Heading4"/>
        <w:numPr>
          <w:ilvl w:val="3"/>
          <w:numId w:val="1"/>
        </w:numPr>
        <w:rPr/>
      </w:pPr>
      <w:bookmarkStart w:id="75" w:name="__RefHeading___Toc9026132_417432637"/>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القول في الخيارات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9026134_417432637"/>
      <w:bookmarkStart w:id="78" w:name="_Toc28"/>
      <w:bookmarkEnd w:id="77"/>
      <w:r>
        <w:rPr>
          <w:rtl w:val="true"/>
        </w:rPr>
        <w:t>[</w:t>
      </w:r>
      <w:r>
        <w:rPr>
          <w:rtl w:val="true"/>
        </w:rPr>
        <w:t>الأوّل</w:t>
      </w:r>
      <w:r>
        <w:rPr>
          <w:rtl w:val="true"/>
        </w:rPr>
        <w:t xml:space="preserve">: </w:t>
      </w:r>
      <w:r>
        <w:rPr>
          <w:rtl w:val="true"/>
        </w:rPr>
        <w:t>خيار المجلس</w:t>
      </w:r>
      <w:r>
        <w:rPr>
          <w:rtl w:val="true"/>
        </w:rPr>
        <w:t>]</w:t>
      </w:r>
      <w:bookmarkEnd w:id="7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المجلس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القياس،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 هو اصطفاء خير الأمرين و طلب خير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الاصطلاح فسّر بتفاسير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ملك إقرار العقد و إزالته</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ملك فسخ العقد</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ملك فسخ العقد و تركه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السلطنة و الاستيلاء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اختار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حقّ اصطفاء الفسخ</w:t>
      </w:r>
      <w:r>
        <w:rPr>
          <w:rFonts w:eastAsia="IRNazanin" w:cs="IRNazanin"/>
          <w:color w:val="111111"/>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مقرّاً بأنّه معنىً مباين مع معناه اللّغوي، إلّا أنّه أقرب من معانيه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الأقرب من أُفق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المعاني الاصطلاحيّة الاعتبارية الجعليّة، مصاديق المعاني اللغويّة حقيقة، و لمّا كان صاحب الخيار قبل الاعتبار، غيرَ مستولٍ على فسخ العقد و إعدامه، ما كان مختاراً في أمر العقد، كما هو ليس مختاراً في كثير من الأُمور الخارجيّة، و كما أنّه ربّما يعطى إليه الاختيار تكويناً، كذلك اعطي إليه اختيار العقد اعتباراً؛ لاعتباريّة محلّه و مورده،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خيار المجلس</w:t>
      </w:r>
      <w:r>
        <w:rPr>
          <w:rStyle w:val="FootnoteAnchor"/>
          <w:rtl w:val="true"/>
        </w:rPr>
        <w:footnoteReference w:id="145"/>
      </w:r>
      <w:r>
        <w:rPr>
          <w:rFonts w:ascii="Amiri" w:hAnsi="Amiri" w:eastAsia="Amiri" w:cs="Amiri"/>
          <w:color w:val="111111"/>
          <w:sz w:val="28"/>
          <w:sz w:val="28"/>
          <w:szCs w:val="28"/>
          <w:rtl w:val="true"/>
          <w:lang w:bidi="ar-SA"/>
        </w:rPr>
        <w:t>، معناه أنّه مفوّض إليه أمر العقد حلّا و 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المتبادر منه في محيط الأخبار في المعاملات، ليس معناه اللغوي، بل هو المعنى الأخصّ، و غلب عليه حتّى صار حقيقة فيه ثانياً؛ لتبادره منه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القرينة كونه في محيط خاصّ، و الأمر سهل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الخيار ليس من أوصاف الأفعال، بل هو اعتبار ثابت لذي</w:t>
      </w:r>
    </w:p>
    <w:p>
      <w:pPr>
        <w:pStyle w:val="BookText"/>
        <w:rPr/>
      </w:pPr>
      <w:r>
        <w:rPr>
          <w:rFonts w:ascii="Amiri" w:hAnsi="Amiri" w:eastAsia="Amiri" w:cs="Amiri"/>
          <w:color w:val="111111"/>
          <w:sz w:val="28"/>
          <w:sz w:val="28"/>
          <w:szCs w:val="28"/>
          <w:rtl w:val="true"/>
          <w:lang w:bidi="ar-SA"/>
        </w:rPr>
        <w:t>الخيار، و ينتزع منه أنّ العقد خياري، و أمّا الاصطفاء فهو بمعنى الاختيار و إعمال القدرة و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إعمال الاختيار النفسانيّ المشترك فيه كافّة أرباب الإرادة، و منهم 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تفسيره بالملك، فهو أيضاً في غير محلّه، إلّا إذا أُريد منه الاقتدار الاعتباري الثابت، و لأجل ذلك كان الأولى تفسيره بالسلطنة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السلطنة على العين، أم العقد، أو فسخ العقد، فكُلّ ممكن، و لو قام دليل عليه فهو المتّبع، و إلّا فما هو مورد الخيار بلا تأويل هو الفسخ، دون العقد و العين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السلطنة على الفسخ تستتبع قهراً الاقتدار على ترك أعمال السلطنة المزبورة، يكون الفسخ خياريّاً و مورد الاختيار، فلا حاجة إلى ذكر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يعقل تعلّق الاختيار بالترك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سقوط النزاع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طرفي الخيار هل هما وجوديّان، أمْ وجودي و عدمي</w:t>
      </w:r>
      <w:r>
        <w:rPr>
          <w:rStyle w:val="FootnoteAnchor"/>
          <w:rtl w:val="true"/>
        </w:rPr>
        <w:footnoteReference w:id="146"/>
      </w:r>
      <w:r>
        <w:rPr>
          <w:rFonts w:ascii="Amiri" w:hAnsi="Amiri" w:eastAsia="Amiri" w:cs="Amiri"/>
          <w:color w:val="111111"/>
          <w:sz w:val="28"/>
          <w:sz w:val="28"/>
          <w:szCs w:val="28"/>
          <w:rtl w:val="true"/>
          <w:lang w:bidi="ar-SA"/>
        </w:rPr>
        <w:t>؟ هذا مع أنّ الخيار يتعلّق بالعنوان حقيقة، و ما هو شأنه ذلك لا يمكن أن يتعلّق مع وحدته بالعنوانين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إرجاعه إلى الكثير على نعت التخيير و إن كان ممكناً، إلّا أنّه</w:t>
      </w:r>
    </w:p>
    <w:p>
      <w:pPr>
        <w:pStyle w:val="BookText"/>
        <w:rPr/>
      </w:pPr>
      <w:r>
        <w:rPr>
          <w:rFonts w:ascii="Amiri" w:hAnsi="Amiri" w:eastAsia="Amiri" w:cs="Amiri"/>
          <w:color w:val="111111"/>
          <w:sz w:val="28"/>
          <w:sz w:val="28"/>
          <w:szCs w:val="28"/>
          <w:rtl w:val="true"/>
          <w:lang w:bidi="ar-SA"/>
        </w:rPr>
        <w:t xml:space="preserve">فإذا وقع البيع فللمتبايعين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يفترقا، خارج عن فهم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الخيار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فللمتبايعين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اتفاقاً</w:t>
      </w:r>
      <w:r>
        <w:rPr>
          <w:rStyle w:val="FootnoteAnchor"/>
          <w:rtl w:val="true"/>
        </w:rPr>
        <w:footnoteReference w:id="147"/>
      </w:r>
      <w:r>
        <w:rPr>
          <w:rFonts w:ascii="Amiri" w:hAnsi="Amiri" w:eastAsia="Amiri" w:cs="Amiri"/>
          <w:color w:val="111111"/>
          <w:sz w:val="28"/>
          <w:sz w:val="28"/>
          <w:szCs w:val="28"/>
          <w:rtl w:val="true"/>
          <w:lang w:bidi="ar-SA"/>
        </w:rPr>
        <w:t xml:space="preserve">، و دعوى أنّ المسألة مجمع عليها في الجملة بين المسلمين قريبة، و عليها النصوص الكثيرة، كمعتبر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حتّى يفترقا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معتبر ابن يزيد،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التاجران صدقا بورك لهما، فإذا كذبا و خانا لم يبارك لهما، و هما بالخيار ما لم يفترقا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خبر غياث بن إبراهيم،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صفق الرجل على البيع فقد وجب و إن لم يفترقا</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محمول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الجمع حمل تلك الأخبار على أنّها بصدد تجويز البيع إلى الافتراق، و هذا على تجويزه إلى التصفيق، قريبة جدّاً، أو تقييد مفهوم الطائفة الأُولى بذلك الخبر،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لا تدلّ تلك الأخبار صراحة على أنّ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الآخر بالخيار،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من البيّعين إلى المتبايعين؛ ما في معتبر ابن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كأنّ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الحيوان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باقيان على البيع ادّعاءً، أو هما بالقدرة و الاختيار على التبادل و المبادلة و الترادّ الاعتباري بتوسيط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الإيماء إلى أنّ الحكم يدور مدار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كانا أصيلين، أو وليّين، أو وكيلين، أو مأذونين، أو مختلفين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قضيّة القواعد عدم صدقهما إلّا على مباشري العقد و البيع، دون الموكِّلين؛ ضرورة أنّ ماهيّة البيع هي المبادلة</w:t>
      </w:r>
    </w:p>
    <w:p>
      <w:pPr>
        <w:pStyle w:val="BookText"/>
        <w:rPr/>
      </w:pPr>
      <w:r>
        <w:rPr>
          <w:rFonts w:ascii="Amiri" w:hAnsi="Amiri" w:eastAsia="Amiri" w:cs="Amiri"/>
          <w:color w:val="111111"/>
          <w:sz w:val="28"/>
          <w:sz w:val="28"/>
          <w:szCs w:val="28"/>
          <w:rtl w:val="true"/>
          <w:lang w:bidi="ar-SA"/>
        </w:rPr>
        <w:t>الإنشائيّة، و هي تحصل بإرادة المباشر دون الموكِّل، و نسبتها إلى الموكِّل من المجاز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استعمال اللّفظ في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 المجازي، ممكنة غير نافعة؛ لأنّ ذلك مضافاً إلى الحاجة إلى القرينة، بعيدة عن أُفق التقنين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يثبت هذا الخيار للوكيل في إجراء الصيغة انصرافاً، فكان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التصريح بعدم الخيار له؛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محرّر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الأعمّ، و في المثبتين يؤخذ بالأعمّ؛ ضرورة أنّهما يصدقان على غير المتبايعين في سائر العقود التجاريّة و المعاوضيّة، و قد صرّح في اللّغة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التجارة هي تقليب المال</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فيه</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 هو المناسب لآية التجارة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التاجر أخصّ؛ لعدم صدقه على مجرّد من يصدر منه البيع</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في غير محلّه،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اللّغة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و الإعطاء على وجه الثمنيّة و المثمنيّة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 حقّقنا في محلّه أنّ عقد البيع ليس من الإضافة البيانيّة، بل هو معناه العقد على البيع و التقابض، فالعاقدان ليسا بالخيار، و تفصيله في كتابنا الكبير، و تصير النتيجة أنّ الموكِّلين ربّما يعدّان تاجرين، كما في الفرض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الوكيل على التجارة و الأخذ و الإعطاء بالخيار، دون الموكِّل،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الخيار بالمعاطاة التي هي لازمة حسب الأصل المحرّر، و أمّا عقد البيع فلا يجري فيه الخيار؛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لازم، أم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جائز، نعم إذا حصل الأخذ و الإعطاء فلهما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المتن ثبوت الخيار في المعاوضات، بل و في الفضوليّ، إلّا أنّ انصراف الأدلّة عنه قوي، كما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فيمن باع لنفسه فأجاز المالك البيع للفضوليّ، فالأقرب عندي ثبوته، و يظهر وجهه بأدنى تأمّل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افترقا و لو بخطوة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تحقّق بها الافتراق عرفاً،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الشافعيّ أرجع إلى العادة، و قسّم أقساماً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و نسب إلى جماعة؛ أنّه يكفي أدنى الانتقال</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 بعض اعتبار الخطوة؛ اغتراراً بتمثيل كثير من الأصحاب لأقلّ الافتراق، و عن صريح جماعة التأمّل في كفاية الخطوة؛ لانصراف الإطلاق إلى أزيد منها</w:t>
      </w:r>
      <w:r>
        <w:rPr>
          <w:rStyle w:val="FootnoteAnchor"/>
          <w:rtl w:val="true"/>
        </w:rPr>
        <w:footnoteReference w:id="162"/>
      </w:r>
      <w:r>
        <w:rPr>
          <w:rFonts w:ascii="Amiri" w:hAnsi="Amiri" w:eastAsia="Amiri" w:cs="Amiri"/>
          <w:color w:val="111111"/>
          <w:sz w:val="28"/>
          <w:sz w:val="28"/>
          <w:szCs w:val="28"/>
          <w:rtl w:val="true"/>
          <w:lang w:bidi="ar-SA"/>
        </w:rPr>
        <w:t xml:space="preserve">،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الظاهر من الأخبار</w:t>
      </w:r>
      <w:r>
        <w:rPr>
          <w:rStyle w:val="FootnoteAnchor"/>
          <w:rtl w:val="true"/>
        </w:rPr>
        <w:footnoteReference w:id="163"/>
      </w:r>
      <w:r>
        <w:rPr>
          <w:rFonts w:ascii="Amiri" w:hAnsi="Amiri" w:eastAsia="Amiri" w:cs="Amiri"/>
          <w:color w:val="111111"/>
          <w:sz w:val="28"/>
          <w:sz w:val="28"/>
          <w:szCs w:val="28"/>
          <w:rtl w:val="true"/>
          <w:lang w:bidi="ar-SA"/>
        </w:rPr>
        <w:t xml:space="preserve">الحاكية لفعل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مشى خطىً</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بعضهم كفاية أقلّ الجمع؛ و هي الثلاث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العبرة بالافتراق المطلق، لا مطلق الافتراق</w:t>
      </w:r>
      <w:r>
        <w:rPr>
          <w:rStyle w:val="FootnoteAnchor"/>
          <w:rtl w:val="true"/>
        </w:rPr>
        <w:footnoteReference w:id="165"/>
      </w:r>
      <w:r>
        <w:rPr>
          <w:rFonts w:ascii="Amiri" w:hAnsi="Amiri" w:eastAsia="Amiri" w:cs="Amiri"/>
          <w:color w:val="111111"/>
          <w:sz w:val="28"/>
          <w:sz w:val="28"/>
          <w:szCs w:val="28"/>
          <w:rtl w:val="true"/>
          <w:lang w:bidi="ar-SA"/>
        </w:rPr>
        <w:t>لعدم تماميّة مقدّمات الحكمة بعد كون نظر العرف إلى عدم كفاية مطلق الافتراق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حيث لا تكون إجماعيّة، و لا علميّة و تعبديّة، تكون موكولة إلى العرف، و قد تقرّر في محلّه أنّ المرجعيّة متقسّمة بين العوامّ و الأعلام، فإنّ للعوامّ أن يقلّدوا الأعلام في الأحكام الشرعيّة، و للأعلام أن يراجعوا العوامّ في المفاهيم الإفراديّة اللغويّة العرفيّة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ما هو المتّبع هي الآراء العرفيّة الدقيقة، لا التسامحيّة و التدقيقات العقليّة، كما تحرّر أيضاً مراراً منّا في محالّه</w:t>
      </w:r>
      <w:r>
        <w:rPr>
          <w:rStyle w:val="FootnoteAnchor"/>
          <w:rtl w:val="true"/>
        </w:rPr>
        <w:footnoteReference w:id="167"/>
      </w:r>
      <w:r>
        <w:rPr>
          <w:rFonts w:ascii="Amiri" w:hAnsi="Amiri" w:eastAsia="Amiri" w:cs="Amiri"/>
          <w:color w:val="111111"/>
          <w:sz w:val="28"/>
          <w:sz w:val="28"/>
          <w:szCs w:val="28"/>
          <w:rtl w:val="true"/>
          <w:lang w:bidi="ar-SA"/>
        </w:rPr>
        <w:t>، و كثير من الاختلافات المرئيّة في تشخيص العرف، مستند إلى الخلط بين العرف المسامح و المحقّق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اختلف الأُصوليّون في أنّ المرجعيّة في التطبيق و التصديقيّات، للعرف و العوامّ أيضاً، أم هي للعقل، فذهب جمع إلى الأوّل، و فيهم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Style w:val="FootnoteAnchor"/>
          <w:rtl w:val="true"/>
        </w:rPr>
        <w:footnoteReference w:id="168"/>
      </w:r>
      <w:r>
        <w:rPr>
          <w:rFonts w:ascii="Amiri" w:hAnsi="Amiri" w:eastAsia="Amiri" w:cs="Amiri"/>
          <w:color w:val="111111"/>
          <w:sz w:val="28"/>
          <w:sz w:val="28"/>
          <w:szCs w:val="28"/>
          <w:rtl w:val="true"/>
          <w:lang w:bidi="ar-SA"/>
        </w:rPr>
        <w:t xml:space="preserve">و آخرون إلى الثاني، و فيهم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سقط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الطرفين و لزم البيع، و الذي هو المحرّر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الفقهاء العظام لا يليق بهم إلّا توجيه الناس نحو الأحكام؛ و حدود المداخلات الشرعيّة في الموضوعات العرفية، و أمّا التعرّض لتعيين المصاديق و الحدود اللغويّة، فهو ربّما ينتهي إلى الإغراء بالجهالة، و الإلقاء في الهلكة؛ ضرورة أنّ آراءهم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لازمة الاتباع، فلو عيّنوا حدّه يحذو حذوهم العقلاء المقلّدة؟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الأمر بالعكس، و لذلك ترى أنّ رواياتنا بأسرها خالية عن تعيين حدود الموضوعات، و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يوكلون هذه المرحلة إلى الناس حسب عقولهم، فالبحث عن هذه المفاهيم من اللغو المنهي عنه، و ربّما يكون خلاف الاحتياط جدّاً، و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تحقّق بها الافتراق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اتفاقاً قطعيّاً</w:t>
      </w:r>
      <w:r>
        <w:rPr>
          <w:rStyle w:val="FootnoteAnchor"/>
          <w:rtl w:val="true"/>
        </w:rPr>
        <w:footnoteReference w:id="171"/>
      </w:r>
      <w:r>
        <w:rPr>
          <w:rFonts w:ascii="Amiri" w:hAnsi="Amiri" w:eastAsia="Amiri" w:cs="Amiri"/>
          <w:color w:val="111111"/>
          <w:sz w:val="28"/>
          <w:sz w:val="28"/>
          <w:szCs w:val="28"/>
          <w:rtl w:val="true"/>
          <w:lang w:bidi="ar-SA"/>
        </w:rPr>
        <w:t>في مفروض كلامه، حيث إنّ الظاهر منه افتراقهما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فارق أحدهما، و بقي الآخر،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أيضاً افترقا؛ لأنّ البقاء في المحلّ بالاختيار افتراق إرادي، فيصحّ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إليهما كما عن الفخر</w:t>
      </w:r>
      <w:r>
        <w:rPr>
          <w:rStyle w:val="FootnoteAnchor"/>
          <w:rtl w:val="true"/>
        </w:rPr>
        <w:footnoteReference w:id="172"/>
      </w:r>
      <w:r>
        <w:rPr>
          <w:rFonts w:ascii="Amiri" w:hAnsi="Amiri" w:eastAsia="Amiri" w:cs="Amiri"/>
          <w:color w:val="111111"/>
          <w:sz w:val="28"/>
          <w:sz w:val="28"/>
          <w:szCs w:val="28"/>
          <w:rtl w:val="true"/>
          <w:lang w:bidi="ar-SA"/>
        </w:rPr>
        <w:t>نظراً إلى علّة عليلة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أصرّ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على أنّ النسبة صادقة؛ لأنّ مادّة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لا تقتضي شيئاً إلّا نفس الطبيعة، و لكن هيئة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للمطاوعة، فلو فارق أحدهما الآخر يكون الآخر مفترقاً بقبول الفراق، فيسقط الخيار في جميع الفروض بافتراقهما؛ سواء أُخذ أحدهما في الفراق، أو أُخذا معاً فيه، و سواء فيه الافتراق الإكراهيّ و غيره، بل لا يجري في المطاوعة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يتصوّر الإكراه بالنسبة إلى البقاء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يظهر هذا أيضاً من الفقيه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 العلّامة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النظر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لو افترق كلّ منهما سقط عنهما، و أمّا أنّ سقوط خيار الطرف مستند إلى أنّ افتراق الآخر غاية خيارهما، أو أنّ افتراق كلٍّ غاية خيار نفسه فهو أمر آخر، و لكن لا يلزم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الآخر أن يتصدّى للافتراق بالفاعليّة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لهيئة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و منها المطاوعة، و كثيراً ما تجي‌ء لغير المطاوعة، و 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ما كَسَبَتْ وَ عَلَيْها مَا اكْتَسَبَتْ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عِنْدَ مَلِيكٍ مُقْتَدِرٍ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تعالى اجْتَرَحُوا السَّيِّئاتِ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جذب،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حسب، و هكذا ممّا يطّلع عليه الخبير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من معانيه غير المطاوعة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ضدّ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الاجتماع يحصل بفعلهم، و لا ينبغي الخلط بين اللازم و 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المسألة، فلا يتمّ ما سلكه أيضاً، و لا بدّ من التمسّك بالأُصول، و هي مختلفة،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المطاوعة أنّ الفاعل غير القابل، مع أنّهم غير ملتزمين به كما هو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المتضمّنة لخيار المجلس عن طريق العامّة، كلّها 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و هو أيضاً للمطاوعة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ما مرّ، فإنّ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لغير المطاوعة؛ على وجه</w:t>
      </w:r>
    </w:p>
    <w:p>
      <w:pPr>
        <w:pStyle w:val="BookText"/>
        <w:rPr/>
      </w:pPr>
      <w:r>
        <w:rPr>
          <w:rFonts w:ascii="Amiri" w:hAnsi="Amiri" w:eastAsia="Amiri" w:cs="Amiri"/>
          <w:color w:val="111111"/>
          <w:sz w:val="28"/>
          <w:sz w:val="28"/>
          <w:szCs w:val="28"/>
          <w:rtl w:val="true"/>
          <w:lang w:bidi="ar-SA"/>
        </w:rPr>
        <w:t>لا يمكن أن يحمل عند الشكّ على المطاوعة، و منه قوله تعالى فَتَبَيَّنُوا</w:t>
      </w:r>
      <w:r>
        <w:rPr>
          <w:rStyle w:val="FootnoteAnchor"/>
          <w:rtl w:val="true"/>
        </w:rPr>
        <w:footnoteReference w:id="179"/>
      </w:r>
      <w:r>
        <w:rPr>
          <w:rFonts w:ascii="Amiri" w:hAnsi="Amiri" w:eastAsia="Amiri" w:cs="Amiri"/>
          <w:color w:val="111111"/>
          <w:sz w:val="28"/>
          <w:sz w:val="28"/>
          <w:szCs w:val="28"/>
          <w:rtl w:val="true"/>
          <w:lang w:bidi="ar-SA"/>
        </w:rPr>
        <w:t>و تَفَسَّحُوا</w:t>
      </w:r>
      <w:r>
        <w:rPr>
          <w:rStyle w:val="FootnoteAnchor"/>
          <w:rtl w:val="true"/>
        </w:rPr>
        <w:footnoteReference w:id="180"/>
      </w:r>
      <w:r>
        <w:rPr>
          <w:rFonts w:ascii="Amiri" w:hAnsi="Amiri" w:eastAsia="Amiri" w:cs="Amiri"/>
          <w:color w:val="111111"/>
          <w:sz w:val="28"/>
          <w:sz w:val="28"/>
          <w:szCs w:val="28"/>
          <w:rtl w:val="true"/>
          <w:lang w:bidi="ar-SA"/>
        </w:rPr>
        <w:t>و أَ فَلا يَتَدَبَّرُونَ</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ما قرع سمعهم الشريف كان من عهد صباهم رحمهم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المتن و من إطلاقه؛ أنّ الافتراق بما هو هو سبب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المسقط هو الالتزام القلبيّ، و الافتراق كاشف عنه نوعاً، فأُسند إليه لأجله</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غير صحيح، و أنّ الرضا ليس شرطاً و قيداً، فلو حصل الافتراق و إن لم يكن عن رضاهما، يسقط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معتبر الفضيل،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الظاهر أنّ الافتراق المتقيّد بالرضا مسقط، و نتيجة التقييد المزبور عدم كفاية الافتراق الإكراهيّ و السهوي و الذي يحصل عن جهل</w:t>
      </w:r>
    </w:p>
    <w:p>
      <w:pPr>
        <w:pStyle w:val="BookText"/>
        <w:rPr/>
      </w:pPr>
      <w:r>
        <w:rPr>
          <w:rFonts w:ascii="Amiri" w:hAnsi="Amiri" w:eastAsia="Amiri" w:cs="Amiri"/>
          <w:color w:val="111111"/>
          <w:sz w:val="28"/>
          <w:sz w:val="28"/>
          <w:szCs w:val="28"/>
          <w:rtl w:val="true"/>
          <w:lang w:bidi="ar-SA"/>
        </w:rPr>
        <w:t>و عن إطارة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لازم الجمع بينه و بين الأخبار الحاكية لفعل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 المشي و الخروج عن المجلس، ليجب البيع حين الافتراق</w:t>
      </w:r>
      <w:r>
        <w:rPr>
          <w:rStyle w:val="FootnoteAnchor"/>
          <w:rtl w:val="true"/>
        </w:rPr>
        <w:footnoteReference w:id="184"/>
      </w:r>
      <w:r>
        <w:rPr>
          <w:rFonts w:ascii="Amiri" w:hAnsi="Amiri" w:eastAsia="Amiri" w:cs="Amiri"/>
          <w:color w:val="111111"/>
          <w:sz w:val="28"/>
          <w:sz w:val="28"/>
          <w:szCs w:val="28"/>
          <w:rtl w:val="true"/>
          <w:lang w:bidi="ar-SA"/>
        </w:rPr>
        <w:t>، مع أنّ الطرف حسب الظاهر كان باقياً، و ربّما لم يكن راضياً أنّ افتراق أحدهما إذا كان مقروناً برضاه، هو غاية سقوط الخيارين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يجمع بين هذه الطائفة و المطلقات؛ بأنّ افتراقهما مسقط للخيارين، و افتراق أحدهما أيضاً يورث سقوط الخيارين إذا كان عن الرضا المقرون 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المسألة تفصيل طويل الذيل تعرّضنا له بشقوقه المحتملة في كتابنا الكبير، و قد أعرض المصنّف عن الرواية؛ معلّلًا بأنّها مجملة، لما تحتمل احتمالات من ناحية التقييد بالرضا، و من ناحية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أنّ تقييد تلك المطلقات بها يستلزم الغلط، و لا تكون المسألة من باب حمل المطلق و المقيّد؛ ضرورة أنّ المطاوعة إذا قيّدت بالرّضا، ترجع إلى غير المطاوعة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أجبنا عن هذه المناقشات هناك بما لا مزيد عليه، و ذكرنا أنّ المنظور من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الجمع بينها و بين غيرها هو أنّ التفرّق الإكراهيّ لا أثر له، و كأنّ العامّة كانوا يتمايلون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أخبارهم إلى كفاية مطلق الافتراق، و هو أحد قولي الشافعيّة</w:t>
      </w:r>
      <w:r>
        <w:rPr>
          <w:rStyle w:val="FootnoteAnchor"/>
          <w:rtl w:val="true"/>
        </w:rPr>
        <w:footnoteReference w:id="186"/>
      </w:r>
      <w:r>
        <w:rPr>
          <w:rFonts w:ascii="Amiri" w:hAnsi="Amiri" w:eastAsia="Amiri" w:cs="Amiri"/>
          <w:color w:val="111111"/>
          <w:sz w:val="28"/>
          <w:sz w:val="28"/>
          <w:szCs w:val="28"/>
          <w:rtl w:val="true"/>
          <w:lang w:bidi="ar-SA"/>
        </w:rPr>
        <w:t>، و ربّما كان هو في عصر الرواية أظهر و أشهر، فتكون ناظرة إلى مقالتهم الفاسدة، و لذلك 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عليه الإجماع إلى بقاء الخيار إذا كان الافتراق إكراهيّاً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الحمل على التقيّة؛ لما أنّ القول الآخر مشهور عندهم، بل لم ينسب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بقاء الخيار إذا افترقا عن كره</w:t>
      </w:r>
      <w:r>
        <w:rPr>
          <w:rStyle w:val="FootnoteAnchor"/>
          <w:rtl w:val="true"/>
        </w:rPr>
        <w:footnoteReference w:id="188"/>
      </w:r>
      <w:r>
        <w:rPr>
          <w:rFonts w:ascii="Amiri" w:hAnsi="Amiri" w:eastAsia="Amiri" w:cs="Amiri"/>
          <w:color w:val="111111"/>
          <w:sz w:val="28"/>
          <w:sz w:val="28"/>
          <w:szCs w:val="28"/>
          <w:rtl w:val="true"/>
          <w:lang w:bidi="ar-SA"/>
        </w:rPr>
        <w:t>، فليتأمّل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اللتيّا و التي تكون الرواية من جهة موافقتها لمذهب العامّة مطروحة، و لأجل ذهاب المشهور إلى مضمونها مأخوذة، و فيما دار الأمر بينهما تقتضي الصناعة بقاء الخبر على حجّيته؛ لتعارضهما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بتقدّم الموافقة على المخالفة لتقدّمها في</w:t>
      </w:r>
    </w:p>
    <w:p>
      <w:pPr>
        <w:pStyle w:val="BookText"/>
        <w:rPr/>
      </w:pPr>
      <w:r>
        <w:rPr>
          <w:rFonts w:ascii="Amiri" w:hAnsi="Amiri" w:eastAsia="Amiri" w:cs="Amiri"/>
          <w:color w:val="111111"/>
          <w:sz w:val="28"/>
          <w:sz w:val="28"/>
          <w:szCs w:val="28"/>
          <w:rtl w:val="true"/>
          <w:lang w:bidi="ar-SA"/>
        </w:rPr>
        <w:t>و لو فارقا مجلس البيع مصطحبين بقي الخيار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العلاجيّة</w:t>
      </w:r>
      <w:r>
        <w:rPr>
          <w:rStyle w:val="FootnoteAnchor"/>
          <w:rtl w:val="true"/>
        </w:rPr>
        <w:footnoteReference w:id="189"/>
      </w:r>
      <w:r>
        <w:rPr>
          <w:rFonts w:ascii="Amiri" w:hAnsi="Amiri" w:eastAsia="Amiri" w:cs="Amiri"/>
          <w:color w:val="111111"/>
          <w:sz w:val="28"/>
          <w:sz w:val="28"/>
          <w:szCs w:val="28"/>
          <w:rtl w:val="true"/>
          <w:lang w:bidi="ar-SA"/>
        </w:rPr>
        <w:t>أوّلًا، و لأنّ الشهرة تزيل موضوع المراجعة إلى المرجّحات،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خلاف معتد به بين المسلمين</w:t>
      </w:r>
      <w:r>
        <w:rPr>
          <w:rStyle w:val="FootnoteAnchor"/>
          <w:rtl w:val="true"/>
        </w:rPr>
        <w:footnoteReference w:id="190"/>
      </w:r>
      <w:r>
        <w:rPr>
          <w:rFonts w:ascii="Amiri" w:hAnsi="Amiri" w:eastAsia="Amiri" w:cs="Amiri"/>
          <w:color w:val="111111"/>
          <w:sz w:val="28"/>
          <w:sz w:val="28"/>
          <w:szCs w:val="28"/>
          <w:rtl w:val="true"/>
          <w:lang w:bidi="ar-SA"/>
        </w:rPr>
        <w:t>، نعم عن بعض الشافعيّة غريبة في المسألة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المناقشة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يفترق كلّ عن الآخر بالقياس إلى أمر ثالث؛ و هو مجلس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السقوط مقتضى التسمية، و إلّا كان ينبغي أن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ذلك عدم ثبوت الخيار إذا كان البيع حال المشي؛ لما لا مجلس للبيع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بما في جميع هذه التخيّلات؛ بعد تماميّة الإطلاقات، و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تصريحهم ببقاء الخيار كدعوى الانصراف لا تنفع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إطلاق المتن بقاء الخيار و لو كانا متلاصقين، أو كان البيِّع و المشتري واحداً شخصيّاً يتولّى 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إمكان طروّ المسقط من ناحية الافتراق لا ينافي ثبوته؛ لإمكان إسقاطه بسائر المسقطات،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المتن كما يكون منصرفاً عن الفرضين الأخيرين، تكون الأخبار مثله، و لا سيّما بشهادة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فإنّه يشهد على أنّ مصبّ الخيار مخصوص بما إذا أمكن التفرّق، ضرورة أنّ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موضوعة عند النحاة للشرط الذي يتحقّق</w:t>
      </w:r>
      <w:r>
        <w:rPr>
          <w:rStyle w:val="FootnoteAnchor"/>
          <w:rtl w:val="true"/>
        </w:rPr>
        <w:footnoteReference w:id="193"/>
      </w:r>
      <w:r>
        <w:rPr>
          <w:rFonts w:ascii="IRNazanin" w:hAnsi="IRNazanin" w:eastAsia="IRNazanin"/>
          <w:color w:val="111111"/>
          <w:sz w:val="28"/>
          <w:sz w:val="28"/>
          <w:szCs w:val="28"/>
          <w:rtl w:val="true"/>
          <w:lang w:bidi="fa-IR"/>
        </w:rPr>
        <w:t>، فاغتنم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يظهر وجه كون المتبايعين بالهاتف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رأيا صورتهما بالخيار، كما لو تناديا من بعيد، و يظهر أيضاً وجه المناقشة؛ لأنّ افتراقهما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إمكان الافتراق و لو بأن يقتربا ممكنة، و لكنّها مخدوشة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الافتراق و البعد ذوا مراحل قريبة و بعيدة، كما ينبئ عنه العارف الهمدانيّ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اين دوري بس يا دورتر شم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
      </w:r>
      <w:r>
        <w:rPr>
          <w:rFonts w:ascii="Amiri" w:hAnsi="Amiri" w:eastAsia="Amiri" w:cs="Amiri"/>
          <w:color w:val="111111"/>
          <w:sz w:val="28"/>
          <w:sz w:val="28"/>
          <w:szCs w:val="28"/>
          <w:rtl w:val="true"/>
          <w:lang w:bidi="ar-SA"/>
        </w:rPr>
        <w:t>و عليه يثبت الخيار، و يسقط بافتراقهما بإيجاد البعد الأكثر، فتدبّر</w:t>
      </w:r>
      <w:r>
        <w:rPr>
          <w:rFonts w:eastAsia="Amiri" w:cs="Amiri" w:ascii="Amiri" w:hAnsi="Amiri"/>
          <w:color w:val="111111"/>
          <w:sz w:val="28"/>
          <w:szCs w:val="28"/>
          <w:rtl w:val="true"/>
          <w:lang w:bidi="ar-SA"/>
        </w:rPr>
        <w:t>.</w:t>
      </w:r>
      <w:bookmarkStart w:id="79" w:name="pg12370_121583"/>
    </w:p>
    <w:p>
      <w:pPr>
        <w:pStyle w:val="Heading4"/>
        <w:numPr>
          <w:ilvl w:val="3"/>
          <w:numId w:val="1"/>
        </w:numPr>
        <w:rPr/>
      </w:pPr>
      <w:bookmarkStart w:id="80" w:name="__RefHeading___Toc9026136_417432637"/>
      <w:bookmarkStart w:id="81" w:name="_Toc29"/>
      <w:bookmarkEnd w:id="79"/>
      <w:bookmarkEnd w:id="80"/>
      <w:r>
        <w:rPr>
          <w:rtl w:val="true"/>
        </w:rPr>
        <w:t>[</w:t>
      </w:r>
      <w:r>
        <w:rPr>
          <w:rtl w:val="true"/>
        </w:rPr>
        <w:t>الثاني</w:t>
      </w:r>
      <w:r>
        <w:rPr>
          <w:rtl w:val="true"/>
        </w:rPr>
        <w:t xml:space="preserve">: </w:t>
      </w:r>
      <w:r>
        <w:rPr>
          <w:rtl w:val="true"/>
        </w:rPr>
        <w:t>خيار الحيوان</w:t>
      </w:r>
      <w:r>
        <w:rPr>
          <w:rtl w:val="true"/>
        </w:rPr>
        <w:t>]</w:t>
      </w:r>
      <w:bookmarkEnd w:id="81"/>
    </w:p>
    <w:p>
      <w:pPr>
        <w:pStyle w:val="Heading5"/>
        <w:numPr>
          <w:ilvl w:val="4"/>
          <w:numId w:val="1"/>
        </w:numPr>
        <w:rPr/>
      </w:pPr>
      <w:bookmarkStart w:id="82" w:name="__RefHeading___Toc9026138_417432637"/>
      <w:bookmarkStart w:id="83" w:name="_Toc30"/>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فمن اشترى حيواناً ثبت له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أيّام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و بلا خلاف بين أصحابنا الإماميّة</w:t>
      </w:r>
      <w:r>
        <w:rPr>
          <w:rStyle w:val="FootnoteAnchor"/>
          <w:rtl w:val="true"/>
        </w:rPr>
        <w:footnoteReference w:id="195"/>
      </w:r>
      <w:r>
        <w:rPr>
          <w:rFonts w:ascii="Amiri" w:hAnsi="Amiri" w:eastAsia="Amiri" w:cs="Amiri"/>
          <w:color w:val="111111"/>
          <w:sz w:val="28"/>
          <w:sz w:val="28"/>
          <w:szCs w:val="28"/>
          <w:rtl w:val="true"/>
          <w:lang w:bidi="ar-SA"/>
        </w:rPr>
        <w:t xml:space="preserve">، و يظهر أنّه من مختصّاتنا الثابتة بالنصّ الحاكي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 الأخبار المرويّة عن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 سيأتي أنّ في الحيوان خياراً يمتد إلى ثلاثة أيّام، و هو غير خيار المجلس</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اختار المصنّف في درسه أنّ خيار المجلس لا يأتي في الحيوان</w:t>
      </w:r>
      <w:r>
        <w:rPr>
          <w:rStyle w:val="FootnoteAnchor"/>
          <w:rtl w:val="true"/>
        </w:rPr>
        <w:footnoteReference w:id="199"/>
      </w:r>
      <w:r>
        <w:rPr>
          <w:rFonts w:ascii="Amiri" w:hAnsi="Amiri" w:eastAsia="Amiri" w:cs="Amiri"/>
          <w:color w:val="111111"/>
          <w:sz w:val="28"/>
          <w:sz w:val="28"/>
          <w:szCs w:val="28"/>
          <w:rtl w:val="true"/>
          <w:lang w:bidi="ar-SA"/>
        </w:rPr>
        <w:t xml:space="preserve">، و به يقول الفقيه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 العلّامة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فيكون إطلاق ما مرّ في الخيار السابق ممنوعاً، و هو عندنا غير جيّد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قضيّة إطلاق المتن ثبوت الخيار في مطلق الحيوان، إلّا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يشعر بممنوعيّة جريانه في الكلّي، كما منعه</w:t>
      </w:r>
    </w:p>
    <w:p>
      <w:pPr>
        <w:pStyle w:val="BookText"/>
        <w:rPr/>
      </w:pP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Style w:val="FootnoteAnchor"/>
          <w:rtl w:val="true"/>
        </w:rPr>
        <w:footnoteReference w:id="202"/>
      </w:r>
      <w:r>
        <w:rPr>
          <w:rFonts w:ascii="Amiri" w:hAnsi="Amiri" w:eastAsia="Amiri" w:cs="Amiri"/>
          <w:color w:val="111111"/>
          <w:sz w:val="28"/>
          <w:sz w:val="28"/>
          <w:szCs w:val="28"/>
          <w:rtl w:val="true"/>
          <w:lang w:bidi="ar-SA"/>
        </w:rPr>
        <w:t>، و يقوى في النظر جريانه في الكلّي في المعيّن، لا المقيّد، فإنّه غيره كما تحرّر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يموت قبل ثلاثة أيّام، و كانت حياته غير مقصودة بالبيع، ففي جريان الخيار وجهان؛ منعه في مجلس بحثه</w:t>
      </w:r>
      <w:r>
        <w:rPr>
          <w:rStyle w:val="FootnoteAnchor"/>
          <w:rtl w:val="true"/>
        </w:rPr>
        <w:footnoteReference w:id="203"/>
      </w:r>
      <w:r>
        <w:rPr>
          <w:rFonts w:ascii="Amiri" w:hAnsi="Amiri" w:eastAsia="Amiri" w:cs="Amiri"/>
          <w:color w:val="111111"/>
          <w:sz w:val="28"/>
          <w:sz w:val="28"/>
          <w:szCs w:val="28"/>
          <w:rtl w:val="true"/>
          <w:lang w:bidi="ar-SA"/>
        </w:rPr>
        <w:t>، و لذلك لا يكون تلفه من التلف قبل القبض، و لا يكون إتلافه مورث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بمعزل عن التحقيق؛ قضاءً للإطلاقات، و لأنّ خيار الحيوان ليس قصديّاً، و إلّا يلزم إنكاره فيما إذا اشترى الحيوان مكيلًا أو موزوناً باعتبار اللّحم، كما هو المتعارف في بيع الشاة بين جمع من القصّابين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 بالنسبة إلى الحيوانات الخاصّة دعاوي الانصراف كثيرة، يطلب تفصيلها من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المعروف المدّعى عليه الإجماع</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زهرة حكاية كون المبدأ فيه بعد التفرّق من مجلس</w:t>
      </w:r>
    </w:p>
    <w:p>
      <w:pPr>
        <w:pStyle w:val="BookText"/>
        <w:rPr/>
      </w:pPr>
      <w:r>
        <w:rPr>
          <w:rFonts w:ascii="Amiri" w:hAnsi="Amiri" w:eastAsia="Amiri" w:cs="Amiri"/>
          <w:color w:val="111111"/>
          <w:sz w:val="28"/>
          <w:sz w:val="28"/>
          <w:szCs w:val="28"/>
          <w:rtl w:val="true"/>
          <w:lang w:bidi="ar-SA"/>
        </w:rPr>
        <w:t>البيع</w:t>
      </w:r>
      <w:r>
        <w:rPr>
          <w:rStyle w:val="FootnoteAnchor"/>
          <w:rtl w:val="true"/>
        </w:rPr>
        <w:footnoteReference w:id="205"/>
      </w:r>
      <w:r>
        <w:rPr>
          <w:rFonts w:ascii="Amiri" w:hAnsi="Amiri" w:eastAsia="Amiri" w:cs="Amiri"/>
          <w:color w:val="111111"/>
          <w:sz w:val="28"/>
          <w:sz w:val="28"/>
          <w:szCs w:val="28"/>
          <w:rtl w:val="true"/>
          <w:lang w:bidi="ar-SA"/>
        </w:rPr>
        <w:t>أي بعد سقوط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لو شكّ فيه أنّ خيار الحيوان مجعول بعد خيار المجلس، فتكون أخباره منصرفة إلى العقد اللّازم؛ لما لا حاجة إلى جعل الخيار ثانياً، فيكون المبدأ من حين اللزوم؛ و هو الافتراق، و أنّ مقتضى جمع من الأخبار أنّ تلف الحيوان من مال البائع</w:t>
      </w:r>
      <w:r>
        <w:rPr>
          <w:rStyle w:val="FootnoteAnchor"/>
          <w:rtl w:val="true"/>
        </w:rPr>
        <w:footnoteReference w:id="206"/>
      </w:r>
      <w:r>
        <w:rPr>
          <w:rFonts w:ascii="Amiri" w:hAnsi="Amiri" w:eastAsia="Amiri" w:cs="Amiri"/>
          <w:color w:val="111111"/>
          <w:sz w:val="28"/>
          <w:sz w:val="28"/>
          <w:szCs w:val="28"/>
          <w:rtl w:val="true"/>
          <w:lang w:bidi="ar-SA"/>
        </w:rPr>
        <w:t>، و لو كان المشتري له الخيار فالتلف منهما؛ لأنّ التلف في زمان الخيار المشترك ليس من مال البائع، و في زمان الخيار المختصّ من مال 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الأدلّة و لو كانت بحسب الظاهر تقتضي كون المبدأ حين العقد؛ لأنّه مبدأ الاتصاف بالصاحب، و لكن قضيّة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امتناع جريان الخيار الثاني في البيع الخياري هو مبدئيّة الافتراق؛ ضرورة أنّ العقد لا يقبل التزلزل مرّتين، كما لا يقبل اللزوم مرّتين، و لا يعقل أن يترشّح الجدّ من الجاعل بعد كونه خياريّاً، و هذا هو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السّببين على مسبّب واحد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أُريد منه اجتماع الخيارين على العقد الواحد، فهو ليس من اجتماع السببين؛ لأنّه لا منع من أن يكون له خياران، و لكنّه في مقام</w:t>
      </w:r>
    </w:p>
    <w:p>
      <w:pPr>
        <w:pStyle w:val="BookText"/>
        <w:rPr/>
      </w:pPr>
      <w:r>
        <w:rPr>
          <w:rFonts w:ascii="Amiri" w:hAnsi="Amiri" w:eastAsia="Amiri" w:cs="Amiri"/>
          <w:color w:val="111111"/>
          <w:sz w:val="28"/>
          <w:sz w:val="28"/>
          <w:szCs w:val="28"/>
          <w:rtl w:val="true"/>
          <w:lang w:bidi="ar-SA"/>
        </w:rPr>
        <w:t>الإعمال لا يستفيد إلّا من واحد منهما،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يلزم أيضاً اجتماع المثلين في العقد، و هو محال كاجتماع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الشبهات و إن كانت حسبما قرّرناه قويّة، و لا يكون جواب القوم عنها كافياً، إلّا أنّه مندفعة بما تحرّر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الخياري ليس متزلزلًا عندنا، بل الخيار آلة لهدم العقد أعطاها الشرع أو العقلاء، و لو لا اللزوم الموجود في الاعتبار الثابت للعقد، لما كان لاعتبار الاختيار و الاقتدار على حلّ العقد وجه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النسبة بين خيار المجلس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المصبّ عموم من وجه و عندئذٍ يمكن ترشّح الإرادة الجاعلة بعد كون الخيار المجعول متّصفاً بقيد آخر؛ و إن كانت الخيارات واحدة بالطبيعة، إلّا أنّها في مرحلة الجعل تصنّف؛ فيكون أحدها خيار المجلس، و الآخر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اجتماع السببين على مسبّب واحد،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صحّته الإجماليّة بأنّ العقد يمكن إزالته و إعدامه بخيارين و اقتدارين؛ لأنّ السببيّة ليست واقعيّة، بل هي اعتباريّة، فيصحّ أن ينحلّ العقد بهما، كما ربّما يقتل شخص بالآلتين العَرْضيّتين اللتين كان يكفي كلّ واحدة منهما للقتل،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من اختلاف مصبّ الخيارين بالإضافة، يظهر عدم لزوم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اجتماع الضدّين و المثلين في الأحكام الشرعيّة الاعتباريّة، ليس ممتنعاً ذاتاً، بل امتناعه يرجع إلى امتناع تمكّن المولى من الجعل،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 الخيار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خيار المجلس لا يجري في بيع الحيوان، فلا يتوجّه إشكال، و يكون حلّ المشاكل بإنكار المبنى و الأساس أسهل و لأجل هذه الشبهات، و طائفةٍ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أظهرها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ذهبوا إلى أنّ خيار المجلس مخصوص بما سوى الحيوان</w:t>
      </w:r>
      <w:r>
        <w:rPr>
          <w:rStyle w:val="FootnoteAnchor"/>
          <w:rtl w:val="true"/>
        </w:rPr>
        <w:footnoteReference w:id="208"/>
      </w:r>
      <w:r>
        <w:rPr>
          <w:rFonts w:ascii="Amiri" w:hAnsi="Amiri" w:eastAsia="Amiri" w:cs="Amiri"/>
          <w:color w:val="111111"/>
          <w:sz w:val="28"/>
          <w:sz w:val="28"/>
          <w:szCs w:val="28"/>
          <w:rtl w:val="true"/>
          <w:lang w:bidi="ar-SA"/>
        </w:rPr>
        <w:t xml:space="preserve">ضرورة أنّ الظاهر منه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الخيار الواحد في الحيوان إلى كذا، و في غيره إلى كذا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المجعول إلى ثلاثة هو خيار الحيوان، و هذا المجعول لا يعقل أن يكون لغير الحيوان إلى أن يفترقا، فما هو</w:t>
      </w:r>
    </w:p>
    <w:p>
      <w:pPr>
        <w:pStyle w:val="BookText"/>
        <w:rPr/>
      </w:pPr>
      <w:r>
        <w:rPr>
          <w:rFonts w:ascii="Amiri" w:hAnsi="Amiri" w:eastAsia="Amiri" w:cs="Amiri"/>
          <w:color w:val="111111"/>
          <w:sz w:val="28"/>
          <w:sz w:val="28"/>
          <w:szCs w:val="28"/>
          <w:rtl w:val="true"/>
          <w:lang w:bidi="ar-SA"/>
        </w:rPr>
        <w:t xml:space="preserve">و في ثبوته للبائع أيضاً إذا كان الثمن حيواناً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في الحيوان غير ما هو المجعول في غير الحيوان، و حينئذٍ لا ينعقد ظهور لفظيّ للتقييد بالنسبة إلى المطلقات الناطقة بثبوت خيار المجلس للبيّعين إلى أن يفترقا، فليتأمّل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هذا الخبر مورد المناقشة و الإجمال من جهات مختلفة؛ و إن فرغنا عن إجماله بتوضيحات في الكتاب الكبير، و ظهورُه في ثبوت الخيار للبائع و لو كان الثمن نقداً مورد الإعراض، كما سيظهر توضيحه إن شاء اللَّه تعالى</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قويّناه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مبدأ الخيار في المعاطاة بعد نقل الحيوان إلى المشتري، و في غيرها بعد حصول القبض، نعم قبض الوكيل يكفي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الثمن غير حيوان، فقد ذهب معظم أصحابنا الأقدمين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كالشيخين</w:t>
      </w:r>
      <w:r>
        <w:rPr>
          <w:rStyle w:val="FootnoteAnchor"/>
          <w:rtl w:val="true"/>
        </w:rPr>
        <w:footnoteReference w:id="211"/>
      </w:r>
      <w:r>
        <w:rPr>
          <w:rFonts w:ascii="Amiri" w:hAnsi="Amiri" w:eastAsia="Amiri" w:cs="Amiri"/>
          <w:color w:val="111111"/>
          <w:sz w:val="28"/>
          <w:sz w:val="28"/>
          <w:szCs w:val="28"/>
          <w:rtl w:val="true"/>
          <w:lang w:bidi="ar-SA"/>
        </w:rPr>
        <w:t>، و الصدوقين</w:t>
      </w:r>
      <w:r>
        <w:rPr>
          <w:rStyle w:val="FootnoteAnchor"/>
          <w:rtl w:val="true"/>
        </w:rPr>
        <w:footnoteReference w:id="212"/>
      </w:r>
      <w:r>
        <w:rPr>
          <w:rFonts w:ascii="Amiri" w:hAnsi="Amiri" w:eastAsia="Amiri" w:cs="Amiri"/>
          <w:color w:val="111111"/>
          <w:sz w:val="28"/>
          <w:sz w:val="28"/>
          <w:szCs w:val="28"/>
          <w:rtl w:val="true"/>
          <w:lang w:bidi="ar-SA"/>
        </w:rPr>
        <w:t>، و الإسكافيّ</w:t>
      </w:r>
      <w:r>
        <w:rPr>
          <w:rStyle w:val="FootnoteAnchor"/>
          <w:rtl w:val="true"/>
        </w:rPr>
        <w:footnoteReference w:id="213"/>
      </w:r>
      <w:r>
        <w:rPr>
          <w:rFonts w:ascii="Amiri" w:hAnsi="Amiri" w:eastAsia="Amiri" w:cs="Amiri"/>
          <w:color w:val="111111"/>
          <w:sz w:val="28"/>
          <w:sz w:val="28"/>
          <w:szCs w:val="28"/>
          <w:rtl w:val="true"/>
          <w:lang w:bidi="ar-SA"/>
        </w:rPr>
        <w:t>، و ابن حمزة</w:t>
      </w:r>
      <w:r>
        <w:rPr>
          <w:rStyle w:val="FootnoteAnchor"/>
          <w:rtl w:val="true"/>
        </w:rPr>
        <w:footnoteReference w:id="214"/>
      </w:r>
      <w:r>
        <w:rPr>
          <w:rFonts w:ascii="Amiri" w:hAnsi="Amiri" w:eastAsia="Amiri" w:cs="Amiri"/>
          <w:color w:val="111111"/>
          <w:sz w:val="28"/>
          <w:sz w:val="28"/>
          <w:szCs w:val="28"/>
          <w:rtl w:val="true"/>
          <w:lang w:bidi="ar-SA"/>
        </w:rPr>
        <w:t>و كثير آخرون</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إلى عدمه، و هو المعروف بين المتأخّرين</w:t>
      </w:r>
      <w:r>
        <w:rPr>
          <w:rStyle w:val="FootnoteAnchor"/>
          <w:rtl w:val="true"/>
        </w:rPr>
        <w:footnoteReference w:id="216"/>
      </w:r>
      <w:r>
        <w:rPr>
          <w:rFonts w:ascii="Amiri" w:hAnsi="Amiri" w:eastAsia="Amiri" w:cs="Amiri"/>
          <w:color w:val="111111"/>
          <w:sz w:val="28"/>
          <w:sz w:val="28"/>
          <w:szCs w:val="28"/>
          <w:rtl w:val="true"/>
          <w:lang w:bidi="ar-SA"/>
        </w:rPr>
        <w:t xml:space="preserve">، و عليه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هو رأي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و ما نسب إليه فيه من أنّه يقول بثبوت الخيار له</w:t>
      </w:r>
      <w:r>
        <w:rPr>
          <w:rStyle w:val="FootnoteAnchor"/>
          <w:rtl w:val="true"/>
        </w:rPr>
        <w:footnoteReference w:id="220"/>
      </w:r>
      <w:r>
        <w:rPr>
          <w:rFonts w:ascii="Amiri" w:hAnsi="Amiri" w:eastAsia="Amiri" w:cs="Amiri"/>
          <w:color w:val="111111"/>
          <w:sz w:val="28"/>
          <w:sz w:val="28"/>
          <w:szCs w:val="28"/>
          <w:rtl w:val="true"/>
          <w:lang w:bidi="ar-SA"/>
        </w:rPr>
        <w:t>، غير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لما احتملناه دعواه الإجماع، مع أنّه بلا وجه جدّاً؛ لعدم القول بخيار الحيوان بين المخالفين أصلًا، و لذهاب الطائفة إلى عدمه للبائع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نسب إليه ما أُشير إليه آنفاً؛ و هو معتبر محمّد بن مسلم الظاهر فيه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المتبايعين في الحيوان معناه التبايع فيه، فيكون الثمن أيضاً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 هو مختار المصنّف في درسه</w:t>
      </w:r>
      <w:r>
        <w:rPr>
          <w:rStyle w:val="FootnoteAnchor"/>
          <w:rtl w:val="true"/>
        </w:rPr>
        <w:footnoteReference w:id="2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غير موافق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الحنطة و الشعير و العناوين الذاتيّة، و الضرورة قاضية بعدم لزوم المماثلة في خيار المجلس بين الثمن و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الظاهر من الخبر هو أن خيار الحيوان منحصر في المتبايعين في الحيوان، و أنّ تمام الموضوع لخيار الحيوان هو المتبايعان، مع أن الأمر ليس كذلك، و حمل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كونه ملقى بدواً من غير سؤال على بيان فرع من فروع المسألة، غير تامّ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فحجيّة السند بعد هذه الغائلة ممنوعة، مع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فيما سوى ذلك من بيع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الإجمال؛ لأنّ الصدر كان يكفي عن هذا التقييد، و قد أوضحناه حلّا لهذه المشكلة في محلّه،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كلام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تأييد هذا الخبر</w:t>
      </w:r>
      <w:r>
        <w:rPr>
          <w:rStyle w:val="FootnoteAnchor"/>
          <w:rtl w:val="true"/>
        </w:rPr>
        <w:footnoteReference w:id="223"/>
      </w:r>
      <w:r>
        <w:rPr>
          <w:rFonts w:ascii="Amiri" w:hAnsi="Amiri" w:eastAsia="Amiri" w:cs="Amiri"/>
          <w:color w:val="111111"/>
          <w:sz w:val="28"/>
          <w:sz w:val="28"/>
          <w:szCs w:val="28"/>
          <w:rtl w:val="true"/>
          <w:lang w:bidi="ar-SA"/>
        </w:rPr>
        <w:t>و أنّه لا يعارضه معتبر 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معتبر ابن رِئاب صريح في أنّ الخيار ليس للبائع،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لمن الخيار للمشتري، أو للبائع، أو لهما كليهما؟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لمن اشترى ثلاثة أيّام نظرة، فإذا مضت ثلاثة أيّام فقد وجب الشراء</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عدمه لا يخلو من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يمكن الجمع بين هذه الأخبار، لكان حمل خبر محمّد بن مسلم على غير مورد خبر ابن رئاب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Style w:val="FootnoteAnchor"/>
          <w:rtl w:val="true"/>
        </w:rPr>
        <w:footnoteReference w:id="225"/>
      </w:r>
      <w:r>
        <w:rPr>
          <w:rFonts w:ascii="Amiri" w:hAnsi="Amiri" w:eastAsia="Amiri" w:cs="Amiri"/>
          <w:color w:val="111111"/>
          <w:sz w:val="28"/>
          <w:sz w:val="28"/>
          <w:szCs w:val="28"/>
          <w:rtl w:val="true"/>
          <w:lang w:bidi="ar-SA"/>
        </w:rPr>
        <w:t>متعاضدة في صراحتها على اختصاص الخيار بالمشتري، و أنّ البائع إذا كان الثمن غير حيوان لا خيار له، و قضيّة المعارضة ترجيح جانب المشهور؛ لما أنّ الأخبار مشهورة و لأنّ إنكار الخيار للبائع مطابق للكتاب</w:t>
      </w:r>
      <w:r>
        <w:rPr>
          <w:rStyle w:val="FootnoteAnchor"/>
          <w:rtl w:val="true"/>
        </w:rPr>
        <w:footnoteReference w:id="226"/>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الأخبار بصدد حصر خيار الحيوان بالمشتري، في مقابل سائر المعاملات و المعاوضات، فيكون ظاهر خبر محمّد بن مسلم، معارضاً مع صريح ابن رِئاب، و لكن قوّة السند الأوّل تترجّح مع كونه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وفاقاً لظاهر المشهور</w:t>
      </w:r>
      <w:r>
        <w:rPr>
          <w:rStyle w:val="FootnoteAnchor"/>
          <w:rtl w:val="true"/>
        </w:rPr>
        <w:footnoteReference w:id="227"/>
      </w:r>
      <w:r>
        <w:rPr>
          <w:rFonts w:ascii="Amiri" w:hAnsi="Amiri" w:eastAsia="Amiri" w:cs="Amiri"/>
          <w:color w:val="111111"/>
          <w:sz w:val="28"/>
          <w:sz w:val="28"/>
          <w:szCs w:val="28"/>
          <w:rtl w:val="true"/>
          <w:lang w:bidi="ar-SA"/>
        </w:rPr>
        <w:t xml:space="preserve">، و خلافاً لجمع من المتأخّرين، و منهم الفقيه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للمصنّف في درسه</w:t>
      </w:r>
      <w:r>
        <w:rPr>
          <w:rStyle w:val="FootnoteAnchor"/>
          <w:rtl w:val="true"/>
        </w:rPr>
        <w:footnoteReference w:id="229"/>
      </w:r>
      <w:r>
        <w:rPr>
          <w:rFonts w:ascii="Amiri" w:hAnsi="Amiri" w:eastAsia="Amiri" w:cs="Amiri"/>
          <w:color w:val="111111"/>
          <w:sz w:val="28"/>
          <w:sz w:val="28"/>
          <w:szCs w:val="28"/>
          <w:rtl w:val="true"/>
          <w:lang w:bidi="ar-SA"/>
        </w:rPr>
        <w:t>، حيث قوّى جريانه في مبادلة</w:t>
      </w:r>
    </w:p>
    <w:p>
      <w:pPr>
        <w:pStyle w:val="BookText"/>
        <w:rPr/>
      </w:pPr>
      <w:r>
        <w:rPr>
          <w:rFonts w:ascii="Amiri" w:hAnsi="Amiri" w:eastAsia="Amiri" w:cs="Amiri"/>
          <w:color w:val="111111"/>
          <w:sz w:val="28"/>
          <w:sz w:val="28"/>
          <w:szCs w:val="28"/>
          <w:rtl w:val="true"/>
          <w:lang w:bidi="ar-SA"/>
        </w:rPr>
        <w:t xml:space="preserve">الحيوان بالحيوان؛ قضاءً لمعتبر محمّد بن مسلم السابق، و أنّ الأخبار الناطقة بأنّ خيار الحيوان للمشتري، في مقابل نفى الخيار عن البائع في البيوع المتعارفة؛ و هو بيع الحيوان بغير الحيوان، أو بالنقد،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صاحب الحيوان </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مأخوذاً إطلاقه، فيكون البائع بالخيار إذا كان صاحب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المشتري بالخيار ثلاثة أيّام</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ففيه احتمال القراءتين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و الكسر، و على هذا يحتمل كونه قيداً محقّقاً للموضوع، و لا مفهوم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حزازته، هذا مع أنّ الاحتمال المزبور يأتي على القراءتين، فيكون الخبر دافعاً لاحتمال كون صاحب الحيوان بالإرث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احتمال كونه في مقام ردّ احتمال سريان خيار الحيوان في غير البيع و الشراء، فيكون له المفهوم من هذه الجهة، لا يخلو عن بأس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ناظرة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بإيراد القيد فيه، و لا يكون هنا احتمال إلّا احتمال كون البائع الصاحب بالخيار فدفعه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الاختصاص خلاف المذاق الظاهر من الأخبار، و خلاف المناسبات بين الحكم و الموضوع</w:t>
      </w:r>
      <w:r>
        <w:rPr>
          <w:rStyle w:val="FootnoteAnchor"/>
          <w:rtl w:val="true"/>
        </w:rPr>
        <w:footnoteReference w:id="232"/>
      </w:r>
      <w:r>
        <w:rPr>
          <w:rFonts w:ascii="Amiri" w:hAnsi="Amiri" w:eastAsia="Amiri" w:cs="Amiri"/>
          <w:color w:val="111111"/>
          <w:sz w:val="28"/>
          <w:sz w:val="28"/>
          <w:szCs w:val="28"/>
          <w:rtl w:val="true"/>
          <w:lang w:bidi="ar-SA"/>
        </w:rPr>
        <w:t>، فهو قويٌّ جدّاً، و لكن إذا تأمّلنا في أن تقنين القوانين الكلّية، ربّما يكون بلحاظ الملاحظات الخاصّة التي هي حاصلة في المسائل المبتلى بها نوعاً، دون الموضوعات النادرة في جنبها، مثلًا تحريم الربا في البيع لأجل المفاسد، و لكن لا بأس بتحليله في غيره مثلًا كالصلح و نحوه؛ لأجل قلّة وجوده، فإنّ المفسدة المترتبة على قليل الوجود لا يهمّ الشرع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فيما نحن فيه، فإنّ التوسعة المقصودة هنا على المشتري، مورد اهتمام الشرع، دون البائع؛ لندرة كونه صاحب الحيوان، و لا يصحّ قياس منطقة الصدور في مثل القوانين الإسلاميّة التي جاءت لعائلة البشر في جميع الأعصار و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تدقّقوا النظر في هذه المسألة؛ فإنّها تنفعكم في الفقه كثيراً، و تستلزم المحاسن الكثيرة كما لا يخفى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هذا،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صاحب الحيوان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القراءتين مورث القيد أيضاً؛ لأنّه ناظر إلى 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w:t>
      </w:r>
      <w:bookmarkStart w:id="84" w:name="pg12370_121594"/>
    </w:p>
    <w:p>
      <w:pPr>
        <w:pStyle w:val="Heading5"/>
        <w:numPr>
          <w:ilvl w:val="4"/>
          <w:numId w:val="1"/>
        </w:numPr>
        <w:rPr/>
      </w:pPr>
      <w:bookmarkStart w:id="85" w:name="__RefHeading___Toc9026140_417432637"/>
      <w:bookmarkStart w:id="86" w:name="_Toc31"/>
      <w:bookmarkEnd w:id="84"/>
      <w:bookmarkEnd w:id="85"/>
      <w:r>
        <w:rPr>
          <w:rtl w:val="true"/>
        </w:rPr>
        <w:t>[</w:t>
      </w:r>
      <w:r>
        <w:rPr>
          <w:rtl w:val="true"/>
        </w:rPr>
        <w:t xml:space="preserve">مسألة </w:t>
      </w:r>
      <w:r>
        <w:rPr/>
        <w:t>1</w:t>
      </w:r>
      <w:r>
        <w:rPr>
          <w:rtl w:val="true"/>
        </w:rPr>
        <w:t xml:space="preserve">: </w:t>
      </w:r>
      <w:r>
        <w:rPr>
          <w:rtl w:val="true"/>
        </w:rPr>
        <w:t>لو تصرّف المشتري في الحيوان تصرّفاً يدلّ على الرضا</w:t>
      </w:r>
      <w:r>
        <w:rPr>
          <w:rtl w:val="true"/>
        </w:rPr>
        <w:t>]</w:t>
      </w:r>
      <w:bookmarkEnd w:id="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المشتري في الحيوان تصرّفاً يدلّ على الرضا دلالة نوعيّة، و يكشف عنه كشفاً غالبيّاً، سقط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نعل الدابّة، و أخذ حافرها، و قرض شعرها، و صبغها، بل و صبغ شعرها،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مفروض المتن سقوط الخيار لعلّه القدر المتيقّن من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 هو صريح المحكيّ عن عبائر جمع من القدماء</w:t>
      </w:r>
      <w:r>
        <w:rPr>
          <w:rStyle w:val="FootnoteAnchor"/>
          <w:rtl w:val="true"/>
        </w:rPr>
        <w:footnoteReference w:id="234"/>
      </w:r>
      <w:r>
        <w:rPr>
          <w:rFonts w:ascii="Amiri" w:hAnsi="Amiri" w:eastAsia="Amiri" w:cs="Amiri"/>
          <w:color w:val="111111"/>
          <w:sz w:val="28"/>
          <w:sz w:val="28"/>
          <w:szCs w:val="28"/>
          <w:rtl w:val="true"/>
          <w:lang w:bidi="ar-SA"/>
        </w:rPr>
        <w:t>بناءً على أن يكون المراد من التصرّف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الأمثلة المزبورة هو إحداث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في المسألة نصوصها الناطقة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كمعتبر الصفّار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فيها حدثاً فقد وجب الشراء إن شاء اللَّه تعالى</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 ابن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أحدث المشتري فيما اشترى حدثاً قبل الثلاثة الأيّام، فذلك رضاً منه، فلا شرط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المستفاد من أخبار المسألة بدواً؛ هو أنّ الالتزام و الرضا بالعقد</w:t>
      </w:r>
    </w:p>
    <w:p>
      <w:pPr>
        <w:pStyle w:val="BookText"/>
        <w:rPr/>
      </w:pPr>
      <w:r>
        <w:rPr>
          <w:rFonts w:ascii="Amiri" w:hAnsi="Amiri" w:eastAsia="Amiri" w:cs="Amiri"/>
          <w:color w:val="111111"/>
          <w:sz w:val="28"/>
          <w:sz w:val="28"/>
          <w:szCs w:val="28"/>
          <w:rtl w:val="true"/>
          <w:lang w:bidi="ar-SA"/>
        </w:rPr>
        <w:t>يلازم سقوط الخيار و لزومَ البيع، و ما يكون من الأحداث دليلًا عليه يكون مسقطاً، إلّا في صورة القطع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ما في المتن؛ بناءً على كفاية الالتزام و الرضا، و أنّ الأخبار في المسألة ليس لها الإطلاق؛ حتّى يلزم منه أن مطلق التصرّف مسقط، أو الحدث غير الكاشف مسقط، بل الأخبار في موقف بناء العقلاء بحسب الصغرى؛ بعد تماميّة الكبرى المشار إليها، فلا تعبّد جديد من الشرع في هذه الناحية؛ و لو كان أصل خيار الحيوان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أنّ الكبرى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اشترى ثوباً بشرط إلى نصف النهار، فعرض له ربح فأراد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أنّه قد رضيه فاستوجبه، ثمّ ليبعه إن شاء، فإن أقامه في السوق و لم يبع فقد وجب عليه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مقتضاه و قضيّة القاعدة؛ هو أنّ الخيار لا يسقط إلّا بأمر تسبيبي يتسبّب به إليه، كسائر الأُمور الإنشائيّة، فلو كان معتبر ابن رِئاب دليلًا على كفاية الرضا، فهو يقيّد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أنّ الصغرى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المطلق في مكاتبة الصفّار على صورة الحدث الخاصّ المقرون بالالتفات، حمل على النادر، و خلاف ما ذهب إليه المشهور و دلّ عليه النصّ؛ من أنّ التقبيل و النظر و اللّمس حدث</w:t>
      </w:r>
      <w:r>
        <w:rPr>
          <w:rStyle w:val="FootnoteAnchor"/>
          <w:rtl w:val="true"/>
        </w:rPr>
        <w:footnoteReference w:id="238"/>
      </w:r>
      <w:r>
        <w:rPr>
          <w:rFonts w:ascii="Amiri" w:hAnsi="Amiri" w:eastAsia="Amiri" w:cs="Amiri"/>
          <w:color w:val="111111"/>
          <w:sz w:val="28"/>
          <w:sz w:val="28"/>
          <w:szCs w:val="28"/>
          <w:rtl w:val="true"/>
          <w:lang w:bidi="ar-SA"/>
        </w:rPr>
        <w:t>، فإنّه و لو كان حدثاً، و لكنّه لا يلازم كونه كاشفاً نوعيّاً، فعلى هذا ما في المتن غير تامّ كبرى و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الخيار لا يسقط إلّا بالإسقاط، و أمّا المسقط فلا يعتبر أن يكون قولًا أو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تحرّر منّا في محلّه؛ عدم اعتبار السببيّة العقلائية في التسبّب إلى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مسألة أنّ الحدث المستند إلى المشتري بما هو هو، هل يكون مورثاً للسقوط تعبّداً، أم لا؟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هو التحقيق في المسألة الأخيرة؛ هي مسقطيّة إحداث الحدث، كما في جملة من الأخبار في المواضع المختلفة</w:t>
      </w:r>
      <w:r>
        <w:rPr>
          <w:rStyle w:val="FootnoteAnchor"/>
          <w:rtl w:val="true"/>
        </w:rPr>
        <w:footnoteReference w:id="239"/>
      </w:r>
      <w:r>
        <w:rPr>
          <w:rFonts w:ascii="Amiri" w:hAnsi="Amiri" w:eastAsia="Amiri" w:cs="Amiri"/>
          <w:color w:val="111111"/>
          <w:sz w:val="28"/>
          <w:sz w:val="28"/>
          <w:szCs w:val="28"/>
          <w:rtl w:val="true"/>
          <w:lang w:bidi="ar-SA"/>
        </w:rPr>
        <w:t>، و أنّ المستفاد من هذه الأخبار أنّ الحدث تعبّداً من المسقطات، و لا يجوز التعدّي من رواية إلى غير موردها؛ لأنّ التصرّفات الجنسيّة إمّا من الأحداث، أو تعبّد في موردها</w:t>
      </w:r>
    </w:p>
    <w:p>
      <w:pPr>
        <w:pStyle w:val="BookText"/>
        <w:rPr/>
      </w:pPr>
      <w:r>
        <w:rPr>
          <w:rFonts w:ascii="Amiri" w:hAnsi="Amiri" w:eastAsia="Amiri" w:cs="Amiri"/>
          <w:color w:val="111111"/>
          <w:sz w:val="28"/>
          <w:sz w:val="28"/>
          <w:szCs w:val="28"/>
          <w:rtl w:val="true"/>
          <w:lang w:bidi="ar-SA"/>
        </w:rPr>
        <w:t xml:space="preserve">و ليس مطلق التصرّف منه، و لا إحداث الحدث، كركوبها ركوباً غير معتدّ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تعليفها و سقيها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لخصوصيّة فيه، فإطلاق المكاتبة باقٍ على حاله،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بيان تعبّدي، أو توضيح لحكمة مسقطيّة الحدث، و فيه الاحتمالات الأُخر التي ربّما تنتهي به إلى الإجمال، فيبقى إطلاق المكاتبة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الركوب فراسخ، و التصرّفات الاعتباريّة كالبيع و نحوه، إذا كانت بداعي الإسقاط فهو، و إلّا فيشكل الأمر حسب الخبرين السابقين الظاهر من أحدهما أنّ ركوب فراسخ لا يسقط، و العرض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انتهى إلى البيع لا يكون كافياً لسقوط الخيار، و الالتزام بهما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أنّ الركوب المعتدّ به من الأحداث،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أنّ الميزان ما يكشف نوعاً عن الرّضا و الالتزام، و الركوب المزبور منه، فهو خلاف الأخبار الناطقة بأنّ الإحداث موضوع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أنّ الركوب المعتدّ به بنفسه من المسقطات، فهو خلاف الظاهر من الخبر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عدل المصنّف في مجلس بحثه عن جعل الموضوع لحكم السقوط</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w:t>
      </w:r>
      <w:r>
        <w:rPr>
          <w:rFonts w:eastAsia="IRNazanin" w:cs="IRNazanin"/>
          <w:color w:val="111111"/>
          <w:sz w:val="28"/>
          <w:szCs w:val="28"/>
          <w:rtl w:val="true"/>
          <w:lang w:bidi="fa-IR"/>
        </w:rPr>
        <w:t>»</w:t>
      </w:r>
      <w:r>
        <w:rPr>
          <w:rStyle w:val="FootnoteAnchor"/>
          <w:rtl w:val="true"/>
        </w:rPr>
        <w:footnoteReference w:id="240"/>
      </w:r>
      <w:r>
        <w:rPr>
          <w:rFonts w:ascii="Amiri" w:hAnsi="Amiri" w:eastAsia="Amiri" w:cs="Amiri"/>
          <w:color w:val="111111"/>
          <w:sz w:val="28"/>
          <w:sz w:val="28"/>
          <w:szCs w:val="28"/>
          <w:rtl w:val="true"/>
          <w:lang w:bidi="ar-SA"/>
        </w:rPr>
        <w:t xml:space="preserve">لما ليس في الأخبار منه العين و الأثر، 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المستند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 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و قد أشرنا إلى أنّ تقييد إحداث الحدث بالكاشفيّة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ممنوع لو كان تقييد المكاتبة بمعتبر ابن رِئاب ممكناً، و لكنّك عرفت أنّه تقييد بالنادر</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متنه الاضطراب</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وصلت النوبة بعد عدم إمكان التقييد إلى المعارضة، فالشهرة مع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الاعتبار يساعدها؛ ضرورة أنّ من أبواب الخدعة و الخيانة أن يشتري الدابّة و يستفيد منها في الثلاثة الأيام، ثمّ يردّها في الساعة الأخيرة، و هذا ممّا يشكل الالتزام به، و لذلك يقوى في النظر أنّ الفسخ إمّا يكون من الابتداء، فيكون ضامناً، و هذا خلاف صريح بعض الروايات، كمعتبر الحلبيّ</w:t>
      </w:r>
      <w:r>
        <w:rPr>
          <w:rStyle w:val="FootnoteAnchor"/>
          <w:rtl w:val="true"/>
        </w:rPr>
        <w:footnoteReference w:id="242"/>
      </w:r>
      <w:r>
        <w:rPr>
          <w:rFonts w:ascii="Amiri" w:hAnsi="Amiri" w:eastAsia="Amiri" w:cs="Amiri"/>
          <w:color w:val="111111"/>
          <w:sz w:val="28"/>
          <w:sz w:val="28"/>
          <w:szCs w:val="28"/>
          <w:rtl w:val="true"/>
          <w:lang w:bidi="ar-SA"/>
        </w:rPr>
        <w:t>، أو يكون التصرّف بالركوب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داعي الاختبار و مقدّماته و مقارناته من الحدث، فتأمّل فإنّ المسألة لا تخلو من نوع غموض، و اللَّه من وراء القصد</w:t>
      </w:r>
      <w:r>
        <w:rPr>
          <w:rFonts w:eastAsia="Amiri" w:cs="Amiri" w:ascii="Amiri" w:hAnsi="Amiri"/>
          <w:color w:val="111111"/>
          <w:sz w:val="28"/>
          <w:szCs w:val="28"/>
          <w:rtl w:val="true"/>
          <w:lang w:bidi="ar-SA"/>
        </w:rPr>
        <w:t>.</w:t>
      </w:r>
      <w:bookmarkStart w:id="87" w:name="pg12370_121599"/>
    </w:p>
    <w:p>
      <w:pPr>
        <w:pStyle w:val="Heading5"/>
        <w:numPr>
          <w:ilvl w:val="4"/>
          <w:numId w:val="1"/>
        </w:numPr>
        <w:rPr/>
      </w:pPr>
      <w:bookmarkStart w:id="88" w:name="__RefHeading___Toc9026142_417432637"/>
      <w:bookmarkStart w:id="89" w:name="_Toc32"/>
      <w:bookmarkEnd w:id="87"/>
      <w:bookmarkEnd w:id="88"/>
      <w:r>
        <w:rPr>
          <w:rtl w:val="true"/>
        </w:rPr>
        <w:t>[</w:t>
      </w:r>
      <w:r>
        <w:rPr>
          <w:rtl w:val="true"/>
        </w:rPr>
        <w:t xml:space="preserve">مسألة </w:t>
      </w:r>
      <w:r>
        <w:rPr/>
        <w:t>2</w:t>
      </w:r>
      <w:r>
        <w:rPr>
          <w:rtl w:val="true"/>
        </w:rPr>
        <w:t xml:space="preserve">: </w:t>
      </w:r>
      <w:r>
        <w:rPr>
          <w:rtl w:val="true"/>
        </w:rPr>
        <w:t>لو تلف الحيوان في مدّة الخيار فهو من مال البائع</w:t>
      </w:r>
      <w:r>
        <w:rPr>
          <w:rtl w:val="true"/>
        </w:rPr>
        <w:t>]</w:t>
      </w:r>
      <w:bookmarkEnd w:id="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الحيوان في مدّة الخيار فهو من مال البائع،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بالضرورة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زمن الخيار للبائع، كما نسب إلى الشيخ الأقدم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للمشتري،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النصوص الكثيرة</w:t>
      </w:r>
      <w:r>
        <w:rPr>
          <w:rStyle w:val="FootnoteAnchor"/>
          <w:rtl w:val="true"/>
        </w:rPr>
        <w:footnoteReference w:id="244"/>
      </w:r>
      <w:r>
        <w:rPr>
          <w:rFonts w:ascii="Amiri" w:hAnsi="Amiri" w:eastAsia="Amiri" w:cs="Amiri"/>
          <w:color w:val="111111"/>
          <w:sz w:val="28"/>
          <w:sz w:val="28"/>
          <w:szCs w:val="28"/>
          <w:rtl w:val="true"/>
          <w:lang w:bidi="ar-SA"/>
        </w:rPr>
        <w:t>من مال البائع؛ و منها معتبر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الدابّة أو العبد، و يشترط إلى يوم أو يومين، فيموت العبد أو الدابّة، أو يحدث فيه حدث، على من ضمان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البائع حتّى ينقضي الشرط ثلاثة أيّام، و يصير المبيع للمشتري</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ما فيه من نوع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المسألة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في زمان الخيار المشترك من الطرفين، و مقتضى إطلاق هذه الأخبار اختصاص الضمان بالبائع و لو كان له خيار المجلس، و قد تحرّر سابقاً بعض الكلام حولها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انصرافها إلى صورة التلف بعد المجلس كما عن</w:t>
      </w:r>
    </w:p>
    <w:p>
      <w:pPr>
        <w:pStyle w:val="BookText"/>
        <w:rPr/>
      </w:pPr>
      <w:r>
        <w:rPr>
          <w:rFonts w:ascii="Amiri" w:hAnsi="Amiri" w:eastAsia="Amiri" w:cs="Amiri"/>
          <w:color w:val="111111"/>
          <w:sz w:val="28"/>
          <w:sz w:val="28"/>
          <w:szCs w:val="28"/>
          <w:rtl w:val="true"/>
          <w:lang w:bidi="ar-SA"/>
        </w:rPr>
        <w:t xml:space="preserve">فيبطل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يرجع إليه المشتري بالثمن إذا 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قريبة، إلّا أنّها تستلزم الضمان عليهما لو تلفت في المجلس، و هو خلاف ما يستظهر منهم حسبما نسب إلى المشهور، فالالتزام بالتقييد ممّا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بعض بحوث فصّلناها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بطلان البيع آناً ما قبل التلف، أو بطلانه بعد التلف، أو عدم بطلانه رأساً، أو عدم كونه بيعاً شرعاً في زمان الخيار، مورد الخلاف بين الأخبار، و ليست مسألة منصوصاً بها إلّا الوجه الأخير، فإنّ قضية جمع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الخبر السابق أيضاً أنّ المبيع ليس يصير ملكاً للمشتري إلّا بعد الثلاثة، فلا معنى لبطلان البيع إلّا بمعنى سقوطه عن القابليّة للتأثير، و قضيّة جمع آخر هو حصول الملكيّة، و منها معتبر الحلبيّ المشار إليه الصريح في حلّية شرب لبنها، و عدم الضمان بالنسبة إليه، و حيث إنّ قضيّة الجمع بينهما هو أن يكون النظر في الطائفة الاولى إلى استقرار الملكيّة، يكون البيع مؤثّراً كما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الأخبار متعارضة تصل النوبة إليها، و تصير النتيجة كما تحرّرت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البيع مؤثّراً، فانفساخه لا بدّ و أن يكون بفاسخ، كالإقالة</w:t>
      </w:r>
    </w:p>
    <w:p>
      <w:pPr>
        <w:pStyle w:val="BookText"/>
        <w:rPr/>
      </w:pPr>
      <w:r>
        <w:rPr>
          <w:rFonts w:ascii="Amiri" w:hAnsi="Amiri" w:eastAsia="Amiri" w:cs="Amiri"/>
          <w:color w:val="111111"/>
          <w:sz w:val="28"/>
          <w:sz w:val="28"/>
          <w:szCs w:val="28"/>
          <w:rtl w:val="true"/>
          <w:lang w:bidi="ar-SA"/>
        </w:rPr>
        <w:t>و الخيار من الأُمور العقلائيّة، و إلّا فيكون البيع باقياً؛ لأنّ تصرّف الشرع بكون الضمان على البائع، لا يتوقّف على اعتبار الفسخ، و لا يؤثّر اعتباره في الفسخ واقعاً؛ لما لا واقعيّة له إلّا عند الاعتبار العقلائيّ الذي هو على خلافه، فبطلان البيع بعد الموت و غيره غير موجّه، فضلًا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يبطل آناً ما، كما هو في كلام جمع منهم</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دعوى بطلانه لأجل أنّ تلف المبيع من تلف مقوّم العقد، و هذا يورث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ليست متقوّمة ببقاء العوضين، و يكفي بقاؤه في ظرف وجوده لحلّه بعد ذلك؛ و ترتّب الأثر عليه، أو يكفي بقاء العوض لبقاء العقد الحاصل بإنشاء العاقدين الباقي ببقائهما أو أحدهما، بل يكفي لبقائه الوراثة، كما هو كذلك في الخيار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بموت المبيع يحتاج إلى الدليل، مع أنّه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للعقد موطناً، و للبيع موطناً آخر؛ العقد محلّه باقٍ، بخلاف البيع، فيبطل البيع دون عقد البيع، و قد تحرّر منّا في محلّه التفكيك بينهما، و يترتّب عليه الآثار الكثيرة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الذي أبدعناه لا ينافي في كون البيع لازماً؛ فإنّ عقد البيع أمر</w:t>
      </w:r>
      <w:bookmarkStart w:id="90" w:name="pg12370_121602"/>
    </w:p>
    <w:p>
      <w:pPr>
        <w:pStyle w:val="Heading5"/>
        <w:numPr>
          <w:ilvl w:val="4"/>
          <w:numId w:val="1"/>
        </w:numPr>
        <w:rPr/>
      </w:pPr>
      <w:bookmarkStart w:id="91" w:name="__RefHeading___Toc9026144_417432637"/>
      <w:bookmarkStart w:id="92" w:name="_Toc33"/>
      <w:bookmarkEnd w:id="90"/>
      <w:bookmarkEnd w:id="91"/>
      <w:r>
        <w:rPr>
          <w:rtl w:val="true"/>
        </w:rPr>
        <w:t>[</w:t>
      </w:r>
      <w:r>
        <w:rPr>
          <w:rtl w:val="true"/>
        </w:rPr>
        <w:t xml:space="preserve">مسألة </w:t>
      </w:r>
      <w:r>
        <w:rPr/>
        <w:t>3</w:t>
      </w:r>
      <w:r>
        <w:rPr>
          <w:rtl w:val="true"/>
        </w:rPr>
        <w:t xml:space="preserve">: </w:t>
      </w:r>
      <w:r>
        <w:rPr>
          <w:rtl w:val="true"/>
        </w:rPr>
        <w:t>العيب الحادث في الثلاثة من غير تفريط من المشتري</w:t>
      </w:r>
      <w:r>
        <w:rPr>
          <w:rtl w:val="true"/>
        </w:rPr>
        <w:t>]</w:t>
      </w:r>
      <w:bookmarkEnd w:id="9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الحادث في الثلاثة من غير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المشتري، لا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الفسخ 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تقدّم على البيع و المبادلة؛ لأنّها أمر خارجيّ، و ليس يحصل بالعقد و مجرّد المعاقدة، فليتدبّر و 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المناط ما في الأخبار و هو إحداث الحدث، فالتفريط لا يورث سقوط الخيار، نعم التعدّي يورثه، فكأنّ العبارة محرّفة، و كانت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تعدٍّ من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التفريط إذا استلزم نسبة الحادث و الحدث إلى المفرِّط صحّ، و لكنّه غير تامّ،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خاصّة خيار الحيوان، و إلّا ينقلب هو إلى خيار العيب، و هو مقتضى إطلاق دليله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يمكن المناقشة فيه؛ لأجل احتمال انصراف دليل الخيار إلى صورة انكشاف العيب في الثلاثة، و هو الظاهر من الحكمة و من معتبر ابن رِئاب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الخيار لمن اشترى ثلاثة أيّام نظرة، فإذا مضت ثلاثة أيّام فقد وجب الشراء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الإمهال للاطلاع على ما يظهر فيه، فيكون خيار الحيوان من موارد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يختلف معه لأجل دليله فيما إذا لم يظهر العيب بعد، و لكنّه يحتمل ظهوره</w:t>
      </w:r>
      <w:r>
        <w:rPr>
          <w:rFonts w:eastAsia="Amiri" w:cs="Amiri" w:ascii="Amiri" w:hAnsi="Amiri"/>
          <w:color w:val="111111"/>
          <w:sz w:val="28"/>
          <w:szCs w:val="28"/>
          <w:rtl w:val="true"/>
          <w:lang w:bidi="ar-SA"/>
        </w:rPr>
        <w:t>.</w:t>
      </w:r>
      <w:bookmarkStart w:id="93" w:name="pg12370_121604"/>
    </w:p>
    <w:p>
      <w:pPr>
        <w:pStyle w:val="Heading4"/>
        <w:numPr>
          <w:ilvl w:val="3"/>
          <w:numId w:val="1"/>
        </w:numPr>
        <w:rPr/>
      </w:pPr>
      <w:bookmarkStart w:id="94" w:name="__RefHeading___Toc9026146_417432637"/>
      <w:bookmarkStart w:id="95" w:name="_Toc34"/>
      <w:bookmarkEnd w:id="93"/>
      <w:bookmarkEnd w:id="94"/>
      <w:r>
        <w:rPr>
          <w:rtl w:val="true"/>
        </w:rPr>
        <w:t>[</w:t>
      </w:r>
      <w:r>
        <w:rPr>
          <w:rtl w:val="true"/>
        </w:rPr>
        <w:t>الثالث</w:t>
      </w:r>
      <w:r>
        <w:rPr>
          <w:rtl w:val="true"/>
        </w:rPr>
        <w:t xml:space="preserve">: </w:t>
      </w:r>
      <w:r>
        <w:rPr>
          <w:rtl w:val="true"/>
        </w:rPr>
        <w:t>خيار الشرط</w:t>
      </w:r>
      <w:r>
        <w:rPr>
          <w:rtl w:val="true"/>
        </w:rPr>
        <w:t>]</w:t>
      </w:r>
      <w:bookmarkEnd w:id="95"/>
    </w:p>
    <w:p>
      <w:pPr>
        <w:pStyle w:val="Heading5"/>
        <w:numPr>
          <w:ilvl w:val="4"/>
          <w:numId w:val="1"/>
        </w:numPr>
        <w:rPr/>
      </w:pPr>
      <w:bookmarkStart w:id="96" w:name="__RefHeading___Toc9026148_417432637"/>
      <w:bookmarkStart w:id="97" w:name="_Toc35"/>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أي الثابت بالاشتراط في ضمن العقد، و يجوز جعله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جعله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بين الفقهاء في نفوذ خيار الشرط</w:t>
      </w:r>
      <w:r>
        <w:rPr>
          <w:rStyle w:val="FootnoteAnchor"/>
          <w:rtl w:val="true"/>
        </w:rPr>
        <w:footnoteReference w:id="250"/>
      </w:r>
      <w:r>
        <w:rPr>
          <w:rFonts w:ascii="Amiri" w:hAnsi="Amiri" w:eastAsia="Amiri" w:cs="Amiri"/>
          <w:color w:val="111111"/>
          <w:sz w:val="28"/>
          <w:sz w:val="28"/>
          <w:szCs w:val="28"/>
          <w:rtl w:val="true"/>
          <w:lang w:bidi="ar-SA"/>
        </w:rPr>
        <w:t>، و عليه العقلاء من كافّة 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يناقش في ذلك بشبهات أشرنا إليها في كتابنا الكبير، و كلّها مندفعة بما لا مزيد عليها، و تكون من الشبهة في قبال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في كثير من النصوص ما يشهد على صحّة الشرط المزبور؛ ففي معتبر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اشترى ثوباً بشرط إلى نصف النهار، فعرض له ربح فأراد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أنّه قد رضيه فاستوجبه، ثمّ ليبعه إن شاء، فإن أقامه في السوق و لم يبع فقد وجب عليه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خياره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أمة بشرط من رجل يوماً أو يومين، فماتت عنده و قد قطع</w:t>
      </w:r>
    </w:p>
    <w:p>
      <w:pPr>
        <w:pStyle w:val="BookText"/>
        <w:rPr/>
      </w:pPr>
      <w:r>
        <w:rPr>
          <w:rFonts w:ascii="Amiri" w:hAnsi="Amiri" w:eastAsia="Amiri" w:cs="Amiri"/>
          <w:color w:val="111111"/>
          <w:sz w:val="28"/>
          <w:sz w:val="28"/>
          <w:szCs w:val="28"/>
          <w:rtl w:val="true"/>
          <w:lang w:bidi="ar-SA"/>
        </w:rPr>
        <w:t>أو لأحدهما، أو 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على من يكون الضّمان؟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 اشترى ضمان حتّى يمضي شرطه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تماميّة السند، و أنّ خيار الحيوان ساقط بلازم الشرط الأقلّ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ناظراً إلى شرط الخيار، لا شرط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معتبرِ ابن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بينهما شرط أيّاماً معدودة، فهلك في يد المشتري قبل أن يمضي الشرط، فهو من مال البائع</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العمومات كافية، و البناءات العقلائيّة لا ترتدع ببعض الشبهات الواهية، فيصح جميع ما في المتن من الفروض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لثالث</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 العمومات، بل و إطلاق بعض الأخبار السابقة، مضافاً إلى دعوى الإجماع عليه</w:t>
      </w:r>
      <w:r>
        <w:rPr>
          <w:rStyle w:val="FootnoteAnchor"/>
          <w:rtl w:val="true"/>
        </w:rPr>
        <w:footnoteReference w:id="254"/>
      </w:r>
      <w:r>
        <w:rPr>
          <w:rFonts w:ascii="Amiri" w:hAnsi="Amiri" w:eastAsia="Amiri" w:cs="Amiri"/>
          <w:color w:val="111111"/>
          <w:sz w:val="28"/>
          <w:sz w:val="28"/>
          <w:szCs w:val="28"/>
          <w:rtl w:val="true"/>
          <w:lang w:bidi="ar-SA"/>
        </w:rPr>
        <w:t>، و هو المفروغ عنه في المتون الفقهيّة، و في</w:t>
      </w:r>
    </w:p>
    <w:p>
      <w:pPr>
        <w:pStyle w:val="BookText"/>
        <w:rPr/>
      </w:pPr>
      <w:r>
        <w:rPr>
          <w:rFonts w:ascii="Amiri" w:hAnsi="Amiri" w:eastAsia="Amiri" w:cs="Amiri"/>
          <w:color w:val="111111"/>
          <w:sz w:val="28"/>
          <w:sz w:val="28"/>
          <w:szCs w:val="28"/>
          <w:rtl w:val="true"/>
          <w:lang w:bidi="ar-SA"/>
        </w:rPr>
        <w:t xml:space="preserve">و لا يتقدّر بمدّة، بل هو بحسب ما اشترطاه؛ قلّت أو كثرت،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مع الأجنبيّ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بل الإجماع بقسميه عليه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يناقش في ذلك أيضاً بمناقشات ذكرناها في كتابنا الكبير مع دفعها، و أهمّها أنّه تدخّل في سلطان الغير، و هو محرّم، أو أنّه تمليك يحتاج إلى القبول، فلا يثبت عموم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الدخول في سلطان الغير بعنوانه ليس من المحرّمات مع أنّه لا يستلزم ذلك لو لم يكن مؤكّداً لبسط سلطنته، هذا مع أنّ إعطاء الحقّ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الوقف لا يحتاج إلى القبول، و لا يكون من الدخول في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عند تراكم الشبهات الكثيرة ربّما يتقوّى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ربّما كان بناء العقلاء على جعل الخيار للأجنبيّ البصير، و للدلّالين الواقفين على حقيقة الحال، فالمناقشة غير جيّدة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كثرت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يناقش في الكثرة المستوعبة حياةَ العوضين، فإنّ الشرط في مقدار من الزّمان المذكور في العقد، و لا يعلم المقدار الباقي، فيصير مجهولًا بالعرض و إن كان معلوماً بالذّات،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كونها مضبوطة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المقدار،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صريحاً</w:t>
      </w:r>
      <w:r>
        <w:rPr>
          <w:rStyle w:val="FootnoteAnchor"/>
          <w:rtl w:val="true"/>
        </w:rPr>
        <w:footnoteReference w:id="256"/>
      </w:r>
      <w:r>
        <w:rPr>
          <w:rFonts w:ascii="Amiri" w:hAnsi="Amiri" w:eastAsia="Amiri" w:cs="Amiri"/>
          <w:color w:val="111111"/>
          <w:sz w:val="28"/>
          <w:sz w:val="28"/>
          <w:szCs w:val="28"/>
          <w:rtl w:val="true"/>
          <w:lang w:bidi="ar-SA"/>
        </w:rPr>
        <w:t>و قولًا واحداً؛ معلّلًا بالغرر المنهيّ في البيع</w:t>
      </w:r>
      <w:r>
        <w:rPr>
          <w:rStyle w:val="FootnoteAnchor"/>
          <w:rtl w:val="true"/>
        </w:rPr>
        <w:footnoteReference w:id="257"/>
      </w:r>
      <w:r>
        <w:rPr>
          <w:rFonts w:ascii="Amiri" w:hAnsi="Amiri" w:eastAsia="Amiri" w:cs="Amiri"/>
          <w:color w:val="111111"/>
          <w:sz w:val="28"/>
          <w:sz w:val="28"/>
          <w:szCs w:val="28"/>
          <w:rtl w:val="true"/>
          <w:lang w:bidi="ar-SA"/>
        </w:rPr>
        <w:t>خاصّاً، و في مطلق المعاوضات عامّاً، و الشرط الغرري يورث غرريّة البيع لأجل تزلزله بالخيار، فلا بدّ من معلوميّة مدّة التزلزل، مع أنّ نفس الشرط غرري، و الغرر منهيّ، و على هذا يكون الشرط المجهول خلاف الكتاب،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الماليّة تختلف باختلاف الخياريّة و غير الخياريّة، فتختلف الماليّة باختلاف مدّة الخياريّة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الماضية، حيث إنّها مشتملة على الشرط المعلوم، و هو يشهد على مفروغيّة الحكم عند أصحابنا الأقدمين، و لعلّه هو المبنيّ عليه عند العرف و العقلاء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الوجوه مناقشة، و المهمّ أنّ كبرى المسألة غير نقيّة؛ لأنّ الغرر المطلق المنهيّ أجنبيّ عن مسائل المعاملات، لأنّه عنوان خارج عنها، و حديث الحكومة واضح المنع، و الغرر في البيع منهيّ بما لأسند له كما تحرّر، و لا دلالة له أيضاً؛ لاختلاف الاحتمالات فيها، و جبر</w:t>
      </w:r>
    </w:p>
    <w:p>
      <w:pPr>
        <w:pStyle w:val="BookText"/>
        <w:rPr/>
      </w:pPr>
      <w:r>
        <w:rPr>
          <w:rFonts w:ascii="Amiri" w:hAnsi="Amiri" w:eastAsia="Amiri" w:cs="Amiri"/>
          <w:color w:val="111111"/>
          <w:sz w:val="28"/>
          <w:sz w:val="28"/>
          <w:szCs w:val="28"/>
          <w:rtl w:val="true"/>
          <w:lang w:bidi="ar-SA"/>
        </w:rPr>
        <w:t xml:space="preserve">و من حيث الاتصال و الانفصال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ذكرت مدّة معيّنة كشهر مثلًا و أُطلقت، فالظاهر اتّصالها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بفهم الفريقين ليس من دأب المجتهدين إلّا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تحصّل و فصّلنا الكلام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الجهالة المطلقة ممنوعة في غير الشرط، و أمّا في الشرط فالمسألة غير واضحة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الانفصال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خلافاً لبعضهم حيث استشكل في صورة الانفصال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من الجواز بعد اللزوم، و هو غير جائز</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غفلة عن خيار التفليس 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لنا 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اللزوم اعتبار وحدانيّ للعقد، و باقٍ باعتبار بقائه، و الشرط المزبور يرجع إلى شرط خلاف الكتاب؛ ضرورة أنّ الشرط المتّصل يمنع عن حدوث اللزوم، فلا يكون خلاف الكتاب، و أمّا المنفصل فيزيل الحادث الثابت بالطبع حسب حكم الكتاب، و لا يتجزّأ و لا ينحلّ إلى الأحكام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أيضاً راجع إلى المنع عن الحدوث في قطعة، و على هذا يشكل الأمر في صورة الانفصال و هكذا نجوماً و يوماً، لا و يوماً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لو صحّ الشرط منفصلًا، فلازمه جواز شرط الخيار في البيع الثاني للبيع الأوّل الفارغ عنه، مع أنّ الظاهر منهم عدم التزامهم به،</w:t>
      </w:r>
    </w:p>
    <w:p>
      <w:pPr>
        <w:pStyle w:val="BookText"/>
        <w:rPr/>
      </w:pPr>
      <w:r>
        <w:rPr>
          <w:rFonts w:ascii="Amiri" w:hAnsi="Amiri" w:eastAsia="Amiri" w:cs="Amiri"/>
          <w:color w:val="111111"/>
          <w:sz w:val="28"/>
          <w:sz w:val="28"/>
          <w:szCs w:val="28"/>
          <w:rtl w:val="true"/>
          <w:lang w:bidi="ar-SA"/>
        </w:rPr>
        <w:t>و لعلّه ضروري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اللتيّا و التي يستحسن هذا الإعضال على مبنى القوم، و أمّا على ما هو مختارنا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جعل الخيار في ضمن العقد، ليس مورثاً لتزلزل العقد؛ و خروجه عن اللّزوم إلى الجواز الحقّي، فضلًا عن الحكميّ فلا يكون منافياً للكتاب، و لا مستلزماً للتجزية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ممنوعيّة جعل الخيار للبيع السابق، فهي غير واضحة حتّى على رأي القوم في تفسير الشرط المخالف؛ ضرورة أنّ اللزوم ناشئ من الإطلاق، فيكون باقياً إلى طروّ الخيار، فليتدبّر جيّداً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حديث التجزئة، فهو و إن كان في حدّ ذاته غير صحيح؛ لأنّ اللزوم من تبعات عقد البيع، و البيع غير مرهون بالزمان، و لكن جعل الخيار إلى مدّة يستلزم تطبيق العقد بحسب صفة الخيار و الاختيار منطبقاً عليه، و عندئذٍ يجوز التقطيع؛ لما يترتّب عليه الأثر كما هو الواضح</w:t>
      </w:r>
      <w:r>
        <w:rPr>
          <w:rFonts w:eastAsia="Amiri" w:cs="Amiri" w:ascii="Amiri" w:hAnsi="Amiri"/>
          <w:color w:val="111111"/>
          <w:sz w:val="28"/>
          <w:szCs w:val="28"/>
          <w:rtl w:val="true"/>
          <w:lang w:bidi="ar-SA"/>
        </w:rPr>
        <w:t>.</w:t>
      </w:r>
      <w:bookmarkStart w:id="98" w:name="pg12370_121610"/>
    </w:p>
    <w:p>
      <w:pPr>
        <w:pStyle w:val="Heading5"/>
        <w:numPr>
          <w:ilvl w:val="4"/>
          <w:numId w:val="1"/>
        </w:numPr>
        <w:rPr/>
      </w:pPr>
      <w:bookmarkStart w:id="99" w:name="__RefHeading___Toc9026150_417432637"/>
      <w:bookmarkStart w:id="100" w:name="_Toc36"/>
      <w:bookmarkEnd w:id="98"/>
      <w:bookmarkEnd w:id="99"/>
      <w:r>
        <w:rPr>
          <w:rtl w:val="true"/>
        </w:rPr>
        <w:t>[</w:t>
      </w:r>
      <w:r>
        <w:rPr>
          <w:rtl w:val="true"/>
        </w:rPr>
        <w:t xml:space="preserve">مسألة </w:t>
      </w:r>
      <w:r>
        <w:rPr/>
        <w:t>1</w:t>
      </w:r>
      <w:r>
        <w:rPr>
          <w:rtl w:val="true"/>
        </w:rPr>
        <w:t xml:space="preserve">: </w:t>
      </w:r>
      <w:r>
        <w:rPr>
          <w:rtl w:val="true"/>
        </w:rPr>
        <w:t>يجوز أن يشترط لأحدهما أو لهما الخيار بعد الاستئمار و الاستشارة</w:t>
      </w:r>
      <w:r>
        <w:rPr>
          <w:rtl w:val="true"/>
        </w:rPr>
        <w:t>]</w:t>
      </w:r>
      <w:bookmarkEnd w:id="1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لأحدهما أو لهما الخيار بعد الاستئمار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الاستشارة؛ بأن يتشاور مع ثالث في أمر العقد، فكلّ ما رأى من الصلاح إبقاءً له أو فسخاً يكون متّبعاً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الاستئمار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لعموم دليل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جعل الخيار، و مبدأه مجهول، كما صنعه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في درسه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من الجهالة مضرّ غير حاصل، و ما هو حاصل غير مضرّ؛ ضرورة أنّ في ظرف الإنشاء لا خيار فلا تضرّ الجهالة و في ظرف حدوث الخيار لا جهالة؛ لأنّ المفروض امتداد الخيار في المدّة المعلومة، و يكون مبدأه الاستشارة المجهولة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يتخيّل المناقضة بين المفروض، و بين ما رتّبه عليه، فإنّ المفروض كونه بالخيار، و ما رتّبه عليه كونه تابعاً للمستشار في الفسخ و الإمضاء، و هذا ينافي الخيار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بالخيار و هذا شرط آخر نافذ، و لكنّه إذا</w:t>
      </w:r>
    </w:p>
    <w:p>
      <w:pPr>
        <w:pStyle w:val="BookText"/>
        <w:rPr/>
      </w:pPr>
      <w:r>
        <w:rPr>
          <w:rFonts w:ascii="Amiri" w:hAnsi="Amiri" w:eastAsia="Amiri" w:cs="Amiri"/>
          <w:color w:val="111111"/>
          <w:sz w:val="28"/>
          <w:sz w:val="28"/>
          <w:szCs w:val="28"/>
          <w:rtl w:val="true"/>
          <w:lang w:bidi="ar-SA"/>
        </w:rPr>
        <w:t xml:space="preserve">و يعتبر في هذا الشرط أيضاً تعيين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للمشروط له الفسخ قبل أمر ذلك الثالث، و لا يجب عليه لو أمره، بل جاز له، فإذا اشترط البائع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بأنّ له المهلة إلى ثلاثة أيّام حتّى يستشير صديقه أو الدلّال، فإن رأى الصلاح يلتزم به، تخلّف عن رأيه يكون فسخه نافذاً أيضاً على خلاف ما 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الشرط المزبور موجباً لتضييق الأمر عليه يشكل صحّته؛ لكونه خلاف مقتضى ذات الخيار،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المصنّف في العبارة أنّه بالخيار بعد الاستشارة، و لا ينفذ فسخه قبلها، و لكن يجوز التخلّف عن أمره،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للمشروط له الفسخ قبل أمر ذلك الثالث، و لا يجب عليه لو أمره، بل جاز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هذا أيضاً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تعيين المدّة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أُصول المذهب و الإجماع</w:t>
      </w:r>
      <w:r>
        <w:rPr>
          <w:rStyle w:val="FootnoteAnchor"/>
          <w:rtl w:val="true"/>
        </w:rPr>
        <w:footnoteReference w:id="260"/>
      </w:r>
      <w:r>
        <w:rPr>
          <w:rFonts w:ascii="Amiri" w:hAnsi="Amiri" w:eastAsia="Amiri" w:cs="Amiri"/>
          <w:color w:val="111111"/>
          <w:sz w:val="28"/>
          <w:sz w:val="28"/>
          <w:szCs w:val="28"/>
          <w:rtl w:val="true"/>
          <w:lang w:bidi="ar-SA"/>
        </w:rPr>
        <w:t>، و المراد منه تعيين زمان الخيار، كثلاثة أيّام و خمسة بعد الاستشارة، و قد مرّ ما ينفعك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فلا يكون مرجعه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جعل الخيار له على تقدير أن لا يرى صديقه أو الدلّال الصلاحَ، لا مطلقاً، فليس له الخيار إلّا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مرجعه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الشرط، و صحّة هذا الشرط أيضاً بلا إشكال، و إنّما الإشكال في أنّ الظاهر من قوله في الاشتراط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رأي الصلاح يلتزم به، و 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ما لا يرى الصلاح لا يكون ملتزماً بالعقد، و لا يلتزم به بعد ذلك، و نتيجة ذلك هو الانفساخ القهري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عدم الالتزام المساوق للخيار، لا الانفساخ</w:t>
      </w:r>
      <w:r>
        <w:rPr>
          <w:rFonts w:eastAsia="Amiri" w:cs="Amiri" w:ascii="Amiri" w:hAnsi="Amiri"/>
          <w:color w:val="111111"/>
          <w:sz w:val="28"/>
          <w:szCs w:val="28"/>
          <w:rtl w:val="true"/>
          <w:lang w:bidi="ar-SA"/>
        </w:rPr>
        <w:t>.</w:t>
      </w:r>
      <w:bookmarkStart w:id="101" w:name="pg12370_121613"/>
    </w:p>
    <w:p>
      <w:pPr>
        <w:pStyle w:val="Heading5"/>
        <w:numPr>
          <w:ilvl w:val="4"/>
          <w:numId w:val="1"/>
        </w:numPr>
        <w:rPr/>
      </w:pPr>
      <w:bookmarkStart w:id="102" w:name="__RefHeading___Toc9026152_417432637"/>
      <w:bookmarkStart w:id="103" w:name="_Toc37"/>
      <w:bookmarkEnd w:id="101"/>
      <w:bookmarkEnd w:id="102"/>
      <w:r>
        <w:rPr>
          <w:rtl w:val="true"/>
        </w:rPr>
        <w:t>[</w:t>
      </w:r>
      <w:r>
        <w:rPr>
          <w:rtl w:val="true"/>
        </w:rPr>
        <w:t xml:space="preserve">مسألة </w:t>
      </w:r>
      <w:r>
        <w:rPr/>
        <w:t>2</w:t>
      </w:r>
      <w:r>
        <w:rPr>
          <w:rtl w:val="true"/>
        </w:rPr>
        <w:t xml:space="preserve">: </w:t>
      </w:r>
      <w:r>
        <w:rPr>
          <w:rtl w:val="true"/>
        </w:rPr>
        <w:t>لا إشكال في عدم اختصاص خيار الشرط بالبيع</w:t>
      </w:r>
      <w:r>
        <w:rPr>
          <w:rtl w:val="true"/>
        </w:rPr>
        <w:t>]</w:t>
      </w:r>
      <w:bookmarkEnd w:id="1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خيار الشرط بالبيع، بل يجري في كثير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عدم جريانه في الإيقاعات، كالطلاق، و العتق، و الإبراء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تطلب هذه المسألة صحّة و سقماً في محالّها إن شاء اللَّه تعالى</w:t>
      </w:r>
      <w:r>
        <w:rPr>
          <w:rFonts w:eastAsia="Amiri" w:cs="Amiri" w:ascii="Amiri" w:hAnsi="Amiri"/>
          <w:color w:val="111111"/>
          <w:sz w:val="28"/>
          <w:szCs w:val="28"/>
          <w:rtl w:val="true"/>
          <w:lang w:bidi="ar-SA"/>
        </w:rPr>
        <w:t>.</w:t>
      </w:r>
      <w:bookmarkStart w:id="104" w:name="pg12370_121614"/>
    </w:p>
    <w:p>
      <w:pPr>
        <w:pStyle w:val="Heading5"/>
        <w:numPr>
          <w:ilvl w:val="4"/>
          <w:numId w:val="1"/>
        </w:numPr>
        <w:rPr/>
      </w:pPr>
      <w:bookmarkStart w:id="105" w:name="__RefHeading___Toc9026154_417432637"/>
      <w:bookmarkStart w:id="106" w:name="_Toc38"/>
      <w:bookmarkEnd w:id="104"/>
      <w:bookmarkEnd w:id="105"/>
      <w:r>
        <w:rPr>
          <w:rtl w:val="true"/>
        </w:rPr>
        <w:t>[</w:t>
      </w:r>
      <w:r>
        <w:rPr>
          <w:rtl w:val="true"/>
        </w:rPr>
        <w:t xml:space="preserve">مسألة </w:t>
      </w:r>
      <w:r>
        <w:rPr/>
        <w:t>3</w:t>
      </w:r>
      <w:r>
        <w:rPr>
          <w:rtl w:val="true"/>
        </w:rPr>
        <w:t xml:space="preserve">: </w:t>
      </w:r>
      <w:r>
        <w:rPr>
          <w:rtl w:val="true"/>
        </w:rPr>
        <w:t>يجوز اشتراط الخيار للبائع</w:t>
      </w:r>
      <w:r>
        <w:rPr>
          <w:rtl w:val="true"/>
        </w:rPr>
        <w:t>]</w:t>
      </w:r>
      <w:bookmarkEnd w:id="1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للبائع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 عليه حكاية الإجماع عن غيرها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تدلّ عليه النصوص الخاصّة</w:t>
      </w:r>
      <w:r>
        <w:rPr>
          <w:rStyle w:val="FootnoteAnchor"/>
          <w:rtl w:val="true"/>
        </w:rPr>
        <w:footnoteReference w:id="263"/>
      </w:r>
      <w:r>
        <w:rPr>
          <w:rFonts w:ascii="Amiri" w:hAnsi="Amiri" w:eastAsia="Amiri" w:cs="Amiri"/>
          <w:color w:val="111111"/>
          <w:sz w:val="28"/>
          <w:sz w:val="28"/>
          <w:szCs w:val="28"/>
          <w:rtl w:val="true"/>
          <w:lang w:bidi="ar-SA"/>
        </w:rPr>
        <w:t>، و أظهرها موثّق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أبا عبد اللَّه و سأله رجل و 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إلى بيع داره، فجاء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تكون لك، أحبّ إليّ من أن تكون لغيرك؛ على أن تشترط لي إن أنا جئتك بثمنها إلى سنة أن تردّ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بهذا، إن جاء بثمنها إلى سنة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غلّة كثيرة، فأخذ الغلّة، لمن تكون الغلّة؟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الغلّة للمشتري، أ لا ترى أنّه لو احترقت لكانت من ماله؟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w:t>
      </w:r>
    </w:p>
    <w:p>
      <w:pPr>
        <w:pStyle w:val="BookText"/>
        <w:rPr/>
      </w:pPr>
      <w:r>
        <w:rPr>
          <w:rFonts w:ascii="Amiri" w:hAnsi="Amiri" w:eastAsia="Amiri" w:cs="Amiri"/>
          <w:color w:val="111111"/>
          <w:sz w:val="28"/>
          <w:sz w:val="28"/>
          <w:szCs w:val="28"/>
          <w:rtl w:val="true"/>
          <w:lang w:bidi="ar-SA"/>
        </w:rPr>
        <w:t xml:space="preserve">إذا ردّ الثمن بعينه أو ما يعمّ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مدّة معينة، فإن مضت و لم يأتِ بالثمن كاملًا لزم البيع، و هو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فاحتمال كون الحديث مرسلًا، مدفوع بما فيهما المتقدّمين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آخر بعيد، و إن كان احتمال كون النسخة التي عند الشيخ منهما، أقوى من النسخة الموجودة، و لكن اضطراب روايات ابن عمّار نوعاً، يؤيّد أنّ المقصود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لا الرجل السائل، فإنّه غير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هذا الشرط مقطوع به عندنا، خلافاً لبعض المخالفين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يعمّ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المتعارف في بيع الخيار اشتراط ردّ المثل؛ لأنّ الحاجة إلى الثمن توجب البيع بالأقلّ، و هكذا الفرار من الربا القرضيّ يجرّ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ردّ العين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العين في القرض لا بأس به بالضرورة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صحّة هذا البيع؛ لأنّ جعل الخيار بعد الردّ يرجع إلى</w:t>
      </w:r>
    </w:p>
    <w:p>
      <w:pPr>
        <w:pStyle w:val="BookText"/>
        <w:rPr/>
      </w:pPr>
      <w:r>
        <w:rPr>
          <w:rFonts w:ascii="Amiri" w:hAnsi="Amiri" w:eastAsia="Amiri" w:cs="Amiri"/>
          <w:color w:val="111111"/>
          <w:sz w:val="28"/>
          <w:sz w:val="28"/>
          <w:szCs w:val="28"/>
          <w:rtl w:val="true"/>
          <w:lang w:bidi="ar-SA"/>
        </w:rPr>
        <w:t>جهالة مبدأ الخيار، لما لا يكون زمان الردّ معلوماً، و قد ذهب المصنّف إلى أنّ هذه الجهالة تضرّ، وفاقاً لبعض آخر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خيار الاستئمار دفع هذا الإشكال</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هذا الخيار و لو كان في ضمن العقد، يكون من قبيل الإيقاع المشروط و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أنّه لمكان كونه من قبيل شرط النتيجة يكون جائزاً، و قد ادعي ما يدلّ في الأخبار عليه خصوصاً</w:t>
      </w:r>
      <w:r>
        <w:rPr>
          <w:rStyle w:val="FootnoteAnchor"/>
          <w:rtl w:val="true"/>
        </w:rPr>
        <w:footnoteReference w:id="270"/>
      </w:r>
      <w:r>
        <w:rPr>
          <w:rFonts w:ascii="Amiri" w:hAnsi="Amiri" w:eastAsia="Amiri" w:cs="Amiri"/>
          <w:color w:val="111111"/>
          <w:sz w:val="28"/>
          <w:sz w:val="28"/>
          <w:szCs w:val="28"/>
          <w:rtl w:val="true"/>
          <w:lang w:bidi="ar-SA"/>
        </w:rPr>
        <w:t>، و قد تعرّضنا له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الثمن إلى المشتري يكون الخيار للبائع، فإذا فسخ فلا بدّ من عود العين إلى البائع، و عود الثمن الآخر إلى المشتري؛ ضرورة أنّ معنى الشرط ردّ العوض الذي هو للمشتري إليه، فيكون هو له بنفس الردّ، و الالتزام بذلك واضح المنع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الشرط ردّ مال المشتري إليه، إلّا أنّ الفسخ لا يقتضي إلّا حلّ العقد، و أمّا تبادل العوضين و تراجعهما فهو في محلّ قابل، و فيما نحن</w:t>
      </w:r>
    </w:p>
    <w:p>
      <w:pPr>
        <w:pStyle w:val="BookText"/>
        <w:rPr/>
      </w:pPr>
      <w:r>
        <w:rPr>
          <w:rFonts w:ascii="Amiri" w:hAnsi="Amiri" w:eastAsia="Amiri" w:cs="Amiri"/>
          <w:color w:val="111111"/>
          <w:sz w:val="28"/>
          <w:sz w:val="28"/>
          <w:szCs w:val="28"/>
          <w:rtl w:val="true"/>
          <w:lang w:bidi="ar-SA"/>
        </w:rPr>
        <w:t>فيه لا 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الأخبار هو أنّ ردّ الثمن سبب الفسخ؛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بثمنها إلى سنة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معتبر سعيد بن يسار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بالمال للوقت فردّ عليه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الخيار لا يتوسّط بينهما، بل نفس الردّ تمام السبب للفسخ، فيكون الشرط على وجه يكون الردّ سبباً للفسخ، و على هذا لا خيار و لا فسخ بعد الردّ حتّى يؤخذ بما هو لازمه،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الردّ ليس من أسباب الفسخ، و أدلّة الشروط قاصرة عن التشريع بالنسبة إلى باب الأسباب و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تماميّة هذه الدعوى إنّ الأخبار الخاصّة تكفي لمشروعيّته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فسخ العقد و حلّه، ليس من تلك المسبّبات المخصوصة و المحصورة بالأسباب الخاصّة و الأدوات و الصيغ المعيّنة،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أن يكون للبائع فسخ الكلّ بردّ بعض الثمن، أو فسخ البعض بردّ بعضه، و يكفي في ردّ الثمن فعل البائع ما له دخل في القبض من طرفه و إن أبى المشتري من قبضه، فلو أحضر الثمن و عرضه عليه و مكّنه من قبضه، فأبى و امتنع، فله الفسخ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إلّا أنّه خارج عن مصبّ الأخبار، فلو كان لهذا الخيار أثر خاصّ، فهو في غير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صحّته إطلاق أدلّة الشرط؛ لأنّ مبدأ صحّة هذا الخيار ليس إلّا الاشتراط، و تكون أخبار المسألة دليلًا على صحّة الشرط في طيّ العقد، و لو أُلغيت الخصوصيّة بالنسبة إلى ردّ تمام الثمن يترتّب عليه آثاره الخاصّة لو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البائع بعد ردّ البعض و فسخ البعض، ذا خيار التبعّض؛ كي يكون له استرداد ثمنه بردّ العين، أو يكون له التصرّف في العين في صورة التأخير بانكشاف عدم نفوذ خيار المشتري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تردّد إذا كان شرط المشتري من الأوّل ردَّ البعض بحذاء البعض، كما هو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الفسخ</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إلى حصول الشرط؛ و ذلك لأنّ المتفاهم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تمكين المشتري و إقداره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هو الردّ إليه، و هو لا يحصل بذلك، كما تأتي الإشارة إليه في الردّ إلى الوكيل و الحاكم</w:t>
      </w:r>
      <w:r>
        <w:rPr>
          <w:rStyle w:val="FootnoteAnchor"/>
          <w:rtl w:val="true"/>
        </w:rPr>
        <w:footnoteReference w:id="272"/>
      </w:r>
      <w:r>
        <w:rPr>
          <w:rFonts w:ascii="Amiri" w:hAnsi="Amiri" w:eastAsia="Amiri" w:cs="Amiri"/>
          <w:color w:val="111111"/>
          <w:sz w:val="28"/>
          <w:sz w:val="28"/>
          <w:szCs w:val="28"/>
          <w:rtl w:val="true"/>
          <w:lang w:bidi="ar-SA"/>
        </w:rPr>
        <w:t>، و بناءً على هذا الاحتمال، يلزم جواز الامتناع من القبول اختياراً بالفرار أو بدونه، و يلزم جواز تهديد البائع على الردّ، فإنّه لا يثبت له الخيار إذا لم يردّ، و الالتزام بالفروض السابقة و المشابهة معها غير صحيح عرفاً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صورة التهديد إذا لم يردّ يشكل الأمر، كما لا يخفى و المسألة ليست إجماعيّة، و لا روائيّة، و ما وجدنا من تعرّض لها، و اللَّه العالم</w:t>
      </w:r>
      <w:r>
        <w:rPr>
          <w:rFonts w:eastAsia="Amiri" w:cs="Amiri" w:ascii="Amiri" w:hAnsi="Amiri"/>
          <w:color w:val="111111"/>
          <w:sz w:val="28"/>
          <w:szCs w:val="28"/>
          <w:rtl w:val="true"/>
          <w:lang w:bidi="ar-SA"/>
        </w:rPr>
        <w:t>.</w:t>
      </w:r>
      <w:bookmarkStart w:id="107" w:name="pg12370_121620"/>
    </w:p>
    <w:p>
      <w:pPr>
        <w:pStyle w:val="Heading5"/>
        <w:numPr>
          <w:ilvl w:val="4"/>
          <w:numId w:val="1"/>
        </w:numPr>
        <w:rPr/>
      </w:pPr>
      <w:bookmarkStart w:id="108" w:name="__RefHeading___Toc9026156_417432637"/>
      <w:bookmarkStart w:id="109" w:name="_Toc39"/>
      <w:bookmarkEnd w:id="107"/>
      <w:bookmarkEnd w:id="108"/>
      <w:r>
        <w:rPr>
          <w:rtl w:val="true"/>
        </w:rPr>
        <w:t>[</w:t>
      </w:r>
      <w:r>
        <w:rPr>
          <w:rtl w:val="true"/>
        </w:rPr>
        <w:t xml:space="preserve">مسألة </w:t>
      </w:r>
      <w:r>
        <w:rPr/>
        <w:t>4</w:t>
      </w:r>
      <w:r>
        <w:rPr>
          <w:rtl w:val="true"/>
        </w:rPr>
        <w:t xml:space="preserve">: </w:t>
      </w:r>
      <w:r>
        <w:rPr>
          <w:rtl w:val="true"/>
        </w:rPr>
        <w:t>نماء المبيع و منافعه في هذه المدّة للمشتري</w:t>
      </w:r>
      <w:r>
        <w:rPr>
          <w:rtl w:val="true"/>
        </w:rPr>
        <w:t>]</w:t>
      </w:r>
      <w:bookmarkEnd w:id="1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نماء المبيع و منافعه في هذه المدّة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القواعد؛ لأنّه ملكه، و عدم جواز التصرّف المتلف لا يلازم كون النماء للبائع، و يدلّ عليه الأخبار</w:t>
      </w:r>
      <w:r>
        <w:rPr>
          <w:rStyle w:val="FootnoteAnchor"/>
          <w:rtl w:val="true"/>
        </w:rPr>
        <w:footnoteReference w:id="273"/>
      </w:r>
      <w:r>
        <w:rPr>
          <w:rFonts w:ascii="IRNazanin" w:hAnsi="IRNazanin" w:eastAsia="IRNazanin"/>
          <w:color w:val="111111"/>
          <w:sz w:val="28"/>
          <w:sz w:val="28"/>
          <w:szCs w:val="28"/>
          <w:rtl w:val="true"/>
          <w:lang w:bidi="fa-IR"/>
        </w:rPr>
        <w:t>و الخبر السابق</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على خلاف ما 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بأنّ المبيع ليس يدخل في ملك المشتري قبل استقرار العقد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النماء له في زمانٍ لا خيار للبائع فيه، و هو قبل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مخالف لما نسب إلى المشهور من اختيارهم أنّ الخيار للبائع من الابتداء</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استظهرنا في كتابنا الكبير؛ أنّ شرط ردّ الثمن ربّما يرجع إلى أنّ البائع بالخيار، إلّا أنّه خيار مع الواسطة؛ لإمكان فسخه العقد من الأوّل بردّ الثمن، و لا نعني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اختيار الفسخ و لو مع الوسط كما تحرّر، و هذا هو المعنى الحقّي الاعتباري،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تلفه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تلفه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المشتري؛ قضاءً لحقّ القواعد الأوّلية و الثانويّة؛ أمّا الاولى فلأنّ العين ملكه، و قد تلفت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أتلفه البائع فهو له ضامن؛ لقاعدة الإتلاف، و هذا في الحقيقة ليس استثناء من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قضيّة القاعدة الثانويّة؛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شمولها لما نحن فيه، مع إشكالات في ذلك على ما هو المحرّر في كتابنا الكبير فهي أيضاً من المشتري؛ لأنّه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كون التلف من كيس البائع؛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أخبار خيار الحيوان الماضية في معتبر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ضمان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البائع حتّى ينقضي الشرط ثلاثة أيّام، و يصير المبيع للمشتري</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احتمال مبنيّ على مذاق الشيخ، و الخبر من أدلّته، و لكنّه محمول على استقرار الملك جمعاً بين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الخيار باقٍ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التلف إن كان المشروط الخيار و السلطنة على فسخ العقد، فيرجع بعده إلى المثل أو القيمة، و ساقط إن كان المشروط ارتجاع العين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الخيار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المعروف بين من تعرّض للمسألة، و احتمل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بناءً على أنّ مورد هذا الخيار هو إلزام أنّ له الردّ و ارتجاع المبيع، و ظاهره اعتبار بقاء المبيع في ذلك، فلا خيار مع تلفه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قوّاه المصنّف في الدرس بأنّ المفروض في الأخبار بقاء العين؛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فالدار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خبر معاوية بن ميسرة، عن أبي الجارود</w:t>
      </w:r>
      <w:r>
        <w:rPr>
          <w:rStyle w:val="FootnoteAnchor"/>
          <w:rtl w:val="true"/>
        </w:rPr>
        <w:footnoteReference w:id="279"/>
      </w:r>
      <w:r>
        <w:rPr>
          <w:rFonts w:ascii="Amiri" w:hAnsi="Amiri" w:eastAsia="Amiri" w:cs="Amiri"/>
          <w:color w:val="111111"/>
          <w:sz w:val="28"/>
          <w:sz w:val="28"/>
          <w:szCs w:val="28"/>
          <w:rtl w:val="true"/>
          <w:lang w:bidi="ar-SA"/>
        </w:rPr>
        <w:t>، و أنّ المعهود في هذا الخيار مفروغيّة بقاء العين، و أنّ صورة تلفها مغفول عنها، فيكون الخيار مجعولًا على الوجه الخاصّ</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أمثال هذه المباحث ليست علميّة، و ربّما تختلف الأمصار و الأعصار لجهة الانصراف و التعارف المستند إلى اختلاف العهد و البناء، و لو خلّي الأمر و طبعه يكون تضييق الخيار محتاجاً إلى غاية خاصّة مصرّح بها، و إلّا فهو بالطبع يرجع إلى العقد، و يكون النظر</w:t>
      </w:r>
    </w:p>
    <w:p>
      <w:pPr>
        <w:pStyle w:val="BookText"/>
        <w:rPr/>
      </w:pPr>
      <w:r>
        <w:rPr>
          <w:rFonts w:ascii="Amiri" w:hAnsi="Amiri" w:eastAsia="Amiri" w:cs="Amiri"/>
          <w:color w:val="111111"/>
          <w:sz w:val="28"/>
          <w:sz w:val="28"/>
          <w:szCs w:val="28"/>
          <w:rtl w:val="true"/>
          <w:lang w:bidi="ar-SA"/>
        </w:rPr>
        <w:t xml:space="preserve">و ليس للمشتري قبل انقضاء المدّة التصرّف الناقل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إتلاف العين؛ إن كان المشروط ارتجاعها، و لا يبعد جوازهما إن كان السلطنة على فسخ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القصد و الغرض خارجاً عن حدود المجعول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اشترط استرجاع العين عند الردّ، فهو لا يستحقّ شيئاً عند التلف، و ليس هذا من الخيار المصطلح عليه و إن جاز و كان يشبه حكم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الرجوع إلى المثل أو القيمة، فعلى مقتضى القواعد في باب الضمانات، و قد تحرّر منّا أنّ مسألة ضمان المثل في المثليّات و القيمة في القيميّات ممّا لا أساس لها، و الذي هو الأساس أمر آخر يطلب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الشرط ارتجاع العين لا يكفي؛ لعدم استحقاقه البدل، بخلاف ما إذا شرط استرجاع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التصرّف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حسبما يظهر من المتعرّضين للمسألة</w:t>
      </w:r>
      <w:r>
        <w:rPr>
          <w:rStyle w:val="FootnoteAnchor"/>
          <w:rtl w:val="true"/>
        </w:rPr>
        <w:footnoteReference w:id="281"/>
      </w:r>
      <w:r>
        <w:rPr>
          <w:rFonts w:ascii="Amiri" w:hAnsi="Amiri" w:eastAsia="Amiri" w:cs="Amiri"/>
          <w:color w:val="111111"/>
          <w:sz w:val="28"/>
          <w:sz w:val="28"/>
          <w:szCs w:val="28"/>
          <w:rtl w:val="true"/>
          <w:lang w:bidi="ar-SA"/>
        </w:rPr>
        <w:t>و ذلك لاقتضاء الشرط الضمنيّ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تمكّن إرجاع العين بعد الفسخ، لا معنى للمنع لو صحّ الشرط المزبور كما 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إتلاف العين، فلا يبعد الممنوعيّة مطلقاً و إن كانت السلطنة على العقد للشرط الضمني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الشكّ أو عدم الشرط ضمناً، فالإتلاف لا ينافي الاشتراط حتّى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يستظهر أحياناً أنّه يشهد على إسقاط الخيار، و لكنّه ممنوع كما ترى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يكون شرط السلطنة على استرجاع العين، كنايةً عرفاً عن الخيار المتعلّق بالعقد طبعاً، فلا يسقط الخيار بالتلف، و يجوز الإتلاف للمشتري، فتأمّل</w:t>
      </w:r>
      <w:r>
        <w:rPr>
          <w:rFonts w:eastAsia="Amiri" w:cs="Amiri" w:ascii="Amiri" w:hAnsi="Amiri"/>
          <w:color w:val="111111"/>
          <w:sz w:val="28"/>
          <w:szCs w:val="28"/>
          <w:rtl w:val="true"/>
          <w:lang w:bidi="ar-SA"/>
        </w:rPr>
        <w:t>.</w:t>
      </w:r>
      <w:bookmarkStart w:id="110" w:name="pg12370_121625"/>
    </w:p>
    <w:p>
      <w:pPr>
        <w:pStyle w:val="Heading5"/>
        <w:numPr>
          <w:ilvl w:val="4"/>
          <w:numId w:val="1"/>
        </w:numPr>
        <w:rPr/>
      </w:pPr>
      <w:bookmarkStart w:id="111" w:name="__RefHeading___Toc9026158_417432637"/>
      <w:bookmarkStart w:id="112" w:name="_Toc40"/>
      <w:bookmarkEnd w:id="110"/>
      <w:bookmarkEnd w:id="111"/>
      <w:r>
        <w:rPr>
          <w:rtl w:val="true"/>
        </w:rPr>
        <w:t>[</w:t>
      </w:r>
      <w:r>
        <w:rPr>
          <w:rtl w:val="true"/>
        </w:rPr>
        <w:t xml:space="preserve">مسألة </w:t>
      </w:r>
      <w:r>
        <w:rPr/>
        <w:t>5</w:t>
      </w:r>
      <w:r>
        <w:rPr>
          <w:rtl w:val="true"/>
        </w:rPr>
        <w:t xml:space="preserve">: </w:t>
      </w:r>
      <w:r>
        <w:rPr>
          <w:rtl w:val="true"/>
        </w:rPr>
        <w:t>الثمن المشروط ردّه إن كان كلّياً في ذمّة البائع</w:t>
      </w:r>
      <w:r>
        <w:rPr>
          <w:rtl w:val="true"/>
        </w:rPr>
        <w:t>]</w:t>
      </w:r>
      <w:bookmarkEnd w:id="11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المشروط ردّه إن كان كلّياً في ذمّة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في ذمّته ألف درهم لزيد، فباع داره بما في ذمّته، و جعل له الخيار مشروطاً بردّ الثمن يكون ردّه بأداء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ذمّته؛ و إن برئت ذمّته عمّا كان عليه بجعله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ردّه بأداء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في مفروض المسألة لا بدّ من ذلك؛ ضرورة أنّ قضيّة البيع سقوط ما في ذمّته، و مقتضى الشرط ردّ الثمن خارجاً، و هذا لا يتيسّر إلّا بتفويض مصداق منه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للبائع أن يحتال حتّى يفسخ المشتري عقده، فإذا انفسخ العقد اشتغلت ذمّة البائع بما برئت منه، فيكون هذا ردّ الثمن إليه، فيصحّ الفسخ و الانفساخ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bookmarkStart w:id="113" w:name="pg12370_121626"/>
    </w:p>
    <w:p>
      <w:pPr>
        <w:pStyle w:val="Heading5"/>
        <w:numPr>
          <w:ilvl w:val="4"/>
          <w:numId w:val="1"/>
        </w:numPr>
        <w:rPr/>
      </w:pPr>
      <w:bookmarkStart w:id="114" w:name="__RefHeading___Toc9026160_417432637"/>
      <w:bookmarkStart w:id="115" w:name="_Toc41"/>
      <w:bookmarkEnd w:id="113"/>
      <w:bookmarkEnd w:id="114"/>
      <w:r>
        <w:rPr>
          <w:rtl w:val="true"/>
        </w:rPr>
        <w:t>[</w:t>
      </w:r>
      <w:r>
        <w:rPr>
          <w:rtl w:val="true"/>
        </w:rPr>
        <w:t xml:space="preserve">مسألة </w:t>
      </w:r>
      <w:r>
        <w:rPr/>
        <w:t>6</w:t>
      </w:r>
      <w:r>
        <w:rPr>
          <w:rtl w:val="true"/>
        </w:rPr>
        <w:t xml:space="preserve">: </w:t>
      </w:r>
      <w:r>
        <w:rPr>
          <w:rtl w:val="true"/>
        </w:rPr>
        <w:t>إن لم يقبض البائع الثمن أصلًا</w:t>
      </w:r>
      <w:r>
        <w:rPr>
          <w:rtl w:val="true"/>
        </w:rPr>
        <w:t>]</w:t>
      </w:r>
      <w:bookmarkEnd w:id="11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يقبض البائع الثمن أصلًا؛ سواء كان كلّياً في ذمّة المشتري، أو عيناً موجوداً عنده، فهل له الخيار و الفسخ قبل انقضاء المدّة المضروبة، أم لا؟ وجهان، لا يخلو أوّلهما من رجحان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الردّ شرط على تقدير قبضه، و يحتمل عدم الخيار مع عدم القبض؛ لأنّ المشروط إذا كان ردّ الثمن، فلازمه مشروطيّة القبض أيضاً قبله، فلم يحصل شرط الخيار؛ و هو الرّد المسبوق بالقبض</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السيّد الفقيه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مبتنية على أن الردّ هل هو معتبر من باب الموضوعيّة، أو من باب الطريقيّة لوصول الثمن إلى المشتري؛ أي حصوله عنده؟</w:t>
      </w:r>
    </w:p>
    <w:p>
      <w:pPr>
        <w:pStyle w:val="BookText"/>
        <w:rPr/>
      </w:pPr>
      <w:r>
        <w:rPr>
          <w:rFonts w:ascii="Amiri" w:hAnsi="Amiri" w:eastAsia="Amiri" w:cs="Amiri"/>
          <w:color w:val="111111"/>
          <w:sz w:val="28"/>
          <w:sz w:val="28"/>
          <w:szCs w:val="28"/>
          <w:rtl w:val="true"/>
          <w:lang w:bidi="ar-SA"/>
        </w:rPr>
        <w:t>فعلى الأوّل لا خيار؛ لعدم تحقّق شرطه و هو الردّ المسبوق بالقبض، لا لاشتراط القبض قبله كما بيّنه المصنّف، بل لعدم تحقّق الموضوع حينئذٍ</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الثاني فله الخيار؛ لأنّ المفروض حصول الثمن عنده، و الغالب في أنظار العرف هو الطريقيّة</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قبضه، فإن كان الثمن كلّياً فالظاهر أنّه لا يتعيّن عليه ردّ عين ذلك الفرد المقبوض، بل يكفي ردّ فرد آخر ينطبق الكلّي عليه، إلّا إذا صرّح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ردّ عينه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شخصيّاً لم يتحقّق الردّ إلّا بردّ عينه، فلو لم يمكن ردّه بتلف و نحوه سقط الخيار، و ما ذكره خيار المتأخّرين على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يكفي حصول الثمن عنده، فيلزم الخيار لو ردّه إليه بعنوان الأمانة، أو لو غصبه المشتري، و حيث إنّه لا خيار فيهما فيعلم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الثمن من العناوين القصديّة التي لا تحصل إلّا بتفويض الثمن، أو الرضا بالبقاء عند المشتري إذا وصل إليه و لو كان من زمان قبل البيع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الغفلة عن الحال، فلا يبعد ثبوت الخيار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عنوان الوديعة و الغصب الخارجيّ يضرّ بالشرط، و أمّا عند عدمهما فيحصل الشرط عرفاً؛ لعدم الخصوصيّة بإلغائها، لا الطريقيّة المذكورة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يلغي مطلقاً، كما لا يؤخذ به مطلقاً، و السرّ أنّ المسألة عرفيّة و استظهاريّة، ربّما يختلف كيفيّة الجهل في الإفادة و الاستفادة، و في صورة الشكّ لا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صرّح</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في صورة الإطلاق و إن تعيّن الكلّي بالفرد، إلّا أنّ بناء البيع</w:t>
      </w:r>
    </w:p>
    <w:p>
      <w:pPr>
        <w:pStyle w:val="BookText"/>
        <w:rPr/>
      </w:pPr>
      <w:r>
        <w:rPr>
          <w:rFonts w:ascii="Amiri" w:hAnsi="Amiri" w:eastAsia="Amiri" w:cs="Amiri"/>
          <w:color w:val="111111"/>
          <w:sz w:val="28"/>
          <w:sz w:val="28"/>
          <w:szCs w:val="28"/>
          <w:rtl w:val="true"/>
          <w:lang w:bidi="ar-SA"/>
        </w:rPr>
        <w:t xml:space="preserve">إلّا إذا شرط صريحاً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ما يعمّ بدله مع عدم التمكّن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الثمن ممّا انحصر انتفاعه المتعارف بصرفه، لا ببقائه كالنقود، الخياري على التصرّف في الثمن أيَّ تصرّف شاءه البائع، فيكون البناء المذكور شاهداً على جواز ردّ الفرد الآخر، و لذلك لا يتعيّن إلّا مع التصريح بالخلاف هدماً لهذا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شرط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عدم الاشتراط يسقط الخيار؛ لعدم تمكّنه من شرط خياره و هو ردّ الثمن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لو كان له الخيار و كان تنفيذه بالردّ، يسقط الخيار أيضاً، و ربّما يستند السقوط إلى أمر أسبق على التلف، كما إذا أتلفه البائع،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الاشتراط، فربّما يناقش في صحّة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صورة الفسخ لا بدّ من تبادل العوضين، و حيث لا ثمن فلا يعتبر فسخ العقد، فلا يصحّ شرط ردّ غير الثمن المذكور في العقد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بما فيه؛ ضرورة أنّ ماهيّة الفسخ ليست إلّا حلّ العقد، و أمّا ردّ العوضين إلى ما كانا عليه قبل العقد، فهو من آثار الفسخ، و عند امتناع ردّ العوض بالتلف يردّ بدله، و حيث إنّ مع التصريح بأنّ سبب الخيار أعمّ من ردّ الثمن و بدله عند تلفه، يثبت الخيار بردّ البدل، و ينفسخ العقد، و يكفي البدل عن ضمان المبدل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الإطلاق في مثله ما يعمّ بدله ما لم يصرّح بالخلاف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يصرّح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المتعارف في البيع الخياري كون النظر و المقصود إلى صرف الثمن؛ سواء كان نقداً، أو جنساً كالحنطة و نحوها، فكلّما يتّفق خلافه فلا بدّ من القرينة اللفظية أو الحاليّة كخصوصية في ذات الثمن تنهض على أنّ الخيار مرهون بردّ الثمن شخصيّاً، فما أفاده غير تامّ بحسب العادة في هذه الأعصار و الأمصار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يعمّ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كون البدل في عَرْض المبدل، فيكون مع وجود عين الثمن ردّ البدل كافياً، و يحتمل كونه في طوله، فيكون مع تلف المبدل ردّ البدل موجباً للخيار، و على التقديرين لا بأس بهما</w:t>
      </w:r>
      <w:r>
        <w:rPr>
          <w:rFonts w:eastAsia="Amiri" w:cs="Amiri" w:ascii="Amiri" w:hAnsi="Amiri"/>
          <w:color w:val="111111"/>
          <w:sz w:val="28"/>
          <w:szCs w:val="28"/>
          <w:rtl w:val="true"/>
          <w:lang w:bidi="ar-SA"/>
        </w:rPr>
        <w:t>.</w:t>
      </w:r>
      <w:bookmarkStart w:id="116" w:name="pg12370_121630"/>
    </w:p>
    <w:p>
      <w:pPr>
        <w:pStyle w:val="Heading5"/>
        <w:numPr>
          <w:ilvl w:val="4"/>
          <w:numId w:val="1"/>
        </w:numPr>
        <w:rPr/>
      </w:pPr>
      <w:bookmarkStart w:id="117" w:name="__RefHeading___Toc9026162_417432637"/>
      <w:bookmarkStart w:id="118" w:name="_Toc42"/>
      <w:bookmarkEnd w:id="116"/>
      <w:bookmarkEnd w:id="117"/>
      <w:r>
        <w:rPr>
          <w:rtl w:val="true"/>
        </w:rPr>
        <w:t>[</w:t>
      </w:r>
      <w:r>
        <w:rPr>
          <w:rtl w:val="true"/>
        </w:rPr>
        <w:t xml:space="preserve">مسألة </w:t>
      </w:r>
      <w:r>
        <w:rPr/>
        <w:t>7</w:t>
      </w:r>
      <w:r>
        <w:rPr>
          <w:rtl w:val="true"/>
        </w:rPr>
        <w:t xml:space="preserve">: </w:t>
      </w:r>
      <w:r>
        <w:rPr>
          <w:rtl w:val="true"/>
        </w:rPr>
        <w:t>كما يتحقّق الردّ بإيصاله إلى المشتري، يتحقّق بإيصاله إلى وكيله المطلق</w:t>
      </w:r>
      <w:r>
        <w:rPr>
          <w:rtl w:val="true"/>
        </w:rPr>
        <w:t>]</w:t>
      </w:r>
      <w:bookmarkEnd w:id="11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يتحقّق الردّ بإيصاله إلى المشتري، يتحقّق بإيصاله إلى وكيله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وكيله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أنّ الشرط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المفروض ردّه إلى المشتري خصوصاً، أو على وجه لا ينطبق إلّا عليه، فقد استشكل المصنّف 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الشروط قاصرة، و دليل الوكالة لا يقتضي إلّا نفوذ إيكال الأمر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الوكالة هي النيابة في الذات، و التنزيل في الصفات و الأفعال، كان لذلك وجه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حكومة أدلّة الوكالة على العنوان المأخوذ شرطاً غير صحيحة؛ لأنّها من قبيل حكومة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على العنوان المأخوذ في النذر فإنّه من نذر أن يصلّي صلاة كذا لا يجزي عنها الطواف بالضرورة، مع أنّ مقتضى الحكومة هو الإجزاء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إذا صرّح بالخصوصيّة لا يجوز الردّ إلى الوكيل حينئذٍ</w:t>
      </w:r>
      <w:r>
        <w:rPr>
          <w:rStyle w:val="FootnoteAnchor"/>
          <w:rtl w:val="true"/>
        </w:rPr>
        <w:footnoteReference w:id="286"/>
      </w:r>
      <w:r>
        <w:rPr>
          <w:rFonts w:ascii="Amiri" w:hAnsi="Amiri" w:eastAsia="Amiri" w:cs="Amiri"/>
          <w:color w:val="111111"/>
          <w:sz w:val="28"/>
          <w:sz w:val="28"/>
          <w:szCs w:val="28"/>
          <w:rtl w:val="true"/>
          <w:lang w:bidi="ar-SA"/>
        </w:rPr>
        <w:t>، في غير محلّه؛ لأنّه لو ثبت التنزيل تحرز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خصوص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وليّه، كالحاكم لو صار مجنوناً أو غائباً، بل و عدول المؤمنين في مورد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الخيار مشروطاً بردّ الثمن، أو ردّه إلى المشتري، و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للخصوصيّة مفهوم نفي الغير، فلا يكفي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متحقّقة بحسب الموازين، و لكنّ انصراف دليل الحاكم عن التوسعة في أمثال المقامات قطعيّ، و لذلك لا يجوز الطواف عن صلاة الصبح أيضاً، و تكون الحكومة فيما إذا نذر أن يعطي الفقير، و كان زيد فقيراً بالاستصحاب، فإنّه تحصل الحكومة بالضرورة،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خصوص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بلا إشكال بشرط كون الشرط هو الردّ إلى الأعمّ، و إلّا فيتوجّه إليه ما مرّ، و من هنا يظهر ما في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كان الشرط هو الردّ إلى الحاكم بعنوانه، فلا يبعد ظهور الشرط في الأعمّ، كما إذا شرط الأب أن يردّ المبيع إلى وليّ الطفل، فإنّ الردّ إلى الحاكم و الجدّ جائز مع مراعاة الترتيب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إلى النائب جائز؛ لأنّ الوكالة هي إيكال الأمر إلى الغير، و الحكومة و الولاية هي تولّي الغير أُمور الغائب و المجنون، فلا يحرز التنزيل، بخلاف النيابة، فإنّها تنزيل الغير مقامه</w:t>
      </w:r>
    </w:p>
    <w:p>
      <w:pPr>
        <w:pStyle w:val="BookText"/>
        <w:rPr/>
      </w:pPr>
      <w:r>
        <w:rPr>
          <w:rFonts w:ascii="Amiri" w:hAnsi="Amiri" w:eastAsia="Amiri" w:cs="Amiri"/>
          <w:color w:val="111111"/>
          <w:sz w:val="28"/>
          <w:sz w:val="28"/>
          <w:szCs w:val="28"/>
          <w:rtl w:val="true"/>
          <w:lang w:bidi="ar-SA"/>
        </w:rPr>
        <w:t xml:space="preserve">و أمّا لو اشترط بردّه إليه بنفسه و إيصاله بيده، فلا يتعدّى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يعدّ هو هو في الاعتبار،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أدلّة النيابة الردّ إلى النائب و لو كان الشرط مخصوصاً بالردّ إلى نفسه؛ لأنّه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النيابة في غير استرداد الثمن لا تكون كافية، و هكذا الوكالة؛ لأنّها أُمور تقبل التفكيك، فلا بدّ من كونه نائباً عامّاً في جميع الشؤون، أو نائباً خاصّاً في هذه المسألة، كما هو المفروض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لأدلّة النيابة و لا خبر فيها إلّا البناءات العقلائيّة، و هي قاصرة عن إثبات هذا النحو من الاتحاد و الوحدة حتّى لا يجوز الاقتداء بالنائب عن الميّت؛ لأنّه الميّت مثلًا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يتعدّى منه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تبيّن ممّا سلف وجه التعدّي، و لكنّ الإنصاف أنّ التعدّي ممنوع، كما أنّه في صورة الإطلاق لا يبعد الاكتفاء؛ لأنّ الشرط أعمّ، فلا تخلط</w:t>
      </w:r>
      <w:r>
        <w:rPr>
          <w:rFonts w:eastAsia="Amiri" w:cs="Amiri" w:ascii="Amiri" w:hAnsi="Amiri"/>
          <w:color w:val="111111"/>
          <w:sz w:val="28"/>
          <w:szCs w:val="28"/>
          <w:rtl w:val="true"/>
          <w:lang w:bidi="ar-SA"/>
        </w:rPr>
        <w:t>.</w:t>
      </w:r>
      <w:bookmarkStart w:id="119" w:name="pg12370_121633"/>
    </w:p>
    <w:p>
      <w:pPr>
        <w:pStyle w:val="Heading5"/>
        <w:numPr>
          <w:ilvl w:val="4"/>
          <w:numId w:val="1"/>
        </w:numPr>
        <w:rPr/>
      </w:pPr>
      <w:bookmarkStart w:id="120" w:name="__RefHeading___Toc9026164_417432637"/>
      <w:bookmarkStart w:id="121" w:name="_Toc43"/>
      <w:bookmarkEnd w:id="119"/>
      <w:bookmarkEnd w:id="120"/>
      <w:r>
        <w:rPr>
          <w:rtl w:val="true"/>
        </w:rPr>
        <w:t>[</w:t>
      </w:r>
      <w:r>
        <w:rPr>
          <w:rtl w:val="true"/>
        </w:rPr>
        <w:t xml:space="preserve">مسألة </w:t>
      </w:r>
      <w:r>
        <w:rPr/>
        <w:t>8</w:t>
      </w:r>
      <w:r>
        <w:rPr>
          <w:rtl w:val="true"/>
        </w:rPr>
        <w:t xml:space="preserve">: </w:t>
      </w:r>
      <w:r>
        <w:rPr>
          <w:rtl w:val="true"/>
        </w:rPr>
        <w:t>لو اشترى الوليّ شيئاً للمولّى عليه ببيع الخيار</w:t>
      </w:r>
      <w:r>
        <w:rPr>
          <w:rtl w:val="true"/>
        </w:rPr>
        <w:t>]</w:t>
      </w:r>
      <w:bookmarkEnd w:id="12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الوليّ شيئاً للمولّى عليه ببيع الخيار، فارتفع حجره قبل انقضاء المدّة و ردّ الثمن، فالظاهر تحقّقه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بإيصاله إلى المولّى عليه، فيملك البائع الفسخ بذلك،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و لكن سقوط ولايته عليه برفع الحجر، لا يوجب جواز ردّ الثمن إليه، فله الامتناع عن القبول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مخصوص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شرط أن يردّ إليه تعييناً أو تخييراً، عرضاً أو طولًا، فوصلت النوبة إليه، يملك البائع الفسخ بالردّ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عبارة المتن ساكتة عن كون الشرط هو الردّ إلى الوليّ، أو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عدم جواز الشرط بردّ الثمن إلى المولّى عليه إلّا في بعض الصور، كما إذا كان تأريخ رفع الحجر معلوماً، و إلّا فتلزم الجهالة في المدّة، في محلّه، إلّا أنّه قد عرفت المناقشة في كبرى المسألة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الشرط رجوعه إلى نفسه أو إلى الوليّ، فيجوز الردّ إلى الولي الآخر؛ قضاءً للأعمّ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الشرط أخصّ فالردّ إلى الوليّ الآخر أيضاً غير بعيد؛ لأنّ الخصوصيّة تكون ناظرة إلى نفي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إلى الوليّ بعد سلب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الخصوصيّة المأخوذة نافية للحاكم و الوليّ الآخر، فإن كان الوليّ مثل الأب بل الجدّ، فلا يبعد صحّة الشرط؛ لعدم اعتبار المصلحة في تصرّفاته، بخلاف ما إذا كان من قبيل الحاكم، فإنّه لا بدّ من رعاية الغبطة و المصلحة، فعليه يجوز للمولّى عليه عند رفع الحجر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خلاف المصلحة، أو فيه المفسدة، و تكون هي مسموعة؛ بناءً على اعتبار عدم المفسدة حتّى في تصرّفات الأب و الجدّ،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الشرط هو الردّ إليه شخصاً فإذن يشكل؛ لأنّه يستلزم ضرر البائع، ضرورة أنّ الخيار باعتبار دفع الضرر أحياناً أو الحرج، و إذا منع المشتري من القبول بانسلاب ولايته، و المولّى عليه لا يقبل الردّ؛ لكونه أجنبيّا عن الشرط، يلزم وقوعه في الضرر و الحرج المنفيّين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ينحلّ الإشكال بأنّه من قبيل جعل الخيار للأجنبيّ فإنّه بموته ينسدّ باب الردّ عليه، فيقع بسوء اختياره، و فيما نحن فيه أيضاً كذلك، فكان عليه المحافظة على أمره و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اشترى أحد الوليّين كالأب، فهل يصحّ الفسخ مع ردّ الثمن إلى الوليّ الآخر كالجدّ؟ لا يبعد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يتمكّن من الردّ إلى الأب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اشترى الحاكم ولاية،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الردّ إلى حاكم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كما مرّ في المسألة السابقة فيما إذا لم يصرّح بردّه إلى خصوص المشتري بنفسه، و إلّا فلا يتعدّى منه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من أنّ الشرط أعمّ</w:t>
      </w:r>
      <w:r>
        <w:rPr>
          <w:rStyle w:val="FootnoteAnchor"/>
          <w:rtl w:val="true"/>
        </w:rPr>
        <w:footnoteReference w:id="288"/>
      </w:r>
      <w:r>
        <w:rPr>
          <w:rFonts w:ascii="Amiri" w:hAnsi="Amiri" w:eastAsia="Amiri" w:cs="Amiri"/>
          <w:color w:val="111111"/>
          <w:sz w:val="28"/>
          <w:sz w:val="28"/>
          <w:szCs w:val="28"/>
          <w:rtl w:val="true"/>
          <w:lang w:bidi="ar-SA"/>
        </w:rPr>
        <w:t>حتّى في صورة ذكر الخصوصيّة، اللهمّ إلّا إذا رجعت على وجه لا ينطبق إلّا على الأب مثلًا، فيأتي ما مرّ من التفصيل؛ لاحتمال لزوم مراعاة جانب المولّى عليه مصلحةً و مفسدةً،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له؛ لأنّه إن كان الشرط أعمّ فيجوز على الإطلاق، و إن كان أخصّ فلا يجوز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تبيّن وجه المسألة، و وجه التفصيل بين صورتي الإمكان و عدمه، و وجه فساده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ملاحظة حال الشرط و حدود دلالة القضيّة</w:t>
      </w:r>
    </w:p>
    <w:p>
      <w:pPr>
        <w:pStyle w:val="BookText"/>
        <w:rPr/>
      </w:pP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الحاكم الثاني مزاحم للحاكم الأوّل، فهو و لو كان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في غير محلّه؛ لأنّه إن كان الشرط خاصّاً فلا يجوز الردّ، و لو كان عامّاً فهو تأكيد لحكم الأوّل، لا مزاحمة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تخصيص الحاكم على وجه لا ينطبق إلّا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يكفي الردّ إلى غيره إشكال؛ للزوم كونه على مصلحة المولّى عليه، فالإطلاق المشاهد هنا في المتن، ممنوع من جهات أُشير إليها في طيّ المسائل</w:t>
      </w:r>
      <w:r>
        <w:rPr>
          <w:rFonts w:eastAsia="Amiri" w:cs="Amiri" w:ascii="Amiri" w:hAnsi="Amiri"/>
          <w:color w:val="111111"/>
          <w:sz w:val="28"/>
          <w:szCs w:val="28"/>
          <w:rtl w:val="true"/>
          <w:lang w:bidi="ar-SA"/>
        </w:rPr>
        <w:t>.</w:t>
      </w:r>
      <w:bookmarkStart w:id="122" w:name="pg12370_121637"/>
    </w:p>
    <w:p>
      <w:pPr>
        <w:pStyle w:val="Heading5"/>
        <w:numPr>
          <w:ilvl w:val="4"/>
          <w:numId w:val="1"/>
        </w:numPr>
        <w:rPr/>
      </w:pPr>
      <w:bookmarkStart w:id="123" w:name="__RefHeading___Toc9026166_417432637"/>
      <w:bookmarkStart w:id="124" w:name="_Toc44"/>
      <w:bookmarkEnd w:id="122"/>
      <w:bookmarkEnd w:id="123"/>
      <w:r>
        <w:rPr>
          <w:rtl w:val="true"/>
        </w:rPr>
        <w:t>[</w:t>
      </w:r>
      <w:r>
        <w:rPr>
          <w:rtl w:val="true"/>
        </w:rPr>
        <w:t xml:space="preserve">مسألة </w:t>
      </w:r>
      <w:r>
        <w:rPr/>
        <w:t>9</w:t>
      </w:r>
      <w:r>
        <w:rPr>
          <w:rtl w:val="true"/>
        </w:rPr>
        <w:t xml:space="preserve">: </w:t>
      </w:r>
      <w:r>
        <w:rPr>
          <w:rtl w:val="true"/>
        </w:rPr>
        <w:t>لو مات البائع ينتقل هذا الخيار كسائر الخيارات</w:t>
      </w:r>
      <w:r>
        <w:rPr>
          <w:rtl w:val="true"/>
        </w:rPr>
        <w:t xml:space="preserve">- </w:t>
      </w:r>
      <w:r>
        <w:rPr>
          <w:rtl w:val="true"/>
        </w:rPr>
        <w:t>إلى ورّاثه</w:t>
      </w:r>
      <w:r>
        <w:rPr>
          <w:rtl w:val="true"/>
        </w:rPr>
        <w:t>]</w:t>
      </w:r>
      <w:bookmarkEnd w:id="12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البائع ينتقل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ورّاثه، فيردّون الثمن و يفسخون، فيرجع إليهم المبيع على قواعد الإرث، كما أنّ الثمن المردود أيضاً يوزّع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المشتري فالظاهر جواز الفسخ؛ بردّ الثمن إلى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جعل الشرط ردّه إلى المشتري بخصوصه و بنفسه و بمباشرته، فالظاهر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قيام ورثته مقامه، فيسقط الخيار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ينتقل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تفصيله في أحكام الخيار إن شاء اللَّه تعالى</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على ورّاث المشتري، و يشكل التورث لأجل أنّ العوضين يرجعان إلى ملك المتعاقدين، و لا يورث حينئذٍ؛ لأنّه من الملك الجديد بعد الموت، و تفصيله مع حلّه في محلّه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فهم من الشرط معنىً أعمّ، و إلّا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الإرث هو انتقال الأعيان إلى الورثة، فلا يجوز،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قيام الورثة مقام المورِّث، و يكون من التنزيل في الاعتبار و عند الشرع، فيجوز مطلقاً حتّى في صورة التخصيص، و حيث لا سبيل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باطل عرفاً و شرعاً يشكل الجواز هنا جدّاً</w:t>
      </w:r>
      <w:r>
        <w:rPr>
          <w:rFonts w:eastAsia="Amiri" w:cs="Amiri" w:ascii="Amiri" w:hAnsi="Amiri"/>
          <w:color w:val="111111"/>
          <w:sz w:val="28"/>
          <w:szCs w:val="28"/>
          <w:rtl w:val="true"/>
          <w:lang w:bidi="ar-SA"/>
        </w:rPr>
        <w:t>.</w:t>
      </w:r>
      <w:bookmarkStart w:id="125" w:name="pg12370_121638"/>
    </w:p>
    <w:p>
      <w:pPr>
        <w:pStyle w:val="Heading5"/>
        <w:numPr>
          <w:ilvl w:val="4"/>
          <w:numId w:val="1"/>
        </w:numPr>
        <w:rPr/>
      </w:pPr>
      <w:bookmarkStart w:id="126" w:name="__RefHeading___Toc9026168_417432637"/>
      <w:bookmarkStart w:id="127" w:name="_Toc45"/>
      <w:bookmarkEnd w:id="125"/>
      <w:bookmarkEnd w:id="126"/>
      <w:r>
        <w:rPr>
          <w:rtl w:val="true"/>
        </w:rPr>
        <w:t>[</w:t>
      </w:r>
      <w:r>
        <w:rPr>
          <w:rtl w:val="true"/>
        </w:rPr>
        <w:t xml:space="preserve">مسألة </w:t>
      </w:r>
      <w:r>
        <w:rPr/>
        <w:t>10</w:t>
      </w:r>
      <w:r>
        <w:rPr>
          <w:rtl w:val="true"/>
        </w:rPr>
        <w:t xml:space="preserve">: </w:t>
      </w:r>
      <w:r>
        <w:rPr>
          <w:rtl w:val="true"/>
        </w:rPr>
        <w:t>كما يجوز للبائع اشتراط الخيار له بردّ الثمن</w:t>
      </w:r>
      <w:r>
        <w:rPr>
          <w:rtl w:val="true"/>
        </w:rPr>
        <w:t>]</w:t>
      </w:r>
      <w:bookmarkEnd w:id="12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للبائع اشتراط الخيار له بردّ الثمن، كذا يجوز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اشتراطه له بردّ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المنصرف إليه الإطلاق فيه ردّ العين، فلا يتحقّق بردّ بدله و لو مع التلف، إلّا أن يصرّح بردّ ما يعمّ البدل،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يجوز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القواعد العامّة، من غير حاجة إلى إلغاء الخصوصيّة من الأخبار الخاصّة بالمسألة السابقة، 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الأصل</w:t>
      </w:r>
      <w:r>
        <w:rPr>
          <w:rStyle w:val="FootnoteAnchor"/>
          <w:rtl w:val="true"/>
        </w:rPr>
        <w:footnoteReference w:id="291"/>
      </w:r>
      <w:r>
        <w:rPr>
          <w:rFonts w:ascii="Amiri" w:hAnsi="Amiri" w:eastAsia="Amiri" w:cs="Amiri"/>
          <w:color w:val="111111"/>
          <w:sz w:val="28"/>
          <w:sz w:val="28"/>
          <w:szCs w:val="28"/>
          <w:rtl w:val="true"/>
          <w:lang w:bidi="ar-SA"/>
        </w:rPr>
        <w:t>يجري هنا، و الجواب واضح؛ فإنّ الشرط المزبور ليس مخالفاً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 ما يعمّ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الصورة تكون المعاملة عقلائيّة إذا كان المثمن شخصيّاً، كما إذا اشترى فرساً بكتاب على أنّه إن ردّ إليه الفرس أو بدله مثلًا أو قيمته، يردّ إليه الكتاب، و يكون له الخيار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المثمن كليّاً، فالشرط المزبور يرجع إلى أنّه إن ردّ إليه الفرس أو شيئاً بدله، يردّ إليه ألف دينار، و هذا ليس من شرط ردّ المثمن، بل هو من شرط ردّ ما يماثله؛ لما لا تعيّن له،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اشتراط الخيار 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سبيل الاستقلال، و على سبيل الاجتماع، فلو ردّ أحدهما دون الآخر لا يكون على الفرض الثاني له الخيار، و اشتراط ردّ ما انتقل إليه أيضاً يمكن على الوجوه المزبورة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في عصرنا بيع الخيار و بيع الشرط، و المشهور بين المعاصرين بطلانه</w:t>
      </w:r>
      <w:r>
        <w:rPr>
          <w:rStyle w:val="FootnoteAnchor"/>
          <w:rtl w:val="true"/>
        </w:rPr>
        <w:footnoteReference w:id="292"/>
      </w:r>
      <w:r>
        <w:rPr>
          <w:rFonts w:ascii="Amiri" w:hAnsi="Amiri" w:eastAsia="Amiri" w:cs="Amiri"/>
          <w:color w:val="111111"/>
          <w:sz w:val="28"/>
          <w:sz w:val="28"/>
          <w:szCs w:val="28"/>
          <w:rtl w:val="true"/>
          <w:lang w:bidi="ar-SA"/>
        </w:rPr>
        <w:t>لأنّه ليس من بيع الخيار الشرعيّ، فإنّ فيما تعارف يكون للمشتري حقّ بيع الدار بأخذ الثمن، و ردّ الباقي إلى البائع، و الذي تحرّر منّا جواز ذلك بالشرط في ضمن البيع؛ نظراً إلى الأدلّة العامّة، و لا بأس بأن يكون هو من قبيل الفرار من الرّبا، فلا تخلط</w:t>
      </w:r>
      <w:r>
        <w:rPr>
          <w:rFonts w:eastAsia="Amiri" w:cs="Amiri" w:ascii="Amiri" w:hAnsi="Amiri"/>
          <w:color w:val="111111"/>
          <w:sz w:val="28"/>
          <w:szCs w:val="28"/>
          <w:rtl w:val="true"/>
          <w:lang w:bidi="ar-SA"/>
        </w:rPr>
        <w:t>.</w:t>
      </w:r>
      <w:bookmarkStart w:id="128" w:name="pg12370_121640"/>
    </w:p>
    <w:p>
      <w:pPr>
        <w:pStyle w:val="Heading4"/>
        <w:numPr>
          <w:ilvl w:val="3"/>
          <w:numId w:val="1"/>
        </w:numPr>
        <w:rPr/>
      </w:pPr>
      <w:bookmarkStart w:id="129" w:name="__RefHeading___Toc9026170_417432637"/>
      <w:bookmarkStart w:id="130" w:name="_Toc46"/>
      <w:bookmarkEnd w:id="128"/>
      <w:bookmarkEnd w:id="129"/>
      <w:r>
        <w:rPr>
          <w:rtl w:val="true"/>
        </w:rPr>
        <w:t>[</w:t>
      </w:r>
      <w:r>
        <w:rPr>
          <w:rtl w:val="true"/>
        </w:rPr>
        <w:t>الرابع</w:t>
      </w:r>
      <w:r>
        <w:rPr>
          <w:rtl w:val="true"/>
        </w:rPr>
        <w:t xml:space="preserve">: </w:t>
      </w:r>
      <w:r>
        <w:rPr>
          <w:rtl w:val="true"/>
        </w:rPr>
        <w:t>خيار الغبن</w:t>
      </w:r>
      <w:r>
        <w:rPr>
          <w:rtl w:val="true"/>
        </w:rPr>
        <w:t>]</w:t>
      </w:r>
      <w:bookmarkEnd w:id="130"/>
    </w:p>
    <w:p>
      <w:pPr>
        <w:pStyle w:val="Heading5"/>
        <w:numPr>
          <w:ilvl w:val="4"/>
          <w:numId w:val="1"/>
        </w:numPr>
        <w:rPr/>
      </w:pPr>
      <w:bookmarkStart w:id="131" w:name="__RefHeading___Toc9026172_417432637"/>
      <w:bookmarkStart w:id="132" w:name="_Toc47"/>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فيما إذا باع بدون ثمن المثل، أو اشترى بأكثر منه مع الجهل بالقيمة، فللمغبون خيار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تعتبر الزيادة و النقيصة مع ملاحظة ما انضمّ إليه من الشرط، فلو باع ما يسوى مائة دينار بأقلّ منه بكثير مع اشتراط الخيار للبائع فلا غبن؛ لأنّ المبيع ببيع الخيار ينقض ثمنه عن المبيع بالبيع اللازم، و هكذا غيره من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 الفسخ</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للأكثر،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 xml:space="preserve">الإجماع عليه صريحاً،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الإماميّة</w:t>
      </w:r>
      <w:r>
        <w:rPr>
          <w:rStyle w:val="FootnoteAnchor"/>
          <w:rtl w:val="true"/>
        </w:rPr>
        <w:footnoteReference w:id="295"/>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علمائنا</w:t>
      </w:r>
      <w:r>
        <w:rPr>
          <w:rStyle w:val="FootnoteAnchor"/>
          <w:rtl w:val="true"/>
        </w:rPr>
        <w:footnoteReference w:id="296"/>
      </w:r>
      <w:r>
        <w:rPr>
          <w:rFonts w:ascii="Amiri" w:hAnsi="Amiri" w:eastAsia="Amiri" w:cs="Amiri"/>
          <w:color w:val="111111"/>
          <w:sz w:val="28"/>
          <w:sz w:val="28"/>
          <w:szCs w:val="28"/>
          <w:rtl w:val="true"/>
          <w:lang w:bidi="ar-SA"/>
        </w:rPr>
        <w:t>، خلافاً لأكثر المخالفين إلّا مالك</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 الكتب المفصّلة</w:t>
      </w:r>
      <w:r>
        <w:rPr>
          <w:rStyle w:val="FootnoteAnchor"/>
          <w:rtl w:val="true"/>
        </w:rPr>
        <w:footnoteReference w:id="298"/>
      </w:r>
      <w:r>
        <w:rPr>
          <w:rFonts w:ascii="Amiri" w:hAnsi="Amiri" w:eastAsia="Amiri" w:cs="Amiri"/>
          <w:color w:val="111111"/>
          <w:sz w:val="28"/>
          <w:sz w:val="28"/>
          <w:szCs w:val="28"/>
          <w:rtl w:val="true"/>
          <w:lang w:bidi="ar-SA"/>
        </w:rPr>
        <w:t>بالكتاب آيةِ التجارة</w:t>
      </w:r>
      <w:r>
        <w:rPr>
          <w:rStyle w:val="FootnoteAnchor"/>
          <w:rtl w:val="true"/>
        </w:rPr>
        <w:footnoteReference w:id="299"/>
      </w:r>
      <w:r>
        <w:rPr>
          <w:rFonts w:ascii="Amiri" w:hAnsi="Amiri" w:eastAsia="Amiri" w:cs="Amiri"/>
          <w:color w:val="111111"/>
          <w:sz w:val="28"/>
          <w:sz w:val="28"/>
          <w:szCs w:val="28"/>
          <w:rtl w:val="true"/>
          <w:lang w:bidi="ar-SA"/>
        </w:rPr>
        <w:t>، و بالسنّة بطائفتين من</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الطائفة الثانية جملة من الروايات كرواية إسحاق بن عمّار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رواية ميسّر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كتاب التجارة، أبواب الخيار،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راجعتين إلى محصّل؛ لأنّ الدلالة ممنوعة، مضافاً إلى ضعف سندهما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الآية بطلان البيع الغبنيّ إن كان باطلًا، و إلّا فيصحّ، و لا تدلّ على الجواز الحقّي إلّا ببعض تقاريب غير نقيّة ذكرنا أحسن وجوهها في كتابنا الكبير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عليه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فهي مضافاً إلى المناقشات الكثيرة، تقصر عن إثبات الجواز الحقّي المورَّث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مقتضى ما عرفت منّا أنّ القاعدة تنفي اللزوم، و الخيارُ الثابت بأدلّته في غير المقام يجتمع مع اللزوم في الاعتبار فإنّ العقد الخياري ليس معناه التزلزل في العقد، بل معناه تمكّن الإنسان من إعدامه، كسائر البناءات و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البيع لازم، و جميع العقود غير الخياريّة المعاوضيّة لازمة، مع أنّها تنفسخ بالتقايل، من غير كونها متزلزلة و لا جائزة، و الخيار بمنزلة التقايل الطرفي الذي سلّطه الشارع على حلّه،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الخيار ذلك، و تلك القاعدة تقصر عن إثبات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استدلّ المصنّف ببناء العقلاء</w:t>
      </w:r>
      <w:r>
        <w:rPr>
          <w:rStyle w:val="FootnoteAnchor"/>
          <w:rtl w:val="true"/>
        </w:rPr>
        <w:footnoteReference w:id="302"/>
      </w:r>
      <w:r>
        <w:rPr>
          <w:rFonts w:ascii="Amiri" w:hAnsi="Amiri" w:eastAsia="Amiri" w:cs="Amiri"/>
          <w:color w:val="111111"/>
          <w:sz w:val="28"/>
          <w:sz w:val="28"/>
          <w:szCs w:val="28"/>
          <w:rtl w:val="true"/>
          <w:lang w:bidi="ar-SA"/>
        </w:rPr>
        <w:t>، و هو لو كان حقّا فربّما يدّعى مردوعيّته بأدلّة لزوم العقد، ك أَوْفُوا بِالْعُقُودِ</w:t>
      </w:r>
      <w:r>
        <w:rPr>
          <w:rStyle w:val="FootnoteAnchor"/>
          <w:rtl w:val="true"/>
        </w:rPr>
        <w:footnoteReference w:id="303"/>
      </w:r>
      <w:r>
        <w:rPr>
          <w:rFonts w:ascii="Amiri" w:hAnsi="Amiri" w:eastAsia="Amiri" w:cs="Amiri"/>
          <w:color w:val="111111"/>
          <w:sz w:val="28"/>
          <w:sz w:val="28"/>
          <w:szCs w:val="28"/>
          <w:rtl w:val="true"/>
          <w:lang w:bidi="ar-SA"/>
        </w:rPr>
        <w:t>و ذيلِ روايات خيار المجلس</w:t>
      </w:r>
      <w:r>
        <w:rPr>
          <w:rStyle w:val="FootnoteAnchor"/>
          <w:rtl w:val="true"/>
        </w:rPr>
        <w:footnoteReference w:id="304"/>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يقتضي بإطلاقه لزوم البيع الغبنيّ، و لو قلنا بقصورها عن إمكان الرادعيّة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تحرّر في سائر البناءات العقلائيّة فإنّ الإطلاق و العمومات لا تكفي لذلك، بل لا بدّ هناك من نصوص خاصّة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قاصر عن إثبات الخيار على الوجه المقصود؛ ضرورة أنّ مع بذل التفاوت يشكل دعواه، بل الظاهر أنّه لا بناء لهم عليه في الصورة المذكورة في المتن، فإنّ العقلاء غير ملتزمين بخيار</w:t>
      </w:r>
    </w:p>
    <w:p>
      <w:pPr>
        <w:pStyle w:val="BookText"/>
        <w:rPr/>
      </w:pPr>
      <w:r>
        <w:rPr>
          <w:rFonts w:ascii="Amiri" w:hAnsi="Amiri" w:eastAsia="Amiri" w:cs="Amiri"/>
          <w:color w:val="111111"/>
          <w:sz w:val="28"/>
          <w:sz w:val="28"/>
          <w:szCs w:val="28"/>
          <w:rtl w:val="true"/>
          <w:lang w:bidi="ar-SA"/>
        </w:rPr>
        <w:t>الغبن في بيع الخيار جزماً، و ما ذكروه لتصوير الخيارات في البيع الواحد عَرْضاً أو طولًا، كما نحن فيه فإنّ الخيار المشروط في العقد مقدّم على الخيار الغبنيّ؛ بناءً على القول بأنّ مبدأه التسليم كما قيل، أو مبدأه ظهور الغبن كما عن الأكثر</w:t>
      </w:r>
      <w:r>
        <w:rPr>
          <w:rStyle w:val="FootnoteAnchor"/>
          <w:rtl w:val="true"/>
        </w:rPr>
        <w:footnoteReference w:id="306"/>
      </w:r>
      <w:r>
        <w:rPr>
          <w:rFonts w:ascii="Amiri" w:hAnsi="Amiri" w:eastAsia="Amiri" w:cs="Amiri"/>
          <w:color w:val="111111"/>
          <w:sz w:val="28"/>
          <w:sz w:val="28"/>
          <w:szCs w:val="28"/>
          <w:rtl w:val="true"/>
          <w:lang w:bidi="ar-SA"/>
        </w:rPr>
        <w:t>، و هو الظاهر من أخبار تلقّي الركبان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كتابنا الكبير أنّ الخيار الثابت للعقلاء فرضاً في البيع الغبنيّ، هو الاختيار بين الإمضاء و الرّدّ الذي هو ثابت في بيع الفضوليّ و المكره، فإنّ المغبون إذا كان ملتفتاً إلى الغبن، فلا بدّ لإقدامه على المعاملة الضرريّة من غرض عقلائيّ، فلا خيار له، و إلّا فيكون من البيع و الأكل بالباطل، و هكذا لو كان جاهلًا و غير معتنٍ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من الضرر اليسير غير الفاحش فلا خيار أيضاً له عندهم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أنّ خيار الغبن بالمعنى المقصود غير ثابت، كما استشكل عليه المحقّق في درسه الشريف</w:t>
      </w:r>
      <w:r>
        <w:rPr>
          <w:rStyle w:val="FootnoteAnchor"/>
          <w:rtl w:val="true"/>
        </w:rPr>
        <w:footnoteReference w:id="308"/>
      </w:r>
      <w:r>
        <w:rPr>
          <w:rFonts w:ascii="Amiri" w:hAnsi="Amiri" w:eastAsia="Amiri" w:cs="Amiri"/>
          <w:color w:val="111111"/>
          <w:sz w:val="28"/>
          <w:sz w:val="28"/>
          <w:szCs w:val="28"/>
          <w:rtl w:val="true"/>
          <w:lang w:bidi="ar-SA"/>
        </w:rPr>
        <w:t>، و اختار الإسكافيّ أنّه لا خيار</w:t>
      </w:r>
      <w:r>
        <w:rPr>
          <w:rStyle w:val="FootnoteAnchor"/>
          <w:rtl w:val="true"/>
        </w:rPr>
        <w:footnoteReference w:id="309"/>
      </w:r>
      <w:r>
        <w:rPr>
          <w:rFonts w:ascii="Amiri" w:hAnsi="Amiri" w:eastAsia="Amiri" w:cs="Amiri"/>
          <w:color w:val="111111"/>
          <w:sz w:val="28"/>
          <w:sz w:val="28"/>
          <w:szCs w:val="28"/>
          <w:rtl w:val="true"/>
          <w:lang w:bidi="ar-SA"/>
        </w:rPr>
        <w:t>، و لو شكّ فقضيّة الأصل هو اللزوم على ما 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في الفرع الآتي، و يتبيّن وجه المناقشة في ثبوت</w:t>
      </w:r>
    </w:p>
    <w:p>
      <w:pPr>
        <w:pStyle w:val="BookText"/>
        <w:rPr/>
      </w:pPr>
      <w:r>
        <w:rPr>
          <w:rFonts w:ascii="Amiri" w:hAnsi="Amiri" w:eastAsia="Amiri" w:cs="Amiri"/>
          <w:color w:val="111111"/>
          <w:sz w:val="28"/>
          <w:sz w:val="28"/>
          <w:szCs w:val="28"/>
          <w:rtl w:val="true"/>
          <w:lang w:bidi="ar-SA"/>
        </w:rPr>
        <w:t>الخيار و لو كان غبناً في بيع الخيار و في سائر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خيار الشرط على تخلّف الوصف أو الشرط الضمنيّ، كما اختاره السيّد الفقيه اليزدي و جمع كثير</w:t>
      </w:r>
      <w:r>
        <w:rPr>
          <w:rStyle w:val="FootnoteAnchor"/>
          <w:rtl w:val="true"/>
        </w:rPr>
        <w:footnoteReference w:id="310"/>
      </w:r>
      <w:r>
        <w:rPr>
          <w:rFonts w:ascii="Amiri" w:hAnsi="Amiri" w:eastAsia="Amiri" w:cs="Amiri"/>
          <w:color w:val="111111"/>
          <w:sz w:val="28"/>
          <w:sz w:val="28"/>
          <w:szCs w:val="28"/>
          <w:rtl w:val="true"/>
          <w:lang w:bidi="ar-SA"/>
        </w:rPr>
        <w:t>، تبعاً للشيخ في غير المقام</w:t>
      </w:r>
      <w:r>
        <w:rPr>
          <w:rStyle w:val="FootnoteAnchor"/>
          <w:rtl w:val="true"/>
        </w:rPr>
        <w:footnoteReference w:id="311"/>
      </w:r>
      <w:r>
        <w:rPr>
          <w:rFonts w:ascii="Amiri" w:hAnsi="Amiri" w:eastAsia="Amiri" w:cs="Amiri"/>
          <w:color w:val="111111"/>
          <w:sz w:val="28"/>
          <w:sz w:val="28"/>
          <w:szCs w:val="28"/>
          <w:rtl w:val="true"/>
          <w:lang w:bidi="ar-SA"/>
        </w:rPr>
        <w:t>، و هذا أهون و أظهر فساداً من دعوى بناءَ العقلاء على رجوع خيار الغبن إلى خيار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الاشتراط الضمنيّ يرجع إلى الاشتراط الذكري، فيصحّ أن يحتجّ المشروط له على المشروط عليه بذلك، مع أنّ الضرورة تحكم بخلافه، و لا عهد منه بين العقلاء في صورة تخلّف المشروط عليه، و لا ينبغي الخلط بين المعاملات العامّة الدائميّة، و بين قسم خاصّ منه ربّما يكون فيه ذلك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على أنّ خيار الغبن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العقلائيّة لها مناشئ خاصّة، مثلًا ثبوت خيار الغبن يكون لأجل أنّ بناء المعاملات على عدم الاغترار، و معناه المساواة في الماليّة مساواة عرفيّة تسامحيّة، فعلى هذا يكون البيع مردّداً بين الصحّة و الفساد، فيحتاج إلى الرضا و الإمضاء على وجه لا يعدّ من السفه في المعاملة كما لا يخفى،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فيه أن يكون التفاوت بما لا يتسامح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هذه المعاملة، و تشخيص ذلك موكول إلى العرف، و تختلف المعاملات في ذلك، فربّما يكون التفاوت بنصف العشر بل بالعشر، ممّا يتسامح فيه، و لا يعدّ غبناً، و ربّما يكون بعشر العشر غبناً، و لا يتسامح فيه، و لا ضابط لذلك، بل هو موكول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لا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كلام جلّ من المتأخّرين</w:t>
      </w:r>
      <w:r>
        <w:rPr>
          <w:rStyle w:val="FootnoteAnchor"/>
          <w:rtl w:val="true"/>
        </w:rPr>
        <w:footnoteReference w:id="312"/>
      </w:r>
      <w:r>
        <w:rPr>
          <w:rFonts w:ascii="Amiri" w:hAnsi="Amiri" w:eastAsia="Amiri" w:cs="Amiri"/>
          <w:color w:val="111111"/>
          <w:sz w:val="28"/>
          <w:sz w:val="28"/>
          <w:szCs w:val="28"/>
          <w:rtl w:val="true"/>
          <w:lang w:bidi="ar-SA"/>
        </w:rPr>
        <w:t xml:space="preserve">، آخذين ذلك عن الشهيد الثاني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يتغابن به الناس</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 قد اشتملت كلمات الأسبقين على ذلك</w:t>
      </w:r>
      <w:r>
        <w:rPr>
          <w:rStyle w:val="FootnoteAnchor"/>
          <w:rtl w:val="true"/>
        </w:rPr>
        <w:footnoteReference w:id="314"/>
      </w:r>
      <w:r>
        <w:rPr>
          <w:rFonts w:ascii="Amiri" w:hAnsi="Amiri" w:eastAsia="Amiri" w:cs="Amiri"/>
          <w:color w:val="111111"/>
          <w:sz w:val="28"/>
          <w:sz w:val="28"/>
          <w:szCs w:val="28"/>
          <w:rtl w:val="true"/>
          <w:lang w:bidi="ar-SA"/>
        </w:rPr>
        <w:t xml:space="preserve">، و لعلّه متّخذ عمّا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فيكون المناط على ما لا يتغابن به الناس، و فيها التصريح بأنّ الخيار ثابت إذا كان الأمر فاحشاً و الغبن بيّناً، و على كلّ تقدير يكون المقصود معلوماً؛ و هو إلحاق الغبن المتقارب من الغبن المتعارف به، و ما هو موضوع الخيار هو الغبن الفاحش</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مطلقاً، و الانصراف المدّعى أحياناً غير ثابت، فتكون القاعدة مخصّصة بالإجماع و السيرة</w:t>
      </w:r>
      <w:r>
        <w:rPr>
          <w:rFonts w:eastAsia="Amiri" w:cs="Amiri" w:ascii="Amiri" w:hAnsi="Amiri"/>
          <w:color w:val="111111"/>
          <w:sz w:val="28"/>
          <w:szCs w:val="28"/>
          <w:rtl w:val="true"/>
          <w:lang w:bidi="ar-SA"/>
        </w:rPr>
        <w:t>.</w:t>
      </w:r>
      <w:bookmarkStart w:id="133" w:name="pg12370_121646"/>
    </w:p>
    <w:p>
      <w:pPr>
        <w:pStyle w:val="Heading5"/>
        <w:numPr>
          <w:ilvl w:val="4"/>
          <w:numId w:val="1"/>
        </w:numPr>
        <w:rPr/>
      </w:pPr>
      <w:bookmarkStart w:id="134" w:name="__RefHeading___Toc9026174_417432637"/>
      <w:bookmarkStart w:id="135" w:name="_Toc48"/>
      <w:bookmarkEnd w:id="133"/>
      <w:bookmarkEnd w:id="134"/>
      <w:r>
        <w:rPr>
          <w:rtl w:val="true"/>
        </w:rPr>
        <w:t>[</w:t>
      </w:r>
      <w:r>
        <w:rPr>
          <w:rtl w:val="true"/>
        </w:rPr>
        <w:t xml:space="preserve">مسألة </w:t>
      </w:r>
      <w:r>
        <w:rPr/>
        <w:t>1</w:t>
      </w:r>
      <w:r>
        <w:rPr>
          <w:rtl w:val="true"/>
        </w:rPr>
        <w:t xml:space="preserve">: </w:t>
      </w:r>
      <w:r>
        <w:rPr>
          <w:rtl w:val="true"/>
        </w:rPr>
        <w:t>ليس للمغبون مطالبة الغابن بتفاوت القيمة</w:t>
      </w:r>
      <w:r>
        <w:rPr>
          <w:rtl w:val="true"/>
        </w:rPr>
        <w:t>]</w:t>
      </w:r>
      <w:bookmarkEnd w:id="13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الغابن بتفاوت القيمة، بل له الخيار بين أن يفسخ البيع، أو يرضى بالثمن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يسقط خياره ببذل الطرف التفاوت، نعم مع تراضيهما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للمغبون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 في هذه المسألة مبنيّ على أنّ هذا الخيار إجماعيّ، و لا دليل شرعاً على أزيد من خيار حلّ الفسخ، و لا دليل على سقوطه بما وراء المسقطات الآتية، فإنّ سقوطه بها لا يرجع إلى اشتراطه بعدمها، بخلاف هذا فإنّ معنى سقوطه به اشتراطه بعدم البذل</w:t>
      </w:r>
      <w:r>
        <w:rPr>
          <w:rFonts w:eastAsia="Amiri" w:cs="Amiri" w:ascii="Amiri" w:hAnsi="Amiri"/>
          <w:color w:val="111111"/>
          <w:sz w:val="28"/>
          <w:szCs w:val="28"/>
          <w:rtl w:val="true"/>
          <w:lang w:bidi="ar-SA"/>
        </w:rPr>
        <w:t>.</w:t>
      </w:r>
      <w:bookmarkStart w:id="136" w:name="pg12370_121647"/>
    </w:p>
    <w:p>
      <w:pPr>
        <w:pStyle w:val="Heading5"/>
        <w:numPr>
          <w:ilvl w:val="4"/>
          <w:numId w:val="1"/>
        </w:numPr>
        <w:rPr/>
      </w:pPr>
      <w:bookmarkStart w:id="137" w:name="__RefHeading___Toc9026176_417432637"/>
      <w:bookmarkStart w:id="138" w:name="_Toc49"/>
      <w:bookmarkEnd w:id="136"/>
      <w:bookmarkEnd w:id="137"/>
      <w:r>
        <w:rPr>
          <w:rtl w:val="true"/>
        </w:rPr>
        <w:t>[</w:t>
      </w:r>
      <w:r>
        <w:rPr>
          <w:rtl w:val="true"/>
        </w:rPr>
        <w:t xml:space="preserve">مسألة </w:t>
      </w:r>
      <w:r>
        <w:rPr/>
        <w:t>2</w:t>
      </w:r>
      <w:r>
        <w:rPr>
          <w:rtl w:val="true"/>
        </w:rPr>
        <w:t xml:space="preserve">: </w:t>
      </w:r>
      <w:r>
        <w:rPr>
          <w:rtl w:val="true"/>
        </w:rPr>
        <w:t>الخيار ثابت للمغبون من حين العقد</w:t>
      </w:r>
      <w:r>
        <w:rPr>
          <w:rtl w:val="true"/>
        </w:rPr>
        <w:t>]</w:t>
      </w:r>
      <w:bookmarkEnd w:id="13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ثابت للمغبون من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بحادث عند علمه بالغبن،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و يعارضه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و عليه شهرة المتأخّرين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السند قبل الاتفاق؛ أنّ اشتراط الظهور أو كونه تمام الموضوع، يحتاج إلى دليل لا أثر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يستظهر من أخبار تلقّي الركبان</w:t>
      </w:r>
      <w:r>
        <w:rPr>
          <w:rStyle w:val="FootnoteAnchor"/>
          <w:rtl w:val="true"/>
        </w:rPr>
        <w:footnoteReference w:id="321"/>
      </w:r>
      <w:r>
        <w:rPr>
          <w:rFonts w:ascii="Amiri" w:hAnsi="Amiri" w:eastAsia="Amiri" w:cs="Amiri"/>
          <w:color w:val="111111"/>
          <w:sz w:val="28"/>
          <w:sz w:val="28"/>
          <w:szCs w:val="28"/>
          <w:rtl w:val="true"/>
          <w:lang w:bidi="ar-SA"/>
        </w:rPr>
        <w:t xml:space="preserve">، دخالة الظهور في ثبوت الخيار، حيث ورد فيها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تلقّي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تلقّاها فصاحبها بالخيار إذا دخل السوق</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منه دخالة القيد و لو أُفيد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للتوقيت أقرب</w:t>
      </w:r>
    </w:p>
    <w:p>
      <w:pPr>
        <w:pStyle w:val="BookText"/>
        <w:rPr/>
      </w:pPr>
      <w:r>
        <w:rPr>
          <w:rFonts w:ascii="Amiri" w:hAnsi="Amiri" w:eastAsia="Amiri" w:cs="Amiri"/>
          <w:color w:val="111111"/>
          <w:sz w:val="28"/>
          <w:sz w:val="28"/>
          <w:szCs w:val="28"/>
          <w:rtl w:val="true"/>
          <w:lang w:bidi="ar-SA"/>
        </w:rPr>
        <w:t>من كونها للتعليق، و لو لا ضعف إسنادها لكان دلالتها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المصنّف امتناع كون العقد مبدأ اعتبار الخيار، و الظهورِ شرطاً لأنّه عند ظهور الشرط لا مشروط، ضرورة أنّ الغبن حين العقد معنى حدثي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موضوع حكم العقلاء أو الشرع؛ هو المعنى الحدثيّ الباقي في ظرفه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ثابت للبائع بالنسبة إلى العقد الباقي لأجل الغبن، فلا سببيّة للغبن بوجوده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القواعد أنّ الغبن تمام الموضوع لاعتبار الخيار في العقد؛ بناءً على كون العقد تمام الموضوع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في الاعتبارات العقلائيّة عقداً و بيعاً، و البيع وفاء بالعقد، و قبل المبادلة لا يكون العقد لازماً، فيكون الخيار ثابتاً من حين المبادلة، و هذا هو الذي قوّيناه في كتابنا الكبير</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جواز إسقاط الخيار قبل العلم به في ضمن العقد و قبل المبادلة الخارجيّة و لو من طرف واحد، و هو يشهد على أنّ الخيار ثابت من الأوّل، و يكون مبدأ اعتباره العقد الغبنيّ، غير سديد؛ لأنّ الإسقاط قبل</w:t>
      </w:r>
    </w:p>
    <w:p>
      <w:pPr>
        <w:pStyle w:val="BookText"/>
        <w:rPr/>
      </w:pPr>
      <w:r>
        <w:rPr>
          <w:rFonts w:ascii="Amiri" w:hAnsi="Amiri" w:eastAsia="Amiri" w:cs="Amiri"/>
          <w:color w:val="111111"/>
          <w:sz w:val="28"/>
          <w:sz w:val="28"/>
          <w:szCs w:val="28"/>
          <w:rtl w:val="true"/>
          <w:lang w:bidi="ar-SA"/>
        </w:rPr>
        <w:t>الثبوت و بعد تماميّة ما هو كالمقتضى، جائز عندهم، ففي صورة احتمال الغبن يصحّ الإسقاط التقديري، و يؤثّر أثره في ظرفه،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من الأخبار فرضاً على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غبن المؤمن حرام</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و لو كان بإطلاقها دالّة على أنّ الغبن الواقعيّ يوجب الخيار، إلّا أنّ المنصرف منها ما هو العقد و البيع الذي لولا الغبن لكان لازماً من جهة عدم الغبن؛ و لو كان فيه خيار الحيوان و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القوم ناقشوا في دلالتها على أصل المسألة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الوحيد لإثبات خيار الغبن الحقّي المقصود منه هنا هو الإجماع، و القدر المتيقّن منه حال الظهور، فقول المتأخّرين غير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فسخ قبل ذلك و صادف الغبن انفسخ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عرفت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الغبن عندنا كإجازة الفضوليّ</w:t>
      </w:r>
      <w:r>
        <w:rPr>
          <w:rStyle w:val="FootnoteAnchor"/>
          <w:rtl w:val="true"/>
        </w:rPr>
        <w:footnoteReference w:id="328"/>
      </w:r>
      <w:r>
        <w:rPr>
          <w:rFonts w:ascii="Amiri" w:hAnsi="Amiri" w:eastAsia="Amiri" w:cs="Amiri"/>
          <w:color w:val="111111"/>
          <w:sz w:val="28"/>
          <w:sz w:val="28"/>
          <w:szCs w:val="28"/>
          <w:rtl w:val="true"/>
          <w:lang w:bidi="ar-SA"/>
        </w:rPr>
        <w:t>، فلا نحتاج إلى تحرير الإجماع و تقريره،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ثلاثة، و الثالث ما أبدعناه و قرّبناه؛ و هو أنّ مبدأ هذا الخيار هو البيع، أي التبادل المترتّب على 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عندنا في أنّ الفسخ يؤثّر في حلّ العقد في هذه الصورة؛ لأنّه إن كان تبادل و غبن فقد كان له الخيار، و إن لم يكن تبادل فالعقد غير لازم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الإشكال في أنّ الانفساخ لأجل الخيار المستند إلى الغبن الواقعيّ، أم هو لأجل ما ذكرنا، و قد عرفت أنّ مقتضى ما هو مرامهم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الخيار الحقّي ثابت، و لا يجوز بذل ما به يرتفع الغبن هو الأخذ بالقدر المتيقّن؛ لأنّ الدليل المثبت لهذا الحقّ، ليس إلّا الإجماع بالضرورة عند المحصّلين منهم، فراجع</w:t>
      </w:r>
      <w:r>
        <w:rPr>
          <w:rFonts w:eastAsia="Amiri" w:cs="Amiri" w:ascii="Amiri" w:hAnsi="Amiri"/>
          <w:color w:val="111111"/>
          <w:sz w:val="28"/>
          <w:szCs w:val="28"/>
          <w:rtl w:val="true"/>
          <w:lang w:bidi="ar-SA"/>
        </w:rPr>
        <w:t>.</w:t>
      </w:r>
      <w:bookmarkStart w:id="139" w:name="pg12370_121651"/>
    </w:p>
    <w:p>
      <w:pPr>
        <w:pStyle w:val="Heading5"/>
        <w:numPr>
          <w:ilvl w:val="4"/>
          <w:numId w:val="1"/>
        </w:numPr>
        <w:rPr/>
      </w:pPr>
      <w:bookmarkStart w:id="140" w:name="__RefHeading___Toc9026178_417432637"/>
      <w:bookmarkStart w:id="141" w:name="_Toc50"/>
      <w:bookmarkEnd w:id="139"/>
      <w:bookmarkEnd w:id="140"/>
      <w:r>
        <w:rPr>
          <w:rtl w:val="true"/>
        </w:rPr>
        <w:t>[</w:t>
      </w:r>
      <w:r>
        <w:rPr>
          <w:rtl w:val="true"/>
        </w:rPr>
        <w:t xml:space="preserve">مسألة </w:t>
      </w:r>
      <w:r>
        <w:rPr/>
        <w:t>3</w:t>
      </w:r>
      <w:r>
        <w:rPr>
          <w:rtl w:val="true"/>
        </w:rPr>
        <w:t xml:space="preserve">: </w:t>
      </w:r>
      <w:r>
        <w:rPr>
          <w:rtl w:val="true"/>
        </w:rPr>
        <w:t>لو اطلع على الغبن و لم يبادر بالفسخ</w:t>
      </w:r>
      <w:r>
        <w:rPr>
          <w:rtl w:val="true"/>
        </w:rPr>
        <w:t>]</w:t>
      </w:r>
      <w:bookmarkEnd w:id="14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على الغبن و لم يبادر بالفسخ، فإن كان لأجل جهله بحكم الخيار،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عالماً به، فإن كان بانياً على الفسخ غير راضٍ بالبيع بهذا الثمن، لكن أخّر الفسخ لغرض، فالظاهر بقاؤه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معذوريّة الجاهل بالخيار في ترك المبادرة؛ لعموم نفي الضرر</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التعليل عليل؛ إمّا لأجنبيّة القاعدة عن مسألة الحكومة على الأدلّة، أو لأجنبيّتها عن المقام؛ لما لا يثبت بها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ذلك بحكم العقلاء إذا كان الخيار عقلائيّاً، كما هو مختار الماتن</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المستند هو الإجماع</w:t>
      </w:r>
      <w:r>
        <w:rPr>
          <w:rStyle w:val="FootnoteAnchor"/>
          <w:rtl w:val="true"/>
        </w:rPr>
        <w:footnoteReference w:id="331"/>
      </w:r>
      <w:r>
        <w:rPr>
          <w:rFonts w:ascii="Amiri" w:hAnsi="Amiri" w:eastAsia="Amiri" w:cs="Amiri"/>
          <w:color w:val="111111"/>
          <w:sz w:val="28"/>
          <w:sz w:val="28"/>
          <w:szCs w:val="28"/>
          <w:rtl w:val="true"/>
          <w:lang w:bidi="ar-SA"/>
        </w:rPr>
        <w:t>كما هو الأظهر فلا يبعد السقوط؛ لأنّ الحكم مشترك بينهما، فإن فوراً ففور على الإطلاق، و إن تراضيا فكذلك و لو أمكن احتمال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بقاؤه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أُشير إليه من البناء العقلائيّ عليه في أصل الخيار و حكمه</w:t>
      </w:r>
      <w:r>
        <w:rPr>
          <w:rStyle w:val="FootnoteAnchor"/>
          <w:rtl w:val="true"/>
        </w:rPr>
        <w:footnoteReference w:id="3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هو مقتضى إطلاق آية الوفاء بالعقود</w:t>
      </w:r>
      <w:r>
        <w:rPr>
          <w:rStyle w:val="FootnoteAnchor"/>
          <w:rtl w:val="true"/>
        </w:rPr>
        <w:footnoteReference w:id="333"/>
      </w:r>
      <w:r>
        <w:rPr>
          <w:rFonts w:ascii="Amiri" w:hAnsi="Amiri" w:eastAsia="Amiri" w:cs="Amiri"/>
          <w:color w:val="111111"/>
          <w:sz w:val="28"/>
          <w:sz w:val="28"/>
          <w:szCs w:val="28"/>
          <w:rtl w:val="true"/>
          <w:lang w:bidi="ar-SA"/>
        </w:rPr>
        <w:t>لأنّه المرجع، دون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الوفاء بالعقود أجنبيّة عن المسائل التجاريّة، و استصحاب الخيار ممنوع جريانه في ذاته، فتصل النوبة إلى استصحاب حكم العقد، و هو أيضاً غير محرز لأصل السبب المانع عن جريان حكم الخيار؛ ضرورة أنّ الشكّ إن كان كليّاً فمنشأه احتمال الفسخ، و هو هنا غير محتمل، و إن كان منشأه إجمال الدليل، فلا يمكن الاستصحاب؛ للزوم جرّ الحكم إلى موضوع آخر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شخصيّاً، فلا يقين بالنسبة إلى ما في الخارج؛ لأنّ الخارج مصدوق عليه، و لا بدّ من كون موضوع الدليل خارجيّاً حتّى يفيد اليقين المتعلّق به، و أمّا اليقين المتعلّق بالشخص المنطبق عليه عنوان الدليل، فهو ليس موضوع الحكم عند الشرع و إن كان موضوعاً بمقتضى الشكل الأوّل و القياس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المرجع إطلاق دليل قطعيّ غير الآية؛ إذا كان يقتضي لزوم العقد، فحديث جريان استصحاب حكم المخصّص بلا أساس ذاتاً، و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له التواني فيه بحيث يؤدّي إلى 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تعطيل أمر على الغابن، بل بقاؤه مع عدم البناء على الفسخ، و إنّما بدا له بعد ذلك،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الإضرار محرّم، و هكذا التعطيل، فإنّه تحريج، و هو أيضاً غير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ذلك سقوط خيار لو كان على التراخي، إلّا على القول بحكومة مصداق من القاعدة على مصداق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التصرّفات في العوض للغابن جائزة حتّى الإتلاف، فلا يتصور الضرر و الحرج؛ لأنّ المناط قيمة يوم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قيمة يوم المطالبة كما هو الأقوى عندنا، فتأخير الطلب ربّما يمنع،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من قوّة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و تبيّن وجهه؛ فإنّ التفصيل بين الفرضين بلا وجه</w:t>
      </w:r>
      <w:r>
        <w:rPr>
          <w:rFonts w:eastAsia="Amiri" w:cs="Amiri" w:ascii="Amiri" w:hAnsi="Amiri"/>
          <w:color w:val="111111"/>
          <w:sz w:val="28"/>
          <w:szCs w:val="28"/>
          <w:rtl w:val="true"/>
          <w:lang w:bidi="ar-SA"/>
        </w:rPr>
        <w:t>.</w:t>
      </w:r>
      <w:bookmarkStart w:id="142" w:name="pg12370_121654"/>
    </w:p>
    <w:p>
      <w:pPr>
        <w:pStyle w:val="Heading5"/>
        <w:numPr>
          <w:ilvl w:val="4"/>
          <w:numId w:val="1"/>
        </w:numPr>
        <w:rPr/>
      </w:pPr>
      <w:bookmarkStart w:id="143" w:name="__RefHeading___Toc9026180_417432637"/>
      <w:bookmarkStart w:id="144" w:name="_Toc51"/>
      <w:bookmarkEnd w:id="142"/>
      <w:bookmarkEnd w:id="143"/>
      <w:r>
        <w:rPr>
          <w:rtl w:val="true"/>
        </w:rPr>
        <w:t>[</w:t>
      </w:r>
      <w:r>
        <w:rPr>
          <w:rtl w:val="true"/>
        </w:rPr>
        <w:t xml:space="preserve">مسألة </w:t>
      </w:r>
      <w:r>
        <w:rPr/>
        <w:t>4</w:t>
      </w:r>
      <w:r>
        <w:rPr>
          <w:rtl w:val="true"/>
        </w:rPr>
        <w:t xml:space="preserve">: </w:t>
      </w:r>
      <w:r>
        <w:rPr>
          <w:rtl w:val="true"/>
        </w:rPr>
        <w:t>المدار في الغبن على القيمة حال العقد</w:t>
      </w:r>
      <w:r>
        <w:rPr>
          <w:rtl w:val="true"/>
        </w:rPr>
        <w:t>]</w:t>
      </w:r>
      <w:bookmarkEnd w:id="14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الغبن على القيمة حال العقد، فلو زادت بعده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 علم المغبون بالنقصان حينه،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الخيار المذكور تعبّدي، فلو كان عقلائيّاً فلا خيار بالضرورة، و لا سيّما إذا كانت الزيادة الجابرة للغبن 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اطلع على الغبن، و كانت الزيادة في الأزمنة المتأخرة، فالسقوط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مستند الخيار الاشتراط الضمني؛ حتّى يكون الخيار خيارَ تخلّف الشرط حقيقة كما عليه جمع</w:t>
      </w:r>
      <w:r>
        <w:rPr>
          <w:rStyle w:val="FootnoteAnchor"/>
          <w:rtl w:val="true"/>
        </w:rPr>
        <w:footnoteReference w:id="335"/>
      </w:r>
      <w:r>
        <w:rPr>
          <w:rFonts w:ascii="Amiri" w:hAnsi="Amiri" w:eastAsia="Amiri" w:cs="Amiri"/>
          <w:color w:val="111111"/>
          <w:sz w:val="28"/>
          <w:sz w:val="28"/>
          <w:szCs w:val="28"/>
          <w:rtl w:val="true"/>
          <w:lang w:bidi="ar-SA"/>
        </w:rPr>
        <w:t xml:space="preserve">، تبعاً لأحد محتملات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فيه، فالأمر كذلك؛ لأنّ ثبوت خيار التخلّف عقلائيّ أيضاً و هو في هذه الصورة غير معلوم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لو كان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شكّ فالمرجع في أمثال هذه الأحكام هو استصحاب الخيار؛ لعدم الدليل اللفظيّ حتّى يكون هو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دليل لزوم العقد حتّى حين ثبوته، كما تحرّر في كتابنا الكبير</w:t>
      </w:r>
      <w:r>
        <w:rPr>
          <w:rStyle w:val="FootnoteAnchor"/>
          <w:rtl w:val="true"/>
        </w:rPr>
        <w:footnoteReference w:id="337"/>
      </w:r>
      <w:r>
        <w:rPr>
          <w:rFonts w:ascii="Amiri" w:hAnsi="Amiri" w:eastAsia="Amiri" w:cs="Amiri"/>
          <w:color w:val="111111"/>
          <w:sz w:val="28"/>
          <w:sz w:val="28"/>
          <w:szCs w:val="28"/>
          <w:rtl w:val="true"/>
          <w:lang w:bidi="ar-SA"/>
        </w:rPr>
        <w:t>، فلا مرجعيّة صالحه إلّا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نقصت بعده لم يثبت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إطلاق الأدلّة اللفظية المثبتة لخيار الغبن، غير سديد أصلًا، مع ما فيها أساساً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يلزم ثبوت الخيار في كلّ بيع؛ ضرورة أنّ النقصان المتأخّر لو كان يورث الخيار للمشتري، يلزم أن تكون الزيادة على القيمة حين العقد موجبة للخيار للبائع، فلا يقوم حينئذٍ للمسلمين 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لا يثبت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مبدأ الخيار هو العقد، كذلك لا يثبت على القولين الآخرين، فتوهّم أنّ الظهور لو كان شرطاً شرعيّاً، لكانت الزيادة المتأخّرة أو النقصان المتأخّر موجباً للخيار</w:t>
      </w:r>
      <w:r>
        <w:rPr>
          <w:rStyle w:val="FootnoteAnchor"/>
          <w:rtl w:val="true"/>
        </w:rPr>
        <w:footnoteReference w:id="338"/>
      </w:r>
      <w:r>
        <w:rPr>
          <w:rFonts w:ascii="Amiri" w:hAnsi="Amiri" w:eastAsia="Amiri" w:cs="Amiri"/>
          <w:color w:val="111111"/>
          <w:sz w:val="28"/>
          <w:sz w:val="28"/>
          <w:szCs w:val="28"/>
          <w:rtl w:val="true"/>
          <w:lang w:bidi="ar-SA"/>
        </w:rPr>
        <w:t>،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الزيادة الجابرة للغبن حين العقد، إذا كانت قبل الظهور، تمنع عن ثبوت الخيار؛ بناءً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مبدأ الخيار هي المبادلة أو ظهور الغبن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داره، و كان المشتري مغبوناً بالعشر، و قلنا إنّه يوجب الخيار، ثمّ نقصت قيمتها السوقيّة جدّاً، أو باع داره، و كان البائع مغبوناً، ثمّ زادت قيمتها، ففي الفرعين يثبت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لكلّ منهما، و يرتفع الخيار؛ لكونه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تنحلّ المشكلة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ليست مستند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وجه لانحلالها إلى مصاديق؛ يكون أحدها مثبتاً، و الآخر رافعاً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انحلّت يكون إطلاق المصداق الأوّل، مثبتاً للخيار إلى حال اختلاف القيمة زيادة و نقيصة، و المصداق الآخر يقيّده، و يوجب رفع الخيار في تلك الحال، فتأمّل</w:t>
      </w:r>
      <w:r>
        <w:rPr>
          <w:rFonts w:eastAsia="Amiri" w:cs="Amiri" w:ascii="Amiri" w:hAnsi="Amiri"/>
          <w:color w:val="111111"/>
          <w:sz w:val="28"/>
          <w:szCs w:val="28"/>
          <w:rtl w:val="true"/>
          <w:lang w:bidi="ar-SA"/>
        </w:rPr>
        <w:t>.</w:t>
      </w:r>
      <w:bookmarkStart w:id="145" w:name="pg12370_121657"/>
    </w:p>
    <w:p>
      <w:pPr>
        <w:pStyle w:val="Heading5"/>
        <w:numPr>
          <w:ilvl w:val="4"/>
          <w:numId w:val="1"/>
        </w:numPr>
        <w:rPr/>
      </w:pPr>
      <w:bookmarkStart w:id="146" w:name="__RefHeading___Toc9026182_417432637"/>
      <w:bookmarkStart w:id="147" w:name="_Toc52"/>
      <w:bookmarkEnd w:id="145"/>
      <w:bookmarkEnd w:id="146"/>
      <w:r>
        <w:rPr>
          <w:rtl w:val="true"/>
        </w:rPr>
        <w:t>[</w:t>
      </w:r>
      <w:r>
        <w:rPr>
          <w:rtl w:val="true"/>
        </w:rPr>
        <w:t xml:space="preserve">مسألة </w:t>
      </w:r>
      <w:r>
        <w:rPr/>
        <w:t>5</w:t>
      </w:r>
      <w:r>
        <w:rPr>
          <w:rtl w:val="true"/>
        </w:rPr>
        <w:t xml:space="preserve">: </w:t>
      </w:r>
      <w:r>
        <w:rPr>
          <w:rtl w:val="true"/>
        </w:rPr>
        <w:t>يسقط هذا الخيار بأمور</w:t>
      </w:r>
      <w:r>
        <w:rPr>
          <w:rtl w:val="true"/>
        </w:rPr>
        <w:t>]</w:t>
      </w:r>
      <w:bookmarkEnd w:id="147"/>
    </w:p>
    <w:p>
      <w:pPr>
        <w:pStyle w:val="Heading6"/>
        <w:numPr>
          <w:ilvl w:val="5"/>
          <w:numId w:val="1"/>
        </w:numPr>
        <w:rPr/>
      </w:pPr>
      <w:bookmarkStart w:id="148" w:name="__RefHeading___Toc9026184_417432637"/>
      <w:bookmarkStart w:id="149" w:name="_Toc5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بأمور</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9026186_417432637"/>
      <w:bookmarkStart w:id="151" w:name="_Toc54"/>
      <w:bookmarkEnd w:id="150"/>
      <w:r>
        <w:rPr>
          <w:rtl w:val="true"/>
        </w:rPr>
        <w:t>[</w:t>
      </w:r>
      <w:r>
        <w:rPr>
          <w:rtl w:val="true"/>
        </w:rPr>
        <w:t>أحدها</w:t>
      </w:r>
      <w:r>
        <w:rPr>
          <w:rtl w:val="true"/>
        </w:rPr>
        <w:t xml:space="preserve">: </w:t>
      </w:r>
      <w:r>
        <w:rPr>
          <w:rtl w:val="true"/>
        </w:rPr>
        <w:t>اشتراط سقوطه في ضمن العقد</w:t>
      </w:r>
      <w:r>
        <w:rPr>
          <w:rtl w:val="true"/>
        </w:rPr>
        <w:t>]</w:t>
      </w:r>
      <w:bookmarkEnd w:id="15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العقد،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مرّت المناقشة فيه</w:t>
      </w:r>
      <w:r>
        <w:rPr>
          <w:rStyle w:val="FootnoteAnchor"/>
          <w:rtl w:val="true"/>
        </w:rPr>
        <w:footnoteReference w:id="339"/>
      </w:r>
      <w:r>
        <w:rPr>
          <w:rFonts w:ascii="Amiri" w:hAnsi="Amiri" w:eastAsia="Amiri" w:cs="Amiri"/>
          <w:color w:val="111111"/>
          <w:sz w:val="28"/>
          <w:sz w:val="28"/>
          <w:szCs w:val="28"/>
          <w:rtl w:val="true"/>
          <w:lang w:bidi="ar-SA"/>
        </w:rPr>
        <w:t>لو رجع إلى عدم الثبوت، و أمّا الإسقاط في ضمن العقد المنتهى إلى سقوط ما يثبت بإطلاق الأدلّة الشرعيّة، فهو فرع كون خيار الغبن حقّا يسقط، فلو كان المستند الإجماع أو الأخبار، فلا يبعد انصراف المعقد و محطّها إلى أنّه الخيار المصطلح العقلائيّ الذي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الشرط الضمنيّ</w:t>
      </w:r>
      <w:r>
        <w:rPr>
          <w:rStyle w:val="FootnoteAnchor"/>
          <w:rtl w:val="true"/>
        </w:rPr>
        <w:footnoteReference w:id="340"/>
      </w:r>
      <w:r>
        <w:rPr>
          <w:rFonts w:ascii="Amiri" w:hAnsi="Amiri" w:eastAsia="Amiri" w:cs="Amiri"/>
          <w:color w:val="111111"/>
          <w:sz w:val="28"/>
          <w:sz w:val="28"/>
          <w:szCs w:val="28"/>
          <w:rtl w:val="true"/>
          <w:lang w:bidi="ar-SA"/>
        </w:rPr>
        <w:t>، على إشكال فيه التزم به من اتخذه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المستند الآية أو القاعدة</w:t>
      </w:r>
      <w:r>
        <w:rPr>
          <w:rStyle w:val="FootnoteAnchor"/>
          <w:rtl w:val="true"/>
        </w:rPr>
        <w:footnoteReference w:id="341"/>
      </w:r>
      <w:r>
        <w:rPr>
          <w:rFonts w:ascii="Amiri" w:hAnsi="Amiri" w:eastAsia="Amiri" w:cs="Amiri"/>
          <w:color w:val="111111"/>
          <w:sz w:val="28"/>
          <w:sz w:val="28"/>
          <w:szCs w:val="28"/>
          <w:rtl w:val="true"/>
          <w:lang w:bidi="ar-SA"/>
        </w:rPr>
        <w:t>، فلا يثبت به الحقّ و إن قرّبناه في محلّه، و حيث اختار المصنّف أنّ المستند هو بناء العقلاء</w:t>
      </w:r>
      <w:r>
        <w:rPr>
          <w:rStyle w:val="FootnoteAnchor"/>
          <w:rtl w:val="true"/>
        </w:rPr>
        <w:footnoteReference w:id="342"/>
      </w:r>
      <w:r>
        <w:rPr>
          <w:rFonts w:ascii="Amiri" w:hAnsi="Amiri" w:eastAsia="Amiri" w:cs="Amiri"/>
          <w:color w:val="111111"/>
          <w:sz w:val="28"/>
          <w:sz w:val="28"/>
          <w:szCs w:val="28"/>
          <w:rtl w:val="true"/>
          <w:lang w:bidi="ar-SA"/>
        </w:rPr>
        <w:t>، فالاشتراط المزبور في محلّه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إشكال التعليق و عدم الجزم</w:t>
      </w:r>
      <w:r>
        <w:rPr>
          <w:rStyle w:val="FootnoteAnchor"/>
          <w:rtl w:val="true"/>
        </w:rPr>
        <w:footnoteReference w:id="343"/>
      </w:r>
      <w:r>
        <w:rPr>
          <w:rFonts w:ascii="Amiri" w:hAnsi="Amiri" w:eastAsia="Amiri" w:cs="Amiri"/>
          <w:color w:val="111111"/>
          <w:sz w:val="28"/>
          <w:sz w:val="28"/>
          <w:szCs w:val="28"/>
          <w:rtl w:val="true"/>
          <w:lang w:bidi="ar-SA"/>
        </w:rPr>
        <w:t>، ينحلّ بعدم مضرّيته حتّى</w:t>
      </w:r>
    </w:p>
    <w:p>
      <w:pPr>
        <w:pStyle w:val="BookText"/>
        <w:rPr/>
      </w:pPr>
      <w:r>
        <w:rPr>
          <w:rFonts w:ascii="Amiri" w:hAnsi="Amiri" w:eastAsia="Amiri" w:cs="Amiri"/>
          <w:color w:val="111111"/>
          <w:sz w:val="28"/>
          <w:sz w:val="28"/>
          <w:szCs w:val="28"/>
          <w:rtl w:val="true"/>
          <w:lang w:bidi="ar-SA"/>
        </w:rPr>
        <w:t xml:space="preserve">و يقتصر فيه على مرتبة من الغبن كانت مقصودة عند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شملته العبارة، فلو كان المشروط سقوط مرتبة من الغبن كالعشر، فتبيّن كونه الخمس،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الإيقاعات، فضلًا عن أمثال هذه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 بين الإيجاب و القبول، أو بعدهما، بعد كون الجملة متعلّقةً به عرفاً، و تفصيل الكلام ربّما أُشير إليه في الخيارين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و الحيوان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اشتراط سقوطه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ممّا هو المتفق عليه المفروغ عنه في كلماتهم</w:t>
      </w:r>
      <w:r>
        <w:rPr>
          <w:rStyle w:val="FootnoteAnchor"/>
          <w:rtl w:val="true"/>
        </w:rPr>
        <w:footnoteReference w:id="344"/>
      </w:r>
      <w:r>
        <w:rPr>
          <w:rFonts w:ascii="Amiri" w:hAnsi="Amiri" w:eastAsia="Amiri" w:cs="Amiri"/>
          <w:color w:val="111111"/>
          <w:sz w:val="28"/>
          <w:sz w:val="28"/>
          <w:szCs w:val="28"/>
          <w:rtl w:val="true"/>
          <w:lang w:bidi="ar-SA"/>
        </w:rPr>
        <w:t>، و هو مقتضى كونه حقّا، و الإشكال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سند خيار الغبن قاصر عن إثبات حقّيته</w:t>
      </w:r>
      <w:r>
        <w:rPr>
          <w:rStyle w:val="FootnoteAnchor"/>
          <w:rtl w:val="true"/>
        </w:rPr>
        <w:footnoteReference w:id="345"/>
      </w:r>
      <w:r>
        <w:rPr>
          <w:rFonts w:ascii="Amiri" w:hAnsi="Amiri" w:eastAsia="Amiri" w:cs="Amiri"/>
          <w:color w:val="111111"/>
          <w:sz w:val="28"/>
          <w:sz w:val="28"/>
          <w:szCs w:val="28"/>
          <w:rtl w:val="true"/>
          <w:lang w:bidi="ar-SA"/>
        </w:rPr>
        <w:t>،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السقوط خلاف الكتاب، في غير محلّه، و ينفعك ما مرّ في خيار المجلس و غيره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الاشتراط</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لأنّ الحقّ يحتاج في إسقاطه إلى الإنشاء، و لا معنى لسقوط</w:t>
      </w:r>
    </w:p>
    <w:p>
      <w:pPr>
        <w:pStyle w:val="BookText"/>
        <w:rPr/>
      </w:pPr>
      <w:r>
        <w:rPr>
          <w:rFonts w:ascii="Amiri" w:hAnsi="Amiri" w:eastAsia="Amiri" w:cs="Amiri"/>
          <w:color w:val="111111"/>
          <w:sz w:val="28"/>
          <w:sz w:val="28"/>
          <w:szCs w:val="28"/>
          <w:rtl w:val="true"/>
          <w:lang w:bidi="ar-SA"/>
        </w:rPr>
        <w:t xml:space="preserve">بل لو اشترط سقوطه و إن كان فاحشاً أو أفحش لا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كان كذلك بالنسبة إلى ما يحتمل في مثل هذه المعاملة، لا أزيد، فلو فرض أنّ ما اشتراه بمائة لا يحتمل فيه أن يسوى عشرة أو عشرين، و أنّ المحتمل فيه من الفاحش إلى خمسين، و الأفحش إلى ثلاثين، لم يسقط مع الشرط المذكور إذا كان يسوى عشرة أو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اشترط سقوط الخيار الآتي من قبل العشرة مثلًا بنحو التقييد، و يأتي الكلام في غيره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زاد عن مفاد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معناه سقوط مقدار من الحقّ؛ حتّى يقال بعدم تعدّد الحقّ، بل معناه عدم سقوط الحقّ فيما إذا كانت المعاملة مشتملة على المرتبة العليا من الغبن، و كانت ألفاظ إنشاء الإسقاط، غيرَ منطبقة عرفاً إلّا على إسقاط الحقّ و الخيار الناشئ من الغبن في المرتبة الخاصّة، و سيمرّ عليك في المسقط الآتي تمام ما يتعلّق بالبحث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الانصراف المذكور في المتن في حكم التصريح بالمقيّد، فلا تشمل العبارة إلّا سقوط الخيار الناشئ من الغبن بمرتبة خاصّة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في المسألة بحث 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تجزّؤ الخيار بحسب التصوّر 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باب الإرث ممّا لا إشكال فيه، و على هذا إذا كان البيع مشتملًا على الغبن الأفحش،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صِرْف وجود الغبن</w:t>
      </w:r>
    </w:p>
    <w:p>
      <w:pPr>
        <w:pStyle w:val="BookText"/>
        <w:rPr/>
      </w:pPr>
      <w:r>
        <w:rPr>
          <w:rFonts w:ascii="Amiri" w:hAnsi="Amiri" w:eastAsia="Amiri" w:cs="Amiri"/>
          <w:color w:val="111111"/>
          <w:sz w:val="28"/>
          <w:sz w:val="28"/>
          <w:szCs w:val="28"/>
          <w:rtl w:val="true"/>
          <w:lang w:bidi="ar-SA"/>
        </w:rPr>
        <w:t>يورث الخيار، فالتقييد في مقام الإسقاط بالسبب، يورث عدم سقوطه إذا كان القيد غير منطبق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التجاوز عن الحدّ المتسامح فيه يورث الخيار، و سائرَ مراتب الغبن كالحجر جنب الإنسان، فالتقييد بالمرتبة العليا لا يورث سقوط الخيار الناشئ من تلك المرتبة؛ لأجل عدم وجود خيار له مقيداً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يستظهر منه عرفاً سقوط خياره؛ لأنّ الراضي بالعقد و الملتزم بالبيع الغبنيّ بالغبن الأفحش، ملتزم بالفاحش عرفاً و لو أمكن التفكيك عقلًا،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احتمالات أُخر ربّما تجي‌ء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هو الأظهر من بين الاحتمالين فهو الثاني بحسب النظر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الالتزام بسقوط خيار الغبن في صورة التقييد بالمرتبة الأُولى؛ و لو كان الغبن في المرتبة العليا خلاف المرتكز العرفيّ، و يؤيّد الاحتمال الأوّل، فيكون الغبن في كلّ بيع بمرتبة موجباً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إسقاط الخيار المتقيّد بالمرتبة الأُولى، يورث سقوطه على نعت التجزّؤ، و تصير النتيجة عدم الخيار له إذا كان الأفحش ممّا يتسامح فيه بعد سقوط تلك المرتبة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غبنه لأجل العشرين، و أسقط الخيار الناشئ من</w:t>
      </w:r>
      <w:bookmarkStart w:id="152" w:name="pg12370_121661"/>
    </w:p>
    <w:p>
      <w:pPr>
        <w:pStyle w:val="Heading6"/>
        <w:numPr>
          <w:ilvl w:val="5"/>
          <w:numId w:val="1"/>
        </w:numPr>
        <w:rPr/>
      </w:pPr>
      <w:bookmarkStart w:id="153" w:name="__RefHeading___Toc9026188_417432637"/>
      <w:bookmarkStart w:id="154" w:name="_Toc55"/>
      <w:bookmarkEnd w:id="152"/>
      <w:bookmarkEnd w:id="153"/>
      <w:r>
        <w:rPr>
          <w:rtl w:val="true"/>
        </w:rPr>
        <w:t>[</w:t>
      </w:r>
      <w:r>
        <w:rPr>
          <w:rtl w:val="true"/>
        </w:rPr>
        <w:t>ثانيها</w:t>
      </w:r>
      <w:r>
        <w:rPr>
          <w:rtl w:val="true"/>
        </w:rPr>
        <w:t xml:space="preserve">: </w:t>
      </w:r>
      <w:r>
        <w:rPr>
          <w:rtl w:val="true"/>
        </w:rPr>
        <w:t>إسقاطه بعد العقد و لو قبل ظهور الغبن</w:t>
      </w:r>
      <w:r>
        <w:rPr>
          <w:rtl w:val="true"/>
        </w:rPr>
        <w:t>]</w:t>
      </w:r>
      <w:bookmarkEnd w:id="154"/>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العقد و لو قبل ظهور الغبن؛ إذا أسقطه على تقدير ثبوته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عشر، يسقط خياره، و المقدار الباقي لا يقتضي الخيار، و إسقاط الخيار المقيّد يرجع في الحقيقة إلى مضيّه عن حقّه و هو الخمسة عشر، و إلى إعطاء ماله مثلًا مجّاناً إلى الغابن، فلا خيار له بعد ذلك إلّا إذا كان المقدار الباقي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تقدير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صرّح به الشيخ</w:t>
      </w:r>
      <w:r>
        <w:rPr>
          <w:rStyle w:val="FootnoteAnchor"/>
          <w:rtl w:val="true"/>
        </w:rPr>
        <w:footnoteReference w:id="347"/>
      </w:r>
      <w:r>
        <w:rPr>
          <w:rFonts w:ascii="Amiri" w:hAnsi="Amiri" w:eastAsia="Amiri" w:cs="Amiri"/>
          <w:color w:val="111111"/>
          <w:sz w:val="28"/>
          <w:sz w:val="28"/>
          <w:szCs w:val="28"/>
          <w:rtl w:val="true"/>
          <w:lang w:bidi="ar-SA"/>
        </w:rPr>
        <w:t>و غيره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أمر غير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من التعليق المجمع على بطلانه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من إسقاط ما لا يجب، فلا يجوز عقلًا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قادحة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التزلزل ربّما يورث ضعفاً يحتاج إلى سدّه، فيكون عقلائيّاً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أجمعوا على بطلانه، ليس مثل التعليق المتقوّم مفهوم الإنشاء به، كالإبراء في موارد احتمال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الإجماع ممنوع،</w:t>
      </w:r>
    </w:p>
    <w:p>
      <w:pPr>
        <w:pStyle w:val="BookText"/>
        <w:rPr/>
      </w:pPr>
      <w:r>
        <w:rPr>
          <w:rFonts w:ascii="Amiri" w:hAnsi="Amiri" w:eastAsia="Amiri" w:cs="Amiri"/>
          <w:color w:val="111111"/>
          <w:sz w:val="28"/>
          <w:sz w:val="28"/>
          <w:szCs w:val="28"/>
          <w:rtl w:val="true"/>
          <w:lang w:bidi="ar-SA"/>
        </w:rPr>
        <w:t xml:space="preserve">و هذا أيضاً يقتصر فيه على مرتبة من الغبن كانت مشمولة للعبارة، فلو أسقط مرتبة خاصّة منه كالعشر، فتبيّن كونه أزيد، لم يسقط إذا كان الإسقاط بنحو التقييد؛ بأن يسقط الخيار الآتي من قبل العشر مثلًا بنحو العنوان الكلّي المنطبق على الخارج بحسب وعائه المناسب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فلا دليل على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فالإسقاط بالحمل الشائع، لا يعقل إلّا مع كون الذمّة مشغولة مثلًا، و أمّا في صورة الاحتمال فيجوز الإسقاط، و لا يعلم أنّه إسقاط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مسقط واقعاً أم لا، و هذا لا يضرّ بالمقصود،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سدّ باب تأثير المقتضي بإيجاد المانع، أو تضعيف المقتضي، ممكن، و لكنّه خلاف الكتاب في الفرض الثاني، و غير ممكن في الأوّل،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وعائه المناسب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لكلّ قضيّة وعاء الصدق و الكذب، و في المقام إنّ العقد خياري في وعاء الاعتبار، فإذا تقيّد الخيار الخاصّ في مرحلة الإسقاط، يجوز أن يكون غير منطبق على ما هو في الخارج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أسقط الخيار المتحقّق في العقد؛ بتوهّم أنّه مسبّب من العشر، فالظاهر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وصفه بالوصف المتوهّم، أم لا،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الخيار المتحقّق في العقد الذي هو آتٍ من قبل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الوصف، سقط خياره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بذلك ما لو أسقطه بتوهّم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سقوطه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لأجل أنّ الساقط ليس معنىً كلّياً، بل أمر جزئيّ خارجيّ، و الأُمور الجزئيّة الخارجيّة تكون القيود الواردة عليها من الحالات، نظير تقييد الإمام الموجود في المحراب بقيود كذائيّة، فإنّه بالتقييد لا يلزم عدم وقوع الاقتداء بأمر غير خارجيّ، بل في جميع الحالات يقع الاقتداء بالخارج، فإذا كان عادلًا يكون اقتداؤه بالعادل الكافي لصحّة جماعته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وجه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التوصيف تقييد و تضييق، و لكن لا يورث تقسيم الخارج؛ لامتناع انقسامه إلى الكثير، فإذا كان له الخيار في العقد يسقط؛ لأنّ إنشاء إسقاطه مرتبط به، و سبب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الفرع الموجود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أسقطه بزعم كون التفاوت عشرة فظهر مائة، ففي السقوط وجهان</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متحيّراً في ترجيح أحدهما على الآخر في فرض الزعم، ففي</w:t>
      </w:r>
    </w:p>
    <w:p>
      <w:pPr>
        <w:pStyle w:val="BookText"/>
        <w:rPr/>
      </w:pPr>
      <w:r>
        <w:rPr>
          <w:rFonts w:ascii="Amiri" w:hAnsi="Amiri" w:eastAsia="Amiri" w:cs="Amiri"/>
          <w:color w:val="111111"/>
          <w:sz w:val="28"/>
          <w:sz w:val="28"/>
          <w:szCs w:val="28"/>
          <w:rtl w:val="true"/>
          <w:lang w:bidi="ar-SA"/>
        </w:rPr>
        <w:t>فرض التوصيف يكون التحيّر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يشير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أولى بذلك ما لو أسقطه بتوهّم أنّه آتٍ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لكن لا حاجة إليه بعد تصريحه في أوّل المسألة بالتسوية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خلافه، و لو صحّ ما قيل يلزم سقوط خيار العيب بإسقاط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تقاس هذه المسألة بمسألة الاقتداء، فإنّه لا يعقل هناك الاقتداء بغير الخارج في جميع الصور، بخلاف ما نحن فيه، فإنّه يعقل إسقاط العنوان، فلو قيّد خياره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قيداً، أو شرطاً يكون الساقط متضيّقاً غير منطبق عليه، و لا سيّما في مثل الشرط الذي هو يرجع إلى الهيئة، لا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 غير محلّه؛ لأنّ الشرط يورث قصوراً في السبب الذي يتسبّب به إلى السقوط؛ لأنّ الحقّ جواز جعل الشرط قيد الهيئة عنده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يقاس ما نحن فيه ببيع الفرس الخارجيّ الموصوف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قبيل بيع الفرس الخارجيّ الموصوف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المتبيّن أنّه حجر، فإنّه لا يصحّ البيع بالضرورة و لو كان مصبّ البيع و الإنشاء أمراً خارجيّاً،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خيار العيب في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خيار الغبن به، و هكذا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الخيار الناشئ من الغبن الكذائيّ في</w:t>
      </w:r>
    </w:p>
    <w:p>
      <w:pPr>
        <w:pStyle w:val="BookText"/>
        <w:rPr/>
      </w:pPr>
      <w:r>
        <w:rPr>
          <w:rFonts w:ascii="Amiri" w:hAnsi="Amiri" w:eastAsia="Amiri" w:cs="Amiri"/>
          <w:color w:val="111111"/>
          <w:sz w:val="28"/>
          <w:sz w:val="28"/>
          <w:szCs w:val="28"/>
          <w:rtl w:val="true"/>
          <w:lang w:bidi="ar-SA"/>
        </w:rPr>
        <w:t xml:space="preserve">و كذا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سقوطه بمرتبة و إن كان فاحشاً، بل أفحش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لعدم مساعدة العقلاء على سقوط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الإشكال بالصناعة العلميّة و القياسات النافية الباطلة بعضها في محلّها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السقوط بالإسقاط الكذائيّ، ضرر يمكن منع إطلاقه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أمراً شرعيّاً</w:t>
      </w:r>
      <w:r>
        <w:rPr>
          <w:rStyle w:val="FootnoteAnchor"/>
          <w:rtl w:val="true"/>
        </w:rPr>
        <w:footnoteReference w:id="351"/>
      </w:r>
      <w:r>
        <w:rPr>
          <w:rFonts w:ascii="Amiri" w:hAnsi="Amiri" w:eastAsia="Amiri" w:cs="Amiri"/>
          <w:color w:val="111111"/>
          <w:sz w:val="28"/>
          <w:sz w:val="28"/>
          <w:szCs w:val="28"/>
          <w:rtl w:val="true"/>
          <w:lang w:bidi="ar-SA"/>
        </w:rPr>
        <w:t>، في غير محلّه؛ لكفاية كونه بيد الشرع نفياً و إمضاءً،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قصور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شمول الفرض؛ لأنّ ثبوته ضرري، و هو ناشئ من القاعدة الجابرة للضرر، فتكون منصرفة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له الخيار بدليل آخر بعد سقوط القاعدة عن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وجهه و وجه ما فيه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الالتزام بالتجزئة أيضاً، و إنّما الإشكال في أنّه أمر عرفيّ يساعد عليه السوق أم لا، فليتدبّر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يأتي ما ذكر فيمن صالح على خياره، فبطل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بنحو التقييد، فتبيّن الزيادة، دون النحوين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يجوز إسقاطه بعد العقد مجّاناً، يجوز المصالحة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بالعوض، فمع العلم بمرتبة من الغبن فلا إشكال،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الصلح، فإنّه إن كان بنحو التقييد بالمرتبة المذكورة في المسألة السابقة، فلا يسقط الخيار، و إن كان بالنحوين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التوصيف، أو الزعم و التوهّم فيسقط الخيار، و يصحّ الصلح، و الوجه و ما فيه قد مرّ</w:t>
      </w:r>
      <w:r>
        <w:rPr>
          <w:rStyle w:val="FootnoteAnchor"/>
          <w:rtl w:val="true"/>
        </w:rPr>
        <w:footnoteReference w:id="353"/>
      </w:r>
      <w:r>
        <w:rPr>
          <w:rFonts w:ascii="Amiri" w:hAnsi="Amiri" w:eastAsia="Amiri" w:cs="Amiri"/>
          <w:color w:val="111111"/>
          <w:sz w:val="28"/>
          <w:sz w:val="28"/>
          <w:szCs w:val="28"/>
          <w:rtl w:val="true"/>
          <w:lang w:bidi="ar-SA"/>
        </w:rPr>
        <w:t>،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المصرّح به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نظراً إلى أنّ في الصلح، لا يعتبر كون المصالح عليه عيناً، أو منفعة، أو حقّا، و الأمر كذلك عندنا في البيع، و لا سيّما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المنفعة تأمّل جدّاً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الإشكال في أنّ الصلح و المصالحة شرعت لرفع الخصومة، فإطلاق مشروعيّتها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الصلح كالبيع يلزم جريان الخيارات فيه، مع أنّ الظاهر أنّ مصبّه في محيط لا يبقى بعد المصالحة شي‌ء؛ فينسحب إلى النزاع و المخاصمة، و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الجهل بها صحّ المصالحة مع التصريح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المراتب؛ بأن يصالح على خيار الغبن المتحقّق في هذه المعاملة بأيّ مرتبة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يكون العوض في مقابل المعوّض؛ ضرورة أنّ في صورة التقييد، يشكّ في تحقّق المعاوضة العامّة الجنسيّة المشترك فيها البيع و الصلح بالعوض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المتن عدم جواز الصلح في صورة احتمال الغبن و الخيار أيضاً، و فيه خلاف بين الأعلام؛ فالشيخ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الجواز بشرط الانضمام</w:t>
      </w:r>
      <w:r>
        <w:rPr>
          <w:rStyle w:val="FootnoteAnchor"/>
          <w:rtl w:val="true"/>
        </w:rPr>
        <w:footnoteReference w:id="355"/>
      </w:r>
      <w:r>
        <w:rPr>
          <w:rFonts w:ascii="Amiri" w:hAnsi="Amiri" w:eastAsia="Amiri" w:cs="Amiri"/>
          <w:color w:val="111111"/>
          <w:sz w:val="28"/>
          <w:sz w:val="28"/>
          <w:szCs w:val="28"/>
          <w:rtl w:val="true"/>
          <w:lang w:bidi="ar-SA"/>
        </w:rPr>
        <w:t>، 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العلّامة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Style w:val="FootnoteAnchor"/>
          <w:rtl w:val="true"/>
        </w:rPr>
        <w:footnoteReference w:id="356"/>
      </w:r>
      <w:r>
        <w:rPr>
          <w:rFonts w:ascii="IRNazanin" w:hAnsi="IRNazanin" w:eastAsia="IRNazanin"/>
          <w:color w:val="111111"/>
          <w:sz w:val="28"/>
          <w:sz w:val="28"/>
          <w:szCs w:val="28"/>
          <w:rtl w:val="true"/>
          <w:lang w:bidi="fa-IR"/>
        </w:rPr>
        <w:t>لأنّ الصلح واقع على الاحتمال، و هو أمر حاصل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الماتن إلى جواز الصلح على الإسقاط في صورة احتمال الخيار</w:t>
      </w:r>
      <w:r>
        <w:rPr>
          <w:rStyle w:val="FootnoteAnchor"/>
          <w:rtl w:val="true"/>
        </w:rPr>
        <w:footnoteReference w:id="357"/>
      </w:r>
      <w:r>
        <w:rPr>
          <w:rFonts w:ascii="Amiri" w:hAnsi="Amiri" w:eastAsia="Amiri" w:cs="Amiri"/>
          <w:color w:val="111111"/>
          <w:sz w:val="28"/>
          <w:sz w:val="28"/>
          <w:szCs w:val="28"/>
          <w:rtl w:val="true"/>
          <w:lang w:bidi="ar-SA"/>
        </w:rPr>
        <w:t>، و الإسقاط متحقّق إنشاءً، و المناقشة في ماليّة الإسقاط و الاحتمال</w:t>
      </w:r>
      <w:r>
        <w:rPr>
          <w:rStyle w:val="FootnoteAnchor"/>
          <w:rtl w:val="true"/>
        </w:rPr>
        <w:footnoteReference w:id="358"/>
      </w:r>
      <w:r>
        <w:rPr>
          <w:rFonts w:ascii="Amiri" w:hAnsi="Amiri" w:eastAsia="Amiri" w:cs="Amiri"/>
          <w:color w:val="111111"/>
          <w:sz w:val="28"/>
          <w:sz w:val="28"/>
          <w:szCs w:val="28"/>
          <w:rtl w:val="true"/>
          <w:lang w:bidi="ar-SA"/>
        </w:rPr>
        <w:t>، تنافيها ماهيّة الصلح المشروعة لحلّ المشاكل، فلو كان</w:t>
      </w:r>
    </w:p>
    <w:p>
      <w:pPr>
        <w:pStyle w:val="BookText"/>
        <w:rPr/>
      </w:pPr>
      <w:r>
        <w:rPr>
          <w:rFonts w:ascii="Amiri" w:hAnsi="Amiri" w:eastAsia="Amiri" w:cs="Amiri"/>
          <w:color w:val="111111"/>
          <w:sz w:val="28"/>
          <w:sz w:val="28"/>
          <w:szCs w:val="28"/>
          <w:rtl w:val="true"/>
          <w:lang w:bidi="ar-SA"/>
        </w:rPr>
        <w:t>معتبراً في العقد ماليّة واقعيّة، فهي غير معتبرة فيه إلّا على الوجه الموجود في المسألة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على المرتبة الخاصّة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كالصلح على المنفعة لا تأتي فيه 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الصلح، و لزومه، و جوازه، بل فيه التفصيلات السابقة المذكورة في أصل المسألة</w:t>
      </w:r>
      <w:r>
        <w:rPr>
          <w:rFonts w:eastAsia="Amiri" w:cs="Amiri" w:ascii="Amiri" w:hAnsi="Amiri"/>
          <w:color w:val="111111"/>
          <w:sz w:val="28"/>
          <w:szCs w:val="28"/>
          <w:rtl w:val="true"/>
          <w:lang w:bidi="ar-SA"/>
        </w:rPr>
        <w:t>.</w:t>
      </w:r>
      <w:bookmarkStart w:id="155" w:name="pg12370_121669"/>
    </w:p>
    <w:p>
      <w:pPr>
        <w:pStyle w:val="Heading6"/>
        <w:numPr>
          <w:ilvl w:val="5"/>
          <w:numId w:val="1"/>
        </w:numPr>
        <w:rPr/>
      </w:pPr>
      <w:bookmarkStart w:id="156" w:name="__RefHeading___Toc9026190_417432637"/>
      <w:bookmarkStart w:id="157" w:name="_Toc56"/>
      <w:bookmarkEnd w:id="155"/>
      <w:bookmarkEnd w:id="156"/>
      <w:r>
        <w:rPr>
          <w:rtl w:val="true"/>
        </w:rPr>
        <w:t>[</w:t>
      </w:r>
      <w:r>
        <w:rPr>
          <w:rtl w:val="true"/>
        </w:rPr>
        <w:t>الثالث</w:t>
      </w:r>
      <w:r>
        <w:rPr>
          <w:rtl w:val="true"/>
        </w:rPr>
        <w:t xml:space="preserve">: </w:t>
      </w:r>
      <w:r>
        <w:rPr>
          <w:rtl w:val="true"/>
        </w:rPr>
        <w:t>تصرّف المغبون بعد العلم بالغبن فيما انتقل إليه</w:t>
      </w:r>
      <w:r>
        <w:rPr>
          <w:rtl w:val="true"/>
        </w:rPr>
        <w:t>]</w:t>
      </w:r>
      <w:bookmarkEnd w:id="157"/>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بالغبن فيما انتقل إليه؛ بما يكشف كشفاً عقلائيّاً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الالتزام بالعقد و إسقاط الخيار،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بعض الإجماعات المحكيّة</w:t>
      </w:r>
      <w:r>
        <w:rPr>
          <w:rStyle w:val="FootnoteAnchor"/>
          <w:rtl w:val="true"/>
        </w:rPr>
        <w:footnoteReference w:id="359"/>
      </w:r>
      <w:r>
        <w:rPr>
          <w:rFonts w:ascii="Amiri" w:hAnsi="Amiri" w:eastAsia="Amiri" w:cs="Amiri"/>
          <w:color w:val="111111"/>
          <w:sz w:val="28"/>
          <w:sz w:val="28"/>
          <w:szCs w:val="28"/>
          <w:rtl w:val="true"/>
          <w:lang w:bidi="ar-SA"/>
        </w:rPr>
        <w:t>، و عليه فتوى جماعة</w:t>
      </w:r>
      <w:r>
        <w:rPr>
          <w:rStyle w:val="FootnoteAnchor"/>
          <w:rtl w:val="true"/>
        </w:rPr>
        <w:footnoteReference w:id="360"/>
      </w:r>
      <w:r>
        <w:rPr>
          <w:rFonts w:ascii="Amiri" w:hAnsi="Amiri" w:eastAsia="Amiri" w:cs="Amiri"/>
          <w:color w:val="111111"/>
          <w:sz w:val="28"/>
          <w:sz w:val="28"/>
          <w:szCs w:val="28"/>
          <w:rtl w:val="true"/>
          <w:lang w:bidi="ar-SA"/>
        </w:rPr>
        <w:t>، و في كلامهم ما يورث كونه من التصرّفات المسقطة لأحد الخيارات السابقة، كالمجلس، و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يعارض الإجماع بإطلاق كلام جمع منهم؛ بأنّ هذا الخيار لا يسقط بالتصرّف</w:t>
      </w:r>
      <w:r>
        <w:rPr>
          <w:rStyle w:val="FootnoteAnchor"/>
          <w:rtl w:val="true"/>
        </w:rPr>
        <w:footnoteReference w:id="361"/>
      </w:r>
      <w:r>
        <w:rPr>
          <w:rFonts w:ascii="Amiri" w:hAnsi="Amiri" w:eastAsia="Amiri" w:cs="Amiri"/>
          <w:color w:val="111111"/>
          <w:sz w:val="28"/>
          <w:sz w:val="28"/>
          <w:szCs w:val="28"/>
          <w:rtl w:val="true"/>
          <w:lang w:bidi="ar-SA"/>
        </w:rPr>
        <w:t>، و لكن القدر المتيقّن منه قبل العلم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مسقطاً بلا وجه عند العقلاء، و استفادته من الأخبار الخاصّة السابقة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كشفاً عقلائيّاً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تنافي بين عدم سقوط الخيار، و الالتزامِ القلبيّ بالعقد، و مجرّد كون التصرّف كاشفاً عن الالتزام غير كافٍ؛ لأنّ الخيار حقّ لا بدّ من إسقاطه إمّا بالقول أو الفعل، و التصرّف يمكن أن يكون مسقطاً، كالمعاطاة في البيع،</w:t>
      </w:r>
    </w:p>
    <w:p>
      <w:pPr>
        <w:pStyle w:val="BookText"/>
        <w:rPr/>
      </w:pPr>
      <w:r>
        <w:rPr>
          <w:rFonts w:ascii="Amiri" w:hAnsi="Amiri" w:eastAsia="Amiri" w:cs="Amiri"/>
          <w:color w:val="111111"/>
          <w:sz w:val="28"/>
          <w:sz w:val="28"/>
          <w:szCs w:val="28"/>
          <w:rtl w:val="true"/>
          <w:lang w:bidi="ar-SA"/>
        </w:rPr>
        <w:t>و لكنّ الكاشفيّة العقلائيّة عن الالتزام، لا تدلّ إلّا على الرضا بالبيع، و الإسقاط أمر آخر تسبيبيّ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الانصراف عن الحقّ ثبوتاً و إن لم يبرز، فيكون خياره ساقطاً بينه و بين ربّه، و هذا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الكاشفيّة العقلائيّة، غير تامّ إلّا في مرحلة الدعوى و طرح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يناقض الالتزام بالعقد، فإنّ الإسقاط أمر تسبيبيّ من القول أو الفعل، و الالتزامَ أمر قلبيّ، و لو كان التصرّف مسقطاً للخيار، يكفي و لو لم يكن ملتزماً بالعقد؛ و بانياً على التخلّف عن الوفاء به بقاءً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المسقط لا يعتبر أن يكون أمراً عقلائيّاً؛ قولًا كان، أو فعلًا، نعم في مرحلة التداعي إذا كان غير عرفيّ لا يسمع قول مدّعيه، فلا ينبغي الخلط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المقايسة بين العقود و إسقاط الدين و الحقّ؛ لما عرفت من إمكان سقوط الدين و الحقّ بمجرّد الانصراف عن حقّه بناءً و قلباً، ثمّ الإخبار عنه،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كالتصرّف بالإتلاف،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الأشهر خلافاً لغير واحد</w:t>
      </w:r>
      <w:r>
        <w:rPr>
          <w:rStyle w:val="FootnoteAnchor"/>
          <w:rtl w:val="true"/>
        </w:rPr>
        <w:footnoteReference w:id="362"/>
      </w:r>
      <w:r>
        <w:rPr>
          <w:rFonts w:ascii="Amiri" w:hAnsi="Amiri" w:eastAsia="Amiri" w:cs="Amiri"/>
          <w:color w:val="111111"/>
          <w:sz w:val="28"/>
          <w:sz w:val="28"/>
          <w:szCs w:val="28"/>
          <w:rtl w:val="true"/>
          <w:lang w:bidi="ar-SA"/>
        </w:rPr>
        <w:t>، و منهم المصنّف في درسه</w:t>
      </w:r>
      <w:r>
        <w:rPr>
          <w:rStyle w:val="FootnoteAnchor"/>
          <w:rtl w:val="true"/>
        </w:rPr>
        <w:footnoteReference w:id="363"/>
      </w:r>
      <w:r>
        <w:rPr>
          <w:rFonts w:ascii="Amiri" w:hAnsi="Amiri" w:eastAsia="Amiri" w:cs="Amiri"/>
          <w:color w:val="111111"/>
          <w:sz w:val="28"/>
          <w:sz w:val="28"/>
          <w:szCs w:val="28"/>
          <w:rtl w:val="true"/>
          <w:lang w:bidi="ar-SA"/>
        </w:rPr>
        <w:t xml:space="preserve">، و هو الظاهر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 ذلك لأنّ الملازمة العرفيّة بين الإتلاف و الإسقاط، أو الالتزام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كفايته غير تامّة، و الأدلّة الواردة في بعض الخيارات السابقة و منها خيار الحيوان، غير وافية بكون التصرّف المزبور فيما نحن فيه موجباً لسقوط الخيار تعبّداً، و قد مرّ الكلام حولها في موردها بما لا مزيد عليه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أن يقصد بالإتلاف إظهار سقوط الخيار، و لكنّه خروج عن المقصود بالبحث، و لذلك لا نحتاج إلى تقييد إطلاق كلام الماتن و غيره في المقام، خلافاً لما يستظهر من بعض الأعلام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بما يمنع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بإخراجه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ملكه، كالبيع اللازم، بل و غير اللازم، و نحو التصرّفات التي مرّ ذكرها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بما يمنع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كالاستيلاء، و الكلام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ما سبق، بل الأمر في غير التصرّفات التالفة أخفى،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المسألة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مقتضى كون خيار الغبن فوريّاً، و قضيّة المفروض في صور البحث، سقوط الخيار بعد العلم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تكون الصور واردة مورد جهالة المغبون بالحكم و لو كان عالماً بالغبن، و الظاهر هو الأخير؛ و ذلك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التصرّف الكاشف الكذائيّ يوجب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عالماً بالغبن و بفوريّة الخيار، فلا حاجة إلى التقييد المذكور؛ لأنّ السقوط بالتصرّف المزبور قطعيّ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بقاء الخيار إذا لم يكن التصرّف منافياً للفوريّة،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التصرّفات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الركوب غير المعتدّ به، و التعليف، و نحو ذلك ممّا لا يدلّ على الرضا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التصرّف قبل ظهور الغبن لا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كتصرّف الغابن فيما انتقل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للمصرّح به في كلام المحقّق</w:t>
      </w:r>
      <w:r>
        <w:rPr>
          <w:rStyle w:val="FootnoteAnchor"/>
          <w:rtl w:val="true"/>
        </w:rPr>
        <w:footnoteReference w:id="367"/>
      </w:r>
      <w:r>
        <w:rPr>
          <w:rFonts w:ascii="IRNazanin" w:hAnsi="IRNazanin" w:eastAsia="IRNazanin"/>
          <w:color w:val="111111"/>
          <w:sz w:val="28"/>
          <w:sz w:val="28"/>
          <w:szCs w:val="28"/>
          <w:rtl w:val="true"/>
          <w:lang w:bidi="fa-IR"/>
        </w:rPr>
        <w:t>و من تأخّر عنه</w:t>
      </w:r>
      <w:r>
        <w:rPr>
          <w:rStyle w:val="FootnoteAnchor"/>
          <w:rtl w:val="true"/>
        </w:rPr>
        <w:footnoteReference w:id="368"/>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السقوط إجماعي</w:t>
      </w:r>
      <w:r>
        <w:rPr>
          <w:rStyle w:val="FootnoteAnchor"/>
          <w:rtl w:val="true"/>
        </w:rPr>
        <w:footnoteReference w:id="370"/>
      </w:r>
      <w:r>
        <w:rPr>
          <w:rFonts w:ascii="Amiri" w:hAnsi="Amiri" w:eastAsia="Amiri" w:cs="Amiri"/>
          <w:color w:val="111111"/>
          <w:sz w:val="28"/>
          <w:sz w:val="28"/>
          <w:szCs w:val="28"/>
          <w:rtl w:val="true"/>
          <w:lang w:bidi="ar-SA"/>
        </w:rPr>
        <w:t xml:space="preserve">، و لو كان مورد الإجماع لما خالفهم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عرفت عدم عنوان المسألة في كلام من تقدّم على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تتبّعت</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إجماعيّاً، و لكنّه يحتمل استناده إلى أخبار خيار الحيوان، فاهمين منها عدم الفرق بين صورتي العلم و الجهل،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و ذاك اشتهر بين المعاصرين خلافه</w:t>
      </w:r>
      <w:r>
        <w:rPr>
          <w:rStyle w:val="FootnoteAnchor"/>
          <w:rtl w:val="true"/>
        </w:rPr>
        <w:footnoteReference w:id="373"/>
      </w:r>
      <w:r>
        <w:rPr>
          <w:rFonts w:ascii="Amiri" w:hAnsi="Amiri" w:eastAsia="Amiri" w:cs="Amiri"/>
          <w:color w:val="111111"/>
          <w:sz w:val="28"/>
          <w:sz w:val="28"/>
          <w:szCs w:val="28"/>
          <w:rtl w:val="true"/>
          <w:lang w:bidi="ar-SA"/>
        </w:rPr>
        <w:t>و أنّه لا وجه لسقوط الخيار هنا، كما لا وجه لسقوط الخيار بتصرّف الغابن فيما انتقل إليه مطلقاً، كما هو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وجه سقوط الخيار في المسألتين قصور دليله، فإنّ مع تلف العين موضوعاً أو حكماً، لا يبقى مورد لجواز استرداد العين بالفسخ، فلا معنى لفسخ العقد، فلا معنى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فإنّ الفسخ من عوارض العقد، و هو لا ينتفي بتلف العين، و لا سيّما التلف الحكميّ، فلو التفت بعد ذلك إلى الغبن، له أن يرضى بالعقد و يجيزه، و له حلّه و أن لا يجيزه، و يرجع الغابن إليه بالبدل مطلقاً، أو في صورة التلف و التعذّر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قبول البدل ضرري، فثبوت الخيار بعد التلف ممنوع</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في محلّه لو كان مستند الخيار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المعارضة المذكورة في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بين الضررين، مندفعة بأخصّية ضرر الغابن من ضرر المغبون، و إطلاق خيار المغبون يقيّد بصورة بقاء العين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المستند الإجماع و التعبّد كما هو الظاهر، و القاعدة قاصرة عنه، فلا يرجع إليها حتّى يقيّد بها مورد الإجماع، أو إطلاق معقد الاتفاق، فافهم جيداً، و في المسألة بعض دقائق صناعيّة تطلب من الكتاب الكبير</w:t>
      </w:r>
      <w:r>
        <w:rPr>
          <w:rStyle w:val="FootnoteAnchor"/>
          <w:rtl w:val="true"/>
        </w:rPr>
        <w:footnoteReference w:id="376"/>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bookmarkStart w:id="158" w:name="pg12370_121676"/>
    </w:p>
    <w:p>
      <w:pPr>
        <w:pStyle w:val="Heading5"/>
        <w:numPr>
          <w:ilvl w:val="4"/>
          <w:numId w:val="1"/>
        </w:numPr>
        <w:rPr/>
      </w:pPr>
      <w:bookmarkStart w:id="159" w:name="__RefHeading___Toc9026192_417432637"/>
      <w:bookmarkStart w:id="160" w:name="_Toc57"/>
      <w:bookmarkEnd w:id="158"/>
      <w:bookmarkEnd w:id="159"/>
      <w:r>
        <w:rPr>
          <w:rtl w:val="true"/>
        </w:rPr>
        <w:t>[</w:t>
      </w:r>
      <w:r>
        <w:rPr>
          <w:rtl w:val="true"/>
        </w:rPr>
        <w:t xml:space="preserve">مسألة </w:t>
      </w:r>
      <w:r>
        <w:rPr/>
        <w:t>6</w:t>
      </w:r>
      <w:r>
        <w:rPr>
          <w:rtl w:val="true"/>
        </w:rPr>
        <w:t xml:space="preserve">: </w:t>
      </w:r>
      <w:r>
        <w:rPr>
          <w:rtl w:val="true"/>
        </w:rPr>
        <w:t>لو فسخ البائع المغبون البيع</w:t>
      </w:r>
      <w:r>
        <w:rPr>
          <w:rtl w:val="true"/>
        </w:rPr>
        <w:t>]</w:t>
      </w:r>
      <w:bookmarkEnd w:id="16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فسخ البائع المغبون البيع، فإن كان المبيع موجوداً عند المشتري باقياً على حاله استردّه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تالفاً أو متلفاً رجع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له فسخ العقد، و مقتضى التفاسخ رجوع كلّ من العوضين إلى محلّه، و أمّا الاسترداد فهو تابع ردّه العين، و لا يجوز له أن يستردّ العين قبل ردّ العوض، كما في الوفاء بالعقد، فلكلّ واحد منها حقّ الامتناع و حقّ الحبس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القواعد العامة في باب الضمانات، و يظهر منهم أنّ المقصود رجوعه إليه في المثليّ بالمثل، و في القيميّ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رجوعه إليه، فهل 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هو إطلاق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التقريب الذي أبدعناه</w:t>
      </w:r>
      <w:r>
        <w:rPr>
          <w:rStyle w:val="FootnoteAnchor"/>
          <w:rtl w:val="true"/>
        </w:rPr>
        <w:footnoteReference w:id="377"/>
      </w:r>
      <w:r>
        <w:rPr>
          <w:rFonts w:ascii="Amiri" w:hAnsi="Amiri" w:eastAsia="Amiri" w:cs="Amiri"/>
          <w:color w:val="111111"/>
          <w:sz w:val="28"/>
          <w:sz w:val="28"/>
          <w:szCs w:val="28"/>
          <w:rtl w:val="true"/>
          <w:lang w:bidi="ar-SA"/>
        </w:rPr>
        <w:t>، أو قاعدة الإتلاف في صورة الإتلاف، أم هو مقتضى الفسخ، أو هو حكم العقلاء بعد الفسخ؟</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يكون الأخير متعيّناً؛ ضرورة أنّ التلف أو الإتلاف كان في ملكه، و لا معنى للضمان قبل الفسخ، فيكون الفسخ من الحين، و معناه حصول التلف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انقلاب اليد إلى يد ضمان بلا وجه حتّى على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العين التالفة تعتبر في ذمّة المفسوخ عليه؛ لأنّ ذلك ليس من استيلائه عليها، و هكذا قاعدة الإتلاف؛ للزوم كون المدار على قيمة يوم التلف، و هذا خلاف حكم العقلاء بالضرورة و لو كان المعتبر عين التالفة في الذمّة؛ لأنّه لا معنى له هنا بعد كون الإتلاف في ظرف تحقّقه، واقعاً على ملك المتلف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الأقرب أنّ الفسخ حيث هو يكون من حين، و ينحلّ به العقد، فما هو حكم العرف لزوم رجوع العين، و حيث هي مفقودة فيرجع إلى القيمة أو المثل، و لو كان الفسخ في الاعتبار هنا على بقاء العين التالفة في وعاء الاعتبار إلى حال الفسخ، أو إلى اعتبار بقائها حين الفسخ، فلا تلف بعد الفسخ حتّى يوجب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يتعذّر ردّ التالفة، فينتقل إلى القيمة أو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تعيّن القيمة في القيميّات، و المثل في المثليّات، غير تامّ عندنا في مطلق باب الضمانات، و ما أفادوه</w:t>
      </w:r>
      <w:r>
        <w:rPr>
          <w:rStyle w:val="FootnoteAnchor"/>
          <w:rtl w:val="true"/>
        </w:rPr>
        <w:footnoteReference w:id="378"/>
      </w:r>
      <w:r>
        <w:rPr>
          <w:rFonts w:ascii="Amiri" w:hAnsi="Amiri" w:eastAsia="Amiri" w:cs="Amiri"/>
          <w:color w:val="111111"/>
          <w:sz w:val="28"/>
          <w:sz w:val="28"/>
          <w:szCs w:val="28"/>
          <w:rtl w:val="true"/>
          <w:lang w:bidi="ar-SA"/>
        </w:rPr>
        <w:t>لا يرجع إلى محصّل، و محطّ بحثه في محلّ آخر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اختيار المضمون عليه و المغبون، و لكنّه خلاف مسلكهم قطعاً، فيكون المقصود رجوعه بالمثل</w:t>
      </w:r>
    </w:p>
    <w:p>
      <w:pPr>
        <w:pStyle w:val="BookText"/>
        <w:rPr/>
      </w:pPr>
      <w:r>
        <w:rPr>
          <w:rFonts w:ascii="Amiri" w:hAnsi="Amiri" w:eastAsia="Amiri" w:cs="Amiri"/>
          <w:color w:val="111111"/>
          <w:sz w:val="28"/>
          <w:sz w:val="28"/>
          <w:szCs w:val="28"/>
          <w:rtl w:val="true"/>
          <w:lang w:bidi="ar-SA"/>
        </w:rPr>
        <w:t>و إن حدث به عيب عنده؛ سواء كان بفعله، أو بغيره من آفة سماويّة و نحوها، أخذه مع الأرش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المثليّات، و القيمة في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هو الحقّ حسب الصناعة تخيير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لصورة الإتلاف فروعاً كثيرة مذكورة في كتابنا الكبير، و المقصود هنا صورة كون التلف بإتلاف الغابن؛ لأنّه القدر المتيقّن من الحكم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كون البيع الغبنيّ صحيحاً،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 مع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كأنّه مفروغ عنه في كلامهم، 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مقتضى الفسخ؛ لأنّ الفائت مضمون بجزء من العوض، فإذا ردّ تمام العوض وجب ردّ مجموع المعوّض، فيتدارك الفائت منه ببدله</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 فإنّ العيب و الصحّة لا يقابلان بشي‌ء في البيع؛ حتّى يكون جزء الثمن في قبال الصحّة، فيردّ الأرش عند تعذّر ردّ الصحيح</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يوجّه كلامه بمقالة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المبيع في البيع، و المملوك في ملكيّة الأعيان، ليس ذوات الأعيان بجوهريّتها التي تكون مركز الخلاف بين المشائين و الإشراقيّين مثلًا؛ لأنّها غير ذات أثر في الاعتبار، و ما هو المملوك في باب الضمانات و التجارات هي المنافع، إلّا أنّها إذا كانت مرسلة من</w:t>
      </w:r>
    </w:p>
    <w:p>
      <w:pPr>
        <w:pStyle w:val="BookText"/>
        <w:rPr/>
      </w:pPr>
      <w:r>
        <w:rPr>
          <w:rFonts w:ascii="Amiri" w:hAnsi="Amiri" w:eastAsia="Amiri" w:cs="Amiri"/>
          <w:color w:val="111111"/>
          <w:sz w:val="28"/>
          <w:sz w:val="28"/>
          <w:szCs w:val="28"/>
          <w:rtl w:val="true"/>
          <w:lang w:bidi="ar-SA"/>
        </w:rPr>
        <w:t xml:space="preserve">و لو أخرجه عن ملكه بوقف أو معاملة لازمة، فالظاهر أنّه بحكم 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الجهات و النواحي، تكون في الاعتبار عين المنفعة، و إذا كانت معتبرة في جهة لأجل جهة تكون منفعة العين،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مبيع تلف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بمعزل عن التحقيق، و لذلك استظهر السيّد الماتن</w:t>
      </w:r>
      <w:r>
        <w:rPr>
          <w:rStyle w:val="FootnoteAnchor"/>
          <w:rtl w:val="true"/>
        </w:rPr>
        <w:footnoteReference w:id="380"/>
      </w:r>
      <w:r>
        <w:rPr>
          <w:rFonts w:ascii="Amiri" w:hAnsi="Amiri" w:eastAsia="Amiri" w:cs="Amiri"/>
          <w:color w:val="111111"/>
          <w:sz w:val="28"/>
          <w:sz w:val="28"/>
          <w:szCs w:val="28"/>
          <w:rtl w:val="true"/>
          <w:lang w:bidi="ar-SA"/>
        </w:rPr>
        <w:t>عدم وجوب الأرش، و الالتزام به مشكل جدّاً، و هذا يكشف أيضاً عن أنّ البيع الغبنيّ ليس قبل لحوق الرضا به بيعاً عرفاً، و يكون من الفضوليّ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التضمين حكم عقلائيّ، أو المساواة بعد الفسخ شرط ضمنيّ، فلو ورد عيب يخرج عن المساواة، فلا بدّ من ردّ ما به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أيضاً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 الإتلاف</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وجهه و ما فيه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فيرجع إليه بالمثل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بنقل غير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بخيار و الهبة،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ما يتعلّق به</w:t>
      </w:r>
      <w:r>
        <w:rPr>
          <w:rStyle w:val="FootnoteAnchor"/>
          <w:rtl w:val="true"/>
        </w:rPr>
        <w:footnoteReference w:id="382"/>
      </w:r>
      <w:r>
        <w:rPr>
          <w:rFonts w:ascii="Amiri" w:hAnsi="Amiri" w:eastAsia="Amiri" w:cs="Amiri"/>
          <w:color w:val="111111"/>
          <w:sz w:val="28"/>
          <w:sz w:val="28"/>
          <w:szCs w:val="28"/>
          <w:rtl w:val="true"/>
          <w:lang w:bidi="ar-SA"/>
        </w:rPr>
        <w:t>و أنّ المثل في المثليّ و القيمة في القيميّ فيما نحن فيه، غير معلوم تعيّنه و لو كان متعيّناً في باب ضمان اليد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بنقل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عن جماعة</w:t>
      </w:r>
      <w:r>
        <w:rPr>
          <w:rStyle w:val="FootnoteAnchor"/>
          <w:rtl w:val="true"/>
        </w:rPr>
        <w:footnoteReference w:id="383"/>
      </w:r>
      <w:r>
        <w:rPr>
          <w:rFonts w:ascii="Amiri" w:hAnsi="Amiri" w:eastAsia="Amiri" w:cs="Amiri"/>
          <w:color w:val="111111"/>
          <w:sz w:val="28"/>
          <w:sz w:val="28"/>
          <w:szCs w:val="28"/>
          <w:rtl w:val="true"/>
          <w:lang w:bidi="ar-SA"/>
        </w:rPr>
        <w:t>، و هو الظاهر من عبارة القوم، حيث اعتبروا الخروج عن الملك على وجه اللزوم يمتنع الردّ، فكأنّ في صورة جواز العقد لا يمتنع الردّ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الإشكال هو أنّ إلزامه على الفسخ ليس مفيداً؛ لأنّ الملكيّة الحاصلة بعد الفسخ ليست الملكيّة السابقة، و مقتضى الفسخ و إعمال الخيار، رجوع كلّ من العوضين إلى الملكيّة السابقة قبل العقد، و قد زالت تلك الملكيّة بالهبة، و لو كان ذلك كافياً لكان لإلزامه في صورة خروجه عن ملكه بالبيع اللازم وجه؛ ضرورة أنّه يمكن الإقالة و الاشتراء أحياناً، و ما يأتي في الفرع الآتي أيضاً محلّ إشكال</w:t>
      </w:r>
    </w:p>
    <w:p>
      <w:pPr>
        <w:pStyle w:val="BookText"/>
        <w:rPr/>
      </w:pPr>
      <w:r>
        <w:rPr>
          <w:rFonts w:ascii="Amiri" w:hAnsi="Amiri" w:eastAsia="Amiri" w:cs="Amiri"/>
          <w:color w:val="111111"/>
          <w:sz w:val="28"/>
          <w:sz w:val="28"/>
          <w:szCs w:val="28"/>
          <w:rtl w:val="true"/>
          <w:lang w:bidi="ar-SA"/>
        </w:rPr>
        <w:t>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الإشكال قصور الأدلّة عن إلزامه، فهو فاسد؛ لإطلاق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صورة الفسخ قبل رجوعه في هبته، لا يعتبر للبائع المغبون ملك إلّا ملك البدل؛ لأنّ كون الاعتبار مراعى بالرجوع بلا وجه، بل غير معقول، و كونَه موجباً لعود ملك الموهوب له إلى المغبون، غير جائز؛ للزوم كونه ملك الشخصين، فعلى هذا لا معنى لإلزامه بعد انتقال البدل إليه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الفسخ لا يقتضي إلّا حلّ العقد، و أمّا رجوع كلّ عوض إلى صاحبه فهو من الأحكام العقلائيّة، فإن كان كلّ عوض بلا مانع، فيرجع إليه قهراً في الاعتبار، و يكون ملكاً له، و يجب عليه ردّه خارجاً، و إذا كان العوض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بالبيع اللازم كان، أو بغيره فعليه ردّ العين الموجودة عرفاً و إن لم تكن ملكاً للمغبون، فإنّ ذلك حكم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التعذّر عليه البدل، كما في باب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هذا الإجمال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المزبور في غير محلّه؛ لأنّه لو كان له وجه كان يشترك فيه الفرع السابق، أو الفرع اللاحق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هو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تصرّفات الغابن كلّها في حكم الفضوليّ، فيسقط جميع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صحيحة نافذة، فالأولى أنّ</w:t>
      </w:r>
    </w:p>
    <w:p>
      <w:pPr>
        <w:pStyle w:val="BookText"/>
        <w:rPr/>
      </w:pPr>
      <w:r>
        <w:rPr>
          <w:rFonts w:ascii="Amiri" w:hAnsi="Amiri" w:eastAsia="Amiri" w:cs="Amiri"/>
          <w:color w:val="111111"/>
          <w:sz w:val="28"/>
          <w:sz w:val="28"/>
          <w:szCs w:val="28"/>
          <w:rtl w:val="true"/>
          <w:lang w:bidi="ar-SA"/>
        </w:rPr>
        <w:t>ففي جواز إلزامه بالفسخ و إرجاع العين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رجعت العين إلى المشتري بإقالة، أو عقد جديد، أو فسخ؛ قبل رجوع البائع إليه بالبدل، لا يبعد أن يكون له إلزامه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العين و لو كان الانتقال السابق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الفسخ يورث خروج العين من الملكيّة الطارئة إلى الملكية السابقة، سواء كان مالكها الغابن، أو طرف الغابن، فإذا رجعت العين إلى المغبون يرجع الطرف الغابن إليه، و هذا ممّا يجمع به الحقوق، و لا ضيق في الاعتبار حتّى يكون هناك رادع عن تحقّق الفسخ بمعناه الواقعيّ، فليتدبّر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إلزامه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استشكل في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الخروج عن الملكيّة ثمّ العود ثانياً، يضرّ بإمكان الفسخ؛ لأنّ الفسخ حلّ العقد على وجه ترجع العين إلى الملكيّة السابقة بعد خروجها عن الملكيّة الآتية من قبل ذلك العقد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المتن أقوى؛ لعدم الدليل على الدعوى المزبورة، بل قد عرفت مقتضى الفسخ بما لا مزيد عليه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لم يختر في المسألة شيئاً،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يبنيان على أنّ الزائل العائد كالذي لم يزُل، أو كالذي لم يعد</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انتهى، و هذا هو المرموز</w:t>
      </w:r>
    </w:p>
    <w:p>
      <w:pPr>
        <w:pStyle w:val="BookText"/>
        <w:rPr/>
      </w:pPr>
      <w:r>
        <w:rPr>
          <w:rFonts w:ascii="Amiri" w:hAnsi="Amiri" w:eastAsia="Amiri" w:cs="Amiri"/>
          <w:color w:val="111111"/>
          <w:sz w:val="28"/>
          <w:sz w:val="28"/>
          <w:szCs w:val="28"/>
          <w:rtl w:val="true"/>
          <w:lang w:bidi="ar-SA"/>
        </w:rPr>
        <w:t xml:space="preserve">و لو نقل منفعتها إلى الغير بعقد لازم كالإجارة، لم يمنع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الفسخ، إليه في كلام بعض الشافعيّة</w:t>
      </w:r>
      <w:r>
        <w:rPr>
          <w:rStyle w:val="FootnoteAnchor"/>
          <w:rtl w:val="true"/>
        </w:rPr>
        <w:footnoteReference w:id="386"/>
      </w:r>
      <w:r>
        <w:rPr>
          <w:rFonts w:ascii="Amiri" w:hAnsi="Amiri" w:eastAsia="Amiri" w:cs="Amiri"/>
          <w:color w:val="111111"/>
          <w:sz w:val="28"/>
          <w:sz w:val="28"/>
          <w:szCs w:val="28"/>
          <w:rtl w:val="true"/>
          <w:lang w:bidi="ar-SA"/>
        </w:rPr>
        <w:t>، و النظر إلى أنّ مقتضى الفسخ ما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العود إلى الملكيّة ليس حدوثاً لها، بل هو من قبيل إعادة المعدوم عرفاً، و فيه ما لا يخفى؛ فإنّ العرف لا يتسامح في ذلك، و مسألة المعدوم العرفيّ و لو كانت صحيحة، و لكنّها في بعض الأمثلة الأُخرى، كالتقطير الحاصل من أبخرة البول، فإنّ البخار خروج عن صورة البوليّة، و لكن بعد التقطير يرجع إليها عرفاً،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نسب إلى الصيمري</w:t>
      </w:r>
      <w:r>
        <w:rPr>
          <w:rStyle w:val="FootnoteAnchor"/>
          <w:rtl w:val="true"/>
        </w:rPr>
        <w:footnoteReference w:id="387"/>
      </w:r>
      <w:r>
        <w:rPr>
          <w:rFonts w:ascii="Amiri" w:hAnsi="Amiri" w:eastAsia="Amiri" w:cs="Amiri"/>
          <w:color w:val="111111"/>
          <w:sz w:val="28"/>
          <w:sz w:val="28"/>
          <w:szCs w:val="28"/>
          <w:rtl w:val="true"/>
          <w:lang w:bidi="ar-SA"/>
        </w:rPr>
        <w:t>و أبي العبّاس</w:t>
      </w:r>
      <w:r>
        <w:rPr>
          <w:rStyle w:val="FootnoteAnchor"/>
          <w:rtl w:val="true"/>
        </w:rPr>
        <w:footnoteReference w:id="388"/>
      </w:r>
      <w:r>
        <w:rPr>
          <w:rFonts w:ascii="Amiri" w:hAnsi="Amiri" w:eastAsia="Amiri" w:cs="Amiri"/>
          <w:color w:val="111111"/>
          <w:sz w:val="28"/>
          <w:sz w:val="28"/>
          <w:szCs w:val="28"/>
          <w:rtl w:val="true"/>
          <w:lang w:bidi="ar-SA"/>
        </w:rPr>
        <w:t>، و وفاقاً للأكثر</w:t>
      </w:r>
      <w:r>
        <w:rPr>
          <w:rStyle w:val="FootnoteAnchor"/>
          <w:rtl w:val="true"/>
        </w:rPr>
        <w:footnoteReference w:id="389"/>
      </w:r>
      <w:r>
        <w:rPr>
          <w:rFonts w:ascii="Amiri" w:hAnsi="Amiri" w:eastAsia="Amiri" w:cs="Amiri"/>
          <w:color w:val="111111"/>
          <w:sz w:val="28"/>
          <w:sz w:val="28"/>
          <w:szCs w:val="28"/>
          <w:rtl w:val="true"/>
          <w:lang w:bidi="ar-SA"/>
        </w:rPr>
        <w:t>، فإنّ وجه الانتقال إلى البدل هي المزاحمة لحقّ المنتقل إليه بالبيع و نحوه، و أمّا في مثل الإجارة فلا مزاحمة؛ لأنّ فسخ عقد البيع الغبنيّ لا يقتضي إلّا رجوع العين مثلًا إلى المحلّ الأوّل بالفعل مثلًا، و هذا حاصل في مفروض البحث، و عدم نقل المنفعة لا يضرّ به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الفسخ رجوع العين على ما كانت حين</w:t>
      </w:r>
    </w:p>
    <w:p>
      <w:pPr>
        <w:pStyle w:val="BookText"/>
        <w:rPr/>
      </w:pPr>
      <w:r>
        <w:rPr>
          <w:rFonts w:ascii="Amiri" w:hAnsi="Amiri" w:eastAsia="Amiri" w:cs="Amiri"/>
          <w:color w:val="111111"/>
          <w:sz w:val="28"/>
          <w:sz w:val="28"/>
          <w:szCs w:val="28"/>
          <w:rtl w:val="true"/>
          <w:lang w:bidi="ar-SA"/>
        </w:rPr>
        <w:t xml:space="preserve">كما أنّه بعد الفسخ تبقى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و ترجع العين إلى الفاسخ مسلوبة المنفعة، و له سائر المنافع غير ما ملكه المستأجر لو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إلى مالكها قبل العقد، و هذا ممتنع هنا، و يظهر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 في المنفعة، و المقام مثله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الفسخ ليس إلّا حلّ العقد، و أمّا بعد ذلك فالأمر موكول إلى العقلاء و أحكامهم، و لا اقتضاء للفسخ؛ لأنّه ليس إلّا إعدام العقد في أُفق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تبقى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فسخ المغبون في أثناء مدّة الإجارة، فقاسوا ما نحن فيه بالعقد على المستأجرة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مالكيّة الغابن للمنفعة على إطلاقها ممنوعة، و ليست كمالكيّة المالك بالملك المستقرّ، بل هي كمالكيّة البطن الموجود، فإنّ إجارتهم على وجه يستوعب عصر البطن المعدوم، ممنوعة الصحّة عندهم في نوع صور الوقف، و إن فصّلنا في المسألة في محلّها، و على هذا إذا فسخ المغبون، يكشف ذلك عن عدم مالكيّة الغابن للمنفعة بعد الفسخ، فلا تبقى الإجارة صحيحة، كما لا يكون للغابن التصرّف بالفرس على وجه يكون له حقّ الإبقاء بعد الفسخ، فالبطلان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جواز رجوعه إلى المشتري بأُجرة المثل بالنسبة إلى بقيّة المدّة، وجه 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يحتمل أن يرجع إليه بالنقص الطارئ على العين من جهة كونها مسلوبة المنفعة في تلك المدّة، فتقوّم بوصف كونها ذات منفعة في تلك المدّة مرّة، و مسلوبة المنفعة فيها أُخرى، فيأخذ مع العين التفاوت بين القيمتين، و يؤيّد ذلك مساعدة العرف على البطلان، و لا سيّما فيما إذا كانت مدّة الإجارة طويلة، و المنفعة المعتدّ بها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أنكره في درسه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Style w:val="FootnoteAnchor"/>
          <w:rtl w:val="true"/>
        </w:rPr>
        <w:footnoteReference w:id="391"/>
      </w:r>
      <w:r>
        <w:rPr>
          <w:rFonts w:ascii="Amiri" w:hAnsi="Amiri" w:eastAsia="Amiri" w:cs="Amiri"/>
          <w:color w:val="111111"/>
          <w:sz w:val="28"/>
          <w:sz w:val="28"/>
          <w:szCs w:val="28"/>
          <w:rtl w:val="true"/>
          <w:lang w:bidi="ar-SA"/>
        </w:rPr>
        <w:t xml:space="preserve">نظراً إلى أنّ القواعد قاصرة عن تثبيت الضمان و جواز المراجعة إلى الغابن؛ لقصور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الاقتضاء للفسخ أكثر من عود العين و قد عادت، و لأنّ حكم العقلاء ليس محرزاً، و ربّما ينشأ عن الجهات غير الإلزاميّة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عرفت فساد الإجارة، فلا تصل نوبة البحث إلى ذلك، و الترديدُ المتراءى في كلمات القوم هنا، يشهد على فساد مرامهم رأساً في أصل صحّة تصرّفات الغابن، و لا سيّما التصرّفات الباقية بعد الغبن، كالإجارة و العارية و غيرهما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تحرّر منّا في رسالتنا الموسّعة في قاعدة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قاعدة عامّة نافية ناهية</w:t>
      </w:r>
      <w:r>
        <w:rPr>
          <w:rStyle w:val="FootnoteAnchor"/>
          <w:rtl w:val="true"/>
        </w:rPr>
        <w:footnoteReference w:id="392"/>
      </w:r>
      <w:r>
        <w:rPr>
          <w:rFonts w:ascii="Amiri" w:hAnsi="Amiri" w:eastAsia="Amiri" w:cs="Amiri"/>
          <w:color w:val="111111"/>
          <w:sz w:val="28"/>
          <w:sz w:val="28"/>
          <w:szCs w:val="28"/>
          <w:rtl w:val="true"/>
          <w:lang w:bidi="ar-SA"/>
        </w:rPr>
        <w:t>، و في صورة كونها نافية رافعة دافعة جابرة و مشرّعة أحياناً، و على هذا إذا كان الفسخ ضرريّاً يكون الخيار منفيّاً، فلو أعمل المغبون خياره مع علمه بالجهات الموجودة فلا بأس، و إلّا فلا خيار له كشفاً بالقاعدة،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خيار في الخيار؛ أي له استرداد العين بعد الفسخ، و له فسخ الفسخ، بل يكشف بها عدم نفوذ فسخه،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رجوعه إليه بالمثل أو القيمة، و لا سيّما في صورة توجّه المغبون إلى إجارة الغابن؛ و أنّ العين مسلوبة المنفعة، فهو في صورة عدم إمكان انجبار ضرره من ناحية أُخرى هي المتقدّمة عليه؛ و هو نفي الخيار بعد الإجارة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المقدار الذي تغابن فيه موجباً لأعماله الخيار، فقضيّة كونها قاعدة جابرة لزوم المثل أو القيمة، و في المسألة بحوث دقيقة، من شاء فعليه بالرجوع إلى كتابنا الكبير إن شاء اللَّه تعالى</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تفاوت غالباً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معنى لتعرّض الفقيه لأمثال هذه المسائل الخارجة عن فنّه غير اللازم ذكرها، و غير الواجب اتباعه، و على كلّ تقدير وجود التفاوت و عدمه أجنبيّ عن البحث، و غير جدير بهم</w:t>
      </w:r>
      <w:r>
        <w:rPr>
          <w:rFonts w:eastAsia="Amiri" w:cs="Amiri" w:ascii="Amiri" w:hAnsi="Amiri"/>
          <w:color w:val="111111"/>
          <w:sz w:val="28"/>
          <w:szCs w:val="28"/>
          <w:rtl w:val="true"/>
          <w:lang w:bidi="ar-SA"/>
        </w:rPr>
        <w:t>.</w:t>
      </w:r>
      <w:bookmarkStart w:id="161" w:name="pg12370_121688"/>
    </w:p>
    <w:p>
      <w:pPr>
        <w:pStyle w:val="Heading5"/>
        <w:numPr>
          <w:ilvl w:val="4"/>
          <w:numId w:val="1"/>
        </w:numPr>
        <w:rPr/>
      </w:pPr>
      <w:bookmarkStart w:id="162" w:name="__RefHeading___Toc9026194_417432637"/>
      <w:bookmarkStart w:id="163" w:name="_Toc58"/>
      <w:bookmarkEnd w:id="161"/>
      <w:bookmarkEnd w:id="162"/>
      <w:r>
        <w:rPr>
          <w:rtl w:val="true"/>
        </w:rPr>
        <w:t>[</w:t>
      </w:r>
      <w:r>
        <w:rPr>
          <w:rtl w:val="true"/>
        </w:rPr>
        <w:t xml:space="preserve">مسألة </w:t>
      </w:r>
      <w:r>
        <w:rPr/>
        <w:t>7</w:t>
      </w:r>
      <w:r>
        <w:rPr>
          <w:rtl w:val="true"/>
        </w:rPr>
        <w:t xml:space="preserve">: </w:t>
      </w:r>
      <w:r>
        <w:rPr>
          <w:rtl w:val="true"/>
        </w:rPr>
        <w:t>بعد فسخ البائع المغبون لو كان المبيع موجوداً عند المشتري، لكن تصرّف فيه تصرّفاً مغيّراً له</w:t>
      </w:r>
      <w:r>
        <w:rPr>
          <w:rtl w:val="true"/>
        </w:rPr>
        <w:t>]</w:t>
      </w:r>
      <w:bookmarkEnd w:id="16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فسخ البائع المغبون لو كان المبيع موجوداً عند المشتري، لكن تصرّف فيه تصرّفاً مغيّراً له إمّا بالنقيصة، أو بالزيادة، أو بالامتزاج؛ فلو كان بالنقيصة أخذه، و رجع إليه بالأرش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بالزيادة، فإمّا أن تكون صفة محضة، كطحن الحنطة، و قصارة الثوب، و صياغة الفضّة، أو صفة مشوبة بالعين، كالصبغ إذا كان له عين عرفاً، أو عيناً محضاً، كالغرس و الزرع و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للزيادة دخل في زيادة القيمة، يرجع إلى العين،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شي‌ء على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لها دخل في زيادتها يرجع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وضعاً، و أمّا تكليفاً فيمكن أن تكون الزيادة ملكاً للمحدث، فيمنع عن التصرّف في العين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مال محترم، دون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أساس للتفكيك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إحداث الصفة أوجب زوال قابليّة العين عن الزيادة المقوَّمة، فإنّه يعدّ من النقيصة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إليه بالأرش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ما فيه</w:t>
      </w:r>
      <w:r>
        <w:rPr>
          <w:rStyle w:val="FootnoteAnchor"/>
          <w:rtl w:val="true"/>
        </w:rPr>
        <w:footnoteReference w:id="394"/>
      </w:r>
      <w:r>
        <w:rPr>
          <w:rFonts w:ascii="Amiri" w:hAnsi="Amiri" w:eastAsia="Amiri" w:cs="Amiri"/>
          <w:color w:val="111111"/>
          <w:sz w:val="28"/>
          <w:sz w:val="28"/>
          <w:szCs w:val="28"/>
          <w:rtl w:val="true"/>
          <w:lang w:bidi="ar-SA"/>
        </w:rPr>
        <w:t>إن كان</w:t>
      </w:r>
    </w:p>
    <w:p>
      <w:pPr>
        <w:pStyle w:val="BookText"/>
        <w:rPr/>
      </w:pPr>
      <w:r>
        <w:rPr>
          <w:rFonts w:ascii="Amiri" w:hAnsi="Amiri" w:eastAsia="Amiri" w:cs="Amiri"/>
          <w:color w:val="111111"/>
          <w:sz w:val="28"/>
          <w:sz w:val="28"/>
          <w:szCs w:val="28"/>
          <w:rtl w:val="true"/>
          <w:lang w:bidi="ar-SA"/>
        </w:rPr>
        <w:t xml:space="preserve">و في كون زيادة القيمة للمشتري لأجل الصفة، فيأخذ البائع العين، و يدفع زيادة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كونه شريكاً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القيمة، فيباع و يقسّم الثمن بينهما بالنسبة،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صفة الكمال، أو صفة الصحّة؛ ضرورة أنّ الأوصاف ليس بحذائها شي‌ء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أُريد منه نقصان الجزء و مقدار من الكمّية، لا الكيفيّة، كما هو الظاهر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فالتقسيط في محلّه إذا كان تلف بعض الأجزاء لم يكن موجباً لتلف الكلّ عرفاً، و لم يكن التصرّف بالنقيصة ملحقاً بالتلف رأساً، كما إذا كسر الرقّي و البطّيخ، أو نقص شي‌ء من الحجر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الأمتعة تختلف، فإطلاق الحكم محلّ منع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البائع بمقتضى الفسخ، يملك العين قهراً، و الصفة شي‌ء قائم بالعين تابع لها، و لا يحاذيها شي‌ء من الثمن كما هو المعلوم، و أمّا ذلك فلا يستلزم سقوط ماليّة الصفة الموجبة لزيادة ماليّة العين، فلا تنهدر على محدثها بحكم العرف و العقلاء، و لا حقّ له أكثر من طلب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كونه شريكاً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الشركة في القيمة ليست معناها الشركة بعد البيع في الثمن، فإنّه لا يورث وجوب البيع، و يلزم على هذا هتك ماله إذا وهبها بلا عوض</w:t>
      </w:r>
    </w:p>
    <w:p>
      <w:pPr>
        <w:pStyle w:val="BookText"/>
        <w:rPr/>
      </w:pPr>
      <w:r>
        <w:rPr>
          <w:rFonts w:ascii="Amiri" w:hAnsi="Amiri" w:eastAsia="Amiri" w:cs="Amiri"/>
          <w:color w:val="111111"/>
          <w:sz w:val="28"/>
          <w:sz w:val="28"/>
          <w:szCs w:val="28"/>
          <w:rtl w:val="true"/>
          <w:lang w:bidi="ar-SA"/>
        </w:rPr>
        <w:t xml:space="preserve">أو شريكاً معه في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بنسبة تلك الزيادة، أو كون العين للبائع، فما يظهر من بعض الأعلام من الشركة في القيمة بالمعنى المزبور</w:t>
      </w:r>
      <w:r>
        <w:rPr>
          <w:rStyle w:val="FootnoteAnchor"/>
          <w:rtl w:val="true"/>
        </w:rPr>
        <w:footnoteReference w:id="395"/>
      </w:r>
      <w:r>
        <w:rPr>
          <w:rFonts w:ascii="Amiri" w:hAnsi="Amiri" w:eastAsia="Amiri" w:cs="Amiri"/>
          <w:color w:val="111111"/>
          <w:sz w:val="28"/>
          <w:sz w:val="28"/>
          <w:szCs w:val="28"/>
          <w:rtl w:val="true"/>
          <w:lang w:bidi="ar-SA"/>
        </w:rPr>
        <w:t>،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الشركة في الماليّة الشخصيّة الموجودة بوجود العين، و هذا هو الظاهر من المتن، إلّا أنّه لا يلزم البيع، بل يتعيّن إرجاع ما به التفاوت إلى المحدث الغابن؛ نظراً إلى أنّ إعطاء الزيادة بلا حصول الشركة في الماليّة، معناه كون الزيادة ملكاً للغابن، مع أنّها وصف يورث ازدياد القيمة، و ليست شيئاً مستقلا، مثل وصف كون العين قرب السوق، أو وصف العلم و الصفة، فإنّ هذه الأُمور لا تملك، و لا تكون مورد الحقّ، فالوجه الأوّل غير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الوجه، فلازمه كون الوصف تبعاً للعين، و لا يكون مستقلا في الملكيّة، و يوجب الشركة القهريّة في الماليّة الموجود بوجود العين، فترجع إليه القيمة، و تزداد تلك بازدياد القيمة السوقيّة، فيكون على المغبون إرجاع ما به التفاوت على حساب يوم المطالبة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شريكاً معه في العين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الماليّة المشترك فيها قائمة بها، و متّحدة معها، و لا يعقل التفكيك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 لازم عدم كون الصفة المحدثة للمرغوبيّة هدراً،</w:t>
      </w:r>
    </w:p>
    <w:p>
      <w:pPr>
        <w:pStyle w:val="BookText"/>
        <w:rPr/>
      </w:pPr>
      <w:r>
        <w:rPr>
          <w:rFonts w:ascii="Amiri" w:hAnsi="Amiri" w:eastAsia="Amiri" w:cs="Amiri"/>
          <w:color w:val="111111"/>
          <w:sz w:val="28"/>
          <w:sz w:val="28"/>
          <w:szCs w:val="28"/>
          <w:rtl w:val="true"/>
          <w:lang w:bidi="ar-SA"/>
        </w:rPr>
        <w:t xml:space="preserve">و للمشتري اجرة عمله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ليس له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وجوه أقواها الثاني، و لا يكون البائع ملزماً بالبيع، بل له أخذ المبيع، و تأدية ما للمشتري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الشركة في العين؛ ضرورة أنّ الشركة في الماليّة فرع اعتبار الماليّة، و هذا أمر حادث بعد حدوث العُروض و النقود، و أمّا في العصور القديمة بل في القرى النائية في هذه العصور أيضاً فليس من الماليّة و التقويم أثر؛ بل الناس يتبادلون الأجناس و الأمتعة؛ لاحتياجاتهم الشخصيّة، و لإدارة حياتهم و معاشهم الأوّلية، فالوجه الثاني أيضاً غلط، فالشركة لو كانت فهي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إلى أنّ حرمة عمله محفوظة، و الشركة في الماليّة و في العين باطلة مطلقاً؛ ضرورة أنّ الغابن حين التصرّف في العين كان مالكاً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للشركة قبل الفسخ، و بعد الفسخ لا بدّ أوّلًا من اعتبار الملك المستقل للغابن، ثمّ الشركة، مع أنّه لو اعتبر له ملك مستقل لشي‌ء لا تحصل الشركة؛ لأنّ الاستقلال في الملكيّة ينافي الإشاعة التي هي من لوازم الشركة، فالوجه السابق أيضاً غير متحصّل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 له شي‌ء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أنّ العمل المزبور كان في عصر مالكيّته للعين، فلا معنى لمالكيّته في ذلك العصر بالنسبة إلى نفس العمل أو الأُجرة، و بعد</w:t>
      </w:r>
    </w:p>
    <w:p>
      <w:pPr>
        <w:pStyle w:val="BookText"/>
        <w:rPr/>
      </w:pPr>
      <w:r>
        <w:rPr>
          <w:rFonts w:ascii="Amiri" w:hAnsi="Amiri" w:eastAsia="Amiri" w:cs="Amiri"/>
          <w:color w:val="111111"/>
          <w:sz w:val="28"/>
          <w:sz w:val="28"/>
          <w:szCs w:val="28"/>
          <w:rtl w:val="true"/>
          <w:lang w:bidi="ar-SA"/>
        </w:rPr>
        <w:t>الفسخ لا معنى لكون المغبون ضامناً لما عمله في ملكه، و إلّا يلزم ذلك في مطلق الانتقالات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متزلزلًا لا يقتضي ذلك؛ لعدم كونه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إنكار ذلك و القول بعدم شي‌ء له، خلاف الطريقة العقلائيّة، و الفهم العرفيّ، و الأحكام العرفيّة بالضرورة، اختار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الوجه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الأقوى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مالكيّة الأوصاف مالكيّة صحيحة عقلائيّة، و منها مالكيّة السرقفليّة، و قد تحرّر منّا بيانها و حدودها في رسالتنا الخاصّة بها المكتوبة في سجن قزل قلعه</w:t>
      </w:r>
      <w:r>
        <w:rPr>
          <w:rStyle w:val="FootnoteAnchor"/>
          <w:rtl w:val="true"/>
        </w:rPr>
        <w:footnoteReference w:id="396"/>
      </w:r>
      <w:r>
        <w:rPr>
          <w:rFonts w:ascii="Amiri" w:hAnsi="Amiri" w:eastAsia="Amiri" w:cs="Amiri"/>
          <w:color w:val="111111"/>
          <w:sz w:val="28"/>
          <w:sz w:val="28"/>
          <w:szCs w:val="28"/>
          <w:rtl w:val="true"/>
          <w:lang w:bidi="ar-SA"/>
        </w:rPr>
        <w:t>، و هي الآن مع كثير من مكتوباتنا في سجن عند حكومة إيران خذلها اللَّه، و خذل كلّ ظالم و 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الأوصاف كالمنافع مملوكة و لو كانت أعراضاً قائمة، فإنّها أقوى من المنافع المتدرّجة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كلّ مورد لا يساعد العقلاء على مالكيّتها، فلا بدّ من الالتزام بأنّ له شيئاً في العين؛ و حقّاً قائماً بها غير مهتوك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استقرب في الدرس الوجه الأخير</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أنّ الصورة التي تقوم في الصياغة أضعاف قيمة الذهب</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الوجوه المذكورة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الفضّة تكون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الغابن متوجّهاً إلى الغبن، و متوجّهاً إلى أنّ المغبون لا يرتضي و يفسخ، و مع ذلك أقدم على ذلك، كان للقول بأنّه أقدم على نفسه وجه، و لكنّه أيضاً غير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اشتهر من مالكيّة الغابن و تماميّة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قوّيناه و إن كان يمكن بعض الوجوه المزبورة، إلّا أنّه لمكان كونه تصرّفاً في المقبوض بالعقد الفاسد، المحكوم بالغصب عند المحصّلين؛ حسبما قاله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فلازمه عدم كونه صاحب عِرْق، و لكنّه أيضاً ليس معناه انهدار ملكه، بل معناه أنّه لا يراعي رضاه، بل يقلع و يرمي عنده، و فيما نحن فيه يعطي قيمة الصورة في الصياغة مثلًا إليه، فإن قبل فهو، و إلّا فيؤدّيها إلى الحاكم و وليّه؛ لأنّه وليّ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له عين عرفاً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في هذه الصورة يكون الوجه الذي قوّيناه أقرب، و يؤيّد به سائر الصور؛ لعدم دخالة للعين في هذه الجهة كما هو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البائع إلى المبيع، و يكون الغرس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للمشتري، و ليس للبائع إلزامه بالقلع و الهدم،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الغرس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لصاحبه و مالكه، و هكذا البناية التي أحدثها الغابن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يرجع بعد زوال الغرس و انهدام البناية؛ لتعذّر الرجوع فارغاً، و قد اعتبر رجوع البيع بالفسخ على ما كان عليه حين العقد، واضح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بالقلع و الهدم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المشهور هنا أيضاً،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الشهرة فيما إذا رجع بائع الأرض المغروسة بعد تفليس المشتري</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الشفعة إلزامه بالقلع بلا أرش</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مورد القاعدة من جهات شتّى، فلا إجماع و لا شهرة مفيدة فيها؛ ضرورة أنّ الغابن المالك للأرض ليس ظالماً حتّى لا يكون له عِرْق، و لا يقتضي الخيار قلع الشجرة و هدم البناية، و لو كان متعلّقاً بالعين فلا يجوز التصرّف في مال الغير،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المسلم إلّا</w:t>
      </w:r>
    </w:p>
    <w:p>
      <w:pPr>
        <w:pStyle w:val="BookText"/>
        <w:rPr/>
      </w:pPr>
      <w:r>
        <w:rPr>
          <w:rFonts w:ascii="Amiri" w:hAnsi="Amiri" w:eastAsia="Amiri" w:cs="Amiri"/>
          <w:color w:val="111111"/>
          <w:sz w:val="28"/>
          <w:sz w:val="28"/>
          <w:szCs w:val="28"/>
          <w:rtl w:val="true"/>
          <w:lang w:bidi="ar-SA"/>
        </w:rPr>
        <w:t>بطيبة نفس منه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و إعطاء الأرش لا يجوِّز ذلك، كما في سائر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الغارس بعد الفسخ، يكون قد هجم على مال الغير بإشغال الأرض، فلصاحب الأرض الدفاع و لو بالقلع و قتل صاحبه إذا منع عن التخليص، غير مقبولة عند العقلاء، و لا صحيحة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قاعدة السلطنة يقتضي جوازه، كما هو ظاهر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فلكلّ منهما تخليص ماله عن مال صاحبه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غير صحيح؛ لما لا أساس لها سنداً، و لا إطلاق لها دلالة من هذه الجهة، و لا سيّما إذا استفاد العرف منها نفي سلطنة الإنسان على مال الغير، فتكون قاعدة مثبتة لها، و نافية للسلطنة على مال الغير، هذا و التصرّف حرام، و الإضرار بالغير ممنوع إمّا وضعاً، أو هو و تكليفاً؛ بناءً على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قرّبناه في رسالتنا فيها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العقلاء منّا ذلك، و هذا يكفي لعدم ثبوت إطلاق لدليل يقتضي جواز القلع و الهدم،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بالأرش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إلزامه بالإبقاء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أُشير إليه</w:t>
      </w:r>
      <w:r>
        <w:rPr>
          <w:rStyle w:val="FootnoteAnchor"/>
          <w:rtl w:val="true"/>
        </w:rPr>
        <w:footnoteReference w:id="404"/>
      </w:r>
      <w:r>
        <w:rPr>
          <w:rFonts w:ascii="Amiri" w:hAnsi="Amiri" w:eastAsia="Amiri" w:cs="Amiri"/>
          <w:color w:val="111111"/>
          <w:sz w:val="28"/>
          <w:sz w:val="28"/>
          <w:szCs w:val="28"/>
          <w:rtl w:val="true"/>
          <w:lang w:bidi="ar-SA"/>
        </w:rPr>
        <w:t>نظراً إلى عدم هدر المال و حرمته، فيجوز القلع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جاز القلع، و كان ذلك حقّا لصاحب الأرض، فيجوز القلع، و على صاحب الشجرة طمّ الحفرة</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إلزامه بالإبقاء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صاحب الشجر و الزرع و البناية، و لا سلطنة له إلّا على ماله، أو على تخليصه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ذلك؛ لأنّ إطلاق القاعدة يحكم به، ضرورة أنّ بالقلع يلزم الحفرة الممنوعة، و يستلزم التصرّفات المحرّمة، و الإضرار بالأرض منهيّ، و بناءً على الجبران بطمّ الحفرة، لا يصحّح ذلك بالضرورة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بمعزل عن التحقيق، و المجّانية في الإبقاء لا تستلزم السلطنة على مال الغير، و لا سيّما إذا كان في الإبقاء ضرر على صاحب الشجر و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ليس للمشتري حقّ الإبقاء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 اجرة، فعلى المشتري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الإبقاء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غاية ما يمكن أن يقال لاستحقاقه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تصرّفه كان عن حقّ، فله استيفاء الأرض في زمان مالكيّته المرسلة للعين و تبعاتها، فإذا رجعت العين و الأرض إلى ربّها ترجع مسلوبة المنفعة، كما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ليس نظير بيع العين المستأجرة، بل لو كان له نظيراً، فهو من قبيل إجارة البطن الأوّل بالنسبة إلى عصر البطن المتأخّر في كثير من فروض الأوقاف على البطون و الذرّيات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بمسألة بيع العين المستأجرة؛ لأنّ هناك اعتبرت منفعة الدار في زمان كذا ملكاً لمالك الدار، ثمّ انتقلت إلى المستأجر، و لا ترجع إلى المشتري بانتقال العين؛ للتفكيك السابق على البيع، بخلاف المقام، فإنّه كان ينتفع من الأرض تدريجاً، فإذا انتقلت الأرض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إثبات حقّ له حتّى يجوز له الإبقاء، بل ممنوعيّة المالك عن التصرّف في الأرض بالقلع و الهدم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المالك ممنوع، كذلك الإبقاء المستلزم للإضرار، كما ربّما يتحقّق أحياناً، أو الإبقاء الموجب للانتفاع من أرض الغير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الإبقاء المنتزع منه إشغال مال الغير ممنوع؛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w:t>
      </w:r>
    </w:p>
    <w:p>
      <w:pPr>
        <w:pStyle w:val="BookText"/>
        <w:rPr/>
      </w:pPr>
      <w:r>
        <w:rPr>
          <w:rFonts w:ascii="Amiri" w:hAnsi="Amiri" w:eastAsia="Amiri" w:cs="Amiri"/>
          <w:color w:val="111111"/>
          <w:sz w:val="28"/>
          <w:sz w:val="28"/>
          <w:szCs w:val="28"/>
          <w:rtl w:val="true"/>
          <w:lang w:bidi="ar-SA"/>
        </w:rPr>
        <w:t xml:space="preserve">أمّا إبقاؤها بالأُجرة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إمّا قلعها مع طمّ الحفر، و تدارك النقص الوارد على الأرض، و للبائع إلزامه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 امرئٍ </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فإنّ اسناد عدم الحلّية إلى المال، يصحّ في موقف الممنوعيّة عن جميع أنحاء الإضافات إليه، و منها الأشغال، فإنّه بحكم العرف يعدّ عدواناً على المالك، و يكون عندئذٍ من الظالم الذي لا عِرْق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محاذير كثيرة، و لا يمكن الفرار من الكلّ، فيتعيّن أقلّها، و تلك المحاذير مضافاً إلى ما عرفت هي التبذير، و إلزام كلّ واحد الآخر على شي‌ء، و أخذ كلّ واحد الأُجرة إذا كان لمالك الأرض غرض في بقاء الشجرة و البناية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فليست المحاذير محصورة بما مرّ و ما قيل، و لأجل ذلك تكون المسألة مشكلة، و ربّما تكون من المسائل التي تردّ إلى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ليس أقلّ المحاذير؛ ضرورة أنّ ذلك إذا لم يكن مالك الأرض راضياً، يستلزم التصرّفات المحرّمة و الإضرار المحرّم، و ربّما لا ينجبر الإضرار بالأرض بالطمّ و نحوه، و لا يجوز إلزام المالك بأخذ الأُجرة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قلعها ربّما يكون تبذيراً للزرع و الشجر و البناية، فلو كان</w:t>
      </w:r>
    </w:p>
    <w:p>
      <w:pPr>
        <w:pStyle w:val="BookText"/>
        <w:rPr/>
      </w:pPr>
      <w:r>
        <w:rPr>
          <w:rFonts w:ascii="Amiri" w:hAnsi="Amiri" w:eastAsia="Amiri" w:cs="Amiri"/>
          <w:color w:val="111111"/>
          <w:sz w:val="28"/>
          <w:sz w:val="28"/>
          <w:szCs w:val="28"/>
          <w:rtl w:val="true"/>
          <w:lang w:bidi="ar-SA"/>
        </w:rPr>
        <w:t>رضا المالك معتبراً يستلزم القلع ذلك؛ بالنظر إلى الدليل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جانب الغابن لا سبيل إلى الاختيار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ناحية المغبون، فإنّه بعد الفسخ إذا أجبره بالأُجرة يلزم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في ناحية إجباره على القلع أنّ الإجبار ممنوع، و أخذ الأُجرة مع عدم رضاه ممنوع شرعاً، و التصرّف فيه محرّم، و لذلك ربّما يكون أخذ الأُجرة في صورة الامتناع عنها عن ثمرة الشجرة و الزرع و منافع البناية، أقلّ محذوراً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ربّما يكون هو الأقرب 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المنكر و النهي العمليّ القالع لمادّة الفساد واجب، و حيث إنّ المنكر و المحرّم في المسألة من تبعات المالكَين؛ لأنّ في عدم رضاهما يلزم كثير من المحاذير، فعندئذٍ تجب المراضاة لهدم مادّة المنكر المحرّم، فإذا تراضيا على أمر فهو، و إلّا يرجع الأمر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يستشمّ من مورد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ينفعك للمقام، و المسألة تطلب من كتابنا الكبير إن شاء اللَّه تعالى</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أمكن غرس المقلوع بحيث لم يحدث فيه شي‌ء إلّا تبدّل المكان، فللبائع أن يلزمه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فرق في ذلك بين الزرع و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يلزمه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ذلك للزم جواز إلزام مالك الشجر مالكَ الأرض فيما إذا لم يلزم من بقائه فيه شي‌ء، و لكن جواز السلطنة على الغير مرهون بإذن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في قلع الشجر شي‌ء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التصرّف في مال الغير بدون الإذن، ليس أسوأ من إعمال القدرة، مع أنّ في إعمال القدرة ربّما ينتسب التصرّف في مال الغير إلى المقتدر المسبِّب، و لا سيّما في صورة أقوائيّته، كما هو كذلك في مفروض الكلام، و عندئذٍ يلزم المحذوران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يشهد لما أشرنا إليه مورد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بالقلع، و لم يلزمه بذلك</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الزرع و غيره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الزرع فيتعيّن فيه الإبقاء بالأُجرة؛ لأنّ له أمداً ينتظر</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لإمكان الجمع بين الحقّين على وجه لا ضرر فيه على الطرفين، بخلاف مسألة الشجرة، فإنّ في تعيين إبقائه بالأُجرة ضرراً على مالك الأرض؛ لطول مدّة البقاء، فتأمّل</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لو كان على ما أفاداه، للزم التفصيل بين موارد الزرع و الشجر، و لا ينبغي الحكم المطلق عليهما، و بناءً على ما قوّيناه من لزوم الفرار من مادّة الفساد بقلعها؛ نظراً إلى أدلّة الأمر بالمعروف و النهي عن المنكر لا فرق بين الموارد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يرضيا على أمر، و لم يتوافقا على شي‌ء، و خالفا أمر المولى، فلا يبعد سقوط حرمة مالهما بمقدار يدفع به الفساد، و ينحلّ به الإشكال و الإعضال، و ربّما يكون ذلك من الحِسبيّات؛ لانجراره إلى الفساد و النزاع في الأزمنة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قلعه غلبة الفساد و التشاجر، فلا بدّ من المحافظة على ما هو الأوفق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بالامتزاج، فإن كان بغير جنسه بحيث لا يتميّز، فكالمعدوم يرجع بالمثل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القيمة، من غير فرق بين ما كان مستهلكاً و عدّ تالفاً، كما إذا خلط ماء الورد بالزيت، أو انقلبا إلى حقيقة أُخرى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يترك الاحتياط بالتصالح و التراضي في غير الصورتين؛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الاستهلاك يكون الوجه عدم وجود المعقود عليه حتّى يكون راجعاً إلى مالكه الأوّل، و هذا في حدّ ذاته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بحسب نظر العرف؛ حيث يرى ماله فيه، و يجد أحقّيّته به من الأجنبيّ، فعدم بقاء المعقود عليه يستلزم البدل، أو يتعيّن على الغابن بعد الفسخ ردّ البدل من المال المستهلك فيه، أم يكون العرف حاكماً ببقائه فيه، كما أنّ العقل يحكم بذلك حتّى في المائعات الرقيقة؛ لأنّ الوحدة الاتصاليّة المساوقة للوحدة و التشخّص و للوجود، و الجزئيّة الحقيقيّة غير حاصلة في هذه الوحدات الموجودة بين أيدينا، فانقلاب الكأسين إلى كأس واحد، ليس في الحقيقة انعدام الهويّتين إلى هويّة ثالثة فيما بين أيدينا من المائعات؛ و إن كان لا بدّ من وجود الواحد الحقيقيّ صاحب الوحدة الاتصاليّة في بينها؛ لامتناع الجوهر الفرد و الجزء الذي لا يتجزّأ، و التفصيل في محلّه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في المسألة، و الوجه الأخير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جريان حكم التالف في الخلط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يرفع به الامتياز و أمّا ما في كلام بعض المعاصرين كالفقيه اليزدي</w:t>
      </w:r>
      <w:r>
        <w:rPr>
          <w:rStyle w:val="FootnoteAnchor"/>
          <w:rtl w:val="true"/>
        </w:rPr>
        <w:footnoteReference w:id="411"/>
      </w:r>
      <w:r>
        <w:rPr>
          <w:rFonts w:ascii="Amiri" w:hAnsi="Amiri" w:eastAsia="Amiri" w:cs="Amiri"/>
          <w:color w:val="111111"/>
          <w:sz w:val="28"/>
          <w:sz w:val="28"/>
          <w:szCs w:val="28"/>
          <w:rtl w:val="true"/>
          <w:lang w:bidi="ar-SA"/>
        </w:rPr>
        <w:t>و غيره</w:t>
      </w:r>
      <w:r>
        <w:rPr>
          <w:rStyle w:val="FootnoteAnchor"/>
          <w:rtl w:val="true"/>
        </w:rPr>
        <w:footnoteReference w:id="412"/>
      </w:r>
      <w:r>
        <w:rPr>
          <w:rFonts w:ascii="Amiri" w:hAnsi="Amiri" w:eastAsia="Amiri" w:cs="Amiri"/>
          <w:color w:val="111111"/>
          <w:sz w:val="28"/>
          <w:sz w:val="28"/>
          <w:szCs w:val="28"/>
          <w:rtl w:val="true"/>
          <w:lang w:bidi="ar-SA"/>
        </w:rPr>
        <w:t>من تعيّن ردّ البدل من المستهلك فيه، فهو غريب؛ لأنّ الأقربيّة ممنوعة صغرويّاً، و لا دليل عليه بعد القول بالنقل إلى البدل و الاشتغال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الانقلاب، كانقلاب الخلّ خمراً، و البيض فرخاً، أو الانقلاب العرفيّ بالاستهلاك، فلا يأتي فيها التفصيل الآنف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الانقلاب المزبور إذا كان في يد الغاصب، فضمانه ضمان التلف،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كخلط الجامد بالجامد، كدقيق الحنطة بالشعير، و قد استقرب جمع رجوع الباقي إلى المالك الأوّل بعد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تعسّر التسليم أو تعذّره، لا يوجب عدم عوده إليه؛ ضرورة أنّ العقلاء يحكمون عليه بأحكام خاصّة، و هي ناشئة من بقاء المعقود عليه عندهم، و لذلك احتاط بالتصالح، كسائر الموارد المتعذّر فيها حلّ المشاكل الماليّة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 بالشركة تعبّداً؛ لاقتضاء معقد الإجماع حصول الشركة،</w:t>
      </w:r>
    </w:p>
    <w:p>
      <w:pPr>
        <w:pStyle w:val="BookText"/>
        <w:rPr/>
      </w:pP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الوجهين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و حيث إنّ الشركة غير معقولة في الصورتين؛ ضرورة أنّه في صورة الاستهلاك و التلف يكون الاستهلاك في ظرف مالكيّة الغابن، و لا معنى لها عندئذٍ، و بعد الفسخ لا يرجع إلى المغبون شي‌ء ممّا في الخارج حتّى يكون شريكاً، إلّا على ما مرّ من كون العرف حاكماً بأنّ ماله في ماله، و في صورة وجود العين بعد الفسخ يرجع إلى مالكه الأوّل، فلا معنى بعد ذلك للشركة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تعبّد فهو المتّبع، إلّا أنّه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الشركة في الماليّة، أو الشركة في القيمة بعد البيع، فهي من الأباطيل؛ فإنّ الماليّة الموجودة اعتباراً في العين، ليست أمراً آخر وراءها بحيث تحصل الشركة فيها دون الخارج، و إذا أُريد منه الشركة في القيمة، فلازم ذلك وجوب البيع أو جواز المماطلة، و كلاهما ممنوعان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يخلو عن قوّة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وجه ذلك و وجه ضعفه ممّا مرّ، فإنّه إذا لم يكن بحكم التالف الاستهلاكُ، فهو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رفع الامتياز العقليّ غير ممكن، و العرفيّ تسامحيّ لا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الامتزاج بالجنس، فالظاهر ثبوت الشركة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الكمّية؛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صرّح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 كأنّه المفروغ عنه في صورة التساوي، و هكذا في صورة الامتزاج بالأردإ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الإيماء إلى وجه المناقشة فيها؛ فإنّ الشركة لا تحصل قبل الفسخ، لما لا معنى لها بعد كون المعقود عليه ملك الغابن، و بعد الفسخ لا وجود للمعقود عليه ممتازاً؛ حتّى يعود إليه ثمّ تحصل الشركة، و لو كان ممتازاً فلا شركة إلّا تعبّداً؛ نظراً إلى الإجماع المحتمل كون معقده مخصوصاً بصورة الخلط الحاصل بين المالين لمالكين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المعقود عليه بحكم القطرة بالقياس إلى الممتزج فيه، فهو من التالف حتّى في صورة الخلط بغير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التساوي في الكمّية، كمزج منّ من اللبن بمنّ منه، فلا يبعد وجوب ردّ منّ من اللبن على الغابن عرفاً و لو حصلت الشركة، و لكن يكون للغابن التصرّف بعد الفسخ أيضاً حتّى يبقى المعقود عليه القابل للردّ، فتأمّل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للمغبون استرداد ماله بدون رضاه؛ فإنّ الواجب على الغابن ردّ المعوّض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امتنع فلا يبعد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بالأردإ أو الأجود، مع أخذ الأرش في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في الفرض المشار إليه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الأرش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حصول الشركة، و قد احتمل في كلماتهم الشركة في المثمن، و عدم الأرش</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سقوط حقّ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فلحصول الشركة و المبادلة بالمقدار فراراً من الربا، و لا يثبت الزائد عليه بعد حكم الشرع بالشركة، و حرمة الربا، فلو وقع خلط بين منّ من اللبن، و منّين من اللبن الأردأ، يردّ إليه منّ من اللبن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ذلك على صحّة ما ذكرنا من إنكار الشركة هنا؛ للزوم تضييع حقّ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الربا و لو كان مطلقة في باب المعاوضات، إلّا أنّها منتفية هنا؛ لكونها ضرريّة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حكم التالف إذا كان الممزوج فيه أضعاف المعقود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إعطاء زيادة القيمة في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صورة التساوي في الكمّية مثلًا، فلا يبعد وجوب ردّ القيمة أو المثل إذا لم تحصل الشركة التي منعناها حتّى في صورة التساوي في الكيفيّة، و لو حصلت فالمبادلة و لو بإعطاء الأرش من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المشارطة، و هي هنا بحكم الشرع بعد المزج، و ليس من الربا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القيمة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وجهها و وجه منعها من جهات شتّى، و لا سيّما من باب الربا موضوعاً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رجوع البائع على المفلّس بعين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الربا</w:t>
      </w:r>
      <w:r>
        <w:rPr>
          <w:rStyle w:val="FootnoteAnchor"/>
          <w:rtl w:val="true"/>
        </w:rPr>
        <w:footnoteReference w:id="416"/>
      </w:r>
      <w:r>
        <w:rPr>
          <w:rFonts w:ascii="Amiri" w:hAnsi="Amiri" w:eastAsia="Amiri" w:cs="Amiri"/>
          <w:color w:val="111111"/>
          <w:sz w:val="28"/>
          <w:sz w:val="28"/>
          <w:szCs w:val="28"/>
          <w:rtl w:val="true"/>
          <w:lang w:bidi="ar-SA"/>
        </w:rPr>
        <w:t xml:space="preserve">، و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مع عموم الربا لكلّ معاوضة</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المنع من غير تجويز الزيادة الأجنبيّة؛ لأنّها أيضاً عندهم من الربا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ضرري، و لا يكون بإقدامهما فلا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الأحوط التصالح، خصوصاً في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يكون من الربا؛ لما لا مشارطة و لا معاملة، و جريان الربا في كلّ معاوضة أجنبيّ من هذه المسألة، فإنّه من التعارض القهري، لا المبادلة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حصول الشركة حتّى يجوز له التصرّف في ذلك بغير رضاه و لو يعطي قيمته، و أمّا في الفرض الأوّل فإنّ التصرّف جائز؛ لرضا الغابن طبعاً و إن كان يحتمل عدم رضاه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المعقود عليه في المزج بالأردإ أيضاً في حكم التالف، يكون عدم رضاه مضرّاً بالتصرّف، فالأحوط التصالح جدّاً؛ لأنّ مادّة المنكر لا تقلع إلّا به بعد قصور دليل الشركة، و بعد عدم سقوط حقّ الغابن في الخلط، و لا المغبون بالأردإ و الأجود، بل في صورة التساوي في الجودة، كما أُشير إليه</w:t>
      </w:r>
      <w:r>
        <w:rPr>
          <w:rFonts w:eastAsia="Amiri" w:cs="Amiri" w:ascii="Amiri" w:hAnsi="Amiri"/>
          <w:color w:val="111111"/>
          <w:sz w:val="28"/>
          <w:szCs w:val="28"/>
          <w:rtl w:val="true"/>
          <w:lang w:bidi="ar-SA"/>
        </w:rPr>
        <w:t>.</w:t>
      </w:r>
      <w:bookmarkStart w:id="164" w:name="pg12370_121709"/>
    </w:p>
    <w:p>
      <w:pPr>
        <w:pStyle w:val="Heading5"/>
        <w:numPr>
          <w:ilvl w:val="4"/>
          <w:numId w:val="1"/>
        </w:numPr>
        <w:rPr/>
      </w:pPr>
      <w:bookmarkStart w:id="165" w:name="__RefHeading___Toc9026196_417432637"/>
      <w:bookmarkStart w:id="166" w:name="_Toc59"/>
      <w:bookmarkEnd w:id="164"/>
      <w:bookmarkEnd w:id="165"/>
      <w:r>
        <w:rPr>
          <w:rtl w:val="true"/>
        </w:rPr>
        <w:t>[</w:t>
      </w:r>
      <w:r>
        <w:rPr>
          <w:rtl w:val="true"/>
        </w:rPr>
        <w:t xml:space="preserve">مسألة </w:t>
      </w:r>
      <w:r>
        <w:rPr/>
        <w:t>8</w:t>
      </w:r>
      <w:r>
        <w:rPr>
          <w:rtl w:val="true"/>
        </w:rPr>
        <w:t xml:space="preserve">: </w:t>
      </w:r>
      <w:r>
        <w:rPr>
          <w:rtl w:val="true"/>
        </w:rPr>
        <w:t>لو باع أو اشترى شيئين صفقة واحدة، و كان مغبوناً في أحدهما دون الآخر</w:t>
      </w:r>
      <w:r>
        <w:rPr>
          <w:rtl w:val="true"/>
        </w:rPr>
        <w:t>]</w:t>
      </w:r>
      <w:bookmarkEnd w:id="16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أو اشترى شيئين صفقة واحدة، و كان مغبوناً في أحدهما دون الآخر، ليس له التبعيض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الفسخ، بل عليه إمّا فسخ البيع بالنسبة إلى الجميع، أو الرضا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الشيئان إمّا يكونان كجزئي باب الدار و كالنعال، فالأمر كما تحرّر و لو كان لكلّ جزء قيمة على حِدة؛ لاختلافهما فيها، و قد قوّم كلّ واحد منهما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يكونان كالرقّيّتين و البطّيختين و أمثال ذلك، فلا يبعد أيضاً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رضي الغابن بالنسبة إلى الفسخ في الجملة؛ بناءً على جواز ذلك في الإقالة، فدعوى خيار تبعّض الصفقة غير مسموعة؛ لأنّه خيار لا يقتضيه إطلاق دليل شرعيّ حتّى يكون هو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انصرافه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الأشياء تقوّم أجزاؤها على حِدة، كما في بيع المتفرّقات في المزايدة، و كان الجمع في الإنشاء من الجمع في التعبير و كأنّه هناك بيوع مستقلّة و معاملات كثيرة، لا يسري عيب إحداها إلى الأُخرى، و لا يكون فساد إحداها موجباً لخيار التبعّض، فلازَمَ كلَّ واحد برأسه، فإطلاق ما في المتن ممنوع عرفاً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الإنشاء الواحد لا يعقل أن يتعلّق إلّا بالكثير الفاني في الواحد الاعتباري، كما في تعلّق أمر الصلاة بها، و عليه يكون البيع واحداً شخصيّاً و لا أساس للانحلال هنا، و لا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الصناعة العلميّة غير المعهودة بين العقلاء في بيع الأشياء المتفرّقة، التي لا تجمعها الأُمور الخارجيّة، و لا الأغراض</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بأن يعتبر ذلك زائداً على المئونة المتعارفة، فيكون من قبيل الشرط في ضمن العقد الواقع على المجموع، و لو صحّ ذلك فيعلم منه وحدة العقد، و إلّا فالشرط لم يقع في ضمن شي‌ء، فتأمّل جيّداً</w:t>
      </w:r>
      <w:r>
        <w:rPr>
          <w:rFonts w:eastAsia="Amiri" w:cs="Amiri" w:ascii="Amiri" w:hAnsi="Amiri"/>
          <w:color w:val="111111"/>
          <w:sz w:val="28"/>
          <w:szCs w:val="28"/>
          <w:rtl w:val="true"/>
          <w:lang w:bidi="ar-SA"/>
        </w:rPr>
        <w:t>.</w:t>
      </w:r>
      <w:bookmarkStart w:id="167" w:name="pg12370_121711"/>
    </w:p>
    <w:p>
      <w:pPr>
        <w:pStyle w:val="Heading4"/>
        <w:numPr>
          <w:ilvl w:val="3"/>
          <w:numId w:val="1"/>
        </w:numPr>
        <w:rPr/>
      </w:pPr>
      <w:bookmarkStart w:id="168" w:name="__RefHeading___Toc9026198_417432637"/>
      <w:bookmarkStart w:id="169" w:name="_Toc60"/>
      <w:bookmarkEnd w:id="167"/>
      <w:bookmarkEnd w:id="168"/>
      <w:r>
        <w:rPr>
          <w:rtl w:val="true"/>
        </w:rPr>
        <w:t>[</w:t>
      </w:r>
      <w:r>
        <w:rPr>
          <w:rtl w:val="true"/>
        </w:rPr>
        <w:t>الخامس</w:t>
      </w:r>
      <w:r>
        <w:rPr>
          <w:rtl w:val="true"/>
        </w:rPr>
        <w:t xml:space="preserve">: </w:t>
      </w:r>
      <w:r>
        <w:rPr>
          <w:rtl w:val="true"/>
        </w:rPr>
        <w:t>خيار التأخير</w:t>
      </w:r>
      <w:r>
        <w:rPr>
          <w:rtl w:val="true"/>
        </w:rPr>
        <w:t>]</w:t>
      </w:r>
      <w:bookmarkEnd w:id="169"/>
    </w:p>
    <w:p>
      <w:pPr>
        <w:pStyle w:val="Heading5"/>
        <w:numPr>
          <w:ilvl w:val="4"/>
          <w:numId w:val="1"/>
        </w:numPr>
        <w:rPr/>
      </w:pPr>
      <w:bookmarkStart w:id="170" w:name="__RefHeading___Toc9026200_417432637"/>
      <w:bookmarkStart w:id="171" w:name="_Toc61"/>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فيما باع شيئاً و لم يقبض تمام الثمن، و لم يسلّم المبيع إلى المشتري، و لم يشترط تأخير تسليم أحد العوضين، فحينئذٍ يلزم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فإن جاء المشتري بالثمن فهو أحقّ بالسلعة، و إلّا فللبائع فسخ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البيع</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إجماعاً 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4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 غيرها</w:t>
      </w:r>
      <w:r>
        <w:rPr>
          <w:rStyle w:val="FootnoteAnchor"/>
          <w:rtl w:val="true"/>
        </w:rPr>
        <w:footnoteReference w:id="422"/>
      </w:r>
      <w:r>
        <w:rPr>
          <w:rFonts w:ascii="Amiri" w:hAnsi="Amiri" w:eastAsia="Amiri" w:cs="Amiri"/>
          <w:color w:val="111111"/>
          <w:sz w:val="28"/>
          <w:sz w:val="28"/>
          <w:szCs w:val="28"/>
          <w:rtl w:val="true"/>
          <w:lang w:bidi="ar-SA"/>
        </w:rPr>
        <w:t>، و هذا من منفردات الإماميّة، و قد قال المخالف باللزوم حسب الأصل</w:t>
      </w:r>
      <w:r>
        <w:rPr>
          <w:rStyle w:val="FootnoteAnchor"/>
          <w:rtl w:val="true"/>
        </w:rPr>
        <w:footnoteReference w:id="423"/>
      </w:r>
      <w:r>
        <w:rPr>
          <w:rFonts w:ascii="Amiri" w:hAnsi="Amiri" w:eastAsia="Amiri" w:cs="Amiri"/>
          <w:color w:val="111111"/>
          <w:sz w:val="28"/>
          <w:sz w:val="28"/>
          <w:szCs w:val="28"/>
          <w:rtl w:val="true"/>
          <w:lang w:bidi="ar-SA"/>
        </w:rPr>
        <w:t xml:space="preserve">، و ليس في أخبارنا رواية تحكي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الخيار، بخلاف خيار المجلس 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المهمّ في المسألة قبل تلك الإجماعات؛ أخبارنا المحكيّة في الباب التاسع من أبواب الخيار، ففي معتبر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من الرجل المتاع، ثمّ يدعه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آتيك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فيما بينه و بين ثلاثة أيّام، و إلّا فلا بيع له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بعد القبض، فهو معرض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معتبر ابن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و لا يقبضه صاحبه، و لا يقبض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الأجل بينهما ثلاثة أيّام، فإن قبض بيعه، و إلّا فلا بيع بينهما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 الاحتمالات ما يبلغ أكثر من خمسين، و الخروج عنها على وجه الحجّة غير ميسور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ابن الحجّاج</w:t>
      </w:r>
      <w:r>
        <w:rPr>
          <w:rStyle w:val="FootnoteAnchor"/>
          <w:rtl w:val="true"/>
        </w:rPr>
        <w:footnoteReference w:id="426"/>
      </w:r>
      <w:r>
        <w:rPr>
          <w:rFonts w:ascii="Amiri" w:hAnsi="Amiri" w:eastAsia="Amiri" w:cs="Amiri"/>
          <w:color w:val="111111"/>
          <w:sz w:val="28"/>
          <w:sz w:val="28"/>
          <w:szCs w:val="28"/>
          <w:rtl w:val="true"/>
          <w:lang w:bidi="ar-SA"/>
        </w:rPr>
        <w:t>الممنوع اعتباره؛ لروايته عن أبي بكر بن عيّاش القاضي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إسحاق بن عمّار،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بيعاً</w:t>
      </w:r>
    </w:p>
    <w:p>
      <w:pPr>
        <w:pStyle w:val="BookText"/>
        <w:rPr/>
      </w:pPr>
      <w:r>
        <w:rPr>
          <w:rFonts w:ascii="Amiri" w:hAnsi="Amiri" w:eastAsia="Amiri" w:cs="Amiri"/>
          <w:color w:val="111111"/>
          <w:sz w:val="28"/>
          <w:sz w:val="28"/>
          <w:szCs w:val="28"/>
          <w:rtl w:val="true"/>
          <w:lang w:bidi="ar-SA"/>
        </w:rPr>
        <w:t>فمضت ثلاثة أيّام و لم يجي‌ء، فلا بيع له</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قاله العلّامة في سنده</w:t>
      </w:r>
      <w:r>
        <w:rPr>
          <w:rStyle w:val="FootnoteAnchor"/>
          <w:rtl w:val="true"/>
        </w:rPr>
        <w:footnoteReference w:id="428"/>
      </w:r>
      <w:r>
        <w:rPr>
          <w:rFonts w:ascii="Amiri" w:hAnsi="Amiri" w:eastAsia="Amiri" w:cs="Amiri"/>
          <w:color w:val="111111"/>
          <w:sz w:val="28"/>
          <w:sz w:val="28"/>
          <w:szCs w:val="28"/>
          <w:rtl w:val="true"/>
          <w:lang w:bidi="ar-SA"/>
        </w:rPr>
        <w:t xml:space="preserve">، و إلى أنّ المتعارف التعبير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التنكير يورث أنّه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 في أنّه غيره ربّما يمنع عن استظهار كونه هو لقول الراوي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التعبير عنه به للتقيّة، و هو ينافيها أنّ جميع النسخ لم يجي‌ء، و لعلّ هناك محذوفاً، فيشكل أمره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 ثانٍ عن ابن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فيما بينه و بين شهر، و إلّا فلا بيع له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اشتراك محمّد بن أبي حمزة و أبي إسحاق أنّ المتن معرض عنه، مع ظهوره في قبض المبيع و الجارية؛ لأنّ بقاءها عند البائع يستتبع المحاذير العرفيّة و الشرعيّة، فيكون الخبر معرضاً عنه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اختصار الخيار المذكور بصورة عدم قبضهما، فلو كان الثمن غير مقبوض و المبيع مقبوضاً، كان اعتبار الخيار للبائع أولى؛ لأنّه لو أخّر إلى بعد الثلاثة كان مبيعه عنده فيأخذه تقاصّاً أو غير ذلك، بخلاف ما إذا قبضه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هذا الخيار ليس ممّا يعهده العقلاء؛ إلّا إذا رجع إلى خيار تخلّف الشرط الضمنيّ الثابت حينئذٍ للبائع و المشتري 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تقريبه لمثله</w:t>
      </w:r>
      <w:r>
        <w:rPr>
          <w:rStyle w:val="FootnoteAnchor"/>
          <w:rtl w:val="true"/>
        </w:rPr>
        <w:footnoteReference w:id="430"/>
      </w:r>
      <w:r>
        <w:rPr>
          <w:rFonts w:ascii="Amiri" w:hAnsi="Amiri" w:eastAsia="Amiri" w:cs="Amiri"/>
          <w:color w:val="111111"/>
          <w:sz w:val="28"/>
          <w:sz w:val="28"/>
          <w:szCs w:val="28"/>
          <w:rtl w:val="true"/>
          <w:lang w:bidi="ar-SA"/>
        </w:rPr>
        <w:t>، إلّا أنّه يؤيّد به مفاد الأخبار، و هو ممّا لا منع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تكون الشهرة و الإجماع مستنداً قبل الأخبار، أو تكون الأخبار منجبرة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تحرّر منّا إمكان انجبار السند و الدلالة بالشهرة و الإجماع؛ فيما إذا كان خبر ضعيف ظاهراً في أمر خلاف ما أفتوا به، و أمّا في موارد الأخبار المضطربة القابلة لإعمال الاجتهاد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أخبار ماء البئر</w:t>
      </w:r>
      <w:r>
        <w:rPr>
          <w:rStyle w:val="FootnoteAnchor"/>
          <w:rtl w:val="true"/>
        </w:rPr>
        <w:footnoteReference w:id="431"/>
      </w:r>
      <w:r>
        <w:rPr>
          <w:rFonts w:ascii="Amiri" w:hAnsi="Amiri" w:eastAsia="Amiri" w:cs="Amiri"/>
          <w:color w:val="111111"/>
          <w:sz w:val="28"/>
          <w:sz w:val="28"/>
          <w:szCs w:val="28"/>
          <w:rtl w:val="true"/>
          <w:lang w:bidi="ar-SA"/>
        </w:rPr>
        <w:t>فلا سبيل إليه؛ لقوّة تخلّل الآراء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اشتهار الحكم بقيوده و شرائطه الأربعة بين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وصوله إلى أرباب التصنيف و التأليف و إلى المتون الفقهيّة،</w:t>
      </w:r>
    </w:p>
    <w:p>
      <w:pPr>
        <w:pStyle w:val="BookText"/>
        <w:rPr/>
      </w:pPr>
      <w:r>
        <w:rPr>
          <w:rFonts w:ascii="Amiri" w:hAnsi="Amiri" w:eastAsia="Amiri" w:cs="Amiri"/>
          <w:color w:val="111111"/>
          <w:sz w:val="28"/>
          <w:sz w:val="28"/>
          <w:szCs w:val="28"/>
          <w:rtl w:val="true"/>
          <w:lang w:bidi="ar-SA"/>
        </w:rPr>
        <w:t>و لو تلفت السلعة كانت من مال البائع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فالمستند هي الأخبار الموجودة المشتملة لاحتمال خطئهم في السند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ذكرنا في كتابنا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القرائن الكثيرة المتفرّقة في الأبواب المختلفة هي المعاهدة و المقاولة على البيع، و لم يكن عقد و بيع حتّى يكون لازماً في الثلاثة، و باطلًا أو خياريّاً، أو منفسخاً أو زائلًا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الملكيّة بحكومة شرعيّة بعد الثلاثة، فلا أساس لخيار التأخير، و إن شئت فراجع إليه حتّى تطّلع على تلك الشواهد، و تدري أنّ على فرض التنزّل من السند و الدلالة يكون الاحتمال الرابع أظهر ما في الباب، فلا خيار، و لا بطلان، و لا انفساخ، بل لا يعقل الانفساخ، بل هناك ما يكون مثل محجوريّة المالك المطلقة المساوقة لعدم اعتبار الملك له حكومة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البائع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فيما إذا كان بعد الثلاثة اتفاقاً و إجماعاً مستفيضاً، بل متواتراً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في الثلاثة ففيه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على أنّه من مال البائع،</w:t>
      </w:r>
    </w:p>
    <w:p>
      <w:pPr>
        <w:pStyle w:val="BookText"/>
        <w:rPr/>
      </w:pPr>
      <w:r>
        <w:rPr>
          <w:rFonts w:ascii="Amiri" w:hAnsi="Amiri" w:eastAsia="Amiri" w:cs="Amiri"/>
          <w:color w:val="111111"/>
          <w:sz w:val="28"/>
          <w:sz w:val="28"/>
          <w:szCs w:val="28"/>
          <w:rtl w:val="true"/>
          <w:lang w:bidi="ar-SA"/>
        </w:rPr>
        <w:t>و المحكيّ عن السيّدين</w:t>
      </w:r>
      <w:r>
        <w:rPr>
          <w:rStyle w:val="FootnoteAnchor"/>
          <w:rtl w:val="true"/>
        </w:rPr>
        <w:footnoteReference w:id="433"/>
      </w:r>
      <w:r>
        <w:rPr>
          <w:rFonts w:ascii="Amiri" w:hAnsi="Amiri" w:eastAsia="Amiri" w:cs="Amiri"/>
          <w:color w:val="111111"/>
          <w:sz w:val="28"/>
          <w:sz w:val="28"/>
          <w:szCs w:val="28"/>
          <w:rtl w:val="true"/>
          <w:lang w:bidi="ar-SA"/>
        </w:rPr>
        <w:t>بل و المفيد</w:t>
      </w:r>
      <w:r>
        <w:rPr>
          <w:rStyle w:val="FootnoteAnchor"/>
          <w:rtl w:val="true"/>
        </w:rPr>
        <w:footnoteReference w:id="434"/>
      </w:r>
      <w:r>
        <w:rPr>
          <w:rFonts w:ascii="Amiri" w:hAnsi="Amiri" w:eastAsia="Amiri" w:cs="Amiri"/>
          <w:color w:val="111111"/>
          <w:sz w:val="28"/>
          <w:sz w:val="28"/>
          <w:szCs w:val="28"/>
          <w:rtl w:val="true"/>
          <w:lang w:bidi="ar-SA"/>
        </w:rPr>
        <w:t xml:space="preserve">أنّه من مال المشتري، و عليه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و غيره</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في كلام الشيخ من نسبة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التلف من مال البائع</w:t>
      </w:r>
      <w:r>
        <w:rPr>
          <w:rStyle w:val="FootnoteAnchor"/>
          <w:rtl w:val="true"/>
        </w:rPr>
        <w:footnoteReference w:id="437"/>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المستند النبوي المعروف المشهور بين أصحابنا شهرة عمليّة</w:t>
      </w:r>
      <w:r>
        <w:rPr>
          <w:rStyle w:val="FootnoteAnchor"/>
          <w:rtl w:val="true"/>
        </w:rPr>
        <w:footnoteReference w:id="438"/>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نصّه</w:t>
      </w:r>
      <w:r>
        <w:rPr>
          <w:rStyle w:val="FootnoteAnchor"/>
          <w:rtl w:val="true"/>
        </w:rPr>
        <w:footnoteReference w:id="439"/>
      </w:r>
      <w:r>
        <w:rPr>
          <w:rFonts w:ascii="Amiri" w:hAnsi="Amiri" w:eastAsia="Amiri" w:cs="Amiri"/>
          <w:color w:val="111111"/>
          <w:sz w:val="28"/>
          <w:sz w:val="28"/>
          <w:szCs w:val="28"/>
          <w:rtl w:val="true"/>
          <w:lang w:bidi="ar-SA"/>
        </w:rPr>
        <w:t>، و مقتضى إطلاقه عدم الفرق بين الصورتين، كما عليه أكثر المتأخّرين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نسب إلى بعض الأجلّة التفصيل</w:t>
      </w:r>
      <w:r>
        <w:rPr>
          <w:rStyle w:val="FootnoteAnchor"/>
          <w:rtl w:val="true"/>
        </w:rPr>
        <w:footnoteReference w:id="441"/>
      </w:r>
      <w:r>
        <w:rPr>
          <w:rFonts w:ascii="IRNazanin" w:hAnsi="IRNazanin" w:eastAsia="IRNazanin"/>
          <w:color w:val="111111"/>
          <w:sz w:val="28"/>
          <w:sz w:val="28"/>
          <w:szCs w:val="28"/>
          <w:rtl w:val="true"/>
          <w:lang w:bidi="fa-IR"/>
        </w:rPr>
        <w:t>، و الوجه عدم انجبار إطلاق</w:t>
      </w:r>
    </w:p>
    <w:p>
      <w:pPr>
        <w:pStyle w:val="BookText"/>
        <w:rPr/>
      </w:pPr>
      <w:r>
        <w:rPr>
          <w:rFonts w:ascii="Amiri" w:hAnsi="Amiri" w:eastAsia="Amiri" w:cs="Amiri"/>
          <w:color w:val="111111"/>
          <w:sz w:val="28"/>
          <w:sz w:val="28"/>
          <w:szCs w:val="28"/>
          <w:rtl w:val="true"/>
          <w:lang w:bidi="ar-SA"/>
        </w:rPr>
        <w:t>القاعدة؛ بعد ذهاب تلك الجماعة مدّعين الإجماع على أنّ في الثلاثة على المشتري فما في كلام بعض المتأخّرين من الاستيحاش من التفصيل</w:t>
      </w:r>
      <w:r>
        <w:rPr>
          <w:rStyle w:val="FootnoteAnchor"/>
          <w:rtl w:val="true"/>
        </w:rPr>
        <w:footnoteReference w:id="442"/>
      </w:r>
      <w:r>
        <w:rPr>
          <w:rFonts w:ascii="Amiri" w:hAnsi="Amiri" w:eastAsia="Amiri" w:cs="Amiri"/>
          <w:color w:val="111111"/>
          <w:sz w:val="28"/>
          <w:sz w:val="28"/>
          <w:szCs w:val="28"/>
          <w:rtl w:val="true"/>
          <w:lang w:bidi="ar-SA"/>
        </w:rPr>
        <w:t>خالٍ من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رواية عقبة بن خالد</w:t>
      </w:r>
      <w:r>
        <w:rPr>
          <w:rStyle w:val="FootnoteAnchor"/>
          <w:rtl w:val="true"/>
        </w:rPr>
        <w:footnoteReference w:id="443"/>
      </w:r>
      <w:r>
        <w:rPr>
          <w:rFonts w:ascii="Amiri" w:hAnsi="Amiri" w:eastAsia="Amiri" w:cs="Amiri"/>
          <w:color w:val="111111"/>
          <w:sz w:val="28"/>
          <w:sz w:val="28"/>
          <w:szCs w:val="28"/>
          <w:rtl w:val="true"/>
          <w:lang w:bidi="ar-SA"/>
        </w:rPr>
        <w:t>فهي في غير المورد،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القاعدة الشرعيّة المشار إليها، ربّما تعارض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خبر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الرهن، و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يكون عليه يكون له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إشارة إلى قاعدة 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الغنم فعليه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أفادوه حلّا للمعارضة من أخصّية الأُولى منها، و من أجنبيّة الثانية و الثالثة عن موردها</w:t>
      </w:r>
      <w:r>
        <w:rPr>
          <w:rStyle w:val="FootnoteAnchor"/>
          <w:rtl w:val="true"/>
        </w:rPr>
        <w:footnoteReference w:id="445"/>
      </w:r>
      <w:r>
        <w:rPr>
          <w:rFonts w:ascii="Amiri" w:hAnsi="Amiri" w:eastAsia="Amiri" w:cs="Amiri"/>
          <w:color w:val="111111"/>
          <w:sz w:val="28"/>
          <w:sz w:val="28"/>
          <w:szCs w:val="28"/>
          <w:rtl w:val="true"/>
          <w:lang w:bidi="ar-SA"/>
        </w:rPr>
        <w:t>، غير موافق للتحصيل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أجنبيّة الثانية غير بعيدة في ذاتها، إلّا أنّ فهم المشهور جابر،</w:t>
      </w:r>
    </w:p>
    <w:p>
      <w:pPr>
        <w:pStyle w:val="BookText"/>
        <w:rPr/>
      </w:pPr>
      <w:r>
        <w:rPr>
          <w:rFonts w:ascii="Amiri" w:hAnsi="Amiri" w:eastAsia="Amiri" w:cs="Amiri"/>
          <w:color w:val="111111"/>
          <w:sz w:val="28"/>
          <w:sz w:val="28"/>
          <w:szCs w:val="28"/>
          <w:rtl w:val="true"/>
          <w:lang w:bidi="ar-SA"/>
        </w:rPr>
        <w:t>و قبض بعض الثمن كلا قبض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التعارض بالعموم من وجه، و حلّ المشكلة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مصبّ أخبار خيار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واحداً منها هو البيع مع قبض المبيع، فيكون من مال المشتري، و ما هو الشرط عدم قبض المبيع المستمرّ غير المتعقّب بتركه عند البائع،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تلوناه عليك، فلا بحث هنا يخصّ بخيار التأخير، و أمّا البحث عن تعارض القواعد فسيمرّ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اعتبروا شروطاً ثلاثة في ثبوت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التقابض، و عدم اشتراط تأخير أحد العوضين، و عند ذلك يلزم البيع ثلاثة أيّام، و بعد الثلاثة يكون للبائع خيار إذا لم يجي‌ء المشتري، و لم يمكّن البائع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مستفاد من أخبار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في أكثرها عدم حصول التقابض، و في معتبر ابن يقطين نصّ عليه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يستفاد من معتبر زرارة</w:t>
      </w:r>
      <w:r>
        <w:rPr>
          <w:rStyle w:val="FootnoteAnchor"/>
          <w:rtl w:val="true"/>
        </w:rPr>
        <w:footnoteReference w:id="447"/>
      </w:r>
      <w:r>
        <w:rPr>
          <w:rFonts w:ascii="Amiri" w:hAnsi="Amiri" w:eastAsia="Amiri" w:cs="Amiri"/>
          <w:color w:val="111111"/>
          <w:sz w:val="28"/>
          <w:sz w:val="28"/>
          <w:szCs w:val="28"/>
          <w:rtl w:val="true"/>
          <w:lang w:bidi="ar-SA"/>
        </w:rPr>
        <w:t>أنّ القبض المتعقّب بالترك عند</w:t>
      </w:r>
    </w:p>
    <w:p>
      <w:pPr>
        <w:pStyle w:val="BookText"/>
        <w:rPr/>
      </w:pPr>
      <w:r>
        <w:rPr>
          <w:rFonts w:ascii="Amiri" w:hAnsi="Amiri" w:eastAsia="Amiri" w:cs="Amiri"/>
          <w:color w:val="111111"/>
          <w:sz w:val="28"/>
          <w:sz w:val="28"/>
          <w:szCs w:val="28"/>
          <w:rtl w:val="true"/>
          <w:lang w:bidi="ar-SA"/>
        </w:rPr>
        <w:t>البائع لا يضرّ بثبوت الخيار، كما هو الأظهر، و قد أُشير إليه في ذيل الحاشية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إسحاق بن عمّار</w:t>
      </w:r>
      <w:r>
        <w:rPr>
          <w:rStyle w:val="FootnoteAnchor"/>
          <w:rtl w:val="true"/>
        </w:rPr>
        <w:footnoteReference w:id="448"/>
      </w:r>
      <w:r>
        <w:rPr>
          <w:rFonts w:ascii="Amiri" w:hAnsi="Amiri" w:eastAsia="Amiri" w:cs="Amiri"/>
          <w:color w:val="111111"/>
          <w:sz w:val="28"/>
          <w:sz w:val="28"/>
          <w:szCs w:val="28"/>
          <w:rtl w:val="true"/>
          <w:lang w:bidi="ar-SA"/>
        </w:rPr>
        <w:t>هو عدم اعتبار عدم قبض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بعض آخر، و يساعده الاعتبار؛ لأنّ قبض المبيع و عدم إعطاء الثمن، أولى بالخيار من صورة عدم قبضه؛ لأنّه يتمكّن عندئذٍ من التقاصّ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الجهة العمدة في هذا الخيار رفع المزاحم الموجب لتحريج الأمر على البائع، و تمكين استفادة الناس من المتاع، و إدارة المعاش على أحسن الوجوه الممكنة، فلا يجوز توهّم الخيار في الصورة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عمّار، فهو مقيّد بما في معتبر ابن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بين معتبر ابن يقطين و معتبر زرارة، تعارضاً بالمباينة، فيكون المرجع معتبر ابن عمّار المطلق، و لا يجوز تقييده بأحدهما بتوهّم انقلاب النسبة؛ لأنّ شرط التقييد مفقود، و الترجيح بلا مرجّح غير جائز</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بيعاً فمضت ثلاثة</w:t>
      </w:r>
    </w:p>
    <w:p>
      <w:pPr>
        <w:pStyle w:val="BookText"/>
        <w:rPr/>
      </w:pPr>
      <w:r>
        <w:rPr>
          <w:rFonts w:ascii="Amiri" w:hAnsi="Amiri" w:eastAsia="Amiri" w:cs="Amiri"/>
          <w:color w:val="111111"/>
          <w:sz w:val="28"/>
          <w:sz w:val="28"/>
          <w:szCs w:val="28"/>
          <w:rtl w:val="true"/>
          <w:lang w:bidi="ar-SA"/>
        </w:rPr>
        <w:t>أيّام و لم يجي‌ء،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بالضرورة على صورة عدم التقابض من الطرفين مجموعاً، و إلّا فلا معنى لعدم مجيئه، و أمّا أنّه لم يجي‌ء لأخذ المبيع أو لإعطاء الثمن، فهو غير واضح، فيكون الحذف يفيد الإطلاق، و لا يمكن تقييد هذا الإطلاق بأحد السابقين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الأوّلين متباينان لولا هذا الإطلاق، و إذا قيسا إليه يقيّد بهما، فترتفع المباينة قهراً، و تصير النتيجة الشرط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و الاتفاق إلّا دعوى انصراف الأخبار إلى غير صورة رضاهما بالتأخير، و غير خفيّ أنّه لازم ذلك عدم الخيار للبائع و لو كان المتاع ممّا يفسد بعد الثلاثة، و هذا خلاف ما يستفاد من تلك الأدلّة الناهضة على الخيار لما يفسد ليومه، الظاهرة في أنّ الشرع لاحظ جانب المتاع و خسران المجتمع بفساده، لا الفرد،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كيفيّة الشرط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أقسامه البالغة إلى أكثر من خمسين صورة تفصيل لا يسعه المقام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وجه ما في المتن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بعض الثمن كلا 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المنصرف من الأخبار ذلك</w:t>
      </w:r>
      <w:r>
        <w:rPr>
          <w:rFonts w:eastAsia="Amiri" w:cs="Amiri" w:ascii="Amiri" w:hAnsi="Amiri"/>
          <w:color w:val="111111"/>
          <w:sz w:val="28"/>
          <w:szCs w:val="28"/>
          <w:rtl w:val="true"/>
          <w:lang w:bidi="ar-SA"/>
        </w:rPr>
        <w:t>.</w:t>
      </w:r>
      <w:bookmarkStart w:id="172" w:name="pg12370_121721"/>
    </w:p>
    <w:p>
      <w:pPr>
        <w:pStyle w:val="Heading5"/>
        <w:numPr>
          <w:ilvl w:val="4"/>
          <w:numId w:val="1"/>
        </w:numPr>
        <w:rPr/>
      </w:pPr>
      <w:bookmarkStart w:id="173" w:name="__RefHeading___Toc9026202_417432637"/>
      <w:bookmarkStart w:id="174" w:name="_Toc62"/>
      <w:bookmarkEnd w:id="172"/>
      <w:bookmarkEnd w:id="173"/>
      <w:r>
        <w:rPr>
          <w:rtl w:val="true"/>
        </w:rPr>
        <w:t>[</w:t>
      </w:r>
      <w:r>
        <w:rPr>
          <w:rtl w:val="true"/>
        </w:rPr>
        <w:t xml:space="preserve">مسألة </w:t>
      </w:r>
      <w:r>
        <w:rPr/>
        <w:t>1</w:t>
      </w:r>
      <w:r>
        <w:rPr>
          <w:rtl w:val="true"/>
        </w:rPr>
        <w:t xml:space="preserve">: </w:t>
      </w:r>
      <w:r>
        <w:rPr>
          <w:rtl w:val="true"/>
        </w:rPr>
        <w:t>الظاهر أنّ هذا الخيار ليس على الفور</w:t>
      </w:r>
      <w:r>
        <w:rPr>
          <w:rtl w:val="true"/>
        </w:rPr>
        <w:t>]</w:t>
      </w:r>
      <w:bookmarkEnd w:id="17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الخيار ليس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 الفسخ عن الثلاثة لم يسقط إلّا بإحدى المسقطات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الأعرف؛ لإطلاق أدلّته، و من الغريب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أنّه يقول بالفور؛ لأنّه يتمسّك بانسداد التضرّر في صورة الإتيان بالثمن بعد الثلاثة، و يصرّح بسقوط الخيار فيها؛ لهدم مقتضيه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 هذا غير جائز في شرعنا بعد كون الأخبار مستند المسألة، لا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بعد ما لم يكن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نفى اللزوم، فلازمه نفيه على وجه لا يعود لازماً أبداً، فتأمّل</w:t>
      </w:r>
      <w:r>
        <w:rPr>
          <w:rFonts w:eastAsia="Amiri" w:cs="Amiri" w:ascii="Amiri" w:hAnsi="Amiri"/>
          <w:color w:val="111111"/>
          <w:sz w:val="28"/>
          <w:szCs w:val="28"/>
          <w:rtl w:val="true"/>
          <w:lang w:bidi="ar-SA"/>
        </w:rPr>
        <w:t>»</w:t>
      </w:r>
      <w:r>
        <w:rPr>
          <w:rStyle w:val="FootnoteAnchor"/>
          <w:rtl w:val="true"/>
        </w:rPr>
        <w:footnoteReference w:id="4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ذلك حقّا لكان الإسقاط غير جائز، كما لا يخفى</w:t>
      </w:r>
      <w:r>
        <w:rPr>
          <w:rFonts w:eastAsia="Amiri" w:cs="Amiri" w:ascii="Amiri" w:hAnsi="Amiri"/>
          <w:color w:val="111111"/>
          <w:sz w:val="28"/>
          <w:szCs w:val="28"/>
          <w:rtl w:val="true"/>
          <w:lang w:bidi="ar-SA"/>
        </w:rPr>
        <w:t>.</w:t>
      </w:r>
      <w:bookmarkStart w:id="175" w:name="pg12370_121722"/>
    </w:p>
    <w:p>
      <w:pPr>
        <w:pStyle w:val="Heading5"/>
        <w:numPr>
          <w:ilvl w:val="4"/>
          <w:numId w:val="1"/>
        </w:numPr>
        <w:rPr/>
      </w:pPr>
      <w:bookmarkStart w:id="176" w:name="__RefHeading___Toc9026204_417432637"/>
      <w:bookmarkStart w:id="177" w:name="_Toc63"/>
      <w:bookmarkEnd w:id="175"/>
      <w:bookmarkEnd w:id="176"/>
      <w:r>
        <w:rPr>
          <w:rtl w:val="true"/>
        </w:rPr>
        <w:t>[</w:t>
      </w:r>
      <w:r>
        <w:rPr>
          <w:rtl w:val="true"/>
        </w:rPr>
        <w:t xml:space="preserve">مسألة </w:t>
      </w:r>
      <w:r>
        <w:rPr/>
        <w:t>2</w:t>
      </w:r>
      <w:r>
        <w:rPr>
          <w:rtl w:val="true"/>
        </w:rPr>
        <w:t xml:space="preserve">: </w:t>
      </w:r>
      <w:r>
        <w:rPr>
          <w:rtl w:val="true"/>
        </w:rPr>
        <w:t>يسقط هذا الخيار باشتراط سقوطه في ضمن العقد</w:t>
      </w:r>
      <w:r>
        <w:rPr>
          <w:rtl w:val="true"/>
        </w:rPr>
        <w:t>]</w:t>
      </w:r>
      <w:bookmarkEnd w:id="17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سقوط الخيار بإحدى المسقطات، فرع كونه حقّا من الحقوق القابلة له، و في كونه حقّا أوّلًا، و على التقدير قابلًا للإسقاط إشكال؛ لأنّ دليله لو كان الإجماع فهو لا ينفع؛ لأنّه ليس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قاعدة من القواعد الشرعيّة، فهو لا يثبت إلّا نفي اللزوم الملازم للجواز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الأخبار، فهو إمّا ظاهر فيما ذكرناه؛ و هو خروج المبيع بعد الثلاثة من ملك المشتري إلى ملك البائع، فيكون محجوراً عنه بحكم الشرع، و لا يعتبر بعد ذلك ملكاً له، أو تكون الأخبار من هذه الجهة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أصرّ عليه الماتن في درسه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ظاهره كونه خياريّاً، و الخيار يقبل الإسقاط بحكم العقلاء</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خياراً ففي كونه يقبل الإسقاط مناقشة؛ لأنّ من أحكام الحقوق عند العقلاء قبول التورّث و النقل، مع أنّ كثيراً من الحقوق لا يكون كذلك، فلو كان شي‌ء حقّا فلا بدّ من وجود أثر له حتّى يمتاز به عن الحكم؛ فراراً من لغويّة اعتباره، و يكفي فيما نحن فيه قبوله النقل، فالإسقاط غير مُبرهن نفعه و نفوذه، إلّا أنّه غير بعيد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باشتراط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العقد، و بإسقاطه بعد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سقوطه بالإسقاط قبلها إشكال، و الأقوى عدمه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باشتراط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4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الإرشاد</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يشكل ذلك؛ لأجل أنّ هذا الشرط طبعاً يمنع عن حدوث الخيار بعد الثلاثة، و يكون في حكم الشرط المخالف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الأمر على وجه يحدث ثمّ يسقط، فهو في محلّه، إلّا أنّه مجرّد فرض، و لا يساعد عليه الاعتبار، و لا يقولون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موضع من الفقه في الملكيّة، فضلًا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بإسقاطه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كما هو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 وجه المناقشة فيه ما مرّ،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الأقوى عدمه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لنصّه في درسه</w:t>
      </w:r>
      <w:r>
        <w:rPr>
          <w:rStyle w:val="FootnoteAnchor"/>
          <w:rtl w:val="true"/>
        </w:rPr>
        <w:footnoteReference w:id="456"/>
      </w:r>
      <w:r>
        <w:rPr>
          <w:rFonts w:ascii="Amiri" w:hAnsi="Amiri" w:eastAsia="Amiri" w:cs="Amiri"/>
          <w:color w:val="111111"/>
          <w:sz w:val="28"/>
          <w:sz w:val="28"/>
          <w:szCs w:val="28"/>
          <w:rtl w:val="true"/>
          <w:lang w:bidi="ar-SA"/>
        </w:rPr>
        <w:t>، نعم اختار أنّ الاغتراسات العرفيّة لا تساعد</w:t>
      </w:r>
    </w:p>
    <w:p>
      <w:pPr>
        <w:pStyle w:val="BookText"/>
        <w:rPr/>
      </w:pPr>
      <w:r>
        <w:rPr>
          <w:rFonts w:ascii="Amiri" w:hAnsi="Amiri" w:eastAsia="Amiri" w:cs="Amiri"/>
          <w:color w:val="111111"/>
          <w:sz w:val="28"/>
          <w:sz w:val="28"/>
          <w:szCs w:val="28"/>
          <w:rtl w:val="true"/>
          <w:lang w:bidi="ar-SA"/>
        </w:rPr>
        <w:t xml:space="preserve">كما أنّ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سقوطه ببذل المشتري الثمن بعدها قبل فسخ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الإسقاط قبل العقد، و أمّا بعد العقد فإن أُريد منه الإسقاط المنجّز، فهو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منه الإسقاط المعلّق أو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الإسقاط حاليّا، و السقوط استقباليّاً فلا بأس به، و هو الأقوى لولا المناقشات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الإجماع المحكيّ على بطلان التعليق</w:t>
      </w:r>
      <w:r>
        <w:rPr>
          <w:rStyle w:val="FootnoteAnchor"/>
          <w:rtl w:val="true"/>
        </w:rPr>
        <w:footnoteReference w:id="457"/>
      </w:r>
      <w:r>
        <w:rPr>
          <w:rFonts w:ascii="Amiri" w:hAnsi="Amiri" w:eastAsia="Amiri" w:cs="Amiri"/>
          <w:color w:val="111111"/>
          <w:sz w:val="28"/>
          <w:sz w:val="28"/>
          <w:szCs w:val="28"/>
          <w:rtl w:val="true"/>
          <w:lang w:bidi="ar-SA"/>
        </w:rPr>
        <w:t xml:space="preserve">، فهو مضافاً إلى نصّ السيّد الفقيه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وضوح مسيره</w:t>
      </w:r>
      <w:r>
        <w:rPr>
          <w:rStyle w:val="FootnoteAnchor"/>
          <w:rtl w:val="true"/>
        </w:rPr>
        <w:footnoteReference w:id="458"/>
      </w:r>
      <w:r>
        <w:rPr>
          <w:rFonts w:ascii="Amiri" w:hAnsi="Amiri" w:eastAsia="Amiri" w:cs="Amiri"/>
          <w:color w:val="111111"/>
          <w:sz w:val="28"/>
          <w:sz w:val="28"/>
          <w:szCs w:val="28"/>
          <w:rtl w:val="true"/>
          <w:lang w:bidi="ar-SA"/>
        </w:rPr>
        <w:t>، أنّ القدر المتيقّن منه نفي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استحسنه الشيخ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مستند الخيار هو الأخبار، و أمّا إذا استند فيه إلى الضرر، فلا شكّ في عدم الضرر حال بذل المشتري المثمن، فلا ضرر ليتدارك بالخيار</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بالسقوط</w:t>
      </w:r>
      <w:r>
        <w:rPr>
          <w:rStyle w:val="FootnoteAnchor"/>
          <w:rtl w:val="true"/>
        </w:rPr>
        <w:footnoteReference w:id="460"/>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شأنهما أجلّ من أن يذكرا في مسطوراتنا، إلّا أنّه لا شأن لمن لا يراعي الجانب الصحيح في المسائل الفرعيّة؛ و هو الأخبار الواردة في المسألة،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في غير مورد الأخبار، أو تكون حاكمةً على إطلاقها لو كان ضرريّاً، و أمّا بعد سكوت الشرع عن ذكر القاعدة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يسكت عنها نسياناً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لإرجاع الأخبار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الأخذ بها سنداً، و تحليل الفروع على مدارها صدقاً و لا صدقاً، فإنّه بعيد عن هؤلاء الأمثال الأبدال، تغمّدهم اللَّه بلطفه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مستنده، و غير جارية هنا عند بذل الثمن، لكانت لا تفيد خيار الغبن عند بذل التفاوت، مع أنّ الإجماع قائم على ثبوته بالغبن؛ سواء أعطى التفاوت بعد المعلوميّة، أم لم يعطِ، فلا تخلط</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الحقّي لا يمكن أن يكون مستند قاعدة من القواعد الحاكمة على الأدلّة، و مجرّد وجود بعض التقارير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قرّبناه في كتابنا الكبير</w:t>
      </w:r>
      <w:r>
        <w:rPr>
          <w:rStyle w:val="FootnoteAnchor"/>
          <w:rtl w:val="true"/>
        </w:rPr>
        <w:footnoteReference w:id="461"/>
      </w:r>
      <w:r>
        <w:rPr>
          <w:rFonts w:ascii="Amiri" w:hAnsi="Amiri" w:eastAsia="Amiri" w:cs="Amiri"/>
          <w:color w:val="111111"/>
          <w:sz w:val="28"/>
          <w:sz w:val="28"/>
          <w:szCs w:val="28"/>
          <w:rtl w:val="true"/>
          <w:lang w:bidi="ar-SA"/>
        </w:rPr>
        <w:t>، و في رسالتنا</w:t>
      </w:r>
      <w:r>
        <w:rPr>
          <w:rStyle w:val="FootnoteAnchor"/>
          <w:rtl w:val="true"/>
        </w:rPr>
        <w:footnoteReference w:id="462"/>
      </w:r>
      <w:r>
        <w:rPr>
          <w:rFonts w:ascii="Amiri" w:hAnsi="Amiri" w:eastAsia="Amiri" w:cs="Amiri"/>
          <w:color w:val="111111"/>
          <w:sz w:val="28"/>
          <w:sz w:val="28"/>
          <w:szCs w:val="28"/>
          <w:rtl w:val="true"/>
          <w:lang w:bidi="ar-SA"/>
        </w:rPr>
        <w:t>لا يكفي مستنداً للفقه، كما هو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يسقط لو أخذه بعدها بعنوان الاستيفاء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يتحقّق ذلك في صورة الجهل، و لا يسقط بمجرّد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التزام فعليّ بالبيع، و رضا بلزومه</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أوّلًا، و مجرّد الالتزام و الرضا بالبيع لا يكفي للسقوط، و إلّا فهو حاصل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هناك التزام جديد زائد على أصل الالتزام بالبيع، ففي كفايته للسقوط إشكال، بل منع؛ لأنّ السقوط من المسائل المترقّبة من الأسباب الإنشائيّة، و القول بالتعبّد كان غير مرضيّ في مورد أخبار الرضا الواردة في خيار الحيوان</w:t>
      </w:r>
      <w:r>
        <w:rPr>
          <w:rStyle w:val="FootnoteAnchor"/>
          <w:rtl w:val="true"/>
        </w:rPr>
        <w:footnoteReference w:id="464"/>
      </w:r>
      <w:r>
        <w:rPr>
          <w:rFonts w:ascii="Amiri" w:hAnsi="Amiri" w:eastAsia="Amiri" w:cs="Amiri"/>
          <w:color w:val="111111"/>
          <w:sz w:val="28"/>
          <w:sz w:val="28"/>
          <w:szCs w:val="28"/>
          <w:rtl w:val="true"/>
          <w:lang w:bidi="ar-SA"/>
        </w:rPr>
        <w:t>، فضلًا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عمل البائع على وجه يعتبر منه الإعراض عن الملك و الحقّ، كان لذلك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 الاستيفاء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ذلك، و إلّا فالخيار الموضوع له بحكم الأخبار لا يسقط إلّا بالأسباب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فرق بين مقام الدعوى، و بين مقام التصرّف؛ ففي مقام الدعوى لا بدّ و أن يكون السبب قابلًا لأن يتسبّب به إلى السقوط عرفاً و شرعاً، و إلّا</w:t>
      </w:r>
    </w:p>
    <w:p>
      <w:pPr>
        <w:pStyle w:val="BookText"/>
        <w:rPr/>
      </w:pPr>
      <w:r>
        <w:rPr>
          <w:rFonts w:ascii="Amiri" w:hAnsi="Amiri" w:eastAsia="Amiri" w:cs="Amiri"/>
          <w:color w:val="111111"/>
          <w:sz w:val="28"/>
          <w:sz w:val="28"/>
          <w:szCs w:val="28"/>
          <w:rtl w:val="true"/>
          <w:lang w:bidi="ar-SA"/>
        </w:rPr>
        <w:t>و في سقوطه بمطالبة الثمن وجهان، الظاهر عدمه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 البائع، و أمّا إذا كان في مقام التصرّف بينه و بين ربّه، فلا يعتبر شي‌ء؛ لأنّه يسقط حتّى بالإعراض القلبيّ، و يكون كالديون غير محتاج إلى الأسباب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يكون الالتزام القلبيّ و الرضا الجديد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استلزامه الإعراض موجباً للسقوط بينه و بين ربّه، فلا ينبغي الخلط بين الصورتين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ظهر الوجه ممّا مرّ بما لا مزيد عليه، و يظهر مواضع الضعف في كلمات القوم، و تفصيل المسألة يطلب من خيار المجلس و الحيوان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التمسّك بالأصل هنا،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 استرضاه الشيخ</w:t>
      </w:r>
      <w:r>
        <w:rPr>
          <w:rStyle w:val="FootnoteAnchor"/>
          <w:rtl w:val="true"/>
        </w:rPr>
        <w:footnoteReference w:id="466"/>
      </w:r>
      <w:r>
        <w:rPr>
          <w:rFonts w:ascii="IRNazanin" w:hAnsi="IRNazanin" w:eastAsia="IRNazanin"/>
          <w:color w:val="111111"/>
          <w:sz w:val="28"/>
          <w:sz w:val="28"/>
          <w:szCs w:val="28"/>
          <w:rtl w:val="true"/>
          <w:lang w:bidi="fa-IR"/>
        </w:rPr>
        <w:t>و الماتن</w:t>
      </w:r>
      <w:r>
        <w:rPr>
          <w:rStyle w:val="FootnoteAnchor"/>
          <w:rtl w:val="true"/>
        </w:rPr>
        <w:footnoteReference w:id="467"/>
      </w:r>
      <w:r>
        <w:rPr>
          <w:rFonts w:ascii="Amiri" w:hAnsi="Amiri" w:eastAsia="Amiri" w:cs="Amiri"/>
          <w:color w:val="111111"/>
          <w:sz w:val="28"/>
          <w:sz w:val="28"/>
          <w:szCs w:val="28"/>
          <w:rtl w:val="true"/>
          <w:lang w:bidi="ar-SA"/>
        </w:rPr>
        <w:t>عفي عنهما، ففي غير محلّه؛ لما تقرّر منّا في الأُصول من ممنوعيّة جريان الاستصحابات الحكميّة الكلّية مطلقاً ذاتاً، لا بالمعارضة</w:t>
      </w:r>
      <w:r>
        <w:rPr>
          <w:rStyle w:val="FootnoteAnchor"/>
          <w:rtl w:val="true"/>
        </w:rPr>
        <w:footnoteReference w:id="468"/>
      </w:r>
      <w:r>
        <w:rPr>
          <w:rFonts w:ascii="Amiri" w:hAnsi="Amiri" w:eastAsia="Amiri" w:cs="Amiri"/>
          <w:color w:val="111111"/>
          <w:sz w:val="28"/>
          <w:sz w:val="28"/>
          <w:szCs w:val="28"/>
          <w:rtl w:val="true"/>
          <w:lang w:bidi="ar-SA"/>
        </w:rPr>
        <w:t>فإنّه غير صحيح، فتدبّر</w:t>
      </w:r>
      <w:r>
        <w:rPr>
          <w:rFonts w:eastAsia="Amiri" w:cs="Amiri" w:ascii="Amiri" w:hAnsi="Amiri"/>
          <w:color w:val="111111"/>
          <w:sz w:val="28"/>
          <w:szCs w:val="28"/>
          <w:rtl w:val="true"/>
          <w:lang w:bidi="ar-SA"/>
        </w:rPr>
        <w:t>.</w:t>
      </w:r>
      <w:bookmarkStart w:id="178" w:name="pg12370_121728"/>
    </w:p>
    <w:p>
      <w:pPr>
        <w:pStyle w:val="Heading5"/>
        <w:numPr>
          <w:ilvl w:val="4"/>
          <w:numId w:val="1"/>
        </w:numPr>
        <w:rPr/>
      </w:pPr>
      <w:bookmarkStart w:id="179" w:name="__RefHeading___Toc9026206_417432637"/>
      <w:bookmarkStart w:id="180" w:name="_Toc64"/>
      <w:bookmarkEnd w:id="178"/>
      <w:bookmarkEnd w:id="179"/>
      <w:r>
        <w:rPr>
          <w:rtl w:val="true"/>
        </w:rPr>
        <w:t>[</w:t>
      </w:r>
      <w:r>
        <w:rPr>
          <w:rtl w:val="true"/>
        </w:rPr>
        <w:t xml:space="preserve">مسألة </w:t>
      </w:r>
      <w:r>
        <w:rPr/>
        <w:t>3</w:t>
      </w:r>
      <w:r>
        <w:rPr>
          <w:rtl w:val="true"/>
        </w:rPr>
        <w:t xml:space="preserve">: </w:t>
      </w:r>
      <w:r>
        <w:rPr>
          <w:rtl w:val="true"/>
        </w:rPr>
        <w:t xml:space="preserve">المراد ب </w:t>
      </w:r>
      <w:r>
        <w:rPr>
          <w:rtl w:val="true"/>
        </w:rPr>
        <w:t>«</w:t>
      </w:r>
      <w:r>
        <w:rPr>
          <w:rtl w:val="true"/>
        </w:rPr>
        <w:t>ثلاثة أيّام</w:t>
      </w:r>
      <w:r>
        <w:rPr>
          <w:rtl w:val="true"/>
        </w:rPr>
        <w:t xml:space="preserve">» </w:t>
      </w:r>
      <w:r>
        <w:rPr>
          <w:rtl w:val="true"/>
        </w:rPr>
        <w:t>هو بياض اليوم</w:t>
      </w:r>
      <w:r>
        <w:rPr>
          <w:rtl w:val="true"/>
        </w:rPr>
        <w:t>]</w:t>
      </w:r>
      <w:bookmarkEnd w:id="18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بياض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يشمل الليالي عدا الليلتين المتوسّطتين، فلو أوقع البيع في أوّل النهار يكون آخر الثلاثة غروب النهار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في الليل تدخل الليلة الأُولى أو بعضها أيضاً في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كفاية التلفيق، فلو وقع في أوّل الزوال يكون مبدأ الخيار بعد زوال اليوم الرابع،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بياض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بحوث لا يليق هذا المختصر بالبحث عنها، و قد فصّلنا الكلام في ذيل خيار الحيوان في محلّه</w:t>
      </w:r>
      <w:r>
        <w:rPr>
          <w:rStyle w:val="FootnoteAnchor"/>
          <w:rtl w:val="true"/>
        </w:rPr>
        <w:footnoteReference w:id="469"/>
      </w:r>
      <w:r>
        <w:rPr>
          <w:rFonts w:ascii="Amiri" w:hAnsi="Amiri" w:eastAsia="Amiri" w:cs="Amiri"/>
          <w:color w:val="111111"/>
          <w:sz w:val="28"/>
          <w:sz w:val="28"/>
          <w:szCs w:val="28"/>
          <w:rtl w:val="true"/>
          <w:lang w:bidi="ar-SA"/>
        </w:rPr>
        <w:t>، و المهمّ بعض الاستظهارات العرفيّة، أو الاشتقاقات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بأس بالإشارة إليه أنّ المقادير التي تؤخذ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النظر إلى خصوصيّاتها، كالبياض و الظلمة المسبكين بعناوين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المقدار المحض و الكمّية الخاصّة، سواء كان فيما بينه و بين البائع يوم أو ليل، أم كان كلّه اليوم، أو كلّه الليل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هذه الأخبار فهو بلحاظ القطر و المنطقة بالقطع و اليقين، و إلّا فمضيّ خمسة عشرة سنة غير لازم حتّى إذا كان إنسان في محطّ قد نتف لحاه، و اشتعل رأسه شيباً، لم يبلغ بالسنّ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واضح الفساد و لا يجوز</w:t>
      </w:r>
    </w:p>
    <w:p>
      <w:pPr>
        <w:pStyle w:val="BookText"/>
        <w:rPr/>
      </w:pPr>
      <w:r>
        <w:rPr>
          <w:rFonts w:ascii="IRNazanin" w:hAnsi="IRNazanin" w:eastAsia="IRNazanin"/>
          <w:color w:val="111111"/>
          <w:sz w:val="28"/>
          <w:sz w:val="28"/>
          <w:szCs w:val="28"/>
          <w:rtl w:val="true"/>
          <w:lang w:bidi="fa-IR"/>
        </w:rPr>
        <w:t>إسناده إلى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أنّ المقدار فيما نحن فيه هل هو امتداد ثلاثة أنْهُر، و ثلاث ليالٍ؟ كما قيل</w:t>
      </w:r>
      <w:r>
        <w:rPr>
          <w:rStyle w:val="FootnoteAnchor"/>
          <w:rtl w:val="true"/>
        </w:rPr>
        <w:footnoteReference w:id="470"/>
      </w:r>
      <w:r>
        <w:rPr>
          <w:rFonts w:ascii="Amiri" w:hAnsi="Amiri" w:eastAsia="Amiri" w:cs="Amiri"/>
          <w:color w:val="111111"/>
          <w:sz w:val="28"/>
          <w:sz w:val="28"/>
          <w:szCs w:val="28"/>
          <w:rtl w:val="true"/>
          <w:lang w:bidi="ar-SA"/>
        </w:rPr>
        <w:t>و استظهرنا ذلك في أحكام صلاة المسافر</w:t>
      </w:r>
      <w:r>
        <w:rPr>
          <w:rStyle w:val="FootnoteAnchor"/>
          <w:rtl w:val="true"/>
        </w:rPr>
        <w:footnoteReference w:id="471"/>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على وجه يكون مرادنا للنهار، بل هو أكثر إطلاقاً على أصل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أيّام البيض أيضاً باعتبار أوقات البيض، لا باعتبار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الليل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تكون أصالة الإطلاق فيما زاد على الأنهر الثلاثة و الليلتين محكّمة؛ لما مرّ من عدم جريان الاستصحاب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ثلاثة أوقات الليل و النهار، فيكون القول المزبور قويّاً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اليوم بمعنى النهار مصبَّ الخيار، فلازمه عدم ثبوت الخيار فيما إذا وقع العقد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الحكم من قطعيّة الأمر بالمناسبات الخارجيّة صحيحة، إلّا أنّ الأنسب الدقّة في لغة العرب، و أمّا سائر التشبّثات الأُخر فهي غير متينة جدّاً</w:t>
      </w:r>
      <w:r>
        <w:rPr>
          <w:rFonts w:eastAsia="Amiri" w:cs="Amiri" w:ascii="Amiri" w:hAnsi="Amiri"/>
          <w:color w:val="111111"/>
          <w:sz w:val="28"/>
          <w:szCs w:val="28"/>
          <w:rtl w:val="true"/>
          <w:lang w:bidi="ar-SA"/>
        </w:rPr>
        <w:t>.</w:t>
      </w:r>
      <w:bookmarkStart w:id="181" w:name="pg12370_121730"/>
    </w:p>
    <w:p>
      <w:pPr>
        <w:pStyle w:val="Heading5"/>
        <w:numPr>
          <w:ilvl w:val="4"/>
          <w:numId w:val="1"/>
        </w:numPr>
        <w:rPr/>
      </w:pPr>
      <w:bookmarkStart w:id="182" w:name="__RefHeading___Toc9026208_417432637"/>
      <w:bookmarkStart w:id="183" w:name="_Toc65"/>
      <w:bookmarkEnd w:id="181"/>
      <w:bookmarkEnd w:id="182"/>
      <w:r>
        <w:rPr>
          <w:rtl w:val="true"/>
        </w:rPr>
        <w:t>[</w:t>
      </w:r>
      <w:r>
        <w:rPr>
          <w:rtl w:val="true"/>
        </w:rPr>
        <w:t xml:space="preserve">مسألة </w:t>
      </w:r>
      <w:r>
        <w:rPr/>
        <w:t>4</w:t>
      </w:r>
      <w:r>
        <w:rPr>
          <w:rtl w:val="true"/>
        </w:rPr>
        <w:t xml:space="preserve">: </w:t>
      </w:r>
      <w:r>
        <w:rPr>
          <w:rtl w:val="true"/>
        </w:rPr>
        <w:t>لا يجري هذا الخيار في غير البيع</w:t>
      </w:r>
      <w:r>
        <w:rPr>
          <w:rtl w:val="true"/>
        </w:rPr>
        <w:t>]</w:t>
      </w:r>
      <w:bookmarkEnd w:id="18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هذا الخيار في غير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البيع على ما سلف احتماله، بل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تأخير الثمن أو المثمن بالمقدار المتعارف، لا يورث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زاد عليه، و أقبض أحدهما الآخرَ متاعَه، و لم يسلّم الآخر، فلا يبعد الخيار العقلائيّ المترشّح من الاشتراط الضمنيّ كما يلوح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يتخيّل رجوع خيار التأخير إليه، و لكنّه خيار تأخير الثمن، لا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الأمر كما توهّم لكان الخيار ثابتاً لهما، و إنّما للشرع تحديده زماناً؛ حفاظاً على النظام، كما صنع ذلك في غير مورد</w:t>
      </w:r>
      <w:r>
        <w:rPr>
          <w:rFonts w:eastAsia="Amiri" w:cs="Amiri" w:ascii="Amiri" w:hAnsi="Amiri"/>
          <w:color w:val="111111"/>
          <w:sz w:val="28"/>
          <w:szCs w:val="28"/>
          <w:rtl w:val="true"/>
          <w:lang w:bidi="ar-SA"/>
        </w:rPr>
        <w:t>.</w:t>
      </w:r>
      <w:bookmarkStart w:id="184" w:name="pg12370_121731"/>
    </w:p>
    <w:p>
      <w:pPr>
        <w:pStyle w:val="Heading5"/>
        <w:numPr>
          <w:ilvl w:val="4"/>
          <w:numId w:val="1"/>
        </w:numPr>
        <w:rPr/>
      </w:pPr>
      <w:bookmarkStart w:id="185" w:name="__RefHeading___Toc9026210_417432637"/>
      <w:bookmarkStart w:id="186" w:name="_Toc66"/>
      <w:bookmarkEnd w:id="184"/>
      <w:bookmarkEnd w:id="185"/>
      <w:r>
        <w:rPr>
          <w:rtl w:val="true"/>
        </w:rPr>
        <w:t>[</w:t>
      </w:r>
      <w:r>
        <w:rPr>
          <w:rtl w:val="true"/>
        </w:rPr>
        <w:t xml:space="preserve">مسألة </w:t>
      </w:r>
      <w:r>
        <w:rPr/>
        <w:t>5</w:t>
      </w:r>
      <w:r>
        <w:rPr>
          <w:rtl w:val="true"/>
        </w:rPr>
        <w:t xml:space="preserve">: </w:t>
      </w:r>
      <w:r>
        <w:rPr>
          <w:rtl w:val="true"/>
        </w:rPr>
        <w:t>لو تلف المبيع كان من مال البائع في الثلاثة، و بعدها على الأقوى</w:t>
      </w:r>
      <w:r>
        <w:rPr>
          <w:rtl w:val="true"/>
        </w:rPr>
        <w:t>]</w:t>
      </w:r>
      <w:bookmarkEnd w:id="18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المبيع كان من مال البائع في الثلاثة، و بعدها على الأقوى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مرّت في أوّل خيار التأخير هذه المسألة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bookmarkStart w:id="187" w:name="pg12370_121732"/>
    </w:p>
    <w:p>
      <w:pPr>
        <w:pStyle w:val="Heading5"/>
        <w:numPr>
          <w:ilvl w:val="4"/>
          <w:numId w:val="1"/>
        </w:numPr>
        <w:rPr/>
      </w:pPr>
      <w:bookmarkStart w:id="188" w:name="__RefHeading___Toc9026212_417432637"/>
      <w:bookmarkStart w:id="189" w:name="_Toc67"/>
      <w:bookmarkEnd w:id="187"/>
      <w:bookmarkEnd w:id="188"/>
      <w:r>
        <w:rPr>
          <w:rtl w:val="true"/>
        </w:rPr>
        <w:t>[</w:t>
      </w:r>
      <w:r>
        <w:rPr>
          <w:rtl w:val="true"/>
        </w:rPr>
        <w:t xml:space="preserve">مسألة </w:t>
      </w:r>
      <w:r>
        <w:rPr/>
        <w:t>6</w:t>
      </w:r>
      <w:r>
        <w:rPr>
          <w:rtl w:val="true"/>
        </w:rPr>
        <w:t xml:space="preserve">: </w:t>
      </w:r>
      <w:r>
        <w:rPr>
          <w:rtl w:val="true"/>
        </w:rPr>
        <w:t>لو باع ما يتسارع إليه الفساد</w:t>
      </w:r>
      <w:r>
        <w:rPr>
          <w:rtl w:val="true"/>
        </w:rPr>
        <w:t>]</w:t>
      </w:r>
      <w:bookmarkEnd w:id="18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ما يتسارع إليه الفساد؛ بحيث يفسد لو صار بائتاً، كالبقول، و بعض الفواكه، و اللحم في بعض الأوقات و نحوها، و بقي عنده، و تأخّر المشتري، فللبائع الخيار قبل أن يطرأ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الفساد، فيفسخ البيع، و يتصرّف في البيع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قبل أن يطرأ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المعروف المتسالم عليه</w:t>
      </w:r>
      <w:r>
        <w:rPr>
          <w:rStyle w:val="FootnoteAnchor"/>
          <w:rtl w:val="true"/>
        </w:rPr>
        <w:footnoteReference w:id="474"/>
      </w:r>
      <w:r>
        <w:rPr>
          <w:rFonts w:ascii="Amiri" w:hAnsi="Amiri" w:eastAsia="Amiri" w:cs="Amiri"/>
          <w:color w:val="111111"/>
          <w:sz w:val="28"/>
          <w:sz w:val="28"/>
          <w:szCs w:val="28"/>
          <w:rtl w:val="true"/>
          <w:lang w:bidi="ar-SA"/>
        </w:rPr>
        <w:t xml:space="preserve">، و استدلّوا عليه بمرسلة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الشي‌ء الذي يفسد من يومه، و يتركه حتّى يأتيه بالثمن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فيما بينه و بين الليل بالثمن، و إلّا فلا بيع له</w:t>
      </w:r>
      <w:r>
        <w:rPr>
          <w:rFonts w:eastAsia="Amiri" w:cs="Amiri" w:ascii="Amiri" w:hAnsi="Amiri"/>
          <w:color w:val="111111"/>
          <w:sz w:val="28"/>
          <w:szCs w:val="28"/>
          <w:rtl w:val="true"/>
          <w:lang w:bidi="ar-SA"/>
        </w:rPr>
        <w:t>»</w:t>
      </w:r>
      <w:r>
        <w:rPr>
          <w:rStyle w:val="FootnoteAnchor"/>
          <w:rtl w:val="true"/>
        </w:rPr>
        <w:footnoteReference w:id="475"/>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رباط،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العهدة فيما يفسد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البقول، و البطّيخ، و الفواكه يوم إلى الليل</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بكونه من خيار التأخير، إلّا أنّه حدّد بيوم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خيار تأخير المثمن؛ لأنّ النظر إلى عدم طرو الفساد، فلو كان أقبض الثمن و لم يأتِ ليأخذ المبيع فله الخيار، كما صرّح به الفقيه اليزدي</w:t>
      </w:r>
      <w:r>
        <w:rPr>
          <w:rStyle w:val="FootnoteAnchor"/>
          <w:rtl w:val="true"/>
        </w:rPr>
        <w:footnoteReference w:id="478"/>
      </w:r>
      <w:r>
        <w:rPr>
          <w:rFonts w:ascii="Amiri" w:hAnsi="Amiri" w:eastAsia="Amiri" w:cs="Amiri"/>
          <w:color w:val="111111"/>
          <w:sz w:val="28"/>
          <w:sz w:val="28"/>
          <w:szCs w:val="28"/>
          <w:rtl w:val="true"/>
          <w:lang w:bidi="ar-SA"/>
        </w:rPr>
        <w:t>، فهو بعيد عن ساحة الأخبار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ثبوت الخيار في نصف اليوم أو في اليومين؛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خيار التأخير الثابت بالخبر الخاصّ؛ لاختلافهما في الحكم أحياناً، كما في حكم الفوريّة و التراخي،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الروايتين من شواهد ما أسّسناه في المسألة؛ و هو أنّ المسئول عنه و المفروض في الأخبار ليس البيع و حصول العقد و المبادلة، بل هو في فرض المقاولة، كما هو المتعارف</w:t>
      </w:r>
      <w:r>
        <w:rPr>
          <w:rStyle w:val="FootnoteAnchor"/>
          <w:rtl w:val="true"/>
        </w:rPr>
        <w:footnoteReference w:id="479"/>
      </w:r>
      <w:r>
        <w:rPr>
          <w:rFonts w:ascii="Amiri" w:hAnsi="Amiri" w:eastAsia="Amiri" w:cs="Amiri"/>
          <w:color w:val="111111"/>
          <w:sz w:val="28"/>
          <w:sz w:val="28"/>
          <w:szCs w:val="28"/>
          <w:rtl w:val="true"/>
          <w:lang w:bidi="ar-SA"/>
        </w:rPr>
        <w:t>، و يبعد العقد غير المعاطاتيّ في مثل هذه الأُمور بالضرورة، فإذن يحصل القطع بأنّه لم يكن بين البائع و المشتري إلّا القرار على البيع، و تركه عنده اختصاصاً به، لا ملكاً 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تمّ البحث، و لا يتوجه الإشكال إلى الأخبار و في بعض فروع المسألة، و إلّا فالإنصاف أنّ في محيط بلاد الرواية، تفسد</w:t>
      </w:r>
    </w:p>
    <w:p>
      <w:pPr>
        <w:pStyle w:val="BookText"/>
        <w:rPr/>
      </w:pPr>
      <w:r>
        <w:rPr>
          <w:rFonts w:ascii="Amiri" w:hAnsi="Amiri" w:eastAsia="Amiri" w:cs="Amiri"/>
          <w:color w:val="111111"/>
          <w:sz w:val="28"/>
          <w:sz w:val="28"/>
          <w:szCs w:val="28"/>
          <w:rtl w:val="true"/>
          <w:lang w:bidi="ar-SA"/>
        </w:rPr>
        <w:t>الخضروات في ساعات من النهار، و قلّما تبقى فاكهة شجريّة في يوم الصيف الطويل، فما في الأخبار ناظر إلى المسائل الأخلاقيّة و المعاهدات، و تكون العهدة فيها يوماً إلى الليل ما لم تفسد، و إلّا فلا قرار و لا معاهدة حتّى يتّبع استحباباً و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يكون البيع و القرار عليه له، لا أنّ البيع المتحقّق المملِّك ليس له،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في هذه الموارد إذا كان البيع متحققاً، ممّا لا إشكال فيه؛ لدليل آخر غير هذه الأخبار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تحرّر عندنا عدم حصول البيع إلّا بالقبض و بالمعاطاة، و ما هو الحاصل بالعقد اللفظيّ هو عقد البيع و العقد على المبادلة الخارجيّة، فإذا لم يقبض المشتري مبيعه فلا بيع، و إذا قبضه فيكون تلفه عليه فلا خيار، و تفصيل المسألة يطلب من كتابنا الكبير</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190" w:name="pg12370_121735"/>
    </w:p>
    <w:p>
      <w:pPr>
        <w:pStyle w:val="Heading4"/>
        <w:numPr>
          <w:ilvl w:val="3"/>
          <w:numId w:val="1"/>
        </w:numPr>
        <w:rPr/>
      </w:pPr>
      <w:bookmarkStart w:id="191" w:name="__RefHeading___Toc9026214_417432637"/>
      <w:bookmarkStart w:id="192" w:name="_Toc68"/>
      <w:bookmarkEnd w:id="190"/>
      <w:bookmarkEnd w:id="191"/>
      <w:r>
        <w:rPr>
          <w:rtl w:val="true"/>
        </w:rPr>
        <w:t>[</w:t>
      </w:r>
      <w:r>
        <w:rPr>
          <w:rtl w:val="true"/>
        </w:rPr>
        <w:t>السادس</w:t>
      </w:r>
      <w:r>
        <w:rPr>
          <w:rtl w:val="true"/>
        </w:rPr>
        <w:t xml:space="preserve">: </w:t>
      </w:r>
      <w:r>
        <w:rPr>
          <w:rtl w:val="true"/>
        </w:rPr>
        <w:t>خيار الرؤية</w:t>
      </w:r>
      <w:r>
        <w:rPr>
          <w:rtl w:val="true"/>
        </w:rPr>
        <w:t>]</w:t>
      </w:r>
      <w:bookmarkEnd w:id="192"/>
    </w:p>
    <w:p>
      <w:pPr>
        <w:pStyle w:val="Heading5"/>
        <w:numPr>
          <w:ilvl w:val="4"/>
          <w:numId w:val="1"/>
        </w:numPr>
        <w:rPr/>
      </w:pPr>
      <w:bookmarkStart w:id="193" w:name="__RefHeading___Toc9026216_417432637"/>
      <w:bookmarkStart w:id="194" w:name="_Toc69"/>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و هو فيما إذا اشترى شيئاً موصوفاً غير مشاهد، ثمّ وجده على خلاف ذلك الوصف؛ بمعنى كونه ناقصاً عنه، و كذا إذا وجده على خلاف ما رآه سابقاً، فيكون له 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له 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المشهور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فالدليل بناء العقلاء، بل هو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أصل صحّة المعاملة؛ لأجل أنّ التوصيف ليس رافعاً للجهالة و الغرر، فإذا كانت الجهالة مرتفعة به أو بوجه آخر، كان له الخيار، فما حكي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و تبعه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البطلان في موارد التخلّف</w:t>
      </w:r>
      <w:r>
        <w:rPr>
          <w:rStyle w:val="FootnoteAnchor"/>
          <w:rtl w:val="true"/>
        </w:rPr>
        <w:footnoteReference w:id="483"/>
      </w:r>
      <w:r>
        <w:rPr>
          <w:rFonts w:ascii="IRNazanin" w:hAnsi="IRNazanin" w:eastAsia="IRNazanin"/>
          <w:color w:val="111111"/>
          <w:sz w:val="28"/>
          <w:sz w:val="28"/>
          <w:szCs w:val="28"/>
          <w:rtl w:val="true"/>
          <w:lang w:bidi="fa-IR"/>
        </w:rPr>
        <w:t>، ممنوع إطلاقه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المحتمل صحّة البيع على الإطلاق؛ و ذلك لا لأجل أنّ التوصيف يرفع الجهالة، لأنّه إذا كان من البائع و كان موجباً للوثاقة يصحّ،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بحجّية إخبار البائع و لو كان في ضمن التوصيف، فهو في صورة عدم معلوميّة حاله من الكذب الواقعي، فالتوصيف ليس</w:t>
      </w:r>
    </w:p>
    <w:p>
      <w:pPr>
        <w:pStyle w:val="BookText"/>
        <w:rPr/>
      </w:pPr>
      <w:r>
        <w:rPr>
          <w:rFonts w:ascii="IRNazanin" w:hAnsi="IRNazanin" w:eastAsia="IRNazanin"/>
          <w:color w:val="111111"/>
          <w:sz w:val="28"/>
          <w:sz w:val="28"/>
          <w:szCs w:val="28"/>
          <w:rtl w:val="true"/>
          <w:lang w:bidi="fa-IR"/>
        </w:rPr>
        <w:t>مستنداً لرفع الغرر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يضرّ جهالة الأوصاف بصحّة البيع؛ لعدم الدليل عليها، و قد أوضحنا المسألة بما لا مزيد عليه في هذا المقام في كتابنا الكبير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له بحسب الموازين العقلائيّة؛ لأنّ الغرر و الجهالة المرتفعة بالمشاهدة، لا يقتضي كون العقد مبنيّاً على الوصف 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قضيّة معتبر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لو قلّب منها، و نظر إلى التسعة و التسعين قطعة، ثمّ بقي منها قطعة و لم يرها، لكان له في ذلك خيار الرؤية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ثبوت الخيار في الصورة الثانية أيضاً؛ فإنّ المتفاهم البدوي منها هو الخيار في صورة تخلّف المبيع عمّا شاهده و اعتقده على وصف خاصّ مثلًا، بعد 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الاشتراء؛ لأنّها للبعيد، و ما هو مرجع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هو الاشتراء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الخيار ليس بخيار الرؤية، إلّا أنّه بالنسبة إلى</w:t>
      </w:r>
    </w:p>
    <w:p>
      <w:pPr>
        <w:pStyle w:val="BookText"/>
        <w:rPr/>
      </w:pPr>
      <w:r>
        <w:rPr>
          <w:rFonts w:ascii="Amiri" w:hAnsi="Amiri" w:eastAsia="Amiri" w:cs="Amiri"/>
          <w:color w:val="111111"/>
          <w:sz w:val="28"/>
          <w:sz w:val="28"/>
          <w:szCs w:val="28"/>
          <w:rtl w:val="true"/>
          <w:lang w:bidi="ar-SA"/>
        </w:rPr>
        <w:t>و فيما إذا باع شيئاً بوصف غيره، ثمّ وجده زائداً على ما وصف، أو وجده زائداً على ما رآه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 الثمن على خلاف ما وصف؛ أي ناقصاً عنه، فله خيار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طائفة من الموارد خيار تخلّف الوصف و الشرط، و هو عقلائيّ، و بالنسبة إلى أُخرى خيار تعبّدي شرعيّ؛ و هو خيار الرؤية و تخلّف الوصف غير المبنيّ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الخبر ناظراً إلى أنّ الوصف المتخيّل بالمشاهدة موجب للخيار، غير صحيح؛ لأنّ وصف الصحّة لا يورثه، فضلًا عن وصف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مورد الخبر خيار العيب، و ليس بالرؤية؛ لأنّ الجهالة ارتفعت بالمشاهدة، و خيار العيب عرفيّ، و على هذا ينقلب الخيار المذكور إلى خيار تخلّف الوصف و الشرط، و إلى خيار العيب، و لا أساس لخيار الرؤية بالمعنى الآخر وراءهما، و الخبر 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الأظهر إلى خيار العيب، و القول بالتأسيس بعيد، و لا سيّما مع كون المسألة ذات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خيار الفسخ</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الخيار إذا كان الوصف يقوّم، كما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من خيار تخلّف الوصف، بل إمّا هو من خيار تخلّف التوصيف، أو من خيار الغبن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مندرجاً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ناظراً إلى الخيار التعبّدي فهو مشكل جدّاً؛ لأنّ الخبر في مورد المشتري لا البائع، و ما هو الثابت للأعمّ هو خيار تخلّف الوصف و التوصيف العقلائيّ، لا الخيار التعبّدي، فلا ينبغي الخلط و إن ظهر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خيار حسب الموازين العقلائيّة إلّا خيار الغبن، و قد تبيّن وجه انطباق الخبر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ناحية المشتري دون البائع، و لا وجه لإلغاء الخصوصيّة بعد اقتضاء الأدلّة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فالخيار خيار تخلّف الوصف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صورة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يرى الثمن على خلاف ما شاهده، فإنّه لا يثبت له إلّا خيار العيب لو كان التخلّف عيباً، أو كان موجباً للغبن الفاحش، فليتدبّر جيّداً</w:t>
      </w:r>
      <w:r>
        <w:rPr>
          <w:rFonts w:eastAsia="Amiri" w:cs="Amiri" w:ascii="Amiri" w:hAnsi="Amiri"/>
          <w:color w:val="111111"/>
          <w:sz w:val="28"/>
          <w:szCs w:val="28"/>
          <w:rtl w:val="true"/>
          <w:lang w:bidi="ar-SA"/>
        </w:rPr>
        <w:t>.</w:t>
      </w:r>
      <w:bookmarkStart w:id="195" w:name="pg12370_121739"/>
    </w:p>
    <w:p>
      <w:pPr>
        <w:pStyle w:val="Heading5"/>
        <w:numPr>
          <w:ilvl w:val="4"/>
          <w:numId w:val="1"/>
        </w:numPr>
        <w:rPr/>
      </w:pPr>
      <w:bookmarkStart w:id="196" w:name="__RefHeading___Toc9026218_417432637"/>
      <w:bookmarkStart w:id="197" w:name="_Toc70"/>
      <w:bookmarkEnd w:id="195"/>
      <w:bookmarkEnd w:id="196"/>
      <w:r>
        <w:rPr>
          <w:rtl w:val="true"/>
        </w:rPr>
        <w:t>[</w:t>
      </w:r>
      <w:r>
        <w:rPr>
          <w:rtl w:val="true"/>
        </w:rPr>
        <w:t xml:space="preserve">مسألة </w:t>
      </w:r>
      <w:r>
        <w:rPr/>
        <w:t>1</w:t>
      </w:r>
      <w:r>
        <w:rPr>
          <w:rtl w:val="true"/>
        </w:rPr>
        <w:t xml:space="preserve">: </w:t>
      </w:r>
      <w:r>
        <w:rPr>
          <w:rtl w:val="true"/>
        </w:rPr>
        <w:t>الخيار هنا بين الردّ و الإمساك مجّاناً</w:t>
      </w:r>
      <w:r>
        <w:rPr>
          <w:rtl w:val="true"/>
        </w:rPr>
        <w:t>]</w:t>
      </w:r>
      <w:bookmarkEnd w:id="19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هنا بين الردّ و الإمساك مجّاناً، و ليس لذي الخيار الإمساك بالأرش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الإمساك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الأرش لا يتصوّر إلّا فيما إذا كان الموجب له مورد المعاملة، و في جميع صور خيار تخلّف الوصف و الرؤية، يكون المنظور في العقد من أوصاف المبيع، و لا يعدّ من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خيار العيب يثبت الأرش تعبّداً، فلو كان هذا الخيار من أصنافه فهو، و إلّا فلا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في بعض صور المسألة خيار الغبن، فهو أيضاً بالإجماع، خلافاً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للتذكرة</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خيّر بين الإمساك 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حكم العقلاء يختلف عن مصبّ الإجماع؛ لأنّه لا معنى للخيار بعد إعطاء البائع الغابن ما تغابن به المشتري المغبون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الخيار و لو كان من أصناف خيار العيب إلّا أنّه لا أرش؛ لإطلاق معتبر جميل إطلاقاً مقاميّاً، فتدبّر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معتبر جميل لا إطلاق له؛ لأنّه بصدد إثبات الخيار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بمعزل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يسقط خياره ببذله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بإبدال العين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للوصف المفقود دخل في الصحّة، توجّه أخذ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للعيب، لا لتخلّف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عنونه الشيخ</w:t>
      </w:r>
      <w:r>
        <w:rPr>
          <w:rStyle w:val="FootnoteAnchor"/>
          <w:rtl w:val="true"/>
        </w:rPr>
        <w:footnoteReference w:id="489"/>
      </w:r>
      <w:r>
        <w:rPr>
          <w:rFonts w:ascii="Amiri" w:hAnsi="Amiri" w:eastAsia="Amiri" w:cs="Amiri"/>
          <w:color w:val="111111"/>
          <w:sz w:val="28"/>
          <w:sz w:val="28"/>
          <w:szCs w:val="28"/>
          <w:rtl w:val="true"/>
          <w:lang w:bidi="ar-SA"/>
        </w:rPr>
        <w:t>، و لكنّه غير صحيح؛ لأنّه من الواضح غير المحتاج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لسقوط خياره بعد الثبوت التعيينيّ ببذل البائع أو تبديله كما لا يخفى؛ لأنّ بذله و بذل الأجنبيّ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ينبغي التعرّض لعدم سقوطه بقبول ما يبذله أو قبول البدل؛ لأنّه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القبول فعلًا أنشأ به السقوط فهو، أو كان نظره الإعراض عن خياره و حقّه فهو، و إلّا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أخذ الأرش</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من مورد معتبر جميل كون الضيعة معيبةً</w:t>
      </w:r>
      <w:r>
        <w:rPr>
          <w:rStyle w:val="FootnoteAnchor"/>
          <w:rtl w:val="true"/>
        </w:rPr>
        <w:footnoteReference w:id="490"/>
      </w:r>
      <w:r>
        <w:rPr>
          <w:rFonts w:ascii="Amiri" w:hAnsi="Amiri" w:eastAsia="Amiri" w:cs="Amiri"/>
          <w:color w:val="111111"/>
          <w:sz w:val="28"/>
          <w:sz w:val="28"/>
          <w:szCs w:val="28"/>
          <w:rtl w:val="true"/>
          <w:lang w:bidi="ar-SA"/>
        </w:rPr>
        <w:t>، و أنّ المفروض في الجواب ليس عدم الرؤية بما هو هو، بل هو عدم الرؤية اللازم للكشف المخالف؛ بأن يصير متوجّهاً إلى فساد فيها و في المتاع الذي ارتفعت جهالته بالمشاهدة الإجماليّة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صحّ ما قالوه من أخذ الأرش</w:t>
      </w:r>
      <w:r>
        <w:rPr>
          <w:rStyle w:val="FootnoteAnchor"/>
          <w:rtl w:val="true"/>
        </w:rPr>
        <w:footnoteReference w:id="491"/>
      </w:r>
      <w:r>
        <w:rPr>
          <w:rFonts w:ascii="Amiri" w:hAnsi="Amiri" w:eastAsia="Amiri" w:cs="Amiri"/>
          <w:color w:val="111111"/>
          <w:sz w:val="28"/>
          <w:sz w:val="28"/>
          <w:szCs w:val="28"/>
          <w:rtl w:val="true"/>
          <w:lang w:bidi="ar-SA"/>
        </w:rPr>
        <w:t>، يلزم التهافت بين معتبر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لإطلاقه المقاميّ، بل اللفظي و إطلاقِ أخبار خيار العيب؛ في مورد الخيارين الثابت أحدهما بالخبر المذكور، فإنّ إطلاقه يورث الخيار من غير عِدْل، و حمل المعيّن على المخيّر، ليس من الجموع العرفيّة، و توهّم أنّه من رفع الإجمال بالمبيّن، غير تامّ، و قضيّة التساقط هو الأخذ بالقدر المتيقّن؛ و هو الخيار بلا أرش</w:t>
      </w:r>
      <w:r>
        <w:rPr>
          <w:rFonts w:eastAsia="Amiri" w:cs="Amiri" w:ascii="Amiri" w:hAnsi="Amiri"/>
          <w:color w:val="111111"/>
          <w:sz w:val="28"/>
          <w:szCs w:val="28"/>
          <w:rtl w:val="true"/>
          <w:lang w:bidi="ar-SA"/>
        </w:rPr>
        <w:t>.</w:t>
      </w:r>
      <w:bookmarkStart w:id="198" w:name="pg12370_121742"/>
    </w:p>
    <w:p>
      <w:pPr>
        <w:pStyle w:val="Heading5"/>
        <w:numPr>
          <w:ilvl w:val="4"/>
          <w:numId w:val="1"/>
        </w:numPr>
        <w:rPr/>
      </w:pPr>
      <w:bookmarkStart w:id="199" w:name="__RefHeading___Toc9026220_417432637"/>
      <w:bookmarkStart w:id="200" w:name="_Toc71"/>
      <w:bookmarkEnd w:id="198"/>
      <w:bookmarkEnd w:id="199"/>
      <w:r>
        <w:rPr>
          <w:rtl w:val="true"/>
        </w:rPr>
        <w:t>[</w:t>
      </w:r>
      <w:r>
        <w:rPr>
          <w:rtl w:val="true"/>
        </w:rPr>
        <w:t xml:space="preserve">مسألة </w:t>
      </w:r>
      <w:r>
        <w:rPr/>
        <w:t>2</w:t>
      </w:r>
      <w:r>
        <w:rPr>
          <w:rtl w:val="true"/>
        </w:rPr>
        <w:t xml:space="preserve">: </w:t>
      </w:r>
      <w:r>
        <w:rPr>
          <w:rtl w:val="true"/>
        </w:rPr>
        <w:t>مورد هذا الخيار بيع العين الشخصيّة الغائبة حين المبايعة</w:t>
      </w:r>
      <w:r>
        <w:rPr>
          <w:rtl w:val="true"/>
        </w:rPr>
        <w:t>]</w:t>
      </w:r>
      <w:bookmarkEnd w:id="20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هذا الخيار بيع العين الشخصيّة الغائبة حين المبايعة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يشترط في صحّته إمّا الرؤية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الاطمئنان ببقاء تلك الصفات، و إلّا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الغائبة حين المبايعة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هذا الخيار من الخيار العقلائيّ، فلا مورد له بخصوصه؛ لأنّ خيار تخلّف الوصف و الشرط أعمّ مورداً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 الخيار التعبّدي، فمورده مذكور في معتبر جميل؛ و هي العين الحاضرة المشاهدة بالشهود غير الكامل الرافعة للغرر الموجب للصحّة، فما في كلام القوم و صريح الشيخ</w:t>
      </w:r>
      <w:r>
        <w:rPr>
          <w:rStyle w:val="FootnoteAnchor"/>
          <w:rtl w:val="true"/>
        </w:rPr>
        <w:footnoteReference w:id="492"/>
      </w:r>
      <w:r>
        <w:rPr>
          <w:rFonts w:ascii="Amiri" w:hAnsi="Amiri" w:eastAsia="Amiri" w:cs="Amiri"/>
          <w:color w:val="111111"/>
          <w:sz w:val="28"/>
          <w:sz w:val="28"/>
          <w:szCs w:val="28"/>
          <w:rtl w:val="true"/>
          <w:lang w:bidi="ar-SA"/>
        </w:rPr>
        <w:t>و المتن، خلاف التحقيق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الرؤية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بها ترتفع الجهالة إذا لم يتغيّر العين حسب تخيّله و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أصالة السلامة إذا كان التغيّر إلى العيب؛ لأنّها عقلائيّة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استصحاب بقاء العين على حالها؛ نظراً إلى حكومته على دليل الشرط، لتنزيله منزلة العلم المأخوذ صفة أيضاً كما حرّرناه</w:t>
      </w:r>
      <w:r>
        <w:rPr>
          <w:rStyle w:val="FootnoteAnchor"/>
          <w:rtl w:val="true"/>
        </w:rPr>
        <w:footnoteReference w:id="493"/>
      </w:r>
      <w:r>
        <w:rPr>
          <w:rFonts w:ascii="Amiri" w:hAnsi="Amiri" w:eastAsia="Amiri" w:cs="Amiri"/>
          <w:color w:val="111111"/>
          <w:sz w:val="28"/>
          <w:sz w:val="28"/>
          <w:szCs w:val="28"/>
          <w:rtl w:val="true"/>
          <w:lang w:bidi="ar-SA"/>
        </w:rPr>
        <w:t>، فهو متين، إلّا أنّه ربّما يشكل لكونه مثبتاً، ضرورة أنّ بقاء الفرس على العروبة</w:t>
      </w:r>
    </w:p>
    <w:p>
      <w:pPr>
        <w:pStyle w:val="BookText"/>
        <w:rPr/>
      </w:pPr>
      <w:r>
        <w:rPr>
          <w:rFonts w:ascii="Amiri" w:hAnsi="Amiri" w:eastAsia="Amiri" w:cs="Amiri"/>
          <w:color w:val="111111"/>
          <w:sz w:val="28"/>
          <w:sz w:val="28"/>
          <w:szCs w:val="28"/>
          <w:rtl w:val="true"/>
          <w:lang w:bidi="ar-SA"/>
        </w:rPr>
        <w:t xml:space="preserve">و إمّا توصيفه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يرفع به الجهالة عرفاً؛ بأن حصل له الوثوق من توصيفه الموجب لرفع الغرر؛ بذكر جنسها و نوعها و صفاتها التي تختلف باختلافها الأثمان و رغبات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يثبت به التقيّد؛ و هو اعتبار كون المبيع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المستفاد من الأدلّة اشتراطَ معلوميّة المتاع إذا بيع،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وجه إشكال الماتن في غير صورة بقاء الوثوق و الاطمئنان، و يظهر وجه المناقشة في إطلاق إشكاله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توصيفه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التوصيف في طيّ الجمل التامّة الخبريّة أو الإنشائيّة، بمنزلة الإخبار عرفاً، فإذا كان الخبر موجباً للوثوق فهو، و إلّا فأخبار البائع الصريح غير ثابتة حجّيته، أو لو كان مقتضى أدلّة حجّيته و لو كان لا يتولّد منه الوثوق، فهو مخصوص بما إذا كان صريحاً، فلا تشمل الأخبار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بناء العقلاء حجّية الخبر ما دام لم يحرز ضعف المخبر، فإذا أُحرز فسقه و كذبه فلا يعتنون بإخباره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معلوميّة المبيع من جهات الوصف، غير واضح اعتبارها، و من أهمّ الأوصاف الصحّة، و لا يعتبر العلم بها، و من الواضح عندهم أنّ الماليّة و القيمة ليست معلوميّتها شرطاً، و قد أجمعوا على</w:t>
      </w:r>
    </w:p>
    <w:p>
      <w:pPr>
        <w:pStyle w:val="BookText"/>
        <w:rPr/>
      </w:pPr>
      <w:r>
        <w:rPr>
          <w:rFonts w:ascii="Amiri" w:hAnsi="Amiri" w:eastAsia="Amiri" w:cs="Amiri"/>
          <w:color w:val="111111"/>
          <w:sz w:val="28"/>
          <w:sz w:val="28"/>
          <w:szCs w:val="28"/>
          <w:rtl w:val="true"/>
          <w:lang w:bidi="ar-SA"/>
        </w:rPr>
        <w:t>صحّة البيع في صورة براءة البائع من العيوب، و هو مقتضى النصّ</w:t>
      </w:r>
      <w:r>
        <w:rPr>
          <w:rStyle w:val="FootnoteAnchor"/>
          <w:rtl w:val="true"/>
        </w:rPr>
        <w:footnoteReference w:id="494"/>
      </w:r>
      <w:r>
        <w:rPr>
          <w:rFonts w:ascii="Amiri" w:hAnsi="Amiri" w:eastAsia="Amiri" w:cs="Amiri"/>
          <w:color w:val="111111"/>
          <w:sz w:val="28"/>
          <w:sz w:val="28"/>
          <w:szCs w:val="28"/>
          <w:rtl w:val="true"/>
          <w:lang w:bidi="ar-SA"/>
        </w:rPr>
        <w:t>كما قيل</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النهي عن بيع الغرر ربّما يختصّ بما إذا كان الشي‌ء داخلًا في البيع و المبيع بما هو مبيع، و الأوصاف خارجة عن متعلّق العقد و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دليله غير منقّح سنداً و دلالة، كما تحرّر في محلّه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فالقدر المسلّم دلالة أخبار المكيل و الموزون على أن لا تكون المعاملات جزافيّة ظاهراً</w:t>
      </w:r>
      <w:r>
        <w:rPr>
          <w:rStyle w:val="FootnoteAnchor"/>
          <w:rtl w:val="true"/>
        </w:rPr>
        <w:footnoteReference w:id="497"/>
      </w:r>
      <w:r>
        <w:rPr>
          <w:rFonts w:ascii="Amiri" w:hAnsi="Amiri" w:eastAsia="Amiri" w:cs="Amiri"/>
          <w:color w:val="111111"/>
          <w:sz w:val="28"/>
          <w:sz w:val="28"/>
          <w:szCs w:val="28"/>
          <w:rtl w:val="true"/>
          <w:lang w:bidi="ar-SA"/>
        </w:rPr>
        <w:t>، فعليه يعتبر في مثل المكيل و الموزون معلوميّتهما؛ لأنّ المقدار و الكم داخل في المبيع، و يعدّ من أجزائه، و يقسّط الثمن عليه، بخلاف الكيف، و مقتضى تلك الأخبار في 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فيها من المناقشات الكثيرة المذكورة في كتابنا الكبير</w:t>
      </w:r>
      <w:r>
        <w:rPr>
          <w:rStyle w:val="FootnoteAnchor"/>
          <w:rtl w:val="true"/>
        </w:rPr>
        <w:footnoteReference w:id="498"/>
      </w:r>
      <w:r>
        <w:rPr>
          <w:rFonts w:ascii="Amiri" w:hAnsi="Amiri" w:eastAsia="Amiri" w:cs="Amiri"/>
          <w:color w:val="111111"/>
          <w:sz w:val="28"/>
          <w:sz w:val="28"/>
          <w:szCs w:val="28"/>
          <w:rtl w:val="true"/>
          <w:lang w:bidi="ar-SA"/>
        </w:rPr>
        <w:t>، و مرّ شطر منها هنا أنّه ليس الخروج عن الجزاف شرطاً على الإطلاق؛ حتّى ينافيه صحّة البيع في صورة براءة البائع من العيوب، فراجع و تدبّر</w:t>
      </w:r>
      <w:r>
        <w:rPr>
          <w:rFonts w:eastAsia="Amiri" w:cs="Amiri" w:ascii="Amiri" w:hAnsi="Amiri"/>
          <w:color w:val="111111"/>
          <w:sz w:val="28"/>
          <w:szCs w:val="28"/>
          <w:rtl w:val="true"/>
          <w:lang w:bidi="ar-SA"/>
        </w:rPr>
        <w:t>.</w:t>
      </w:r>
      <w:bookmarkStart w:id="201" w:name="pg12370_121745"/>
    </w:p>
    <w:p>
      <w:pPr>
        <w:pStyle w:val="Heading5"/>
        <w:numPr>
          <w:ilvl w:val="4"/>
          <w:numId w:val="1"/>
        </w:numPr>
        <w:rPr/>
      </w:pPr>
      <w:bookmarkStart w:id="202" w:name="__RefHeading___Toc9026222_417432637"/>
      <w:bookmarkStart w:id="203" w:name="_Toc72"/>
      <w:bookmarkEnd w:id="201"/>
      <w:bookmarkEnd w:id="202"/>
      <w:r>
        <w:rPr>
          <w:rtl w:val="true"/>
        </w:rPr>
        <w:t>[</w:t>
      </w:r>
      <w:r>
        <w:rPr>
          <w:rtl w:val="true"/>
        </w:rPr>
        <w:t xml:space="preserve">مسألة </w:t>
      </w:r>
      <w:r>
        <w:rPr/>
        <w:t>3</w:t>
      </w:r>
      <w:r>
        <w:rPr>
          <w:rtl w:val="true"/>
        </w:rPr>
        <w:t xml:space="preserve">: </w:t>
      </w:r>
      <w:r>
        <w:rPr>
          <w:rtl w:val="true"/>
        </w:rPr>
        <w:t>هذا الخيار فوري عند الرؤية على المشهور</w:t>
      </w:r>
      <w:r>
        <w:rPr>
          <w:rtl w:val="true"/>
        </w:rPr>
        <w:t>]</w:t>
      </w:r>
      <w:bookmarkEnd w:id="20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الخيار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الرؤية على المشهور، و فيه إشكال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عند المشهور من الخيارات العقلائيّة؛ لأنّه خيار تخلّف الوصف المبنيّ عليه العقد؛ سواء كان صريحاً في العقد، أو ضمنيّاً، و عليه يكون فوريّاً؛ لبناء العقلاء أوّلًا، و لأنّ الخيارات العقلائيّة بحسب التضرّر و المشاكل، فإذا أخّره كثيراً فيسقط؛ لعدم تماميّة 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ذلك فهو محلّ الخلاف، 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تحرّر منّا في الاصول عدم جريان الأُصول العمليّة؛ لا استصحاب حكم المخصّص، و لا استصحاب حكم العامّ</w:t>
      </w:r>
      <w:r>
        <w:rPr>
          <w:rStyle w:val="FootnoteAnchor"/>
          <w:rtl w:val="true"/>
        </w:rPr>
        <w:footnoteReference w:id="499"/>
      </w:r>
      <w:r>
        <w:rPr>
          <w:rFonts w:ascii="Amiri" w:hAnsi="Amiri" w:eastAsia="Amiri" w:cs="Amiri"/>
          <w:color w:val="111111"/>
          <w:sz w:val="28"/>
          <w:sz w:val="28"/>
          <w:szCs w:val="28"/>
          <w:rtl w:val="true"/>
          <w:lang w:bidi="ar-SA"/>
        </w:rPr>
        <w:t>، و أمّا التمسّك بعموم العامّ أو إطلاقه، ففيه منازعة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الدليل المقتضي لأصالة اللزوم مرجع، دون الشي‌ء الآخر، و النتيجة هي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كونه من الخيار التعبّدي، فإنّه يحتمل قويّاً تراخيه؛ لإطلاق دليله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الوالد المحقّق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في إطلاقه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الخبر</w:t>
      </w:r>
    </w:p>
    <w:p>
      <w:pPr>
        <w:pStyle w:val="BookText"/>
        <w:rPr/>
      </w:pPr>
      <w:r>
        <w:rPr>
          <w:rFonts w:ascii="Amiri" w:hAnsi="Amiri" w:eastAsia="Amiri" w:cs="Amiri"/>
          <w:color w:val="111111"/>
          <w:sz w:val="28"/>
          <w:sz w:val="28"/>
          <w:szCs w:val="28"/>
          <w:rtl w:val="true"/>
          <w:lang w:bidi="ar-SA"/>
        </w:rPr>
        <w:t>في موقف التشريع</w:t>
      </w:r>
      <w:r>
        <w:rPr>
          <w:rStyle w:val="FootnoteAnchor"/>
          <w:rtl w:val="true"/>
        </w:rPr>
        <w:footnoteReference w:id="500"/>
      </w:r>
      <w:r>
        <w:rPr>
          <w:rFonts w:ascii="Amiri" w:hAnsi="Amiri" w:eastAsia="Amiri" w:cs="Amiri"/>
          <w:color w:val="111111"/>
          <w:sz w:val="28"/>
          <w:sz w:val="28"/>
          <w:szCs w:val="28"/>
          <w:rtl w:val="true"/>
          <w:lang w:bidi="ar-SA"/>
        </w:rPr>
        <w:t>، و هو منافٍ لما يتمسّك به في الأُصول و غيره بالآيات الإلهيّة القرآنيّة، مع أنّها للتشريع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 الحكم متعرّضاً للتشريع، لا يقتضي الإهمال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معتبر جميل تشريعاً أوّلياً، لكان عليه أن يسأل عن هذا الخيار الجديد غير المسبوق و لاشتهر بين الأصحاب الأوّلين فيسألون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بعض الملامح إلى أنّه ليس الأمر كما تحرّر، فتدبّر</w:t>
      </w:r>
      <w:r>
        <w:rPr>
          <w:rFonts w:eastAsia="Amiri" w:cs="Amiri" w:ascii="Amiri" w:hAnsi="Amiri"/>
          <w:color w:val="111111"/>
          <w:sz w:val="28"/>
          <w:szCs w:val="28"/>
          <w:rtl w:val="true"/>
          <w:lang w:bidi="ar-SA"/>
        </w:rPr>
        <w:t>.</w:t>
      </w:r>
      <w:bookmarkStart w:id="204" w:name="pg12370_121747"/>
    </w:p>
    <w:p>
      <w:pPr>
        <w:pStyle w:val="Heading5"/>
        <w:numPr>
          <w:ilvl w:val="4"/>
          <w:numId w:val="1"/>
        </w:numPr>
        <w:rPr/>
      </w:pPr>
      <w:bookmarkStart w:id="205" w:name="__RefHeading___Toc9026224_417432637"/>
      <w:bookmarkStart w:id="206" w:name="_Toc73"/>
      <w:bookmarkEnd w:id="204"/>
      <w:bookmarkEnd w:id="205"/>
      <w:r>
        <w:rPr>
          <w:rtl w:val="true"/>
        </w:rPr>
        <w:t>[</w:t>
      </w:r>
      <w:r>
        <w:rPr>
          <w:rtl w:val="true"/>
        </w:rPr>
        <w:t xml:space="preserve">مسألة </w:t>
      </w:r>
      <w:r>
        <w:rPr/>
        <w:t>4</w:t>
      </w:r>
      <w:r>
        <w:rPr>
          <w:rtl w:val="true"/>
        </w:rPr>
        <w:t xml:space="preserve">: </w:t>
      </w:r>
      <w:r>
        <w:rPr>
          <w:rtl w:val="true"/>
        </w:rPr>
        <w:t>يسقط هذا الخيار باشتراط سقوطه في ضمن العقد</w:t>
      </w:r>
      <w:r>
        <w:rPr>
          <w:rtl w:val="true"/>
        </w:rPr>
        <w:t>]</w:t>
      </w:r>
      <w:bookmarkEnd w:id="20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باشتراط سقوطه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العقد؛ إذا لم يرفع به الوثوق الرافع للجهالة،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باشتراط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جهات المناقشة في صحّة هذا الشرط و فروضه</w:t>
      </w:r>
      <w:r>
        <w:rPr>
          <w:rStyle w:val="FootnoteAnchor"/>
          <w:rtl w:val="true"/>
        </w:rPr>
        <w:footnoteReference w:id="501"/>
      </w:r>
      <w:r>
        <w:rPr>
          <w:rFonts w:ascii="Amiri" w:hAnsi="Amiri" w:eastAsia="Amiri" w:cs="Amiri"/>
          <w:color w:val="111111"/>
          <w:sz w:val="28"/>
          <w:sz w:val="28"/>
          <w:szCs w:val="28"/>
          <w:rtl w:val="true"/>
          <w:lang w:bidi="ar-SA"/>
        </w:rPr>
        <w:t>، و في المقام إشكال آخر أُشير إليه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هذا الخيار إن كان مبناه الخبر، و مورده العين المرفوع غررها بالمشاهدة، و لم يكن العقد مبنيّاً على صفة من الأوصاف، فلا شبهة في جواز شرط السقوط على إطلاقه؛ لما لا يتضرّر منه العقد و لا الشرط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كان مورده العين الشخصيّة الظاهر عيبها، فيكون الخبر متعرّضاً لخيار العيب، إلّا أنّه ليس هنا بخيار الرؤية؛ لما مرّ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خيار ثابت في مورد تخلّف الوصف، فلو كان الغرر مرفوعاً بالتوصيف، و أنّ البائع يصف العين و الفرس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على المشتري سقوط خياره الناشئ من تخلّف العروبة، فكيف يمكن صحّة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 الشرط المذكور سراية الجهالة إلى المبيع، و ذهاب الوثوق الحاصل من التوصيف السابق، أو عدم حصول الوثوق بانضمام الشرط المذكور نوعاً و عادة، فإذا فسد العقد فسد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فساد الشرط سبب لفساد العقد، مناقض لما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الوثوق بالشرط؛ فإنّ العقد يفسد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الكتاب الكبير وجوهاً تسعة لبطلان البيع؛ بين ما هي عقليّة، و عقلائيّة، و شرعيّة</w:t>
      </w:r>
      <w:r>
        <w:rPr>
          <w:rStyle w:val="FootnoteAnchor"/>
          <w:rtl w:val="true"/>
        </w:rPr>
        <w:footnoteReference w:id="502"/>
      </w:r>
      <w:r>
        <w:rPr>
          <w:rFonts w:ascii="Amiri" w:hAnsi="Amiri" w:eastAsia="Amiri" w:cs="Amiri"/>
          <w:color w:val="111111"/>
          <w:sz w:val="28"/>
          <w:sz w:val="28"/>
          <w:szCs w:val="28"/>
          <w:rtl w:val="true"/>
          <w:lang w:bidi="ar-SA"/>
        </w:rPr>
        <w:t>، إلّا أنّ جميعها قابل للدفع و لو كان المستشكل أمثال الشيخ، و المحشّين المحقّقين؛ و فيهم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هو المهمّ في المسألة هي الشبهة الشرعيّة التي توجب البطلان في الجملة لا مطلقاً؛ ضرورة أنّ من الممكن أن يكون شرط السقوط، منضماً لشرط مؤكّد لثبوت الوصف، كما إذا باع على أن يسقط، و شرط أنّه لو تخلّف الوصف يعطيه أضعاف المثمن، و أمّا البائع فيشترط ذلك لبعض الأغراض الخاصّة،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يكون البائع من الثقات العدول؛ بحيث لا يضرّ اشتراطه السقوط بالوثوق و الاطمئنان، و يورث أن يجعل المشتري شرطه على الأغراض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وجه للمنع المطلق شرعاً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تصحيحه على الإطلاق؛ فلما أُشير إليه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منع الكبرى،</w:t>
      </w:r>
    </w:p>
    <w:p>
      <w:pPr>
        <w:pStyle w:val="BookText"/>
        <w:rPr/>
      </w:pPr>
      <w:r>
        <w:rPr>
          <w:rFonts w:ascii="Amiri" w:hAnsi="Amiri" w:eastAsia="Amiri" w:cs="Amiri"/>
          <w:color w:val="111111"/>
          <w:sz w:val="28"/>
          <w:sz w:val="28"/>
          <w:szCs w:val="28"/>
          <w:rtl w:val="true"/>
          <w:lang w:bidi="ar-SA"/>
        </w:rPr>
        <w:t xml:space="preserve">و إلّا فيفسد و يفسد العقد، و بإسقاطه بعد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بالتصرّف في العين بعدها تصرّفاً و هو اشتراط معلوميّة المبيع من جهات الكيف و الأوصاف و لو كانت الأوصاف ذات قيم و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تبيّن التخلّف يلزم الخيار للغبن، أو يكون له خيار العيب، و أمّا البطلان المستند إلى الجهالة الناشئة من الأوصاف، فهي قابلة للمنع جدّاً،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لا يكون له خيار رأساً؛ لعدم مقتضيه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إشكال و ريب، و هو المتسالم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حقّا؛ لأنّ خيار الرؤية يثبت بالنصّ، و دليله قاصر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لكونه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كونه حقّا لا يكفي لجواز إسقاطه؛ لأنّ حقّية الحقّ منوط بأثر من آثاره و منها القابليّة للإسقاط</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 الوجهين نظر وجداناً و إن لم يكن مقتضى الصناعة؛ و ذلك لظهور الخيار في كونه الخيار العقلائيّ، فيكون حقّا، كما هو كذلك عند العقلاء، و أنّ الإسقاط من الآثار الواضحة اللازمة لكلّ حقّ عرفيّ</w:t>
      </w:r>
    </w:p>
    <w:p>
      <w:pPr>
        <w:pStyle w:val="BookText"/>
        <w:rPr/>
      </w:pPr>
      <w:r>
        <w:rPr>
          <w:rFonts w:ascii="Amiri" w:hAnsi="Amiri" w:eastAsia="Amiri" w:cs="Amiri"/>
          <w:color w:val="111111"/>
          <w:sz w:val="28"/>
          <w:sz w:val="28"/>
          <w:szCs w:val="28"/>
          <w:rtl w:val="true"/>
          <w:lang w:bidi="ar-SA"/>
        </w:rPr>
        <w:t xml:space="preserve">كاشفاً عن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بالبيع، و بعدم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الفسخ؛ بناءً على فوريّته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شرعيّ، بخلاف المعاوضة و التورّث فإنّهما من الآثار التي يمكن تفكيكها، كما هو الواقع في كثير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كاشفاً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بالبيع كان منكشفاً قبل التصرّف، و استفادة كون التصرّف مسقطاً بما هو هو من الأخبار الخاصّة، ممنوع حتّى في موردها و هو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بأن يريد ذو الخيار إسقاط خياره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كفاية مطلق الفعل نظر قوّينا سابقاً كفايته؛ و إن لم يكن في مرحلة الدعوى قول مدّعي الإسقاط مسموعاً؛ لاختلاف مرحلة السقوط ثبوتاً، و مرحلةِ المخاصمة إثباتاً، و التفصيل في محلّه،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تصرّف تصرّفاً كاشفاً عن الالتزام الجديد بالبيع المرضيّ، ففي كفايته إشكال منعنا ذلك؛ لأنّ الخيار أمر حقّي وضعيّ تسبيبيّ، لا يسقط إلّا بالإنشاء القوليّ، أو الفعليّ، أو بالإعراض، فإن كان في التصرّف إعراض عنه، فهو كالإعراض عن الملك و الدين، و إلّا فمجرّد الالتزام لا يكفي للسقوط فيستصحب،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بعدم المبادرة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المبادرة لا يوجب سقوطه، بل هو راجع إلى قصور</w:t>
      </w:r>
    </w:p>
    <w:p>
      <w:pPr>
        <w:pStyle w:val="BookText"/>
        <w:rPr/>
      </w:pPr>
      <w:r>
        <w:rPr>
          <w:rFonts w:ascii="Amiri" w:hAnsi="Amiri" w:eastAsia="Amiri" w:cs="Amiri"/>
          <w:color w:val="111111"/>
          <w:sz w:val="28"/>
          <w:sz w:val="28"/>
          <w:szCs w:val="28"/>
          <w:rtl w:val="true"/>
          <w:lang w:bidi="ar-SA"/>
        </w:rPr>
        <w:t>مقتضيه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و تقدير؛ يسقط أحياناً خياره بقبول الأرش، أو بقبول البدل؛ لأنّه ظاهر في الإعراض عن حقّه إذا كان عالماً بالخيار، و إلّا ففي كفاية الالتزام بالبيع المنكشف بهما جهلًا بالحال إشكال؛ و لو قلنا بكفاية الالتزام الجديد بالبيع، فإنّه مخصوص بصورة العلم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لو كان جاهلًا، قد التزم بالبيع التزاماً قطعيّاً ربّما يخطر بباله ذلك و لو كان ذا خيار، فالرضا الجديد و الالتزام الحادث متعلّق بالبيع الموجود، و هو لا يجتمع مع خياره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الخياري لازم، و هو مثل البيع غير الخياري في لزومه، و إنّما الخيار اختيار هدم العقد اللازم في ذاته عرفاً و شرعاً، و لا يورث الخيار قصوراً في العقد، و لا معنى له و لا للعقد المتزلزل، و لا لتوصيف العقد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مجرّد الالتزام المذكور غير كافٍ على إطلاقه عندنا، إلّا إذا رجع إلى إعراضه عن حقّه و ملكه و دَينه، فليتدبّر جيّداً</w:t>
      </w:r>
      <w:r>
        <w:rPr>
          <w:rFonts w:eastAsia="Amiri" w:cs="Amiri" w:ascii="Amiri" w:hAnsi="Amiri"/>
          <w:color w:val="111111"/>
          <w:sz w:val="28"/>
          <w:szCs w:val="28"/>
          <w:rtl w:val="true"/>
          <w:lang w:bidi="ar-SA"/>
        </w:rPr>
        <w:t>.</w:t>
      </w:r>
      <w:bookmarkStart w:id="207" w:name="pg12370_121752"/>
    </w:p>
    <w:p>
      <w:pPr>
        <w:pStyle w:val="Heading4"/>
        <w:numPr>
          <w:ilvl w:val="3"/>
          <w:numId w:val="1"/>
        </w:numPr>
        <w:rPr/>
      </w:pPr>
      <w:bookmarkStart w:id="208" w:name="__RefHeading___Toc9026226_417432637"/>
      <w:bookmarkStart w:id="209" w:name="_Toc74"/>
      <w:bookmarkEnd w:id="207"/>
      <w:bookmarkEnd w:id="208"/>
      <w:r>
        <w:rPr>
          <w:rtl w:val="true"/>
        </w:rPr>
        <w:t>[</w:t>
      </w:r>
      <w:r>
        <w:rPr>
          <w:rtl w:val="true"/>
        </w:rPr>
        <w:t>السابع</w:t>
      </w:r>
      <w:r>
        <w:rPr>
          <w:rtl w:val="true"/>
        </w:rPr>
        <w:t xml:space="preserve">: </w:t>
      </w:r>
      <w:r>
        <w:rPr>
          <w:rtl w:val="true"/>
        </w:rPr>
        <w:t>خيار العيب</w:t>
      </w:r>
      <w:r>
        <w:rPr>
          <w:rtl w:val="true"/>
        </w:rPr>
        <w:t>]</w:t>
      </w:r>
      <w:bookmarkEnd w:id="209"/>
    </w:p>
    <w:p>
      <w:pPr>
        <w:pStyle w:val="Heading5"/>
        <w:numPr>
          <w:ilvl w:val="4"/>
          <w:numId w:val="1"/>
        </w:numPr>
        <w:rPr/>
      </w:pPr>
      <w:bookmarkStart w:id="210" w:name="__RefHeading___Toc9026228_417432637"/>
      <w:bookmarkStart w:id="211" w:name="_Toc75"/>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و هو فيما إذا وجد المشتري في المبيع عيباً، فيتخيّر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الفسخ و الإمساك بالأرش؛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منقولًا عن جماعة،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 غيرها</w:t>
      </w:r>
      <w:r>
        <w:rPr>
          <w:rStyle w:val="FootnoteAnchor"/>
          <w:rtl w:val="true"/>
        </w:rPr>
        <w:footnoteReference w:id="505"/>
      </w:r>
      <w:r>
        <w:rPr>
          <w:rFonts w:ascii="Amiri" w:hAnsi="Amiri" w:eastAsia="Amiri" w:cs="Amiri"/>
          <w:color w:val="111111"/>
          <w:sz w:val="28"/>
          <w:sz w:val="28"/>
          <w:szCs w:val="28"/>
          <w:rtl w:val="true"/>
          <w:lang w:bidi="ar-SA"/>
        </w:rPr>
        <w:t xml:space="preserve">، و شهرة عظيمة كادت تكون اتفاقاً و مقطوعاً به بينهم، خلافاً لما نسب إلى الشيخ في بعض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و للأخبار الكثيرة الظاهرة في أنّه له الخيار في صورة بقاء العين، و له الأرش في غير هذه الصورة</w:t>
      </w:r>
      <w:r>
        <w:rPr>
          <w:rStyle w:val="FootnoteAnchor"/>
          <w:rtl w:val="true"/>
        </w:rPr>
        <w:footnoteReference w:id="507"/>
      </w:r>
      <w:r>
        <w:rPr>
          <w:rFonts w:ascii="Amiri" w:hAnsi="Amiri" w:eastAsia="Amiri" w:cs="Amiri"/>
          <w:color w:val="111111"/>
          <w:sz w:val="28"/>
          <w:sz w:val="28"/>
          <w:szCs w:val="28"/>
          <w:rtl w:val="true"/>
          <w:lang w:bidi="ar-SA"/>
        </w:rPr>
        <w:t>، فيكون التخيير طوليّاً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استفادة التخيير العَرْضيّ من أخبار المسألة</w:t>
      </w:r>
      <w:r>
        <w:rPr>
          <w:rStyle w:val="FootnoteAnchor"/>
          <w:rtl w:val="true"/>
        </w:rPr>
        <w:footnoteReference w:id="508"/>
      </w:r>
      <w:r>
        <w:rPr>
          <w:rFonts w:ascii="Amiri" w:hAnsi="Amiri" w:eastAsia="Amiri" w:cs="Amiri"/>
          <w:color w:val="111111"/>
          <w:sz w:val="28"/>
          <w:sz w:val="28"/>
          <w:szCs w:val="28"/>
          <w:rtl w:val="true"/>
          <w:lang w:bidi="ar-SA"/>
        </w:rPr>
        <w:t>و لو كان ممكناً، إلّا أنّها ليست من الاستفادة عرفاً، فلو كان في الأخبار بعض الإطلاقات المثبتة للردّ، أو بعض آخر يثبت الأرش، فالجمع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الطائفة الثالثة المشار إليها هو بالتخيير الطوليّ أيضاً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الإطلاق المذكور ممنوع؛ إما لعدم السند، أو لعدم الدلالة،</w:t>
      </w:r>
    </w:p>
    <w:p>
      <w:pPr>
        <w:pStyle w:val="BookText"/>
        <w:rPr/>
      </w:pPr>
      <w:r>
        <w:rPr>
          <w:rFonts w:ascii="Amiri" w:hAnsi="Amiri" w:eastAsia="Amiri" w:cs="Amiri"/>
          <w:color w:val="111111"/>
          <w:sz w:val="28"/>
          <w:sz w:val="28"/>
          <w:szCs w:val="28"/>
          <w:rtl w:val="true"/>
          <w:lang w:bidi="ar-SA"/>
        </w:rPr>
        <w:t>و سيمرّ عليك في البحوث الآتية بعض أخبار المسألة إن شاء اللَّه تعالى</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فالعمدة هنا هي الشهرة، إلّا أنّها غير واضح كونها بالغة إلى حدّ يكشف بها الرأي، أو الخبر الموثوق به الصريح في المطلوب؛ و ذلك للمحكيّ عن الشيخ</w:t>
      </w:r>
      <w:r>
        <w:rPr>
          <w:rStyle w:val="FootnoteAnchor"/>
          <w:rtl w:val="true"/>
        </w:rPr>
        <w:footnoteReference w:id="510"/>
      </w:r>
      <w:r>
        <w:rPr>
          <w:rFonts w:ascii="Amiri" w:hAnsi="Amiri" w:eastAsia="Amiri" w:cs="Amiri"/>
          <w:color w:val="111111"/>
          <w:sz w:val="28"/>
          <w:sz w:val="28"/>
          <w:szCs w:val="28"/>
          <w:rtl w:val="true"/>
          <w:lang w:bidi="ar-SA"/>
        </w:rPr>
        <w:t>أوّلًا، و لعدم ذهاب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شذّ</w:t>
      </w:r>
      <w:r>
        <w:rPr>
          <w:rStyle w:val="FootnoteAnchor"/>
          <w:rtl w:val="true"/>
        </w:rPr>
        <w:footnoteReference w:id="511"/>
      </w:r>
      <w:r>
        <w:rPr>
          <w:rFonts w:ascii="Amiri" w:hAnsi="Amiri" w:eastAsia="Amiri" w:cs="Amiri"/>
          <w:color w:val="111111"/>
          <w:sz w:val="28"/>
          <w:sz w:val="28"/>
          <w:szCs w:val="28"/>
          <w:rtl w:val="true"/>
          <w:lang w:bidi="ar-SA"/>
        </w:rPr>
        <w:t>إلى ما يوجب اشتهار الحكم عند الأوّلين فتأمّل، و أنّ في المعاملات يبعد طبعاً التعبّد الصرْف، فالمسألة مشكلة، و التصالح أحوط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التخيير بين المعنيين الوضعيّين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كالتخيير بين نجاسة الشيئين ممّا لا معنى معقول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التخيير، بل المشتري له حقّ الخيار، و له حقّ الأرش، و الكلّ يورث، إلّا أنّ الجمع بين الحقّين غير ممكن؛ ضرورة أنّه بإعمال الخيار لا يبقى وجه لأخذ الأرش، و من الأخذ بالأرش يلزم سقوط خياره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مرضيّ عندنا و إن أبدعناه في كتابنا الكبير</w:t>
      </w:r>
      <w:r>
        <w:rPr>
          <w:rStyle w:val="FootnoteAnchor"/>
          <w:rtl w:val="true"/>
        </w:rPr>
        <w:footnoteReference w:id="512"/>
      </w:r>
      <w:r>
        <w:rPr>
          <w:rFonts w:ascii="Amiri" w:hAnsi="Amiri" w:eastAsia="Amiri" w:cs="Amiri"/>
          <w:color w:val="111111"/>
          <w:sz w:val="28"/>
          <w:sz w:val="28"/>
          <w:szCs w:val="28"/>
          <w:rtl w:val="true"/>
          <w:lang w:bidi="ar-SA"/>
        </w:rPr>
        <w:t>ضرورة أن للشرع التصريح ببقاء خياره و لو بعد الأرش، لأجل أنّ ظهور العيب سبب، و لو انسدّ</w:t>
      </w:r>
    </w:p>
    <w:p>
      <w:pPr>
        <w:pStyle w:val="BookText"/>
        <w:rPr/>
      </w:pPr>
      <w:r>
        <w:rPr>
          <w:rFonts w:ascii="Amiri" w:hAnsi="Amiri" w:eastAsia="Amiri" w:cs="Amiri"/>
          <w:color w:val="111111"/>
          <w:sz w:val="28"/>
          <w:sz w:val="28"/>
          <w:szCs w:val="28"/>
          <w:rtl w:val="true"/>
          <w:lang w:bidi="ar-SA"/>
        </w:rPr>
        <w:t xml:space="preserve">ما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قولًا خسارة المشتري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شرط فإنّه لا يسقط بالأرش، فعليه لا يمكن القول بكونهما بمنزلة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قضيّة النصّ</w:t>
      </w:r>
      <w:r>
        <w:rPr>
          <w:rStyle w:val="FootnoteAnchor"/>
          <w:rtl w:val="true"/>
        </w:rPr>
        <w:footnoteReference w:id="513"/>
      </w:r>
      <w:r>
        <w:rPr>
          <w:rFonts w:ascii="IRNazanin" w:hAnsi="IRNazanin" w:eastAsia="IRNazanin"/>
          <w:color w:val="111111"/>
          <w:sz w:val="28"/>
          <w:sz w:val="28"/>
          <w:szCs w:val="28"/>
          <w:rtl w:val="true"/>
          <w:lang w:bidi="fa-IR"/>
        </w:rPr>
        <w:t>و الفتوى</w:t>
      </w:r>
      <w:r>
        <w:rPr>
          <w:rStyle w:val="FootnoteAnchor"/>
          <w:rtl w:val="true"/>
        </w:rPr>
        <w:footnoteReference w:id="514"/>
      </w:r>
      <w:r>
        <w:rPr>
          <w:rFonts w:ascii="Amiri" w:hAnsi="Amiri" w:eastAsia="Amiri" w:cs="Amiri"/>
          <w:color w:val="111111"/>
          <w:sz w:val="28"/>
          <w:sz w:val="28"/>
          <w:szCs w:val="28"/>
          <w:rtl w:val="true"/>
          <w:lang w:bidi="ar-SA"/>
        </w:rPr>
        <w:t>هو التخيير بين الفسخ و الأخذ بالأرش، و هذا من التخيير بين المعنيين الحدثيّين، و هو جائز، إلّا أنّه ليس من الحقّ المصطلح عليه في أبواب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تورّث مثله؛ لمساعدة العقلاء، و لا دليل على كون المورث مالًا أو حقّا ثابت و اعتباراً وضعيّاً، بل يكفي تعبيرهم عن التخيير المذكور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مورثاً و قابلًا للإسقاط؛ و إن لم يكن من الاعتبارات الخارجيّة،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يسقط</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تخلو العبارة من الغرابة، و بالجملة يسقط الخيار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حقّ فسخ العقد بالقول الصريح و ما يقرب منه، بل بمطلق القول بينه و بين ربّه و إن كان له إنكار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يسمع قوله بغير الألفاظ المأنوسة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عليه، و أمّا قول المصنّف بعدم سقوطه ثبوتاً إلّا بما يتعاهد الإسقاط به</w:t>
      </w:r>
      <w:r>
        <w:rPr>
          <w:rStyle w:val="FootnoteAnchor"/>
          <w:rtl w:val="true"/>
        </w:rPr>
        <w:footnoteReference w:id="515"/>
      </w:r>
      <w:r>
        <w:rPr>
          <w:rFonts w:ascii="Amiri" w:hAnsi="Amiri" w:eastAsia="Amiri" w:cs="Amiri"/>
          <w:color w:val="111111"/>
          <w:sz w:val="28"/>
          <w:sz w:val="28"/>
          <w:szCs w:val="28"/>
          <w:rtl w:val="true"/>
          <w:lang w:bidi="ar-SA"/>
        </w:rPr>
        <w:t>، فهو غير مرضيّ؛ لأنّ إبراز الالتزام بالعقد تمام الموضوع لاعتبار سقوط خياره عند العقلاء، و لا حاجة إلى الأسباب الخاصّة في التسبّب إلى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إنشاء السقوط و إسقاط الحقّ إنشاءً، ربّما يحتاج إلى مراعاة المعهودات العرفيّة في الألفاظ؛ لأنّه يكفي الشكّ في السببيّة لعدم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الألفاظ المتسبّب بها غير مؤثّرة في شي‌ء، بل هي موضوعات لاعتبار العقلاء لسقوط الخيار، فالأمر أيضاً كما 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مثل سقوط الحقّ و إبراء الذمّة الكافي فيه الالتزام القلبيّ المبرز، فلا يعتبر الأزيد من طبيعيّ الإبراز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 قاصداً بالفعل، فلا جدير بالذكر، و لا يأتي فيه ما مرّ من الكفاية ثبوتاً و عدمها؛ باعتبار الاحتمال المذكور في القول، فعليه لا فرق بين أقسام الفعل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غير قاصد للإسقاط، فصنع ما يدلّ بالنوع عليه، فإن كان عارفاً و ذاكراً عدم قصد السقوط، فلا دليل على السقوط ثبوتاً؛ لأنّ</w:t>
      </w:r>
    </w:p>
    <w:p>
      <w:pPr>
        <w:pStyle w:val="BookText"/>
        <w:rPr/>
      </w:pPr>
      <w:r>
        <w:rPr>
          <w:rFonts w:ascii="Amiri" w:hAnsi="Amiri" w:eastAsia="Amiri" w:cs="Amiri"/>
          <w:color w:val="111111"/>
          <w:sz w:val="28"/>
          <w:sz w:val="28"/>
          <w:szCs w:val="28"/>
          <w:rtl w:val="true"/>
          <w:lang w:bidi="ar-SA"/>
        </w:rPr>
        <w:t>المفروض عدم تغيير في العين، و لا حدث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دلالة معتبرة زرارة الآتية على أنّ مطلق التصرّف يكفي</w:t>
      </w:r>
      <w:r>
        <w:rPr>
          <w:rStyle w:val="FootnoteAnchor"/>
          <w:rtl w:val="true"/>
        </w:rPr>
        <w:footnoteReference w:id="516"/>
      </w:r>
      <w:r>
        <w:rPr>
          <w:rFonts w:ascii="Amiri" w:hAnsi="Amiri" w:eastAsia="Amiri" w:cs="Amiri"/>
          <w:color w:val="111111"/>
          <w:sz w:val="28"/>
          <w:sz w:val="28"/>
          <w:szCs w:val="28"/>
          <w:rtl w:val="true"/>
          <w:lang w:bidi="ar-SA"/>
        </w:rPr>
        <w:t>، غير جيّد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يستظهر من عبارات جلّة من الفقهاء؛ أنّ التصرّف لمكان الدلالة على الرضا موجب للسقوط، فمع ذكر المشتري عدم رضاه به حين التصرّف، لا يبقى وجه لسقوطه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الشرع اعتبر التصرّف غير المقرون بالرضا من الرضا، كما ورد في خيار الحيوان، و أنّ الرضا هو السبب الأوّلي للسقوط، و الفعل و التصرّف سبب جعليّ شرعيّ تعبّدي، فلنا التجاوز عمّا ورد هناك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عهدة إثباته بيد غيري؛ لأنّي أستبعد التزام أحد بذلك، لعدم تماميّة الوجه المذكور حتّى في محلّه، فضلًا عن المقام؛ لقوّة احتمال كون التصرّف شاهداً على اقترانه بالرضا، فعبّر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رضاً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بفعل دالّ عليه، هو أنّه بعد مفروغيّة قصد السقوط، لا بدّ و أن يكون ذلك بفعل دالّ عليه نوعاً و كما مرّ، و مرّ ما يتعلّق به مناقشة و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يتصرّف فيه تصرّفاً مغيّراً للعين،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مغيّراً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اتفاقاً محكيّاً عن جمع</w:t>
      </w:r>
      <w:r>
        <w:rPr>
          <w:rStyle w:val="FootnoteAnchor"/>
          <w:rtl w:val="true"/>
        </w:rPr>
        <w:footnoteReference w:id="518"/>
      </w:r>
      <w:r>
        <w:rPr>
          <w:rFonts w:ascii="Amiri" w:hAnsi="Amiri" w:eastAsia="Amiri" w:cs="Amiri"/>
          <w:color w:val="111111"/>
          <w:sz w:val="28"/>
          <w:sz w:val="28"/>
          <w:szCs w:val="28"/>
          <w:rtl w:val="true"/>
          <w:lang w:bidi="ar-SA"/>
        </w:rPr>
        <w:t>، و هو المفروغ عنه بينهم، و لم يعهد نقل الخلاف عن أحد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إذا كان التغيّر مستنداً إلى تصرفّه؛ و ذلك لأنّها القدر المتيقّن من معتبر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و عَوار، لم يتبرّأ إليه، و لم يبيّن له، فأحدث فيه بعد ما قبضه شيئاً، ثمّ علم بذلك العَوار و بذلك الداء؛ أنّه يمضي عليه البيع، و يردّ عليه بقدر ما نقص من ذلك الداء و العيب من ثمن ذلك لو لم يكن به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مرسلة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الثوب أو المتاع، فيجد فيه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الشي‌ء قائماً بعينه ردّه على صاحبه، و أخذ الثمن، و إن كان الثوب قد قطع أو خيط أو صبغ، يرجع بنقصان العيب</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سقوط الخيار في هذه الصورة قطعيّ و إن لم يكن قاصداً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صورة قصد السقوط أو الشكّ فيه، فيكون</w:t>
      </w:r>
    </w:p>
    <w:p>
      <w:pPr>
        <w:pStyle w:val="BookText"/>
        <w:rPr/>
      </w:pPr>
      <w:r>
        <w:rPr>
          <w:rFonts w:ascii="Amiri" w:hAnsi="Amiri" w:eastAsia="Amiri" w:cs="Amiri"/>
          <w:color w:val="111111"/>
          <w:sz w:val="28"/>
          <w:sz w:val="28"/>
          <w:szCs w:val="28"/>
          <w:rtl w:val="true"/>
          <w:lang w:bidi="ar-SA"/>
        </w:rPr>
        <w:t>إحداث الصفة المغيّرة موجباً له؛ للكشف النوعيّ عنه، فتكون هذه الأخبار مشيرة إلى مصداق ما في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من الرضا الموجب للسقوط اعتباراً، فلو أحدث شيئاً مغيّراً، و كان من قصده الرجوع إليه و الردّ بعد ذلك، فلا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خبير بأنّه مجرّد احتمال 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عدم سقوط الخيار نظراً إلى قضيّة القواعد؛ فإنّ موضوعه العقد أو العاقد، كما هو الحقّ عندنا، فيكون مثلَ خيار الغبن و غيره، و هذه الأخبار بين ما لا سند لها، أو تكون معرضاً عنها؛ لظهورها في التخيير بين الردّ و الأرش طولًا، مع أنّ الإجماع على أنّ التخيير عَرْضي رغم أنف العقلاء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غير مسموعة؛ لأنّ معتبر زرارة و إن كان في سنده موسى بن بكر، و لم يوثّق، إلّا أنّه عندنا معتبر، و من الغريب توصيفها في الكتب الاستدلاليّة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ظاهرة في أنّها بصدد بيان وقت سقوط الخيار، و لا ينافيه كون الردّ في عَرْضه، بخلاف المرسلة، فإنّها كالنصّ في أنّ الردّ في صورة قيام العين، و الأرشَ في صورة عدمه؛ لأنّها مشتملة على القضيّة الشرطيّة الأُولى، و قد تعرّض في القضيّة الثانية لمفهوم القيد من تلك</w:t>
      </w:r>
    </w:p>
    <w:p>
      <w:pPr>
        <w:pStyle w:val="BookText"/>
        <w:rPr/>
      </w:pPr>
      <w:r>
        <w:rPr>
          <w:rFonts w:ascii="Amiri" w:hAnsi="Amiri" w:eastAsia="Amiri" w:cs="Amiri"/>
          <w:color w:val="111111"/>
          <w:sz w:val="28"/>
          <w:sz w:val="28"/>
          <w:szCs w:val="28"/>
          <w:rtl w:val="true"/>
          <w:lang w:bidi="ar-SA"/>
        </w:rPr>
        <w:t xml:space="preserve">و لم يحدث فيه عيب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خيار المشتري المضمون على البائع، القضيّة؛ لأنّ مفهوم الشرط من السلب التامّ، ضرورة أنّ مفهومه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الشي‌ء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يصدق في صورة انتفاء العين برأسها، و على كلّ تقدير لا بأس بالاعتماد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الإعراض غير ثابت؛ لاستدلالهم بتلك الأخبار، و هذا هو الموهن للاعتماد على الإجماع و الشهرة القائمة على أصل التخيير بين الفسخ و الردّ؛ لأنّ لازمه اجتهادهم و اتكالهم عليها في الفتوى أحياناً،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العيب الحادث بعد العقد، و قبل القبض، و قبل مضيّ الخيار المضمون و لو كان بعد القبض، لا يوجب سقوط الخيار الثابت بالعيب الموجود القديم الحاصل حين العقد، على المشهور المدّعى عليه الإجماع</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الحادث يوجب الخيار الجديد، فيكون لأجل العيب الحادث قبل القبض و بعد العقد، خياران مستندان إلى فردين من العيب</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العيب الثالث الحادث بعد القبض، و قبل مضي‌ء الخيارات المضمونة الثلاثة المذكورة في المتن، يوجب خياراً ثالثاً،</w:t>
      </w:r>
    </w:p>
    <w:p>
      <w:pPr>
        <w:pStyle w:val="BookText"/>
        <w:rPr/>
      </w:pPr>
      <w:r>
        <w:rPr>
          <w:rFonts w:ascii="Amiri" w:hAnsi="Amiri" w:eastAsia="Amiri" w:cs="Amiri"/>
          <w:color w:val="111111"/>
          <w:sz w:val="28"/>
          <w:sz w:val="28"/>
          <w:szCs w:val="28"/>
          <w:rtl w:val="true"/>
          <w:lang w:bidi="ar-SA"/>
        </w:rPr>
        <w:t>وجه، فيكون لأجل كون المبيع حيواناً فيه أربعة خيارات، و إذا كان في المجلس ففيه خمسة، و بالشرط يبلغ إلى ستّة، و تفصيل بحوث هذه المسألة يطلب من كتابنا الكبير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أُشير إليه في المتن؛ مسألة سقوط الخيار الثابت بالعيب القديم الحاصل حين العقد لأجل العيب الحادث في يد المشتري؛ أي بعد القبض، و كان قبل مضيّ الخيارات الثلاثة، فإنّه إذا كان بعد القبض و بعد مضيّها، فالإجماع و القاعدة يقضيان السقوط، و أمّا في صورة وجود الخيارات الثلاثة فقضيّة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الاتفاق عدم سقوط الخيار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العيب بما أنّه خيار العيب، يسقط حسب معتبر زرارة و مرسلة جميل؛ لما أحدث فيه شيئاً، و تغيّر عمّا كان عليه حين العقد، و لكنّ العقد خياري بعدُ؛ لأجل وجود المجلس و الحيوان و الشرط، فما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خيار العيب الثابت حين العقد حتّى بعد حدوث العيب بعد القبض و قبل المضيّ، فهو لأجل أنّ معتبر زرارة موضوعه الإحداث، لا الحدث، و أنّ المرسلة غير قابلة للاعتماد عليها؛ لإرسالها أوّلًا، و لإعراض المشهور عنها؛ لظهورها في التخيير بين الردّ و الأرش طولًا، لا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كخيار الحيوان، و كخيار المجلس و الشرط؛ إذا كانا له 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أنّ الخيار طبيعيّ قابل للتكثير، و لكنّه لا يتكثّر إلّا بالعناية الخاصّة، فتتداخل الأسباب، فيكون واحداً باقياً، و لازمه سقوط خيار الحيوان بإسقاط خيار العيب في الثلاثة، و لا يلتزمون به، فالوجه الأوّل أقرب و إن لم يلتزم به الماتن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الخيار القديم بالعيب الجديد، مطابق للقاعدة، و مخالف لما استظهروه من معتبر زرارة و خبر جميل</w:t>
      </w:r>
      <w:r>
        <w:rPr>
          <w:rStyle w:val="FootnoteAnchor"/>
          <w:rtl w:val="true"/>
        </w:rPr>
        <w:footnoteReference w:id="525"/>
      </w:r>
      <w:r>
        <w:rPr>
          <w:rFonts w:ascii="Amiri" w:hAnsi="Amiri" w:eastAsia="Amiri" w:cs="Amiri"/>
          <w:color w:val="111111"/>
          <w:sz w:val="28"/>
          <w:sz w:val="28"/>
          <w:szCs w:val="28"/>
          <w:rtl w:val="true"/>
          <w:lang w:bidi="ar-SA"/>
        </w:rPr>
        <w:t>، إلّا أنّ في أخبار خيار الحيوان ما يستظهر منه أيضاً أنّ حدوث الحدث في عصر الخيار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اختصاصه بالحيوان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هو السقوط؛ لو كان الخبران تامّين فيما استظهروه منه، و سيأتي ضعفه، و على هذا لا وجه لسقوط خيار العيب؛ لأجل القواعد، لا لما أُشير إليه،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كانا له خاصّة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للمشتري، فلو كان البائع لأجل الشرط أيضاً بالخيار، أو لأجل كون المثمن حيواناً، أو قلنا بأنّ خيار المجلس ثابت للمشتري فقط فيما إذا باع الوكيل و الوصيّ، فلا يدوم الخيار فيما كان البائع أيضاً بالخيار؛ لأنّ العوضين مضمونان في أيّام خيارهما، فيكون العيب الحادث بعد</w:t>
      </w:r>
    </w:p>
    <w:p>
      <w:pPr>
        <w:pStyle w:val="BookText"/>
        <w:rPr/>
      </w:pPr>
      <w:r>
        <w:rPr>
          <w:rFonts w:ascii="Amiri" w:hAnsi="Amiri" w:eastAsia="Amiri" w:cs="Amiri"/>
          <w:color w:val="111111"/>
          <w:sz w:val="28"/>
          <w:sz w:val="28"/>
          <w:szCs w:val="28"/>
          <w:rtl w:val="true"/>
          <w:lang w:bidi="ar-SA"/>
        </w:rPr>
        <w:t xml:space="preserve">و الظاهر أنّ الميزان في سقوطه عدم كون المبيع قائماً بعينه؛ بتلف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و قبل مضيّ الخيارات الثلاثة، من العيب غير الموجب لسقوط الخيار؛ لاختصاص دليله بصورة ضمان البائع دون المشتري، و على هذا يرجع إلى مفاد الخبرين الناطقين بأنّ الحدث و التغيّر موجب للسقوط، و سيأتي ما في التمسّك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و كأنّه المفروغ عنه؛ للأولويّة القطعيّة، و لمفهوم خبر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الشي‌ء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يتوجّه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هو إحداث شي‌ء فيه، و لعلّه يوجب السقوط لكونه رضاً تعبّدياً من المشتري، كما في خيار الحيوان، فلا يحمل الإحداث على الحدث حتّى يستنبط منه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الإتلاف من الإحداث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إن كان سلباً أعمّ فلا يفيد، و إن كان سلباً أخصّ مع فرض الموضوع، فلا يشمل صورة التلف، و لا سيّما إذا كان التلف بفناء الشي‌ء و احتراقه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الإتلاف يوجب سقوط الردّ، و أمّا التلف فغير ظاهر مستنده إلّا الإجماع المحتمل تعليله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بحكمه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عيب، أو 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التصرّفات الاعتباريّة الإيقاعيّة كالعتق، العقديّة اللازمة كالصدقة و البيع، و الجائزة كالعقود الخياريّة و الجوائز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في المسألة إجماع فنفس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ليس من التغيّر المذكور في معتبر جميل، و لا من الحدث المستفاد من خبر زرارة لا يوجب السقوط على وجه لو رجع إلى ملكه لم يكن له الردّ؛ لقوّة احتمال اختصاص السقوط بصورة عدم العود، فلا سقوط في الخروج المتعقّب بالعود؛ لعدم الدليل عليه على وجه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العود بعد السقوط كما هو ظاهر الفقيه اليزدي</w:t>
      </w:r>
      <w:r>
        <w:rPr>
          <w:rStyle w:val="FootnoteAnchor"/>
          <w:rtl w:val="true"/>
        </w:rPr>
        <w:footnoteReference w:id="526"/>
      </w:r>
      <w:r>
        <w:rPr>
          <w:rFonts w:ascii="Amiri" w:hAnsi="Amiri" w:eastAsia="Amiri" w:cs="Amiri"/>
          <w:color w:val="111111"/>
          <w:sz w:val="28"/>
          <w:sz w:val="28"/>
          <w:szCs w:val="28"/>
          <w:rtl w:val="true"/>
          <w:lang w:bidi="ar-SA"/>
        </w:rPr>
        <w:t>، فهو متفرّع على استفادة العنوان الكلّي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منهما ما هو الظاهر من أخبار خيار المجلس، فإذا حصل الافتراق يسقط، و لا يعود بعود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عيب أو نقص</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بناءً على أنّ المستفاد من الخبرين منطبق عليهما، سواء كان الموضوع خبر جميل، و يردّ إليه خبر زرارة، أو كان خبر زرارة، و يردّ إليه خبر جميل، بناءً على أنّ معتبر زرارة، ليس في مقام إدخال النسبة</w:t>
      </w:r>
    </w:p>
    <w:p>
      <w:pPr>
        <w:pStyle w:val="BookText"/>
        <w:rPr/>
      </w:pPr>
      <w:r>
        <w:rPr>
          <w:rFonts w:ascii="Amiri" w:hAnsi="Amiri" w:eastAsia="Amiri" w:cs="Amiri"/>
          <w:color w:val="111111"/>
          <w:sz w:val="28"/>
          <w:sz w:val="28"/>
          <w:szCs w:val="28"/>
          <w:rtl w:val="true"/>
          <w:lang w:bidi="ar-SA"/>
        </w:rPr>
        <w:t xml:space="preserve">نعم، الظاهر أنّ التغيير بالزيادة، لا يسقطه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يستلزم نقصاً و لو بمثل حصول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شي‌ء ممّا ذكر ليس له الردّ، بل ثبت له الأرش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يثبت هذا الخيار للمشتري إذا وجد العيب في المبيع، الصدوريّة في موضوع السقوط، بل النسبة معنىً حرفيّ مغفول عنه، أو بناءً على الأخذ بهما؛ لأنّ النسبة بينهما الإيجاب، و لا تنافي و قد عرفت أنّ الوجه الأخير ممّا لا بأس به، و الإرجاع غير جائز بعد قوّة احتمال كون الإحداث من مصاديق الرضا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ينفع؛ لأن خبر جميل و إن لم يضرّ إرساله، بل هو عندنا ليس مرسلًا، و لكنّه غير معمول به، و ظاهر المشهور إعراضهم عنه، و تمسّك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غيرهم به من باب التسامح فيما هو المفروغ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مجرّد التغيّر بالزيادة كالسمن و نحوه، مورد انصراف الخبر و معقد الإجماع، و فيما إذا كان نقصاً يكون من الحدث، أو من الإحداث إذا تغيّر بفعل المشتري مثلًا، و لا وجه لانصراف خبر جميل عنه،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التخييري إذا تعذّر أحد الأطراف، لا يجب الطرف الآخر؛ لأنّ الأمر واحد مردّد، فيكون كالتعيينيّ إذا تعذّر جزء منه، فلا بدّ من التمسّك بقاعدة الميسور و أشباهها التي لا يجوز الركون إليها</w:t>
      </w:r>
    </w:p>
    <w:p>
      <w:pPr>
        <w:pStyle w:val="BookText"/>
        <w:rPr/>
      </w:pPr>
      <w:r>
        <w:rPr>
          <w:rFonts w:ascii="Amiri" w:hAnsi="Amiri" w:eastAsia="Amiri" w:cs="Amiri"/>
          <w:color w:val="111111"/>
          <w:sz w:val="28"/>
          <w:sz w:val="28"/>
          <w:szCs w:val="28"/>
          <w:rtl w:val="true"/>
          <w:lang w:bidi="ar-SA"/>
        </w:rPr>
        <w:t>كذلك يثبت للبائع إذا وجده في الثمن المعيّن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تحرّر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أشرنا إليه من احتمال كون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الفسخ، و حقّ الأرش ثابتين، إلّا أنّه لا يمكن الجمع بينهما، أو لا يجوز، و هذا غير التخيير و إن ناقشنا في تماميّة هذا المبنى</w:t>
      </w:r>
      <w:r>
        <w:rPr>
          <w:rStyle w:val="FootnoteAnchor"/>
          <w:rtl w:val="true"/>
        </w:rPr>
        <w:footnoteReference w:id="528"/>
      </w:r>
      <w:r>
        <w:rPr>
          <w:rFonts w:ascii="Amiri" w:hAnsi="Amiri" w:eastAsia="Amiri" w:cs="Amiri"/>
          <w:color w:val="111111"/>
          <w:sz w:val="28"/>
          <w:sz w:val="28"/>
          <w:szCs w:val="28"/>
          <w:rtl w:val="true"/>
          <w:lang w:bidi="ar-SA"/>
        </w:rPr>
        <w:t>الذي اختاره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في درسه</w:t>
      </w:r>
      <w:r>
        <w:rPr>
          <w:rStyle w:val="FootnoteAnchor"/>
          <w:rtl w:val="true"/>
        </w:rPr>
        <w:footnoteReference w:id="529"/>
      </w:r>
      <w:r>
        <w:rPr>
          <w:rFonts w:ascii="Amiri" w:hAnsi="Amiri" w:eastAsia="Amiri" w:cs="Amiri"/>
          <w:color w:val="111111"/>
          <w:sz w:val="28"/>
          <w:sz w:val="28"/>
          <w:szCs w:val="28"/>
          <w:rtl w:val="true"/>
          <w:lang w:bidi="ar-SA"/>
        </w:rPr>
        <w:t>، و كنّا احتملناه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الواجب التخييري ليس ترديد واقعيّ؛ لأنّه مستحيل، بل هو أمر آخر يرجع إلى المعيّنين ثبوتاً، مع كفاية أحدهما إثباتاً، و على هذا لو تعذّرت إحدى الخصال تجب الأُخرى و هكذا، فإسقاط حقّ الردّ لا يستلزم سقوط حقّ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الثمن المعيّن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إلى فهم الأصحاب، و عدم وجود من يفصّل بينهما، بل صريح العلّامة</w:t>
      </w:r>
      <w:r>
        <w:rPr>
          <w:rStyle w:val="FootnoteAnchor"/>
          <w:rtl w:val="true"/>
        </w:rPr>
        <w:footnoteReference w:id="530"/>
      </w:r>
      <w:r>
        <w:rPr>
          <w:rFonts w:ascii="Amiri" w:hAnsi="Amiri" w:eastAsia="Amiri" w:cs="Amiri"/>
          <w:color w:val="111111"/>
          <w:sz w:val="28"/>
          <w:sz w:val="28"/>
          <w:szCs w:val="28"/>
          <w:rtl w:val="true"/>
          <w:lang w:bidi="ar-SA"/>
        </w:rPr>
        <w:t>و غيره هنا و في باب الصرف ذلك</w:t>
      </w:r>
      <w:r>
        <w:rPr>
          <w:rStyle w:val="FootnoteAnchor"/>
          <w:rtl w:val="true"/>
        </w:rPr>
        <w:footnoteReference w:id="531"/>
      </w:r>
      <w:r>
        <w:rPr>
          <w:rFonts w:ascii="Amiri" w:hAnsi="Amiri" w:eastAsia="Amiri" w:cs="Amiri"/>
          <w:color w:val="111111"/>
          <w:sz w:val="28"/>
          <w:sz w:val="28"/>
          <w:szCs w:val="28"/>
          <w:rtl w:val="true"/>
          <w:lang w:bidi="ar-SA"/>
        </w:rPr>
        <w:t xml:space="preserve">، و استظهر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لا خلاف فيه و إن كان مورد الأخبار ظهور العيب في المبيع</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الغريب عدم التفاتهم إلى أنّ الأرش في عَرْض الفسخ على خلاف الأصل، فكيف تمكّنوا من إلغاء الخصوصيّة؛ و حمل الأخبار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تحرّر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الثمن المعيّن و لو كان نقداً، يرجع إلى المعاوضة، و هي ليست بيعاً عندنا في العصور الأخيرة؛ و لو كانت بيعاً في بدو معيشة الإنسان عيشاً اجتماعيّاً</w:t>
      </w:r>
      <w:r>
        <w:rPr>
          <w:rStyle w:val="FootnoteAnchor"/>
          <w:rtl w:val="true"/>
        </w:rPr>
        <w:footnoteReference w:id="533"/>
      </w:r>
      <w:r>
        <w:rPr>
          <w:rFonts w:ascii="Amiri" w:hAnsi="Amiri" w:eastAsia="Amiri" w:cs="Amiri"/>
          <w:color w:val="111111"/>
          <w:sz w:val="28"/>
          <w:sz w:val="28"/>
          <w:szCs w:val="28"/>
          <w:rtl w:val="true"/>
          <w:lang w:bidi="ar-SA"/>
        </w:rPr>
        <w:t>، فجريانه فيها محلّ المناقشة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 العقلاء على أخذ الأرش و لو في طول ترك الفسخ، و لا يلتزمون بجواز إلزام المشتري البائعَ على الأرش بدواً، و لكن بعد ثبوت الالتزام المذكور منضمّاً إلى الارتكاز المزبور، لا يجدون خصوصيّة بين العصور و الفروع، فليتدبّر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يجري خيار العيب في غير المعيّن؛ سواء كان بيعاً، أو عوضاً، و لا يرجع ذلك إلى خيار التبديل؛ نظراً إلى أنّ المبيع الكلّي و الثمن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أصالة السلامة و البناء على الصحّة يكونان مقيّدين، و إذا تبيّن عيبهما فلا خيار بالضرورة؛ لأنّه يرجع إلى عدم وفائهما بما عليهما</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زاد أو نقص عن المجرى الطبيعيّ و الخلقة الأصليّة، كالعمى، و العرج،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بمتقضى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لكنّه مع ذلك لا يرجع إلى خيار التبديل، بل هو راجع إلى خيار العيب؛ و ذلك لأنّ الكيفيّات خارجة عن حدود المعاوضات على الأعيان؛ و إن كانت داخلة في رقيّ الثمن، هكذا تحرّر، فعليه لا يكون في بيع البقرة ما هو المبيع إلّا البقرة، و ليست الصحّة قيداً بحيث إذا تخلّفت لم يكن وفاء بالعقد، بل هي من قبيل الالتزام في الالتزام، فإذا ردّ المبيع يكون ما في الخارج نفس المبيع، فإنّ الطبيعيّ موجود بشخصه، و إذا لم يكن صحيحاً يلزم خيار العيب؛ لأنّ المبيع الكلّي المتشخّص في الخارج، لا يمكن تبديله؛ لاتحاد الطبيعيّ في محطّ الخارج و الإنشاء، و على هذا يجري الخيار المذكور في غير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الارتكاز على وجه التقييد، فيكون البيع مقيّداً و لو بقيد ارتكازي نوعيّ، لا تعاهدي شخصيّ، فلا يتشخّص البيع الإنشائيّ بإقباض المعيب، و لا يلزم خيار في العقد إلّا إذا تعذّر، فيكون خيار تعذّر التسليم،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بالعيب</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المعروف المشهور في كثير من المتون، مع اختلاف يسير في</w:t>
      </w:r>
    </w:p>
    <w:p>
      <w:pPr>
        <w:pStyle w:val="BookText"/>
        <w:rPr/>
      </w:pPr>
      <w:r>
        <w:rPr>
          <w:rFonts w:ascii="Amiri" w:hAnsi="Amiri" w:eastAsia="Amiri" w:cs="Amiri"/>
          <w:color w:val="111111"/>
          <w:sz w:val="28"/>
          <w:sz w:val="28"/>
          <w:szCs w:val="28"/>
          <w:rtl w:val="true"/>
          <w:lang w:bidi="ar-SA"/>
        </w:rPr>
        <w:t xml:space="preserve">التعبير، و الكلّ كأنّه متّخذ من رواية مرسلة و ضعيفة محكيّ فيها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كان في أصل الخلقة فزاد أو نقص فهو عيب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شأن الفقيه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في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الاعتماد على تشخيصه إلّا بما أنّه رجل ثقة عادل، و لا يزيد عليه، و لو كان نظره عدم جواز الاعتماد على خبر العدل الواحد، فربّما يضرّ تصرّفه و تعيينه، و يكون غير جائز؛ لتوهّم الراجعين إليه أنّه رجوع إلى الحجّة الشرعيّة، فتعريف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من العناوين التي تختلف البلدان و الأعصار و الأزمان و الأمصار بالنسبة إليه جدّاً، و لا يصحّ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كان عيباً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عيب إلى يوم القيامة، كما قيل به في الموضوعات الربويّة</w:t>
      </w:r>
      <w:r>
        <w:rPr>
          <w:rStyle w:val="FootnoteAnchor"/>
          <w:rtl w:val="true"/>
        </w:rPr>
        <w:footnoteReference w:id="535"/>
      </w:r>
      <w:r>
        <w:rPr>
          <w:rFonts w:ascii="Amiri" w:hAnsi="Amiri" w:eastAsia="Amiri" w:cs="Amiri"/>
          <w:color w:val="111111"/>
          <w:sz w:val="28"/>
          <w:sz w:val="28"/>
          <w:szCs w:val="28"/>
          <w:rtl w:val="true"/>
          <w:lang w:bidi="ar-SA"/>
        </w:rPr>
        <w:t>، فربّما يكون النقصان من العيب في منطقة، و من الكمال في قطر آخر و بالعكس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تدخّل الشرع الأقدس في موضوع من الموضوعات، و كان فيه تعبّد صِرْف، فهو المتّبع، و إلّا فمجرّد وجود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صحيحة</w:t>
      </w:r>
    </w:p>
    <w:p>
      <w:pPr>
        <w:pStyle w:val="BookText"/>
        <w:rPr/>
      </w:pPr>
      <w:r>
        <w:rPr>
          <w:rFonts w:ascii="Amiri" w:hAnsi="Amiri" w:eastAsia="Amiri" w:cs="Amiri"/>
          <w:color w:val="111111"/>
          <w:sz w:val="28"/>
          <w:sz w:val="28"/>
          <w:szCs w:val="28"/>
          <w:rtl w:val="true"/>
          <w:lang w:bidi="ar-SA"/>
        </w:rPr>
        <w:t>غير كافٍ؛ لاحتمال كونها بصدد تعريف ما هو العيب في المنطقة، فيحمل عليه، و لا يزداد و لا يتجاوز عنه؛ ضرورة بُعد كونه تعبّداً صِرفاً و لو كان أصل الأخذ بالأرش في عَرْض الخيار تعبّداً، إلّا أنّه لقيام الإجماع، مع ما تحرّر منّا في محلّه من الإشكال</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ما تبيّن، لا دليل شرعاً على الأزيد ممّا هو العيب بحسب متفاهم الناس في محيط التجارة و المعاملة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الرواية بحسب المتن مضطربة جدّاً، و تحتاج إلى إلغاء الخصوصيّة بالنسبة إلى كثير من السلع و الأمتعة الحديثة، بل و في مثل بيع الدور و غيرها ممّا تكون وحدتها تأليفيّة، و لا خلقة أصليّة لها إلّا إذا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الخلق المستند إليه تعالى و إلى غيره، كما لا يبعد</w:t>
      </w:r>
      <w:r>
        <w:rPr>
          <w:rFonts w:eastAsia="Amiri" w:cs="Amiri" w:ascii="Amiri" w:hAnsi="Amiri"/>
          <w:color w:val="111111"/>
          <w:sz w:val="28"/>
          <w:szCs w:val="28"/>
          <w:rtl w:val="true"/>
          <w:lang w:bidi="ar-SA"/>
        </w:rPr>
        <w:t>.</w:t>
      </w:r>
      <w:bookmarkStart w:id="212" w:name="pg12370_121770"/>
    </w:p>
    <w:p>
      <w:pPr>
        <w:pStyle w:val="Heading5"/>
        <w:numPr>
          <w:ilvl w:val="4"/>
          <w:numId w:val="1"/>
        </w:numPr>
        <w:rPr/>
      </w:pPr>
      <w:bookmarkStart w:id="213" w:name="__RefHeading___Toc9026230_417432637"/>
      <w:bookmarkStart w:id="214" w:name="_Toc76"/>
      <w:bookmarkEnd w:id="212"/>
      <w:bookmarkEnd w:id="213"/>
      <w:r>
        <w:rPr>
          <w:rtl w:val="true"/>
        </w:rPr>
        <w:t>[</w:t>
      </w:r>
      <w:r>
        <w:rPr>
          <w:rtl w:val="true"/>
        </w:rPr>
        <w:t xml:space="preserve">مسألة </w:t>
      </w:r>
      <w:r>
        <w:rPr/>
        <w:t>1</w:t>
      </w:r>
      <w:r>
        <w:rPr>
          <w:rtl w:val="true"/>
        </w:rPr>
        <w:t xml:space="preserve">: </w:t>
      </w:r>
      <w:r>
        <w:rPr>
          <w:rtl w:val="true"/>
        </w:rPr>
        <w:t>يثبت هذا الخيار بمجرّد العيب واقعاً عند العقد و إن لم يظهر بعدُ</w:t>
      </w:r>
      <w:r>
        <w:rPr>
          <w:rtl w:val="true"/>
        </w:rPr>
        <w:t>]</w:t>
      </w:r>
      <w:bookmarkEnd w:id="21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هذا الخيار بمجرّد العيب واقعاً عند العقد و إن لم يظهر بعدُ، فظهوره كاشف عن ثبوته من أوّل الأمر، لا سبب لحدوثه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سبب لحدوثه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الغبن و إن كان ظاهر كثير من كلماتهم، يوهم حدوثه بظهور العيب، و هو الظاهر من جملة من الأخبار، و منها مرسلة جميل</w:t>
      </w:r>
      <w:r>
        <w:rPr>
          <w:rStyle w:val="FootnoteAnchor"/>
          <w:rtl w:val="true"/>
        </w:rPr>
        <w:footnoteReference w:id="537"/>
      </w:r>
      <w:r>
        <w:rPr>
          <w:rFonts w:ascii="Amiri" w:hAnsi="Amiri" w:eastAsia="Amiri" w:cs="Amiri"/>
          <w:color w:val="111111"/>
          <w:sz w:val="28"/>
          <w:sz w:val="28"/>
          <w:szCs w:val="28"/>
          <w:rtl w:val="true"/>
          <w:lang w:bidi="ar-SA"/>
        </w:rPr>
        <w:t>، و خبر عمر بن يزيد</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أخذ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 لا يوجب شيئاً، و لا سيّما و أنّ معتبر زرارة ظاهر في سقوط خياره بالإحداث، مع أنّ المفروض فيه أنّه علم بعد ذلك بالعيب و العَوار، و هذا الدليل أقوى ممّا تمسّك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البيع كما مرّ غير البيع، و هو التبادل الخارجيّ الاعتباري، و على هذا حيث تكون المبادلات نوعاً معاطاتيّةً، فالخيار ثابت من حين المبادلة، لا من حين العقد اللفظيّ و الإنشائيّ، و لا من حين ظهور العيب، فإنّه واضح المنع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العلم دخيلًا في ذلك، فهو محتاج إلى العناية الشديدة 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أسقطه قبل ظهوره 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يسقط بإسقاطه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باشتراط سقوطه في ضمن العقد،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بالضرورة؛ لعدم الحاجة في إسقاط الحقّ إلى العلم به، و إلّا فلا يمكن الإبراء حين الشكّ و الجهالة، و لا يحتاج الإنشاء إلى أزيد من احتمال التأثير و الموضوعيّة لحكم العقلاء بالسقوط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يثبت يسقط بالإسقاط أيضاً، و بالشرط المذكور في ضمن العقد، كما مرّ في خيار المجلس، فلا يتوقّف سقوط خيار العيب على ثبوته من حين العقد؛ على ما يتوهّم من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إسقاط ما لم يجب، بل هو يرجع إلى الدفع لتماميّة الشرائط و المقتضي لاعتباره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سلكناه من ثبوته من حين المقابضة و القبض و المعاطاة، يجوز شرط سقوطه في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يرجع إلى التبرّي، و يكون البيع مبنيّاً على الإطلاق، فلا يكون شرط السقوط إلّا كناية عن الارتضاء المعامليّ بالبيع على كلّ تقدير، و ليس شيئاً آخر، فاغتنم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بإسقاطه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بالأولويّة القطعيّة طبعاً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السقوط و الإسقاط مطلقاً؛ نظراً إلى أنّ خيار العيب</w:t>
      </w:r>
    </w:p>
    <w:p>
      <w:pPr>
        <w:pStyle w:val="BookText"/>
        <w:rPr/>
      </w:pP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كخيار المجلس و الغبن من الحقوق، بل هو خيار من التخيير الشرعيّ الترخيصيّ بين الردّ و الأرش؛ أي بين الفعلين، كسائر التخييرات الشرعيّة، فعليه لا معنى للسقوط و الإسقاط هنا، و هذا هو الظاهر من الفتوى و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إجماعهم على جواز الإسقاط، يشهد على أنّه نوع حقّ تخييري، و قد مرّ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نوع حقّ تعيينيّ، فيكون هناك حقّان غير قابلين للجمع، و قد مرّ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حقّ متعلّق بالعنوان الكلّي المنطبق على أحدهما، و قد مرّ امتناعه و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حقّ انتزاعيّ من الفعلين اللذين هما مورد التخيير، فهو حقّ صحيح كما هو المختار</w:t>
      </w:r>
      <w:r>
        <w:rPr>
          <w:rStyle w:val="FootnoteAnchor"/>
          <w:rtl w:val="true"/>
        </w:rPr>
        <w:footnoteReference w:id="540"/>
      </w:r>
      <w:r>
        <w:rPr>
          <w:rFonts w:ascii="Amiri" w:hAnsi="Amiri" w:eastAsia="Amiri" w:cs="Amiri"/>
          <w:color w:val="111111"/>
          <w:sz w:val="28"/>
          <w:sz w:val="28"/>
          <w:szCs w:val="28"/>
          <w:rtl w:val="true"/>
          <w:lang w:bidi="ar-SA"/>
        </w:rPr>
        <w:t>، و يكفي ذلك لقابليّة السقوط بالشرط و الإسقاط بعده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هو ليس بحقّ، و لكنّ الشرع رخّص للمكلّف في إخراج أحد طرفي الواجب التخييري؛ و قلبه تعيينيّاً، و هذا أيضاً ممكن، و لكنّه لا بدّ من الاختصار على مقدار ما يثبت ترخيصه؛ و هو بعد العقد و المعاطاة، و أمّا حينه فهو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بالتبرّي من العيوب عنده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بكلّ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يسقط بالتبرّي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العيوب الخيارُ، يسقط استحقاق 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بالتبرّي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محكيّاً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 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 هو المفروغ عنه عندهم؛ لأنّه يرجع إلى عدم المقتضي للخيار، ضرورة أنّه إذا باع على أن يكون العيب على المشتري، فلا خيار، و هذا مثله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الحكم في الجملة صحيح زرارة السابق</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إجمال الدليل اللفظيّ، أوجب ذهاب الإسكافيّ إلى المناقشة في سقوطه به في صورة الإجمال</w:t>
      </w:r>
      <w:r>
        <w:rPr>
          <w:rStyle w:val="FootnoteAnchor"/>
          <w:rtl w:val="true"/>
        </w:rPr>
        <w:footnoteReference w:id="545"/>
      </w:r>
      <w:r>
        <w:rPr>
          <w:rFonts w:ascii="Amiri" w:hAnsi="Amiri" w:eastAsia="Amiri" w:cs="Amiri"/>
          <w:color w:val="111111"/>
          <w:sz w:val="28"/>
          <w:sz w:val="28"/>
          <w:szCs w:val="28"/>
          <w:rtl w:val="true"/>
          <w:lang w:bidi="ar-SA"/>
        </w:rPr>
        <w:t>بعد عدم صلاحية بناء العقلاء للمرجعيّة، حيث إنّ الحكم في باب العيب على خلاف مذاق العرف،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استحقاق مطالبة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الظاهر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عدّوا التبرّي عن العيوب من</w:t>
      </w:r>
    </w:p>
    <w:p>
      <w:pPr>
        <w:pStyle w:val="BookText"/>
        <w:rPr/>
      </w:pPr>
      <w:r>
        <w:rPr>
          <w:rFonts w:ascii="Amiri" w:hAnsi="Amiri" w:eastAsia="Amiri" w:cs="Amiri"/>
          <w:color w:val="111111"/>
          <w:sz w:val="28"/>
          <w:sz w:val="28"/>
          <w:szCs w:val="28"/>
          <w:rtl w:val="true"/>
          <w:lang w:bidi="ar-SA"/>
        </w:rPr>
        <w:t>مسقطات الخيار و الأرش</w:t>
      </w:r>
      <w:r>
        <w:rPr>
          <w:rStyle w:val="FootnoteAnchor"/>
          <w:rtl w:val="true"/>
        </w:rPr>
        <w:footnoteReference w:id="546"/>
      </w:r>
      <w:r>
        <w:rPr>
          <w:rFonts w:ascii="Amiri" w:hAnsi="Amiri" w:eastAsia="Amiri" w:cs="Amiri"/>
          <w:color w:val="111111"/>
          <w:sz w:val="28"/>
          <w:sz w:val="28"/>
          <w:szCs w:val="28"/>
          <w:rtl w:val="true"/>
          <w:lang w:bidi="ar-SA"/>
        </w:rPr>
        <w:t>، و هو مقتضى أدلّة سقوط الخيار، مع قصور المقتضي عن إثباته كما هو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التبرّي من العيوب، يوجب بطلان البيع للغرر، و لا يتمّ ما يتوهّم جواباً له</w:t>
      </w:r>
      <w:r>
        <w:rPr>
          <w:rStyle w:val="FootnoteAnchor"/>
          <w:rtl w:val="true"/>
        </w:rPr>
        <w:footnoteReference w:id="547"/>
      </w:r>
      <w:r>
        <w:rPr>
          <w:rFonts w:ascii="Amiri" w:hAnsi="Amiri" w:eastAsia="Amiri" w:cs="Amiri"/>
          <w:color w:val="111111"/>
          <w:sz w:val="28"/>
          <w:sz w:val="28"/>
          <w:szCs w:val="28"/>
          <w:rtl w:val="true"/>
          <w:lang w:bidi="ar-SA"/>
        </w:rPr>
        <w:t>إلّا إنكار أصل كبرى المسألة، كما ذكرنا في كتابنا الكبير</w:t>
      </w:r>
      <w:r>
        <w:rPr>
          <w:rStyle w:val="FootnoteAnchor"/>
          <w:rtl w:val="true"/>
        </w:rPr>
        <w:footnoteReference w:id="548"/>
      </w:r>
      <w:r>
        <w:rPr>
          <w:rFonts w:ascii="Amiri" w:hAnsi="Amiri" w:eastAsia="Amiri" w:cs="Amiri"/>
          <w:color w:val="111111"/>
          <w:sz w:val="28"/>
          <w:sz w:val="28"/>
          <w:szCs w:val="28"/>
          <w:rtl w:val="true"/>
          <w:lang w:bidi="ar-SA"/>
        </w:rPr>
        <w:t>ضرورة أنّه لا دليل على اعتبار المعلوميّة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وجود الإطلاق الصحيح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يشكل كفاية التبرّي لسقوطهما؛ لأجل أنّه يرجع إلى الشرط، و خيار العيب ليس من قبيل الخيارات الأُخر حتّى يكون حقّا، بل هو من الأحكام الشرعيّة، فيكون الشرط على خلاف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لو كان شرطاً، فلا بدّ من وجود الدليل على قبول الطرف ذلك الشرط، فمجرّد التبرّي غير كافٍ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التبرّي ليس شرطاً، بل هو موجب لهدم البناء الأوّلي الثابت بين العقلاء، القائم على اشتراء الأشياء على صفة الصحّة، كما هو هدم لإجراء أصالة السلامة في إحرازها، فيكون موقف المعاملة</w:t>
      </w:r>
    </w:p>
    <w:p>
      <w:pPr>
        <w:pStyle w:val="BookText"/>
        <w:rPr/>
      </w:pPr>
      <w:r>
        <w:rPr>
          <w:rFonts w:ascii="Amiri" w:hAnsi="Amiri" w:eastAsia="Amiri" w:cs="Amiri"/>
          <w:color w:val="111111"/>
          <w:sz w:val="28"/>
          <w:sz w:val="28"/>
          <w:szCs w:val="28"/>
          <w:rtl w:val="true"/>
          <w:lang w:bidi="ar-SA"/>
        </w:rPr>
        <w:t>كما أنّ سقوطه بالإسقاط في ضمن العقد أو بعده، تابع للجعل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خارجاً عن سائر مواقف المعاملات؛ من غير شرط ضمنيّ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كلّ من كونه شرطاً مخالفاً، أو محتاجاً إلى القبول،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على أنّه ليس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بالتبرّي لا يحدث تكليف بالوفاء به، بل يلزم منه خروج البائع عن تحمّل الزائد، مع أنّ المتعارف في الشروط لزوم الوفاء بها بعد الاشتراط حتّى في شرط النتيجة،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 للجعل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بالضرورة، و هو مقتضى كونه حقّا؛ فإنّ لكلّ ذي حقّ إسقاطَ حقّه و استيفاءَه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يناقش كما أُشير إليه آنفاً في كونه حقّا؛ لما لا يعقل التخيير و الترديد بين الأحكام الوضعيّة، فلا يعقل جعل النجاسة لأحد الشيئين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الواجبات التخييريّة يعقل؛ لأنّه يرجع إلى التخيير في إيجاد المعنى الحدثيّ، نظير تخيير الإنسان طبعاً في إيجاد كلّ شي‌ء، و تفصيله في الأُصول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نحن فيه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w:t>
      </w:r>
    </w:p>
    <w:p>
      <w:pPr>
        <w:pStyle w:val="BookText"/>
        <w:rPr/>
      </w:pPr>
      <w:r>
        <w:rPr>
          <w:rFonts w:ascii="Amiri" w:hAnsi="Amiri" w:eastAsia="Amiri" w:cs="Amiri"/>
          <w:color w:val="111111"/>
          <w:sz w:val="28"/>
          <w:sz w:val="28"/>
          <w:szCs w:val="28"/>
          <w:rtl w:val="true"/>
          <w:lang w:bidi="ar-SA"/>
        </w:rPr>
        <w:t>المشتري مثلًا مخيّر بين الردّ و الأرش، و هو الظاهر من أخبار المسألة، فلا حقّ وضعيّ في خصوص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ذهب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إلى أنّ هناك حقّين تعيينيّين لا يجتمعان ذاتاً أو شرعاً، و ناقشنا في ذلك، و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بوحدة الخيارات سنخاً غير لازم، و مع ذلك لا بأس بتجويز الشرع، و إقدارِ المكلّف على إخراج أحد طرفي هذا المعنى التخييري الترخيصيّ، فيكون الإسقاط و شرط السقوط، معناه تعجيزه شرعاً عن إعمال الفسخ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الواجبات التخييريّة التكليفيّة، أيضاً ترجع إلى الواجب العينيّ، فيكون وجوب الأطراف عقليّاً مستكشفاً بالشرع، أو إلى الواجب المشروط، أو المعلّق، و الكلّ باطل عاطل محرّر في قواعدنا الأُصوليّة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السقوط بالإسقاط في ضمن العقد غير واضح؛ لأنّه لو شرط الإسقاط لم يسقط بمجرّد القبول، فإذا أسقط فهو، و إلّا فالعقد باقٍ و التصرّفات جائزة؛ و لو كان آثماً بالتخلّف عن الشرط</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يتوهّم بطلان التصرّفات الناقلة؛ لأنّ الأمر بالوفاء بالشرط مستتبع النهيَ عن تلك التصرّفات، المستتبع للفساد، و قد تحرّر بطلان</w:t>
      </w:r>
    </w:p>
    <w:p>
      <w:pPr>
        <w:pStyle w:val="BookText"/>
        <w:rPr/>
      </w:pPr>
      <w:r>
        <w:rPr>
          <w:rFonts w:ascii="Amiri" w:hAnsi="Amiri" w:eastAsia="Amiri" w:cs="Amiri"/>
          <w:color w:val="111111"/>
          <w:sz w:val="28"/>
          <w:sz w:val="28"/>
          <w:szCs w:val="28"/>
          <w:rtl w:val="true"/>
          <w:lang w:bidi="ar-SA"/>
        </w:rPr>
        <w:t>الاستتباع الأوّل دون الثاني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الأعلام بعدم تماميّة الاستتباع الثاني أيضاً؛ لأنّه ليس نهياً كاشفاً عن الفساد، و لا مرشداً إلى البطلان</w:t>
      </w:r>
      <w:r>
        <w:rPr>
          <w:rStyle w:val="FootnoteAnchor"/>
          <w:rtl w:val="true"/>
        </w:rPr>
        <w:footnoteReference w:id="551"/>
      </w:r>
      <w:r>
        <w:rPr>
          <w:rFonts w:ascii="Amiri" w:hAnsi="Amiri" w:eastAsia="Amiri" w:cs="Amiri"/>
          <w:color w:val="111111"/>
          <w:sz w:val="28"/>
          <w:sz w:val="28"/>
          <w:szCs w:val="28"/>
          <w:rtl w:val="true"/>
          <w:lang w:bidi="ar-SA"/>
        </w:rPr>
        <w:t>، فهو ممنوع عندنا محرّر في محلّه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215" w:name="pg12370_121778"/>
    </w:p>
    <w:p>
      <w:pPr>
        <w:pStyle w:val="Heading5"/>
        <w:numPr>
          <w:ilvl w:val="4"/>
          <w:numId w:val="1"/>
        </w:numPr>
        <w:rPr/>
      </w:pPr>
      <w:bookmarkStart w:id="216" w:name="__RefHeading___Toc9026232_417432637"/>
      <w:bookmarkStart w:id="217" w:name="_Toc77"/>
      <w:bookmarkEnd w:id="215"/>
      <w:bookmarkEnd w:id="216"/>
      <w:r>
        <w:rPr>
          <w:rtl w:val="true"/>
        </w:rPr>
        <w:t>[</w:t>
      </w:r>
      <w:r>
        <w:rPr>
          <w:rtl w:val="true"/>
        </w:rPr>
        <w:t xml:space="preserve">مسألة </w:t>
      </w:r>
      <w:r>
        <w:rPr/>
        <w:t>2</w:t>
      </w:r>
      <w:r>
        <w:rPr>
          <w:rtl w:val="true"/>
        </w:rPr>
        <w:t xml:space="preserve">: </w:t>
      </w:r>
      <w:r>
        <w:rPr>
          <w:rtl w:val="true"/>
        </w:rPr>
        <w:t>كما يثبت الخيار بوجود العيب عند العقد، كذلك يثبت بحدوثه بعده قبل القبض</w:t>
      </w:r>
      <w:r>
        <w:rPr>
          <w:rtl w:val="true"/>
        </w:rPr>
        <w:t>]</w:t>
      </w:r>
      <w:bookmarkEnd w:id="21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يثبت الخيار بوجود العيب عند العقد، كذلك يثبت بحدوثه بعده قبل القبض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المشتري بالخيار المضمون على البائع، كخيار الشرط و المجلس و الحيوان، على ما قيل، أو كان العقد غير خياري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هنا كون المبيع صحيحاً حين العقد، و صار معيباً بعد العقد و قبل القبض، و قد حكي الإجماع</w:t>
      </w:r>
      <w:r>
        <w:rPr>
          <w:rStyle w:val="FootnoteAnchor"/>
          <w:rtl w:val="true"/>
        </w:rPr>
        <w:footnoteReference w:id="553"/>
      </w:r>
      <w:r>
        <w:rPr>
          <w:rFonts w:ascii="Amiri" w:hAnsi="Amiri" w:eastAsia="Amiri" w:cs="Amiri"/>
          <w:color w:val="111111"/>
          <w:sz w:val="28"/>
          <w:sz w:val="28"/>
          <w:szCs w:val="28"/>
          <w:rtl w:val="true"/>
          <w:lang w:bidi="ar-SA"/>
        </w:rPr>
        <w:t>في الجملة على ثبوت الخيار بهذا العيب الحادث قبل القبض؛ و لو كان في ملك المشتري، كما إذا وقع العقد اللفظيّ؛ بناءً على كونه تمام السبب للملكيّة، أو كان بعد إقباض المشتري الثمن؛ بناءً على لزوم القبض في الجملة في حصولها إذا كان السبب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الملكيّة غير حاصلة إلّا بالتعاطي من الطرفين، فلا تصوّر لهذه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تتصوّر فيما إذا كان إقباض المبيع دخيلًا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المسألة اشتهر الحكم بحدوث الخيار و الأرش و إنّما الإشكال في سنده بعد قصور الشهرة و الإجماع عن الاستناد؛ لعدم إحرازهما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غاية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قبل القبض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الخيار فيما نحن فيه؛ لأنّ تلف العين إذا كان مضموناً على البائع، و موجباً لانفساخ العقد، فتلف الصفة أيضاً مضمون عليه يوجب الأرش، و لا بدّ و أن يوجب ضعفاً في العقد؛ و هو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التقريب أحسن ما يمكن أن يقال في المقام، و لكن أُوصيك أيّها الطالب بالتحذّر من أمثال هذه الطرق في الاجتهادات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بناء العقلاء، و لكنّه في محلّ منع بالنسبة إلى الأرش، و من تصرّف الشرع في بنائهم يلزم ردعهم في هذا المقام،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الخاصّة، فهي في مورد المعاطاة، و لا إطلاق فيها، و لا سيّما معتبر زرارة</w:t>
      </w:r>
      <w:r>
        <w:rPr>
          <w:rStyle w:val="FootnoteAnchor"/>
          <w:rtl w:val="true"/>
        </w:rPr>
        <w:footnoteReference w:id="554"/>
      </w:r>
      <w:r>
        <w:rPr>
          <w:rFonts w:ascii="Amiri" w:hAnsi="Amiri" w:eastAsia="Amiri" w:cs="Amiri"/>
          <w:color w:val="111111"/>
          <w:sz w:val="28"/>
          <w:sz w:val="28"/>
          <w:szCs w:val="28"/>
          <w:rtl w:val="true"/>
          <w:lang w:bidi="ar-SA"/>
        </w:rPr>
        <w:t>لأنّ المفروض فيه الإحداث، و فرض كون العيب و العَوار حاصلًا قبل القبض و بعد العقد، من النوادر التي لا تكشف بترك الاستفصال و لا بغيره، فلا تخلط</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يتبيّن 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العقد اللفظيّ ليس سبباً للملكيّة، فيكون العيب الحادث قبل القبض في ملك البائع، و موجباً للخيار و الأرش، و يكون تلفه من مال البائع، و لو كان ملكاً للمشتري، و موجباً للأرش إذا حدث فيه العيب أو الخيار، فهو من الضرر و الضرار على</w:t>
      </w:r>
    </w:p>
    <w:p>
      <w:pPr>
        <w:pStyle w:val="BookText"/>
        <w:rPr/>
      </w:pPr>
      <w:r>
        <w:rPr>
          <w:rFonts w:ascii="Amiri" w:hAnsi="Amiri" w:eastAsia="Amiri" w:cs="Amiri"/>
          <w:color w:val="111111"/>
          <w:sz w:val="28"/>
          <w:sz w:val="28"/>
          <w:szCs w:val="28"/>
          <w:rtl w:val="true"/>
          <w:lang w:bidi="ar-SA"/>
        </w:rPr>
        <w:t>البائع وجداناً، و لا سيّما إذا كان المشتري يريد به ذلك؛ نظراً إلى كشف حال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حدث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العيب الحادث كاشفاً عن السبب السابق، فيكون العيب ظاهراً بعد العقد و قبل القبض، فالقول بالخيار و الأرش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عن جماعة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555"/>
      </w:r>
      <w:r>
        <w:rPr>
          <w:rFonts w:ascii="Amiri" w:hAnsi="Amiri" w:eastAsia="Amiri" w:cs="Amiri"/>
          <w:color w:val="111111"/>
          <w:sz w:val="28"/>
          <w:sz w:val="28"/>
          <w:szCs w:val="28"/>
          <w:rtl w:val="true"/>
          <w:lang w:bidi="ar-SA"/>
        </w:rPr>
        <w:t>، و الحلّي</w:t>
      </w:r>
      <w:r>
        <w:rPr>
          <w:rStyle w:val="FootnoteAnchor"/>
          <w:rtl w:val="true"/>
        </w:rPr>
        <w:footnoteReference w:id="556"/>
      </w:r>
      <w:r>
        <w:rPr>
          <w:rFonts w:ascii="Amiri" w:hAnsi="Amiri" w:eastAsia="Amiri" w:cs="Amiri"/>
          <w:color w:val="111111"/>
          <w:sz w:val="28"/>
          <w:sz w:val="28"/>
          <w:szCs w:val="28"/>
          <w:rtl w:val="true"/>
          <w:lang w:bidi="ar-SA"/>
        </w:rPr>
        <w:t>، و المحقّق</w:t>
      </w:r>
      <w:r>
        <w:rPr>
          <w:rStyle w:val="FootnoteAnchor"/>
          <w:rtl w:val="true"/>
        </w:rPr>
        <w:footnoteReference w:id="557"/>
      </w:r>
      <w:r>
        <w:rPr>
          <w:rFonts w:ascii="Amiri" w:hAnsi="Amiri" w:eastAsia="Amiri" w:cs="Amiri"/>
          <w:color w:val="111111"/>
          <w:sz w:val="28"/>
          <w:sz w:val="28"/>
          <w:szCs w:val="28"/>
          <w:rtl w:val="true"/>
          <w:lang w:bidi="ar-SA"/>
        </w:rPr>
        <w:t>، المناقشة في الأرش دون الخيار؛ نظراً إلى أنّ وصف الصحّة غير داخل في أجزاء المبيع، و ليس مضموناً، و قضيّة الأرش غير هذا كما لا يخفى، و يكون تعبّداً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الوجه الذي ذكرناه تامّاً فلا فرق بين الخيار و الأرش في دلالة القاعدة و أخبارها عليه، و إلّا فالأمر كما تحرّر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بناء العقلاء على الخيار دون الأرش، في محلّه، إلّا أنّه بناء مشكوك اعتباره؛ لأنّ الشرع تصرّف فيه بجعل العِدْل له؛ و هو الأرش، و هذا نوع ردع عنه يوجب الشكّ في الإمضاء و الارتضاء شكّاً يعتنى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العيب الحادث بعد العقد يمنع عن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 بعد القبض، و بعد خيار المشتري المضمون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حدث قبل القبض فهو سبب للخيار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يمنع عن الردّ و الفسخ بسبب العيب السابق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يمنع عن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المفروض وجود العيب السابق الموجب للردّ و الأرش، فإذا حدث العيب في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بعد القبض و المضيّ فيكون متغيّراً غير باقٍ على عينه، و قضيّة مرسلة جميل سقوط حقّ الردّ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أخذ الأرش، كما صرّح به معتبر زرارة و المرسلة، و هو المعروف عنهم و المشهور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يشكل سقوط الخيار بمجرّد التغيّر؛ لعدم قابليّة المرسلة المذكورة للاعتماد عليها في المقام، و مقتضى معتبر زرارة أنّ إحداث الشي‌ء فيه يوجب تعيّن الأرش، لا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قويّاً كون الإحداث مصداقاً للرضا، فيكون كاشفاً تعبّداً عن الالتزام الملازم للإسقاط المستتبع لسقوط الخيار،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للخيار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مرّ، إلّا أنّ المفروض هنا أنّ المبيع معيب حين العقد، و لأجل ذلك يشكل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السبب هو طبيعيّ العيب، فكيف يؤثّر في الخيارين،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لاعتبار خيار عيب آخر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تظهر الثمرة في الإسقاط، غير صحيح في محيط العقلاء، و إن قال به الفقيه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تعليقته الشريفة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الطبيعيّ لا يؤثّر، و ما هو المؤثّر هو الفرد، فكان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هو خيار العيب، و هو لا يقبل التعدّد بتعدّد السبب إلّا إذا تلوّن بلون خاصّ، كما يتلوّن الخيار بلون المجلس و الحيوان و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طبيعيّ العيب ليس سبباً، و إلّا يلزم أن يؤثّر العيب بعد القبض و المضيّ في إيجاد الخيار، فإذا ثبت وجود قيد فلا بأس بأن يعتبر كلّ عيب سبباً؛ حسب الإطلاق المقتضي عقلًا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العيب الحادث في مفروض المسألة، هل يوجب الخيار، أم لا؟</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إيجابه، هل يوجب سقوط الخيار السابق، أم لا؟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المتن سببيّة العيب الثاني للخيار الآخر من غير سقوط الخيار الأوّل، و حيث إنّ المفروض حدوث العيب الثاني، لا اتساع العيب</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منّا المناقشة في أصل موجبيّة العيب الحادث قبل القبض لشي‌ء و لو كان المبيع صحيحاً</w:t>
      </w:r>
      <w:r>
        <w:rPr>
          <w:rStyle w:val="FootnoteAnchor"/>
          <w:rtl w:val="true"/>
        </w:rPr>
        <w:footnoteReference w:id="559"/>
      </w:r>
      <w:r>
        <w:rPr>
          <w:rFonts w:ascii="IRNazanin" w:hAnsi="IRNazanin" w:eastAsia="IRNazanin"/>
          <w:color w:val="111111"/>
          <w:sz w:val="28"/>
          <w:sz w:val="28"/>
          <w:szCs w:val="28"/>
          <w:rtl w:val="true"/>
          <w:lang w:bidi="fa-IR"/>
        </w:rPr>
        <w:t>فالأمر هنا أوضح</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القول بسببيّة العيب الحادث قبل القبض، فالالتزام بتعدّد الخيار من غير سراية القيد إليه ممتنع، كما تحرّر في مسألة تداخل الأسباب و المسبّبات</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إسراء القيد إليه يحتاج إلى مئونة زائدة مفقودة في المقام؛ لعدم إطلاق فيها من هذه الجهة إنصافاً، و عدم مساعدة فهم العرف على ذلك أصلًا، فليتدبّر جيّداً</w:t>
      </w:r>
      <w:r>
        <w:rPr>
          <w:rFonts w:eastAsia="Amiri" w:cs="Amiri" w:ascii="Amiri" w:hAnsi="Amiri"/>
          <w:color w:val="111111"/>
          <w:sz w:val="28"/>
          <w:szCs w:val="28"/>
          <w:rtl w:val="true"/>
          <w:lang w:bidi="ar-SA"/>
        </w:rPr>
        <w:t>.</w:t>
      </w:r>
      <w:bookmarkStart w:id="218" w:name="pg12370_121784"/>
    </w:p>
    <w:p>
      <w:pPr>
        <w:pStyle w:val="Heading5"/>
        <w:numPr>
          <w:ilvl w:val="4"/>
          <w:numId w:val="1"/>
        </w:numPr>
        <w:rPr/>
      </w:pPr>
      <w:bookmarkStart w:id="219" w:name="__RefHeading___Toc9026234_417432637"/>
      <w:bookmarkStart w:id="220" w:name="_Toc78"/>
      <w:bookmarkEnd w:id="218"/>
      <w:bookmarkEnd w:id="219"/>
      <w:r>
        <w:rPr>
          <w:rtl w:val="true"/>
        </w:rPr>
        <w:t>[</w:t>
      </w:r>
      <w:r>
        <w:rPr>
          <w:rtl w:val="true"/>
        </w:rPr>
        <w:t xml:space="preserve">مسألة </w:t>
      </w:r>
      <w:r>
        <w:rPr/>
        <w:t>3</w:t>
      </w:r>
      <w:r>
        <w:rPr>
          <w:rtl w:val="true"/>
        </w:rPr>
        <w:t xml:space="preserve">: </w:t>
      </w:r>
      <w:r>
        <w:rPr>
          <w:rtl w:val="true"/>
        </w:rPr>
        <w:t>لو كان معيوباً عند العقد، و زال العيب قبل ظهوره</w:t>
      </w:r>
      <w:r>
        <w:rPr>
          <w:rtl w:val="true"/>
        </w:rPr>
        <w:t>]</w:t>
      </w:r>
      <w:bookmarkEnd w:id="22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معيوباً عند العقد، و زال العيب قبل ظهوره، فالظاهر سقوط الخيار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المفروغ عنه و المقطوع به لو كان ظهور العيب دخيلًا في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ثبوته مربوطاً بالظهور، فالأمر كذلك في مفروض الماتن عند كثير منهم المتعرّضين للمسألة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الحقّ عدم ثبوت الفرق بين الظهور و عدمه بعد سقوط دخالته، فما في المتن من التقييد ساقط جدّاً، و لذلك صرّح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بالسقوط و لو بعد العلم</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مخالفاً لسقوط الخيار بعد زوال العيب و قبل الردّ، كما هو مقصود الماتن؛ و ذلك لأنّ الظاهر من أدلّة الخيار، بقاء العيب إلى حال الردّ و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حكم العقلاء، و مقتضى سببيّة العيب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محلّ لاستصحاب الخيار؛ لأنّ الشكّ في بقائه، راجع إلى الشكّ في اعتبار دوام العيب في ثبوت الخيار، و تصير النتيجة مرجعيّة إطلاق دليل اللزوم، و لا يجري الاستصحاب رأساً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جريان البراءة الشرعيّة عن الشرطيّة في</w:t>
      </w:r>
    </w:p>
    <w:p>
      <w:pPr>
        <w:pStyle w:val="BookText"/>
        <w:rPr/>
      </w:pPr>
      <w:r>
        <w:rPr>
          <w:rFonts w:ascii="Amiri" w:hAnsi="Amiri" w:eastAsia="Amiri" w:cs="Amiri"/>
          <w:color w:val="111111"/>
          <w:sz w:val="28"/>
          <w:sz w:val="28"/>
          <w:szCs w:val="28"/>
          <w:rtl w:val="true"/>
          <w:lang w:bidi="ar-SA"/>
        </w:rPr>
        <w:t xml:space="preserve">بل سقوط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لا يخلو من قرب، و الأحوط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المعاملات، كما في العبادات حذواً بحذوٍ، فلا منع من هذه الجهة عن جريانه، إلّا أنّه ممنوع لأجل كونه في الشبهة الحكميّة، و قد تحرّر منّا منعه على الإطلاق</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زوال العيب بعد الرّد، شاهداً على عدم وقوع الردّ في محلّه، فيكون العقد باقياً، و على المشتري ردّ الثمن؛ و ذلك لعدم ثبوت التحديد باشتراط دوام العيب إلى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حكم العرف و مناسبة الموضوع و الحكم، ذلك و لا سيّما فيما إذا ردّ فزال العيب فوراً، فثبوت الخيار من الأوّل مشكوك، فيرجع إلى أدلّة اللزوم،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 امتناع بقاء الخيار عند زوال العيب قبل الردّ، أو بعده؛ لعدم العلّة، فهو مندفع باحتمال الوساطة في الثبوت، كما في بقاء نجاسة الماء عند زوال التغيّر، و مقتضى الأدلّة بدواً هي الوساطة لا العنوانيّة، إلّا أنّها وساطة في العروض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الأرش</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لظاهر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الأرش لمّا ثبت استحقاق المطالبة به؛ لفوات وصف الصحّة عند العقد، فقد استقرّ بالعقد، خصوصاً بعد العلم بالعيب، و الصحّة إنّما حدثت في ملك</w:t>
      </w:r>
    </w:p>
    <w:p>
      <w:pPr>
        <w:pStyle w:val="BookText"/>
        <w:rPr/>
      </w:pPr>
      <w:r>
        <w:rPr>
          <w:rFonts w:ascii="Amiri" w:hAnsi="Amiri" w:eastAsia="Amiri" w:cs="Amiri"/>
          <w:color w:val="111111"/>
          <w:sz w:val="28"/>
          <w:sz w:val="28"/>
          <w:szCs w:val="28"/>
          <w:rtl w:val="true"/>
          <w:lang w:bidi="ar-SA"/>
        </w:rPr>
        <w:t>المشتري، فبراءة ذمّة البائع عن عهدة المضمون عليه تحتاج إلى دليل، فالقول بثبوت الأرش و سقوط الردّ قوي؛ لو لم يكن تفصيلًا مخالفاً للإجماع، و لم أجد من تعرّض لهذا الفرع قبل العلّامة أو بعده</w:t>
      </w:r>
      <w:r>
        <w:rPr>
          <w:rFonts w:eastAsia="Amiri" w:cs="Amiri" w:ascii="Amiri" w:hAnsi="Amiri"/>
          <w:color w:val="111111"/>
          <w:sz w:val="28"/>
          <w:szCs w:val="28"/>
          <w:rtl w:val="true"/>
          <w:lang w:bidi="ar-SA"/>
        </w:rPr>
        <w:t>»</w:t>
      </w:r>
      <w:r>
        <w:rPr>
          <w:rStyle w:val="FootnoteAnchor"/>
          <w:rtl w:val="true"/>
        </w:rPr>
        <w:footnoteReference w:id="5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مقابله احتمال عدم استحقاق الأرش؛ حتّى لو زال العيب بعد الأخذ بالأرش، فيردّ ما أخذه المشتري إلى البائع؛ و ذلك لا لأجل أنّه نوع جمع بين العوض و المعوّض،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الصحّة لم يكن يقابل بشي‌ء، و يردّ ذلك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العيوب ما يستلزم فقد الجزء، و فسادَ البعض بزواله كما لا يخفى، بل لأجل أنّ الأرش على خلاف الأصل، و لا إطلاق في أدلّته، و القدر المتيقّن منه 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كلامه غريب بعد ادعائه آنفاً ظهورَ الأخبار في بقاء العيب إلى حال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معناه في الحقيقة ظهورها في أنّه في ظرف الأخذ بالأرش، يكون له حقّ الفسخ</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مرسلة جميل تناسب زوال العيب، و نصّ في سقوط الخيار عند أخذ الأرش، إلّا أنّها معرض عنها؛ لأنّ الخيار و الأرش في عَرْض واحد جعلًا، و لذلك ذكرنا مراراً أنّها غير صالحة للاعتماد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بسقوط الأرش أقوى من سقوط الخيار؛ لأنّه حكم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إطلاق دليل الأرش، ضرري بالنسبة إلى البائع في صورة زوال العيب، فينفى بالقاعدة، بخلاف الخيار؛ لأنّه بالفسخ يردّ إليه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خياره أيضاً في صورة زوال العيب ضرريّاً، أو يورث حرجاً على البائع، فيلزم أن يكون وجوب ردّ الثمن حرجيّا منفيّاً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عدم جريان القاعدة لتقييد دليل خيار العيب؛ لأنّه نفسها، في غير محلّه؛ ضرورة أنّ دليله ليس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قبيل حكومة الأصل السببيّ على المسبّبي، فليتأمّل</w:t>
      </w:r>
      <w:r>
        <w:rPr>
          <w:rFonts w:eastAsia="Amiri" w:cs="Amiri" w:ascii="Amiri" w:hAnsi="Amiri"/>
          <w:color w:val="111111"/>
          <w:sz w:val="28"/>
          <w:szCs w:val="28"/>
          <w:rtl w:val="true"/>
          <w:lang w:bidi="ar-SA"/>
        </w:rPr>
        <w:t>.</w:t>
      </w:r>
      <w:bookmarkStart w:id="221" w:name="pg12370_121788"/>
    </w:p>
    <w:p>
      <w:pPr>
        <w:pStyle w:val="Heading5"/>
        <w:numPr>
          <w:ilvl w:val="4"/>
          <w:numId w:val="1"/>
        </w:numPr>
        <w:rPr/>
      </w:pPr>
      <w:bookmarkStart w:id="222" w:name="__RefHeading___Toc9026236_417432637"/>
      <w:bookmarkStart w:id="223" w:name="_Toc79"/>
      <w:bookmarkEnd w:id="221"/>
      <w:bookmarkEnd w:id="222"/>
      <w:r>
        <w:rPr>
          <w:rtl w:val="true"/>
        </w:rPr>
        <w:t>[</w:t>
      </w:r>
      <w:r>
        <w:rPr>
          <w:rtl w:val="true"/>
        </w:rPr>
        <w:t xml:space="preserve">مسألة </w:t>
      </w:r>
      <w:r>
        <w:rPr/>
        <w:t>4</w:t>
      </w:r>
      <w:r>
        <w:rPr>
          <w:rtl w:val="true"/>
        </w:rPr>
        <w:t xml:space="preserve">: </w:t>
      </w:r>
      <w:r>
        <w:rPr>
          <w:rtl w:val="true"/>
        </w:rPr>
        <w:t>كيفيّة أخذ الأرش</w:t>
      </w:r>
      <w:r>
        <w:rPr>
          <w:rtl w:val="true"/>
        </w:rPr>
        <w:t>]</w:t>
      </w:r>
      <w:bookmarkEnd w:id="22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أخذ الأرش بأن يقوّم الشي‌ء صحيحاً، ثمّ يقوّم معيباً، و تلاحظ النسبة بينهما، ثمّ ينقص من الثمن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النسبة، فإذا قوّم صحيحاً بتسعة، و معيباً بستّة، و كان الثّمن ستّة، ينقص من الثّمن اثنان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الثّمن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المعروف المشهور بينهم، و هو المقصود ظاهراً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كلام جمع</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ظاهر كلام جمع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كأكثر النصوص توهّم إرادة قيمة المعيب كلّها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انتهى، غير جيّد؛ فإنّ النصوص بين ما لا إطلاق له من هذه الجهة، و بين ما هو المنصرف إلى المتعارف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قضيّة بعض الأخبار كخبر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فوطأها، ثمّ وجد فيها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هي صحيحة، و تقوّم و بها الداء، ثمّ يردّ البائع على المبتاع فضل ما بين الصحّة و الداء</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بقيمة المعيب بالنسبة إلى القيمة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معارض بصحيح زرارة السابق؛ لمكان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يردّ عليه بقدر ما نقص من ذلك الدّاء و العيب من ثمن ذلك لو لم يكن به</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ثمنه الواقعيّ، لا المسمّى، و لكنّه بعد انصرافه إليه يصير صالحاً للتقييد و لو كانا موجبين،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به التفاوت بالنسبة إلى المسمّى مطابق للعدل و الإنصاف، بخلاف الواقعيّ؛ ضرورة أنّه ربّما يلزم الجمع بين العوض و المعوّض، لأنّ أخذ الأرش بالنسبة إليه يستوعب أحياناً تمام الثمن، و هذا هو المراد من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فرض، و إلّا فلو اتفق اختلاف لقيمته المسمّاة و الواقعيّة على هذا المقدار، يلزم سقوط الخيار و الأرش؛ لأنّه يكشف عن أنّ البيع مهاباتيّ مبنيّ على الأغراض الأُخر، فتدبّر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لو اتفق أن يكون الأرش قليلًا جدّاً فله الخيار، مع أنّ في موارد تقنين القوانين العامّة لا يلاحظ هذه الموارد النادرة؛ لالتزام المقنّن به نظراً إلى مصالح عامّة في التقنين الكلّي، كما في سائر المواضع،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المرجع في تعيين ذلك أهل الخبرة،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العبرة بالقيمة يوم البيع و حال البيع، دون الأحوال الأُخر، كحال سقوط الخيار، أو حال مطالبة الأرش، أو حال الاطلاع، فقلّما يتّفق اختلاف القيمتين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و الواقعيّة، إلّا بمقدار يتسامح فيه في مرحلة التقويم،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الأُصول العمليّة هو الأقلّ، سواء كان الأرش ديناً، أو كان حقّا، أو كان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 العلّامة الخراسانيّ من استصحاب بقاء الحقّ إلى أن يعطي الأكثر، بعيد عن ساحته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مع أنّه لا يجوز للبائع أخذه؛ لأنّ المشتري يعطي على أنّه يستحقّه، و الأصل لا يثبت استحقاقه،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المحاكم العرفيّة و البناءات العقلائيّة،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فاستفادة التعبّد الخاصّ تحتاج إلى تأكيد و تشديد، و إن كان أصل الأرش تعبّداً في صورة كونه في عَرْض الخيار، و لكنّ ذلك مؤيّد بالإجماع، مع ما عرفت منّا في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الخبرة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الشاهد الحاكي لنظر الخبرة، إلّا أنّ الشهادة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عن رأي الخبرة،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القيمة السوقيّة؛ للوثوق و الاطمئنان الحاصل</w:t>
      </w:r>
    </w:p>
    <w:p>
      <w:pPr>
        <w:pStyle w:val="BookText"/>
        <w:rPr/>
      </w:pPr>
      <w:r>
        <w:rPr>
          <w:rFonts w:ascii="Amiri" w:hAnsi="Amiri" w:eastAsia="Amiri" w:cs="Amiri"/>
          <w:color w:val="111111"/>
          <w:sz w:val="28"/>
          <w:sz w:val="28"/>
          <w:szCs w:val="28"/>
          <w:rtl w:val="true"/>
          <w:lang w:bidi="ar-SA"/>
        </w:rPr>
        <w:t xml:space="preserve">و الأقوى اعتبار قول 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الموثوق به من أهلها، و إن كان الأحوط اعتبار ما يعتبر في الشهادة من التعدّد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للشاهد من قول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الشيخ تبعاً لظاهر الأصحاب</w:t>
      </w:r>
      <w:r>
        <w:rPr>
          <w:rStyle w:val="FootnoteAnchor"/>
          <w:rtl w:val="true"/>
        </w:rPr>
        <w:footnoteReference w:id="570"/>
      </w:r>
      <w:r>
        <w:rPr>
          <w:rFonts w:ascii="Amiri" w:hAnsi="Amiri" w:eastAsia="Amiri" w:cs="Amiri"/>
          <w:color w:val="111111"/>
          <w:sz w:val="28"/>
          <w:sz w:val="28"/>
          <w:szCs w:val="28"/>
          <w:rtl w:val="true"/>
          <w:lang w:bidi="ar-SA"/>
        </w:rPr>
        <w:t>باعتبار ما يعتبر في الشاهد من العدالة و التعدّد هنا</w:t>
      </w:r>
      <w:r>
        <w:rPr>
          <w:rStyle w:val="FootnoteAnchor"/>
          <w:rtl w:val="true"/>
        </w:rPr>
        <w:footnoteReference w:id="571"/>
      </w:r>
      <w:r>
        <w:rPr>
          <w:rFonts w:ascii="Amiri" w:hAnsi="Amiri" w:eastAsia="Amiri" w:cs="Amiri"/>
          <w:color w:val="111111"/>
          <w:sz w:val="28"/>
          <w:sz w:val="28"/>
          <w:szCs w:val="28"/>
          <w:rtl w:val="true"/>
          <w:lang w:bidi="ar-SA"/>
        </w:rPr>
        <w:t>، و هذا أمر غير ثابت؛ لأنّ اعتبار العدالة و التعدّد في مطلق الشهادة محلّ إشكال، و قد مرّ شطر من البحث في حديث حجيّة شهادة البائع في كتابنا الكبير، فإنّها حجّة من غير اعتبار القيدين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وجه ما في المتن آتياً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اعتبار ما يعتبر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وجه النظر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مدّ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قول الواحد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قوّاه جمع</w:t>
      </w:r>
      <w:r>
        <w:rPr>
          <w:rStyle w:val="FootnoteAnchor"/>
          <w:rtl w:val="true"/>
        </w:rPr>
        <w:footnoteReference w:id="572"/>
      </w:r>
      <w:r>
        <w:rPr>
          <w:rFonts w:ascii="IRNazanin" w:hAnsi="IRNazanin" w:eastAsia="IRNazanin"/>
          <w:color w:val="111111"/>
          <w:sz w:val="28"/>
          <w:sz w:val="28"/>
          <w:szCs w:val="28"/>
          <w:rtl w:val="true"/>
          <w:lang w:bidi="fa-IR"/>
        </w:rPr>
        <w:t>، و منعه جمع</w:t>
      </w:r>
      <w:r>
        <w:rPr>
          <w:rStyle w:val="FootnoteAnchor"/>
          <w:rtl w:val="true"/>
        </w:rPr>
        <w:footnoteReference w:id="573"/>
      </w:r>
      <w:r>
        <w:rPr>
          <w:rFonts w:ascii="Amiri" w:hAnsi="Amiri" w:eastAsia="Amiri" w:cs="Amiri"/>
          <w:color w:val="111111"/>
          <w:sz w:val="28"/>
          <w:sz w:val="28"/>
          <w:szCs w:val="28"/>
          <w:rtl w:val="true"/>
          <w:lang w:bidi="ar-SA"/>
        </w:rPr>
        <w:t>، و احتاط كثير</w:t>
      </w:r>
      <w:r>
        <w:rPr>
          <w:rStyle w:val="FootnoteAnchor"/>
          <w:rtl w:val="true"/>
        </w:rPr>
        <w:footnoteReference w:id="574"/>
      </w:r>
      <w:r>
        <w:rPr>
          <w:rFonts w:ascii="Amiri" w:hAnsi="Amiri" w:eastAsia="Amiri" w:cs="Amiri"/>
          <w:color w:val="111111"/>
          <w:sz w:val="28"/>
          <w:sz w:val="28"/>
          <w:szCs w:val="28"/>
          <w:rtl w:val="true"/>
          <w:lang w:bidi="ar-SA"/>
        </w:rPr>
        <w:t>لأنّ المسألة مشكلة، ضرورة أنّ مقتضى البناءات العقلائيّة أعمّ، كما أنّ في موارد</w:t>
      </w:r>
    </w:p>
    <w:p>
      <w:pPr>
        <w:pStyle w:val="BookText"/>
        <w:rPr/>
      </w:pPr>
      <w:r>
        <w:rPr>
          <w:rFonts w:ascii="Amiri" w:hAnsi="Amiri" w:eastAsia="Amiri" w:cs="Amiri"/>
          <w:color w:val="111111"/>
          <w:sz w:val="28"/>
          <w:sz w:val="28"/>
          <w:szCs w:val="28"/>
          <w:rtl w:val="true"/>
          <w:lang w:bidi="ar-SA"/>
        </w:rPr>
        <w:t>خاصّة أيضاً يكفي ذلك، و منها نقل الفتوى، و قد تحرّر أنّ ما اشتهر من حجيّة قول الثقة في نقل الحكم، غير صحيح</w:t>
      </w:r>
      <w:r>
        <w:rPr>
          <w:rStyle w:val="FootnoteAnchor"/>
          <w:rtl w:val="true"/>
        </w:rPr>
        <w:footnoteReference w:id="575"/>
      </w:r>
      <w:r>
        <w:rPr>
          <w:rFonts w:ascii="Amiri" w:hAnsi="Amiri" w:eastAsia="Amiri" w:cs="Amiri"/>
          <w:color w:val="111111"/>
          <w:sz w:val="28"/>
          <w:sz w:val="28"/>
          <w:szCs w:val="28"/>
          <w:rtl w:val="true"/>
          <w:lang w:bidi="ar-SA"/>
        </w:rPr>
        <w:t xml:space="preserve">لأنّ الثقة لا يحكي إلّا الموضوع، فإنّ زرارة لا ينقل إلّا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موضوع من الموضوعات،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ما هو الظاهر من الأصحاب و خبر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كلّها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يستبين لك ذلك، أو تقوم به البيّنة</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و من المقابلة يظهر عدم كفاية الخبر الواحد أنّ خبر أهل الخبرة و لو تعدّد غير كافٍ، إلّا إذا كان بيّنة، أو حصل الاستبانة و الوثوق و الاطمئنان الشخصيّ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لا يمكن الاستدلال به؛ للزوم الدور، فيعلم كفاية خبر الثقة في نقل الأخبار، و لا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 إلّا الحجّة، و إلّا يلزم خروج مثل الاستصحاب و الإقرار، بل و خروج كثير من الموارد المحتاج إثباتها إلى الأكثر من البيّنة الواحدة الاصطلاحيّة، فتكون الرواية شاهدة على كفاية قول الثقة؛ و إن لم يحصل منه الاستبانة</w:t>
      </w:r>
    </w:p>
    <w:p>
      <w:pPr>
        <w:pStyle w:val="BookText"/>
        <w:rPr/>
      </w:pPr>
      <w:r>
        <w:rPr>
          <w:rFonts w:ascii="Amiri" w:hAnsi="Amiri" w:eastAsia="Amiri" w:cs="Amiri"/>
          <w:color w:val="111111"/>
          <w:sz w:val="28"/>
          <w:sz w:val="28"/>
          <w:szCs w:val="28"/>
          <w:rtl w:val="true"/>
          <w:lang w:bidi="ar-SA"/>
        </w:rPr>
        <w:t>و الاطمئنان، و إلّا فيكون من الحجّة الشخصيّة، فالرواية مضافاً إلى عدم دلالتها على ردع خبر الثقة، تدلّ على حجّية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خصوص الرجوع إلى أهل الخبرة بناء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ذلك لما كان للمسلمين سوق</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 في الأُصول بحوث حول هذا الخبر، و لا مزيد على ما حرّرناه هناك</w:t>
      </w:r>
      <w:r>
        <w:rPr>
          <w:rStyle w:val="FootnoteAnchor"/>
          <w:rtl w:val="true"/>
        </w:rPr>
        <w:footnoteReference w:id="578"/>
      </w:r>
      <w:r>
        <w:rPr>
          <w:rFonts w:ascii="Amiri" w:hAnsi="Amiri" w:eastAsia="Amiri" w:cs="Amiri"/>
          <w:color w:val="111111"/>
          <w:sz w:val="28"/>
          <w:sz w:val="28"/>
          <w:szCs w:val="28"/>
          <w:rtl w:val="true"/>
          <w:lang w:bidi="ar-SA"/>
        </w:rPr>
        <w:t>فراجع، مع ما في سنده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اعتبار التعدّد أقوى من احتمال اعتبار العدالة؛ لإمكانه أوّلًا، إلّا إذا كان نفس الإسلام و عدم ظهور الفسق عدالة شرعيّة؛ و ذلك لما في خبر عبد اللَّه بن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شهد شاهدان أنّ فيه الميتة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بناء العقلاء، بعد الحاجة إلى عدم الردع، مع قوّة وجود الاتفاق على الحاجة إلى البيّنة في مطلق الموضوعات إلّا ما خرج خصوصاً، مشكل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وجود الرادع لا يكفي؛ إمّا لجريان الاستصحاب، أو لبناء من العقلاء، فافهم</w:t>
      </w:r>
      <w:r>
        <w:rPr>
          <w:rFonts w:eastAsia="Amiri" w:cs="Amiri" w:ascii="Amiri" w:hAnsi="Amiri"/>
          <w:color w:val="111111"/>
          <w:sz w:val="28"/>
          <w:szCs w:val="28"/>
          <w:rtl w:val="true"/>
          <w:lang w:bidi="ar-SA"/>
        </w:rPr>
        <w:t>.</w:t>
      </w:r>
      <w:bookmarkStart w:id="224" w:name="pg12370_121794"/>
    </w:p>
    <w:p>
      <w:pPr>
        <w:pStyle w:val="Heading5"/>
        <w:numPr>
          <w:ilvl w:val="4"/>
          <w:numId w:val="1"/>
        </w:numPr>
        <w:rPr/>
      </w:pPr>
      <w:bookmarkStart w:id="225" w:name="__RefHeading___Toc9026238_417432637"/>
      <w:bookmarkStart w:id="226" w:name="_Toc80"/>
      <w:bookmarkEnd w:id="224"/>
      <w:bookmarkEnd w:id="225"/>
      <w:r>
        <w:rPr>
          <w:rtl w:val="true"/>
        </w:rPr>
        <w:t>[</w:t>
      </w:r>
      <w:r>
        <w:rPr>
          <w:rtl w:val="true"/>
        </w:rPr>
        <w:t xml:space="preserve">مسألة </w:t>
      </w:r>
      <w:r>
        <w:rPr/>
        <w:t>5</w:t>
      </w:r>
      <w:r>
        <w:rPr>
          <w:rtl w:val="true"/>
        </w:rPr>
        <w:t xml:space="preserve">: </w:t>
      </w:r>
      <w:r>
        <w:rPr>
          <w:rtl w:val="true"/>
        </w:rPr>
        <w:t>لو تعارض المقوّمون في تقويم الصحيح أو المعيب أو كليهما</w:t>
      </w:r>
      <w:r>
        <w:rPr>
          <w:rtl w:val="true"/>
        </w:rPr>
        <w:t>]</w:t>
      </w:r>
      <w:bookmarkEnd w:id="22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تعارض المقوّمون في تقويم الصحيح أو المعيب أو كليهما، فالأحوط التخلّص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بالتصالح،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فالأحوط التخلّص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شبهة، إلّا أنّ المسألة حيث تكون مندرجة في الأقلّ و الأكثر بحسب العادة، فيكون تعارض المقوّمين منتهياً إلى أنّ قول أحدهما يعيّن أنّ ما به التفاوت هو العشرون، و الآخر يزيد عليه شيئاً، و لو تساقطا فلا بدّ و أن نرجع إلى البراءة، و هي ربّما تعيّن الأقلّ، و لا شبهة في أنّ بناء العقلاء على الأخذ بالأقلّ؛ و ذلك إمّا لأنّه القدر المتيقّن من قولهما، فلا يتساقطان بالنسبة إليه بحسب المداليل المطابقيّة و الالتزاميّة، أو لبناء خاصّ على الأخذ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المراجعة إلى حكم الحاكم، أو الأكثر، أو القرعة، أو غير ذلك ممّا يرى في كلمات القوم</w:t>
      </w:r>
      <w:r>
        <w:rPr>
          <w:rStyle w:val="FootnoteAnchor"/>
          <w:rtl w:val="true"/>
        </w:rPr>
        <w:footnoteReference w:id="580"/>
      </w:r>
      <w:r>
        <w:rPr>
          <w:rFonts w:ascii="Amiri" w:hAnsi="Amiri" w:eastAsia="Amiri" w:cs="Amiri"/>
          <w:color w:val="111111"/>
          <w:sz w:val="28"/>
          <w:sz w:val="28"/>
          <w:szCs w:val="28"/>
          <w:rtl w:val="true"/>
          <w:lang w:bidi="ar-SA"/>
        </w:rPr>
        <w:t>، كلّه في غير محلّه بالضرورة، و لا وجه للقرعة في أيّة صورة كانت بعد كونها لأمر مشتبه، أو مشكل و مجهول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موارد التباين كما إذا قال أحدهما في مبادلة الحنطة بالعدس؛ بلزوم مقدار من الجنس الخاصّ؛ لما يرى من أنّه ما به التفاوت من الجنس المذكور، و لو كان من جنس آخر فما به التفاوت مقدار كذا، و قال الآخر على خلافه، و لا قدر متيقّن؛ لما ليست القيمة فيهما مورد النظر،</w:t>
      </w:r>
    </w:p>
    <w:p>
      <w:pPr>
        <w:pStyle w:val="BookText"/>
        <w:rPr/>
      </w:pPr>
      <w:r>
        <w:rPr>
          <w:rFonts w:ascii="Amiri" w:hAnsi="Amiri" w:eastAsia="Amiri" w:cs="Amiri"/>
          <w:color w:val="111111"/>
          <w:sz w:val="28"/>
          <w:sz w:val="28"/>
          <w:szCs w:val="28"/>
          <w:rtl w:val="true"/>
          <w:lang w:bidi="ar-SA"/>
        </w:rPr>
        <w:t xml:space="preserve">و لا تبعد القرعة، خصوصاً في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كثير من القرى و القصبات، فربّما يشكل الأمر كما هو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اختلفت آراء القوم في المسألة، فذهب المعظم إلى الأخذ بكيفيّة</w:t>
      </w:r>
      <w:r>
        <w:rPr>
          <w:rStyle w:val="FootnoteAnchor"/>
          <w:rtl w:val="true"/>
        </w:rPr>
        <w:footnoteReference w:id="581"/>
      </w:r>
      <w:r>
        <w:rPr>
          <w:rFonts w:ascii="Amiri" w:hAnsi="Amiri" w:eastAsia="Amiri" w:cs="Amiri"/>
          <w:color w:val="111111"/>
          <w:sz w:val="28"/>
          <w:sz w:val="28"/>
          <w:szCs w:val="28"/>
          <w:rtl w:val="true"/>
          <w:lang w:bidi="ar-SA"/>
        </w:rPr>
        <w:t>، و الشهيد و بعض آخر إلى كيفيّة ثانية</w:t>
      </w:r>
      <w:r>
        <w:rPr>
          <w:rStyle w:val="FootnoteAnchor"/>
          <w:rtl w:val="true"/>
        </w:rPr>
        <w:footnoteReference w:id="582"/>
      </w:r>
      <w:r>
        <w:rPr>
          <w:rFonts w:ascii="Amiri" w:hAnsi="Amiri" w:eastAsia="Amiri" w:cs="Amiri"/>
          <w:color w:val="111111"/>
          <w:sz w:val="28"/>
          <w:sz w:val="28"/>
          <w:szCs w:val="28"/>
          <w:rtl w:val="true"/>
          <w:lang w:bidi="ar-SA"/>
        </w:rPr>
        <w:t>، و يحتمل الثالثة، و الكلّ غير تامّ؛ لما عرفت الأمر في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كانت المعاوضة بين الجنسين لا يثبت الأرش؛ لأنّه على خلاف الأصل، و أخبار المسألة مخصوصة بالبيوع بالأثمان، و لو صحّ إلغاء الخصوصيّة لصحّ ذلك بالأولويّة في خيار الغبن؛ لأنّ حقيقة خيار العيب راجعة إلى الغبن حسب العادة كما لا يخفى،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في بعض</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لما صرّح به في الدرس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لا محلّ لها بعد تعيين الشرع بالبراءة عن الأكثر، أو استصحابِ نفي الاشتغال بالزائد</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اللهمّ إلّا أن يريد منه صورة المعاوضة، فتدبّر</w:t>
      </w:r>
      <w:r>
        <w:rPr>
          <w:rFonts w:eastAsia="Amiri" w:cs="Amiri" w:ascii="Amiri" w:hAnsi="Amiri"/>
          <w:color w:val="111111"/>
          <w:sz w:val="28"/>
          <w:szCs w:val="28"/>
          <w:rtl w:val="true"/>
          <w:lang w:bidi="ar-SA"/>
        </w:rPr>
        <w:t>.</w:t>
      </w:r>
      <w:bookmarkStart w:id="227" w:name="pg12370_121796"/>
    </w:p>
    <w:p>
      <w:pPr>
        <w:pStyle w:val="Heading5"/>
        <w:numPr>
          <w:ilvl w:val="4"/>
          <w:numId w:val="1"/>
        </w:numPr>
        <w:rPr/>
      </w:pPr>
      <w:bookmarkStart w:id="228" w:name="__RefHeading___Toc9026240_417432637"/>
      <w:bookmarkStart w:id="229" w:name="_Toc81"/>
      <w:bookmarkEnd w:id="227"/>
      <w:bookmarkEnd w:id="228"/>
      <w:r>
        <w:rPr>
          <w:rtl w:val="true"/>
        </w:rPr>
        <w:t>[</w:t>
      </w:r>
      <w:r>
        <w:rPr>
          <w:rtl w:val="true"/>
        </w:rPr>
        <w:t xml:space="preserve">مسألة </w:t>
      </w:r>
      <w:r>
        <w:rPr/>
        <w:t>6</w:t>
      </w:r>
      <w:r>
        <w:rPr>
          <w:rtl w:val="true"/>
        </w:rPr>
        <w:t xml:space="preserve">: </w:t>
      </w:r>
      <w:r>
        <w:rPr>
          <w:rtl w:val="true"/>
        </w:rPr>
        <w:t>لو باع شيئين صفقة واحدة، فظهر العيب في أحدهما</w:t>
      </w:r>
      <w:r>
        <w:rPr>
          <w:rtl w:val="true"/>
        </w:rPr>
        <w:t>]</w:t>
      </w:r>
      <w:bookmarkEnd w:id="22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شيئين صفقة واحدة، فظهر العيب في أحدهما، كان للمشتري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الأرش، أو ردّ الجميع، و ليس له التبعيض بردّ المعيب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صورة وحدة المشتري، فالمفروض أوّلًا في المتن وحدة البائع و المشتري، مع تعدّد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الصورة فيما إذا كان الوحدة الاعتباريّة على حدّ يعدّ السلعة جزء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باعا منّاً من الحنطة، أو من البطّيخ فلا إشكال حسب القواعد، و لعلّ الأخبار أيضاً لا تأبى عن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بظهورها في الوحدة الطبيعيّة أو التأليفيّة، و أمّا الوحدات الاعتباريّة التي تعانقها الكثرة الخارجيّة فلا، و لا سيّما بضميمة ما في أخبار بيع العبيد و الإماء، بعد كون الأخذ بالأرش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فيما إذا كانت السلع و الأمتعة كثيرة عنواناً و استفادة و غرضاً، و قد اجتمعت في التعبير عنها في مقام المعاملة؛ نظراً إلى إجراء صيغة البيع مرّة واحدة، فإنّه لا يبعد انحلال البيع إلى البيوع، فيجوز التبعيض، و يظهر النظر من هنا فيما أفاد بقوله على الإطلاق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التبعيض بردّ المعيب وحده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الوحدة الاعتباريّة يجمعها العنوان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كمصراعي الباب، و الحذاءين، و نحوهما المجتمع في الأغراض الدخيلة في باب المعاملات؛ ضرورة أنّ الأغراض بحسب الطبع ملغاة، و أجنبيّة عنها صحّة</w:t>
      </w:r>
    </w:p>
    <w:p>
      <w:pPr>
        <w:pStyle w:val="BookText"/>
        <w:rPr/>
      </w:pPr>
      <w:r>
        <w:rPr>
          <w:rFonts w:ascii="Amiri" w:hAnsi="Amiri" w:eastAsia="Amiri" w:cs="Amiri"/>
          <w:color w:val="111111"/>
          <w:sz w:val="28"/>
          <w:sz w:val="28"/>
          <w:szCs w:val="28"/>
          <w:rtl w:val="true"/>
          <w:lang w:bidi="ar-SA"/>
        </w:rPr>
        <w:t>و 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بلا شبهة لا يجوز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إنصافاً شمول أخبار المسألة لمثل تلك الكثرة الفانية في الوحدة العرفيّة، فيثبت خيار العيب بالردّ أو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صورة الشكّ في أنّ البيع ينحلّ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الجهات الخارجيّة فالتبعيض على خلاف الأصل، و عليه يحمل الإجماع المحكيّ عن جمع</w:t>
      </w:r>
      <w:r>
        <w:rPr>
          <w:rStyle w:val="FootnoteAnchor"/>
          <w:rtl w:val="true"/>
        </w:rPr>
        <w:footnoteReference w:id="584"/>
      </w:r>
      <w:r>
        <w:rPr>
          <w:rFonts w:ascii="Amiri" w:hAnsi="Amiri" w:eastAsia="Amiri" w:cs="Amiri"/>
          <w:color w:val="111111"/>
          <w:sz w:val="28"/>
          <w:sz w:val="28"/>
          <w:szCs w:val="28"/>
          <w:rtl w:val="true"/>
          <w:lang w:bidi="ar-SA"/>
        </w:rPr>
        <w:t>على عدم مشروعيّة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الحقّ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البعض دون بعض، من التصرّف و الحدث الموجب لسقوط الخيار</w:t>
      </w:r>
      <w:r>
        <w:rPr>
          <w:rStyle w:val="FootnoteAnchor"/>
          <w:rtl w:val="true"/>
        </w:rPr>
        <w:footnoteReference w:id="585"/>
      </w:r>
      <w:r>
        <w:rPr>
          <w:rFonts w:ascii="Amiri" w:hAnsi="Amiri" w:eastAsia="Amiri" w:cs="Amiri"/>
          <w:color w:val="111111"/>
          <w:sz w:val="28"/>
          <w:sz w:val="28"/>
          <w:szCs w:val="28"/>
          <w:rtl w:val="true"/>
          <w:lang w:bidi="ar-SA"/>
        </w:rPr>
        <w:t>، فهو بعيد عن ساحة المتوهّم؛ لأنّ الحدث يوجد بعد الردّ أو بالردّ،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الخيار هل هو المجموع، أو المعيب</w:t>
      </w:r>
      <w:r>
        <w:rPr>
          <w:rStyle w:val="FootnoteAnchor"/>
          <w:rtl w:val="true"/>
        </w:rPr>
        <w:footnoteReference w:id="586"/>
      </w:r>
      <w:r>
        <w:rPr>
          <w:rFonts w:ascii="Amiri" w:hAnsi="Amiri" w:eastAsia="Amiri" w:cs="Amiri"/>
          <w:color w:val="111111"/>
          <w:sz w:val="28"/>
          <w:sz w:val="28"/>
          <w:szCs w:val="28"/>
          <w:rtl w:val="true"/>
          <w:lang w:bidi="ar-SA"/>
        </w:rPr>
        <w:t>؟ فإنّه خلاف خارج عن التحقيق، و قد مرّ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اعتبر للمتعاقد و البيِّع بالنسبة إلى حلّ العقد، و لا يرتبط بالعين، هذا في غير خيار العيب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فيه، ففي كونه من قبيل سائر الخيارات إشكال، و منعه بعضهم،</w:t>
      </w:r>
    </w:p>
    <w:p>
      <w:pPr>
        <w:pStyle w:val="BookText"/>
        <w:rPr/>
      </w:pPr>
      <w:r>
        <w:rPr>
          <w:rFonts w:ascii="Amiri" w:hAnsi="Amiri" w:eastAsia="Amiri" w:cs="Amiri"/>
          <w:color w:val="111111"/>
          <w:sz w:val="28"/>
          <w:sz w:val="28"/>
          <w:szCs w:val="28"/>
          <w:rtl w:val="true"/>
          <w:lang w:bidi="ar-SA"/>
        </w:rPr>
        <w:t xml:space="preserve">و كذا لو اشترك اثنان في شراء شي‌ء، و كان معيباً، ليس لأحدهما ردّ حصّته خاصّة إن لم يوافقه شريكه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إشكال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يطلب من كتابنا الكبير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يوافقه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حكم المسألة ممّا مرّ في صور تعدّد المبيع و المشتري؛ بشرط أن يكون الجمع في مقام الإنشاء و البيع فقط، و كان كلّ مبيع لكلّ واحد منهما معيّناً و معلوماً، فإنّه تنحلّ الصيغة الواحدة إلى الكثير من غير لزوم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موارد الاشتراك كما هو مفروض المتن، فيشكل أصل ثبوت الأرش؛ لقصور في أدلّته كما أُشير إليه، و أمّا الخيار فهو ثابت، و حكم ذلك حكم الشريكين في اشتراء حيوان أو شي‌ء فيه الغبن،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إشكال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كون المشتري بالخيار بين الفسخ و أخذ الأرش في المسألتين، أو في عدم كونه ذا حقّ للتبعيض، و هو المقصود؛ لما في ذيله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 المسألة مختلفة، و في صورة عدم الانحلال لا معنى</w:t>
      </w:r>
    </w:p>
    <w:p>
      <w:pPr>
        <w:pStyle w:val="BookText"/>
        <w:rPr/>
      </w:pPr>
      <w:r>
        <w:rPr>
          <w:rFonts w:ascii="Amiri" w:hAnsi="Amiri" w:eastAsia="Amiri" w:cs="Amiri"/>
          <w:color w:val="111111"/>
          <w:sz w:val="28"/>
          <w:sz w:val="28"/>
          <w:szCs w:val="28"/>
          <w:rtl w:val="true"/>
          <w:lang w:bidi="ar-SA"/>
        </w:rPr>
        <w:t>للتبعيض، كما لا معنى له إذا وجد عيباً في متاعه، و كان واحداً، فإنّه ليس له إلّا الردّ أو الأرش، أو الردّ بالنسبة إلى البعض، و الأرش بالنسبة إلى البعض، فهو ممنوع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الخيار و تعدّده، تتبع وحدة وجوب الوفاء و تعدّده، فكما أنّه يجب على كلّ واحد منهما الوفاء في الصورة الثانية، و على المشتري بالنسبة إلى كل واحد من الشيئين، فلكلّ واحد منهما الخيار، و أخذ الأرش، و هكذا له بالنسبة إلى كلّ واحد من المتاعين، غير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التبعيض في صورة كون المتاع واحداً؛ ضرورة أنّ الوفاء واجب بردّ جميع الصبْرة إلى المشتري مثلًا، فلو ردّ بعضاً منها فإنّه و إن امتثل الأمر في الجملة عرفاً، إلّا أنّه لم يفِ بما هو مقتضى العقد، و لذلك لو رضي المشتري في هذه الصورة بالبعض يقسّط الثمن، و ليس هو بيعاً على حِدة، فتأمّل جيّداً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التزموا بوحدة الخيار للعامّ المجموعيّ في بعض المواقف، و لا يلتزمون بوحدة التكليف فيه إذا رضي الطرف، مثلًا إذا باع شيئاً، و كان له الخيار فمات، قال 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الخيار للمجموع، و لو لم يكن له الخيار و امتنع بعضهم عن التسليم، فعلى الآخرين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رضي البائع يجوز و يصحّ التبعيض في المسألتين بلا إشكال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قلتات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لا يسعها هذا المختصر</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لأنّ الأمر بيد الشرع لا بيده، فإن كان الخيار المجعول ثابتاً، فللمشتري إعماله سواء رضي البائع أم لم يرضَ، و إن لم يكن فلا تخيير بين الفسخ و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المراضاة على شي‌ء، فهي ربّما ترجع إلى مبادلة ثانية، أو إلى الإقالة، أو المضيّ عن حقّ أو مال، و هذا أجنبيّ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مندفع و لو كان الأرش على خلاف القواعد، كما هو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رضي البائع، و كان المشتريان شريكين في السلعة، فهل يثبت للشريك الآخر خيار؟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له الأخذ بالشفعة؛ بناءً على ثبوتها في مطلق الأمتعة، أو كان المتاع من قبيل ما فيه حقّ الشفعة،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اختصاصه بالبيع و نحوه، كالوقف</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أنّ الردّ معاملة جديدة، أو بحكمها في المسألة، بعد قولهم بحقّ الشفعة في أشباه البيع، غير مثل جعله صداقاً أو فدية أو هبة، فتأمّل</w:t>
      </w:r>
      <w:r>
        <w:rPr>
          <w:rFonts w:eastAsia="Amiri" w:cs="Amiri" w:ascii="Amiri" w:hAnsi="Amiri"/>
          <w:color w:val="111111"/>
          <w:sz w:val="28"/>
          <w:szCs w:val="28"/>
          <w:rtl w:val="true"/>
          <w:lang w:bidi="ar-SA"/>
        </w:rPr>
        <w:t>.</w:t>
      </w:r>
      <w:bookmarkStart w:id="230" w:name="pg12370_121801"/>
    </w:p>
    <w:p>
      <w:pPr>
        <w:pStyle w:val="Heading3"/>
        <w:numPr>
          <w:ilvl w:val="2"/>
          <w:numId w:val="1"/>
        </w:numPr>
        <w:rPr/>
      </w:pPr>
      <w:bookmarkStart w:id="231" w:name="__RefHeading___Toc9026242_417432637"/>
      <w:bookmarkStart w:id="232" w:name="_Toc82"/>
      <w:bookmarkEnd w:id="230"/>
      <w:bookmarkEnd w:id="231"/>
      <w:r>
        <w:rPr>
          <w:rtl w:val="true"/>
        </w:rPr>
        <w:t>[</w:t>
      </w:r>
      <w:r>
        <w:rPr>
          <w:rtl w:val="true"/>
        </w:rPr>
        <w:t>القول في أحكام الخيار</w:t>
      </w:r>
      <w:r>
        <w:rPr>
          <w:rtl w:val="true"/>
        </w:rPr>
        <w:t>]</w:t>
      </w:r>
      <w:bookmarkEnd w:id="232"/>
    </w:p>
    <w:p>
      <w:pPr>
        <w:pStyle w:val="Heading4"/>
        <w:numPr>
          <w:ilvl w:val="3"/>
          <w:numId w:val="1"/>
        </w:numPr>
        <w:rPr/>
      </w:pPr>
      <w:bookmarkStart w:id="233" w:name="__RefHeading___Toc9026244_417432637"/>
      <w:bookmarkStart w:id="234" w:name="_Toc83"/>
      <w:bookmarkEnd w:id="233"/>
      <w:r>
        <w:rPr>
          <w:rtl w:val="true"/>
        </w:rPr>
        <w:t>القول في أحكام الخيار و له أحكام مشتركة بين الجميع، و أحكام مختصّة ببعض لا يناسب هذا المختصر تفصيلها</w:t>
      </w:r>
      <w:r>
        <w:rPr>
          <w:rtl w:val="true"/>
        </w:rPr>
        <w:t>.</w:t>
      </w:r>
      <w:bookmarkEnd w:id="234"/>
    </w:p>
    <w:p>
      <w:pPr>
        <w:pStyle w:val="BookText"/>
        <w:rPr/>
      </w:pPr>
      <w:r>
        <w:rPr>
          <w:rFonts w:ascii="Amiri" w:hAnsi="Amiri" w:eastAsia="Amiri" w:cs="Amiri"/>
          <w:color w:val="111111"/>
          <w:sz w:val="28"/>
          <w:sz w:val="28"/>
          <w:szCs w:val="28"/>
          <w:rtl w:val="true"/>
          <w:lang w:bidi="ar-SA"/>
        </w:rPr>
        <w:t>فمن الأحكام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مات من له الخيار انتقل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 إلى وارثه؛ من غير فرق بين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 xml:space="preserve">و هو المستظهر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590"/>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خصوص خيار المجلس</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الخيار عندنا موروث؛ لأنّه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كالشفعة و القِصاص في جميع أنواعه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المسألة اتفاقيّة بين المسلمين؛ لاستثناء الشافعيّ فقط في خصوص خيار الشرط و المجلس</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المسألة عند أصحابنا مطابقة للقواعد و الكتاب و بناء العقلاء في الجملة، فلا ثمرة في الإجماع، و لا دليل على جبر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من حقّ فلوارثه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مقتضى القاعدة صرف أموال الميّت في وجوه الخير، و بقاءَها في ملكه استصحاباً باطل شرعاً و عرفاً، و الإرث على خلافه، و بناءَ العقلاء غير وافٍ بجميع المطلوب، و لا سيّما في كثير من الخيارات غير الراجعة إلى جهة ماليّة، بل 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خيار المجلس و الحيوان ليسا عقلائيّين حتّى يورثا بحكمهم، فتأمّل فلا بدّ حينئذٍ من إطلاق و عموم يفي بتمام المقصود، فإن كان هناك دليل شرعيّ، يستكشف به حقّية الخيار و قابليّته للنقل؛ حسب قاعدة الملازمة بين الحكم المذكور و هاتين الجهتين عقلًا و عرفاً، كما قيل بها لكشف صحّة العقد المعاطاتيّ و غيره، بعد الاعتماد على العموم و الإطلاق المقتضيين للزوم العقد فهو، و إلّا فالأمر مشكل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يصلح للمرجعيّة هنا إلّا بعض آيات الإرث، دون عمومها، خلافاً لما</w:t>
      </w:r>
    </w:p>
    <w:p>
      <w:pPr>
        <w:pStyle w:val="BookText"/>
        <w:rPr/>
      </w:pPr>
      <w:r>
        <w:rPr>
          <w:rFonts w:ascii="Amiri" w:hAnsi="Amiri" w:eastAsia="Amiri" w:cs="Amiri"/>
          <w:color w:val="111111"/>
          <w:sz w:val="28"/>
          <w:sz w:val="28"/>
          <w:szCs w:val="28"/>
          <w:rtl w:val="true"/>
          <w:lang w:bidi="ar-SA"/>
        </w:rPr>
        <w:t xml:space="preserve">في حاشية الفقيه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xml:space="preserve">و من تلك الآيات قوله تعالى لِلرِّجالِ نَصِيبٌ مِمَّا تَرَكَ الْوالِدانِ وَ الْأَقْرَبُونَ </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إطلاقها قوله تعالى مِمَّا قَلَّ مِنْهُ أَوْ كَثُرَ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المتروكات حقوق هي له، 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 قابلًا بشخصه للتقليل و التكثير، أو غير قابل بشخصه، و لكنّه قابل بنوعه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قصورها عن شمول الأطفال و الصغار، بل الخناثى إذا كنّ طبقة ثالثة أنّه يلزم التخصيص الكثير، أو التخصيصات المستهجنة؛ لخروج كثير من الحقوق و جميع الأحكام المتروكة على أيّة حالة، و الرجوع إلى فهم العرف من الآية معنىً أخصَّ، يرجع إلى حصر الآية بما عليه بناؤهم، فلا يثبت لها الإطلاق الصالح للمرجعيّة عند الشكّ</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الخيارات التي فيها الحظّ و النصيب، تورث بحكم العقلاء و إمضاء الآية، و ما ليس فيها الحظوظ و الخيرات فلا تورث، و هذا التفصيل 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w:t>
      </w:r>
    </w:p>
    <w:p>
      <w:pPr>
        <w:pStyle w:val="BookText"/>
        <w:rPr/>
      </w:pPr>
      <w:r>
        <w:rPr>
          <w:rFonts w:ascii="Amiri" w:hAnsi="Amiri" w:eastAsia="Amiri" w:cs="Amiri"/>
          <w:color w:val="111111"/>
          <w:sz w:val="28"/>
          <w:sz w:val="28"/>
          <w:szCs w:val="28"/>
          <w:rtl w:val="true"/>
          <w:lang w:bidi="ar-SA"/>
        </w:rPr>
        <w:t>سبباً لإرجاع العين، أو كان يبذل بإزاء الإسقاط أو الأعمال شي‌ء، كخيار الزوجة على الأراضي مثلًا، أو خيار غير الولد الأكبر في مورد الحبوة، و كخيار الأجنبيّ، فليلاحظ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المشاكل الثبوتيّة في إرث الحقوق مطلقاً، أو في بعض الصور، كما يأتي في المسألة الأُولى</w:t>
      </w:r>
      <w:r>
        <w:rPr>
          <w:rStyle w:val="FootnoteAnchor"/>
          <w:rtl w:val="true"/>
        </w:rPr>
        <w:footnoteReference w:id="598"/>
      </w:r>
      <w:r>
        <w:rPr>
          <w:rFonts w:ascii="Amiri" w:hAnsi="Amiri" w:eastAsia="Amiri" w:cs="Amiri"/>
          <w:color w:val="111111"/>
          <w:sz w:val="28"/>
          <w:sz w:val="28"/>
          <w:szCs w:val="28"/>
          <w:rtl w:val="true"/>
          <w:lang w:bidi="ar-SA"/>
        </w:rPr>
        <w:t>، فهي مندفعة بتفصيل في كتابنا الكبير</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تبيّن في هذه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الحقّ هو ذو الخيار، و طرفه هو العقد، و ليس العقد متزلزلًا في زمان الخيار، و لا الملكيّة متزلزلة زائداً على معنى إمكان حلّه بمثل الإقالة، فلا مشكلة في البين؛ ضرورة أنّه لو مات الرجل و كان له دين، ينتقل إلى الورثة و لا يفوت، كذلك الحقّ المذكور، فليس متقوّماً به كي يتوهّم امتناع نقله؛ لأنّه عين الإضافة الفائتة بارتحال الرجل و موته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الحقوق كالأموال طرف إضافة الملكيّة، و كالكلّيات الذميّة، و ليس الحقّ مقابل الملكيّة، فاغتنم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المانع عن إرث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لنقصان في الوارث، كالقتل و الكفر مانع عن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يحجب به حجب حرمان و هو وجود الأقرب إلى الميّت يحجب به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الخيار متعلّقاً بمال خاصّ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عنه بعض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كالأرض بالنسبة إلى الزوجة، و الحبوة بالنسبة إلى غير الولد الأكبر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تحتاج هذه المسألة إلى إطلاق في المانعيّة، و هكذا في الثانية، و الصورة الثانية و إن كانت قريبة جدّاً، بل ربّما يصحّ عدّها من الضروريّات في الفقه، و لكنّ الاولى غير واضحة تطلب من كتاب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متعلّقاً بمال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خلاف التحقيق؛ فإنّ العقد ليس متعلّقاً بالمال، فضلًا عن الخيار؛ ضرورة بقاء العقد في الاعتبار عند تلف العين، بل العقد له العمل الخاصّ؛ و هو نقل العين، و ليس معنىً لتعلّقه بها زائداً عليه، و الخيار له العمل الخاصّ، و هو هدم العقد الذي عمل عمل النقل مثلًا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فالحرمان من العين، لا يقتضي الحرمان من العقد بحرمانه من حقّ الخيار الذي يعدّ خطأ أو مسامحة عرفاً، متعلّقاً بوجه بالعقد، و إلّا فهو في الحقيقة غير متعلّق به؛ لامتناع كونه معدماً له، بل الخيار اعتبار وضعيّ ثابت للعاقد، و يستتبع تمكّنه من 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الوارثَ عن الخيار المتعلّق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كون ما يحرم الوارث عنه نقلًا إلى الميّت، أو عنه، فيرث في الأوّل، و هو المحكيّ عن الفخر</w:t>
      </w:r>
      <w:r>
        <w:rPr>
          <w:rStyle w:val="FootnoteAnchor"/>
          <w:rtl w:val="true"/>
        </w:rPr>
        <w:footnoteReference w:id="600"/>
      </w:r>
      <w:r>
        <w:rPr>
          <w:rFonts w:ascii="Amiri" w:hAnsi="Amiri" w:eastAsia="Amiri" w:cs="Amiri"/>
          <w:color w:val="111111"/>
          <w:sz w:val="28"/>
          <w:sz w:val="28"/>
          <w:szCs w:val="28"/>
          <w:rtl w:val="true"/>
          <w:lang w:bidi="ar-SA"/>
        </w:rPr>
        <w:t>و الشهيد</w:t>
      </w:r>
      <w:r>
        <w:rPr>
          <w:rStyle w:val="FootnoteAnchor"/>
          <w:rtl w:val="true"/>
        </w:rPr>
        <w:footnoteReference w:id="601"/>
      </w:r>
      <w:r>
        <w:rPr>
          <w:rFonts w:ascii="Amiri" w:hAnsi="Amiri" w:eastAsia="Amiri" w:cs="Amiri"/>
          <w:color w:val="111111"/>
          <w:sz w:val="28"/>
          <w:sz w:val="28"/>
          <w:szCs w:val="28"/>
          <w:rtl w:val="true"/>
          <w:lang w:bidi="ar-SA"/>
        </w:rPr>
        <w:t>و السيّد العميد</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في تلك الصورة، و الإشكال في غيرها، كما هو المحكيّ 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أجد من جزم بعدم الإرث مطلقاً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للمحروم عن الأراضي و الحبوة، يستتبع تمكّنه من إرث المال على كلّ تقدير؛ لأنّه لو انتقل إليه ففسخ، يردّ إليه الثمن فيورَّث، و إن انتقل عنه فيسقط الخيار كي يرث من ثمنه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في بعض الصور؛ و هو موارد المعاوضة بين الأراضي و الحبوات، و في بعض الوجوه الأُخر، فتدبّر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لأحد المنع، لا لأجل بعض الوجوه الاعتباريّة التسويليّة، بل لدعوى قصور أدلّة التورّث أو انصرافها عن مثل المقام؛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التورّث هي نيابة الوارث مقام المورِّث في مقدار يرثه،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سبب التورّث، كسببيّة البيع، فيكون نقل منه إليه به</w:t>
      </w:r>
      <w:r>
        <w:rPr>
          <w:rFonts w:eastAsia="Amiri" w:cs="Amiri" w:ascii="Amiri" w:hAnsi="Amiri"/>
          <w:color w:val="111111"/>
          <w:sz w:val="28"/>
          <w:szCs w:val="28"/>
          <w:rtl w:val="true"/>
          <w:lang w:bidi="ar-SA"/>
        </w:rPr>
        <w:t>.</w:t>
      </w:r>
      <w:bookmarkStart w:id="235" w:name="pg12370_121808"/>
    </w:p>
    <w:p>
      <w:pPr>
        <w:pStyle w:val="Heading4"/>
        <w:numPr>
          <w:ilvl w:val="3"/>
          <w:numId w:val="1"/>
        </w:numPr>
        <w:rPr/>
      </w:pPr>
      <w:bookmarkStart w:id="236" w:name="__RefHeading___Toc9026246_417432637"/>
      <w:bookmarkStart w:id="237" w:name="_Toc84"/>
      <w:bookmarkEnd w:id="235"/>
      <w:bookmarkEnd w:id="236"/>
      <w:r>
        <w:rPr>
          <w:rtl w:val="true"/>
        </w:rPr>
        <w:t>[</w:t>
      </w:r>
      <w:r>
        <w:rPr>
          <w:rtl w:val="true"/>
        </w:rPr>
        <w:t xml:space="preserve">مسألة </w:t>
      </w:r>
      <w:r>
        <w:rPr/>
        <w:t>1</w:t>
      </w:r>
      <w:r>
        <w:rPr>
          <w:rtl w:val="true"/>
        </w:rPr>
        <w:t xml:space="preserve">: </w:t>
      </w:r>
      <w:r>
        <w:rPr>
          <w:rtl w:val="true"/>
        </w:rPr>
        <w:t>لا إشكال فيما إذا كان الوارث واحداً، و لو تعدّد فالأقوى أنّ الخيار للمجموع</w:t>
      </w:r>
      <w:r>
        <w:rPr>
          <w:rtl w:val="true"/>
        </w:rPr>
        <w:t>]</w:t>
      </w:r>
      <w:bookmarkEnd w:id="23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فيما إذا كان الوارث واحداً، و لو تعدّد فالأقوى أنّ الخيار للمجموع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لا أثر لفسخ بعضهم بدون ضمّ فسخ الباقين؛ لا في تمام البيع، و لا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لجماعة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xml:space="preserve">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6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 لعلّه المعروف بين القائلين بتورّث الحقّ، خلافاً للعلّامة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يشكل هنا من جهة لزوم تجزئة البسيط؛ لو كان لكلّ واحد حصّة، و لو كان للمجموع بما هو هو وجود اعتباري، فهو منصرفة عنه أدلّة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التكثير الخارجيّ ممنوع، و الاعتباريَّ جائز، و هو كافٍ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الاعتباري من الغرض الشخصيّ، أو النوعيّ الفعليّ، أو التقديري، و حيث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لفسخ أحدهم بدون ضمّ الآخر، فلا وجه لاعتبار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الصلح عليه في هذه الصورة جائز ظاهراً، مع أنّ لكلّ ذي حقٍّ الإعراضَ عن حقّه، فلو كان لعنوان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المجموع بما هو مجموع فلا يصحّ إعراضه شخصاً، بخلاف ما إذا كان بنحو التجزئة في نفس التورّث؛ و إن لم يكن أثر في فسخه على الإطلاق،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الإعراض يلزم عدم ترتّب الأثر على فسخ الباقين، فيكون حقّهم بإعراضه لا حقّ، غير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خروجه عن المجموع، لا يضرّ بكون الباقين متلقّين حقّهم، كما في الإعراض عن حقّ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صيرورتهم بلا حقّ غير ممنوعة؛ بعد كون الانضمام دخيلًا في تأثير فسخ الكلّ، و امتناع لغويّة التجزئة ممنوع ثبوتاً؛ لأنّ اللغويّة في أصل الخطاب و الجعل هي الممنوعة عقلًا، لا في الإطلاق كما 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يقيّد إطلاق دليل صحّة إعراضه بنفي الضرر، كما في موارد أُخر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فكونه إرثاً للمجموع بما هو مجموع، أو لصِرْف الوجود، أو على نعت العموم الاستغراقيّ، بلا وجه، بل هو كسائر أملاكه يقسّط، إلّا أنّه لا أثر له إلّا بالانضمام، كما في تورّث المصراعين من باب واحد و أمثاله، فافهم و تأمّل</w:t>
      </w:r>
      <w:r>
        <w:rPr>
          <w:rFonts w:eastAsia="Amiri" w:cs="Amiri" w:ascii="Amiri" w:hAnsi="Amiri"/>
          <w:color w:val="111111"/>
          <w:sz w:val="28"/>
          <w:szCs w:val="28"/>
          <w:rtl w:val="true"/>
          <w:lang w:bidi="ar-SA"/>
        </w:rPr>
        <w:t>.</w:t>
      </w:r>
      <w:bookmarkStart w:id="238" w:name="pg12370_121810"/>
    </w:p>
    <w:p>
      <w:pPr>
        <w:pStyle w:val="Heading4"/>
        <w:numPr>
          <w:ilvl w:val="3"/>
          <w:numId w:val="1"/>
        </w:numPr>
        <w:rPr/>
      </w:pPr>
      <w:bookmarkStart w:id="239" w:name="__RefHeading___Toc9026248_417432637"/>
      <w:bookmarkStart w:id="240" w:name="_Toc85"/>
      <w:bookmarkEnd w:id="238"/>
      <w:bookmarkEnd w:id="239"/>
      <w:r>
        <w:rPr>
          <w:rtl w:val="true"/>
        </w:rPr>
        <w:t>[</w:t>
      </w:r>
      <w:r>
        <w:rPr>
          <w:rtl w:val="true"/>
        </w:rPr>
        <w:t xml:space="preserve">مسألة </w:t>
      </w:r>
      <w:r>
        <w:rPr/>
        <w:t>2</w:t>
      </w:r>
      <w:r>
        <w:rPr>
          <w:rtl w:val="true"/>
        </w:rPr>
        <w:t xml:space="preserve">: </w:t>
      </w:r>
      <w:r>
        <w:rPr>
          <w:rtl w:val="true"/>
        </w:rPr>
        <w:t>لو اجتمع الورثة على الفسخ فيما باعه مورّثهم</w:t>
      </w:r>
      <w:r>
        <w:rPr>
          <w:rtl w:val="true"/>
        </w:rPr>
        <w:t>]</w:t>
      </w:r>
      <w:bookmarkEnd w:id="24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الورثة على الفسخ فيما باعه مورّثهم، فإن كان عين الثمن موجوداً، دفعوه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المشتري، و إن لم يكن موجوداً أُخرج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له مال، ففي كونه على الميّت، و اشتغال ذمّته به، فيجب تفريغها بالمبيع المردود إليه، فإن بقي شي‌ء يكون للورثة،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صورة كون الثمن من الأمتعة، أو ما له الخصوصيّة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النقود و لا 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فالأظهر عدم لزوم ردّ العين حتّى في صورة الاستدعاء و الطلب، و لا ينبغي ترك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مال الميّت بعلاقة سابقة، و إلّا فالمتروكات للورثة، و لا مال له بمجرّد الموت، و الفسخ من الحين حسب المفروض، و يدخل المبيع في كيسهم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العقد ممّا تسبّب به الميّت في نقل العين، لا يورث شيئاً إلّا الخيار المنتقل إلى الورثة، فإذا فسخوه يقع التبادل الرجعيّ بين العين و الثمن؛ من غير دخالة وحدة المخرج و المدخل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المحرز عندنا جواز أن يشتري صديق لصديقه شيئاً؛ على وجه ينتقل المبيع من الابتداء إلى ملك الصديق المشترى له، و يخرج الثمن من كيس المشتري، و ما هو المشهور غير تامّ جدّاً، و إلّا يلزم دخول العين بعد الفسخ في ملك الميّت، و لا معنى لتورثّه؛ لأنّه مخصوص بما هو</w:t>
      </w:r>
    </w:p>
    <w:p>
      <w:pPr>
        <w:pStyle w:val="BookText"/>
        <w:rPr/>
      </w:pPr>
      <w:r>
        <w:rPr>
          <w:rFonts w:ascii="Amiri" w:hAnsi="Amiri" w:eastAsia="Amiri" w:cs="Amiri"/>
          <w:color w:val="111111"/>
          <w:sz w:val="28"/>
          <w:sz w:val="28"/>
          <w:szCs w:val="28"/>
          <w:rtl w:val="true"/>
          <w:lang w:bidi="ar-SA"/>
        </w:rPr>
        <w:t>و إن لم يفِ بتفريغ ما عليه يبقى الباقي في ذمّته، أو كونه على الورثة كلّ بقدر حصّته، وجهان أوجههما أوّلهما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متروكه حين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المورد الخاصّ كالدية، فهو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أُشير إليه، أحد الإشكالات على تورّث حقّ الخيار المحرّر تفصيله في كتابنا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أوجههما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الأوجه هو الثاني، و قد أُشير إلى وجه أوجهيّة الأوّل الراجع إلى إنكار تورّث العين بعد الفسخ؛ و صرفها في خيرات الميّت، و حيث إنّه ظاهر الفساد؛ لتعارف خلافه، و ضرورةِ رجوع العين من الابتداء إلى الورثة، يجب عليهم ردّ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لهم ما يفي بالعوض، و لم تكن لهم الذمّة، أو كانت محكومة بالحجْر على وجه لا يفي بديته بالنسبة إلى الطرف، يمكن دعوى عدم نفوذ فسخه؛ لكونه ضرريّاً،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لم يكن في إعمال خياره إلّا انتقال العين إليه، و هي تعادل دينه بالنسبة إلى العوض، فترجع شخصاً إليه، أو عليه بيعها و ردّ الثمن إليه، ففي تورّث الخيار مناقشة علميّة و عقلائيّة، و تكفي الثانية و إن لم تتمّ الاولى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فرغنا أيّام تسفير الحوزة، يوم السبت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bookmarkStart w:id="241" w:name="pg12370_121813"/>
    </w:p>
    <w:p>
      <w:pPr>
        <w:pStyle w:val="Heading2"/>
        <w:numPr>
          <w:ilvl w:val="1"/>
          <w:numId w:val="1"/>
        </w:numPr>
        <w:rPr/>
      </w:pPr>
      <w:bookmarkStart w:id="242" w:name="__RefHeading___Toc9026250_417432637"/>
      <w:bookmarkStart w:id="243" w:name="_Toc86"/>
      <w:bookmarkEnd w:id="241"/>
      <w:bookmarkEnd w:id="242"/>
      <w:r>
        <w:rPr>
          <w:rtl w:val="true"/>
        </w:rPr>
        <w:t>[</w:t>
      </w:r>
      <w:r>
        <w:rPr>
          <w:rtl w:val="true"/>
        </w:rPr>
        <w:t>كتاب النكاح</w:t>
      </w:r>
      <w:r>
        <w:rPr>
          <w:rtl w:val="true"/>
        </w:rPr>
        <w:t>]</w:t>
      </w:r>
      <w:bookmarkEnd w:id="243"/>
    </w:p>
    <w:p>
      <w:pPr>
        <w:pStyle w:val="Heading3"/>
        <w:numPr>
          <w:ilvl w:val="2"/>
          <w:numId w:val="1"/>
        </w:numPr>
        <w:rPr/>
      </w:pPr>
      <w:bookmarkStart w:id="244" w:name="__RefHeading___Toc9026252_417432637"/>
      <w:bookmarkStart w:id="245" w:name="_Toc87"/>
      <w:bookmarkEnd w:id="244"/>
      <w:r>
        <w:rPr>
          <w:rtl w:val="true"/>
        </w:rPr>
        <w:t>اشارة</w:t>
      </w:r>
      <w:bookmarkEnd w:id="24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النكاح</w:t>
      </w:r>
      <w:bookmarkStart w:id="246" w:name="pg12370_121815"/>
    </w:p>
    <w:p>
      <w:pPr>
        <w:pStyle w:val="Heading3"/>
        <w:numPr>
          <w:ilvl w:val="2"/>
          <w:numId w:val="1"/>
        </w:numPr>
        <w:rPr/>
      </w:pPr>
      <w:bookmarkStart w:id="247" w:name="__RefHeading___Toc9026254_417432637"/>
      <w:bookmarkStart w:id="248" w:name="_Toc88"/>
      <w:bookmarkEnd w:id="246"/>
      <w:bookmarkEnd w:id="247"/>
      <w:r>
        <w:rPr>
          <w:rtl w:val="true"/>
        </w:rPr>
        <w:t>[</w:t>
      </w:r>
      <w:r>
        <w:rPr>
          <w:rtl w:val="true"/>
        </w:rPr>
        <w:t>أحكام الوطء</w:t>
      </w:r>
      <w:r>
        <w:rPr>
          <w:rtl w:val="true"/>
        </w:rPr>
        <w:t>]</w:t>
      </w:r>
      <w:bookmarkEnd w:id="248"/>
    </w:p>
    <w:p>
      <w:pPr>
        <w:pStyle w:val="Heading4"/>
        <w:numPr>
          <w:ilvl w:val="3"/>
          <w:numId w:val="1"/>
        </w:numPr>
        <w:rPr/>
      </w:pPr>
      <w:bookmarkStart w:id="249" w:name="__RefHeading___Toc9026256_417432637"/>
      <w:bookmarkStart w:id="250" w:name="_Toc89"/>
      <w:bookmarkEnd w:id="249"/>
      <w:r>
        <w:rPr>
          <w:rtl w:val="true"/>
        </w:rPr>
        <w:t>[</w:t>
      </w:r>
      <w:r>
        <w:rPr>
          <w:rtl w:val="true"/>
        </w:rPr>
        <w:t xml:space="preserve">مسألة </w:t>
      </w:r>
      <w:r>
        <w:rPr/>
        <w:t>11</w:t>
      </w:r>
      <w:r>
        <w:rPr>
          <w:rtl w:val="true"/>
        </w:rPr>
        <w:t xml:space="preserve">: </w:t>
      </w:r>
      <w:r>
        <w:rPr>
          <w:rtl w:val="true"/>
        </w:rPr>
        <w:t>المشهور الأقوى جواز وطء الزوجة دبراً</w:t>
      </w:r>
      <w:r>
        <w:rPr>
          <w:rtl w:val="true"/>
        </w:rPr>
        <w:t>]</w:t>
      </w:r>
      <w:bookmarkEnd w:id="25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الأقوى 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الزوجة دبراً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الأقوى 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عليه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القمّيين، و ابن حمزة، و الشيخ أبى الفتوح الرازي، و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أبي المكارم</w:t>
      </w:r>
      <w:r>
        <w:rPr>
          <w:rStyle w:val="FootnoteAnchor"/>
          <w:rtl w:val="true"/>
        </w:rPr>
        <w:footnoteReference w:id="611"/>
      </w:r>
      <w:r>
        <w:rPr>
          <w:rFonts w:ascii="IRNazanin" w:hAnsi="IRNazanin" w:eastAsia="IRNazanin"/>
          <w:color w:val="111111"/>
          <w:sz w:val="28"/>
          <w:sz w:val="28"/>
          <w:szCs w:val="28"/>
          <w:rtl w:val="true"/>
          <w:lang w:bidi="fa-IR"/>
        </w:rPr>
        <w:t>، و عن بعض آخر</w:t>
      </w:r>
      <w:r>
        <w:rPr>
          <w:rStyle w:val="FootnoteAnchor"/>
          <w:rtl w:val="true"/>
        </w:rPr>
        <w:footnoteReference w:id="612"/>
      </w:r>
      <w:r>
        <w:rPr>
          <w:rFonts w:ascii="Amiri" w:hAnsi="Amiri" w:eastAsia="Amiri" w:cs="Amiri"/>
          <w:color w:val="111111"/>
          <w:sz w:val="28"/>
          <w:sz w:val="28"/>
          <w:szCs w:val="28"/>
          <w:rtl w:val="true"/>
          <w:lang w:bidi="ar-SA"/>
        </w:rPr>
        <w:t>، حكاية التحريم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إجماع كتب الثلاثة الأوائل 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الإجماع المصطلح عليه كما تحرّر</w:t>
      </w:r>
      <w:r>
        <w:rPr>
          <w:rStyle w:val="FootnoteAnchor"/>
          <w:rtl w:val="true"/>
        </w:rPr>
        <w:footnoteReference w:id="613"/>
      </w:r>
      <w:r>
        <w:rPr>
          <w:rFonts w:ascii="Amiri" w:hAnsi="Amiri" w:eastAsia="Amiri" w:cs="Amiri"/>
          <w:color w:val="111111"/>
          <w:sz w:val="28"/>
          <w:sz w:val="28"/>
          <w:szCs w:val="28"/>
          <w:rtl w:val="true"/>
          <w:lang w:bidi="ar-SA"/>
        </w:rPr>
        <w:t>، فالشهرة قابلة للمنع، فضلًا عن</w:t>
      </w:r>
    </w:p>
    <w:p>
      <w:pPr>
        <w:pStyle w:val="BookText"/>
        <w:rPr/>
      </w:pP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لكونها روائيّة، لا تحتاج إلى 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المشهور بين المتأخرين</w:t>
      </w:r>
      <w:r>
        <w:rPr>
          <w:rStyle w:val="FootnoteAnchor"/>
          <w:rtl w:val="true"/>
        </w:rPr>
        <w:footnoteReference w:id="614"/>
      </w:r>
      <w:r>
        <w:rPr>
          <w:rFonts w:ascii="Amiri" w:hAnsi="Amiri" w:eastAsia="Amiri" w:cs="Amiri"/>
          <w:color w:val="111111"/>
          <w:sz w:val="28"/>
          <w:sz w:val="28"/>
          <w:szCs w:val="28"/>
          <w:rtl w:val="true"/>
          <w:lang w:bidi="ar-SA"/>
        </w:rPr>
        <w:t>، و عليه النصوص الكثيرة</w:t>
      </w:r>
      <w:r>
        <w:rPr>
          <w:rStyle w:val="FootnoteAnchor"/>
          <w:rtl w:val="true"/>
        </w:rPr>
        <w:footnoteReference w:id="615"/>
      </w:r>
      <w:r>
        <w:rPr>
          <w:rFonts w:ascii="Amiri" w:hAnsi="Amiri" w:eastAsia="Amiri" w:cs="Amiri"/>
          <w:color w:val="111111"/>
          <w:sz w:val="28"/>
          <w:sz w:val="28"/>
          <w:szCs w:val="28"/>
          <w:rtl w:val="true"/>
          <w:lang w:bidi="ar-SA"/>
        </w:rPr>
        <w:t>، و فيها معتبر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صفوان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أمرني أن أسألك عن مسألة، فهابك و استحيا منك أن يسألك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امرأته في دبرها؟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تفعل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إنّا لا نفعل ذلك</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إطلاق الآيتين فَأْتُوهُنَّ مِنْ حَيْثُ أَمَرَكُمُ اللَّهُ</w:t>
      </w:r>
      <w:r>
        <w:rPr>
          <w:rStyle w:val="FootnoteAnchor"/>
          <w:rtl w:val="true"/>
        </w:rPr>
        <w:footnoteReference w:id="617"/>
      </w:r>
      <w:r>
        <w:rPr>
          <w:rFonts w:ascii="Amiri" w:hAnsi="Amiri" w:eastAsia="Amiri" w:cs="Amiri"/>
          <w:color w:val="111111"/>
          <w:sz w:val="28"/>
          <w:sz w:val="28"/>
          <w:szCs w:val="28"/>
          <w:rtl w:val="true"/>
          <w:lang w:bidi="ar-SA"/>
        </w:rPr>
        <w:t>، و قوله تعالى نِساؤُكُمْ حَرْثٌ لَكُمْ فَأْتُوا حَرْثَكُمْ أَنَّى شِئْتُمْ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بالأُولى يتمّ بالثانية،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 الثانية؛ باختصاصها بالقُبُل؛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متأيّدة بما في معتبر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يقولون في إتيان النساء في أعجازهنّ؟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أهل المدينة، لا يرون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المرأة من خلفها، خرج ولده أحول، فأنزل اللَّه عزّ و جل نِساؤُكُمْ حَرْثٌ لَكُمْ فَأْتُوا حَرْثَكُمْ أَنَّى شِئْتُمْ؛ من خلف أو قدّام، خلافاً لقول اليهود، و لم 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أدبارهنّ</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بغيره ممّا ورد في تفسيرها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الاولى بخبر ابن أبي يعفور الآتي، لا يوجب المنع و التحريم عقلًا؛ لإمكان التحليل بغير الآية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فيه اشتراط الجواز بالرضا،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المرأة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عزّ و جلّ فَأْتُوهُنَّ مِنْ حَيْثُ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 طلب الولد، فاطلبوا الولد من حيث أمركم اللَّه؛ إنّ اللَّه تعالى يقول نِساؤُكُمْ حَرْثٌ لَكُمْ فَأْتُوا حَرْثَكُمْ أَنَّى شِئْتُمْ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به يجمع بين شتات المآشير، و اختلاف الآيات؛ من حيث التفسير</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مخافة المخالفة، كان القول المزبور قويّاً حسب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 الصدوق و نحوه التفصيل بين نساء الأُمّة و غيرهن؛ و يختصّ الحرمة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محاشّ نساء أُمّتي على رجال أُمّتي حرام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الأصل حرمة الوطء، إلا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كجواز الوطء من القبل من مقتضيات العقد عرفاً، و لا يحتاج إلى الدليل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بل الظاهر خلافه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كراهة شديدة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تركه، خصوصاً مع عدم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حملًا للنواهي الواردة</w:t>
      </w:r>
      <w:r>
        <w:rPr>
          <w:rStyle w:val="FootnoteAnchor"/>
          <w:rtl w:val="true"/>
        </w:rPr>
        <w:footnoteReference w:id="625"/>
      </w:r>
      <w:r>
        <w:rPr>
          <w:rFonts w:ascii="Amiri" w:hAnsi="Amiri" w:eastAsia="Amiri" w:cs="Amiri"/>
          <w:color w:val="111111"/>
          <w:sz w:val="28"/>
          <w:sz w:val="28"/>
          <w:szCs w:val="28"/>
          <w:rtl w:val="true"/>
          <w:lang w:bidi="ar-SA"/>
        </w:rPr>
        <w:t>عليها؛ لأجل نصوص الجواز</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علماؤنا إلى كراهة إتيان النساء في أدبارهنّ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المناقشة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الأدلّة المانعة ربّما تكون ظاهرة في الحرمة؛ لاشتمالها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فتكون هي معرضاً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المحكيّ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أحداً من العامّة لا يجيز ذلك</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فتكون الأخبار المانعة محمولة على التقيّة، و لو أمكن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لنا إنكار الكراهة مع رضاها؛ فإنّ في مرسل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لعبتك، فلا تؤذِها</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اشتهر بين أهل العصر، و عن الأطباء الحاذقين؛ من الضرر الكثير المؤدّي إلى اختلال نظام البدن و مزاجه، فهو مضافاً إلى عدم</w:t>
      </w:r>
    </w:p>
    <w:p>
      <w:pPr>
        <w:pStyle w:val="BookText"/>
        <w:rPr/>
      </w:pPr>
      <w:r>
        <w:rPr>
          <w:rFonts w:ascii="Amiri" w:hAnsi="Amiri" w:eastAsia="Amiri" w:cs="Amiri"/>
          <w:color w:val="111111"/>
          <w:sz w:val="28"/>
          <w:sz w:val="28"/>
          <w:szCs w:val="28"/>
          <w:rtl w:val="true"/>
          <w:lang w:bidi="ar-SA"/>
        </w:rPr>
        <w:t>ثبوته غير مستوعب بالنسبة إلى جميع الأشخاص، و إلى جميع الأحوال، فلا وجه للمنع الكلّي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ثبت في مورد فنحكم بحرمته؛ نظراً إلى ما اشتهر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المضرّ، و هذا لا يخصّ بالدبر كما لا يخفى</w:t>
      </w:r>
      <w:r>
        <w:rPr>
          <w:rFonts w:eastAsia="Amiri" w:cs="Amiri" w:ascii="Amiri" w:hAnsi="Amiri"/>
          <w:color w:val="111111"/>
          <w:sz w:val="28"/>
          <w:szCs w:val="28"/>
          <w:rtl w:val="true"/>
          <w:lang w:bidi="ar-SA"/>
        </w:rPr>
        <w:t>.</w:t>
      </w:r>
      <w:bookmarkStart w:id="251" w:name="pg12370_121821"/>
    </w:p>
    <w:p>
      <w:pPr>
        <w:pStyle w:val="Heading4"/>
        <w:numPr>
          <w:ilvl w:val="3"/>
          <w:numId w:val="1"/>
        </w:numPr>
        <w:rPr/>
      </w:pPr>
      <w:bookmarkStart w:id="252" w:name="__RefHeading___Toc9026258_417432637"/>
      <w:bookmarkStart w:id="253" w:name="_Toc90"/>
      <w:bookmarkEnd w:id="251"/>
      <w:bookmarkEnd w:id="252"/>
      <w:r>
        <w:rPr>
          <w:rtl w:val="true"/>
        </w:rPr>
        <w:t>[</w:t>
      </w:r>
      <w:r>
        <w:rPr>
          <w:rtl w:val="true"/>
        </w:rPr>
        <w:t xml:space="preserve">مسألة </w:t>
      </w:r>
      <w:r>
        <w:rPr/>
        <w:t>12</w:t>
      </w:r>
      <w:r>
        <w:rPr>
          <w:rtl w:val="true"/>
        </w:rPr>
        <w:t xml:space="preserve">: </w:t>
      </w:r>
      <w:r>
        <w:rPr>
          <w:rtl w:val="true"/>
        </w:rPr>
        <w:t>لا يجوز وطء الزوجة قبل إكمال تسع سنين</w:t>
      </w:r>
      <w:r>
        <w:rPr>
          <w:rtl w:val="true"/>
        </w:rPr>
        <w:t>]</w:t>
      </w:r>
      <w:bookmarkEnd w:id="25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وطء الزوجة قبل إكمال تسع سنين،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حسب النصوص</w:t>
      </w:r>
      <w:r>
        <w:rPr>
          <w:rStyle w:val="FootnoteAnchor"/>
          <w:rtl w:val="true"/>
        </w:rPr>
        <w:footnoteReference w:id="631"/>
      </w:r>
      <w:r>
        <w:rPr>
          <w:rFonts w:ascii="Amiri" w:hAnsi="Amiri" w:eastAsia="Amiri" w:cs="Amiri"/>
          <w:color w:val="111111"/>
          <w:sz w:val="28"/>
          <w:sz w:val="28"/>
          <w:szCs w:val="28"/>
          <w:rtl w:val="true"/>
          <w:lang w:bidi="ar-SA"/>
        </w:rPr>
        <w:t>، و الإجماعات المنقولة</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معتبر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الجارية و هي صغيرة، فلا يدخل بها حتّى يأتي لها تسع سنين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التخيير الوارد في طائفة منها بين التسع و العشر</w:t>
      </w:r>
      <w:r>
        <w:rPr>
          <w:rStyle w:val="FootnoteAnchor"/>
          <w:rtl w:val="true"/>
        </w:rPr>
        <w:footnoteReference w:id="634"/>
      </w:r>
      <w:r>
        <w:rPr>
          <w:rFonts w:ascii="Amiri" w:hAnsi="Amiri" w:eastAsia="Amiri" w:cs="Amiri"/>
          <w:color w:val="111111"/>
          <w:sz w:val="28"/>
          <w:sz w:val="28"/>
          <w:szCs w:val="28"/>
          <w:rtl w:val="true"/>
          <w:lang w:bidi="ar-SA"/>
        </w:rPr>
        <w:t>، فربّما يكون شاهداً على أنّ الحكم مبنيّ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على استحباب التأخير إلى العشر</w:t>
      </w:r>
      <w:r>
        <w:rPr>
          <w:rStyle w:val="FootnoteAnchor"/>
          <w:rtl w:val="true"/>
        </w:rPr>
        <w:footnoteReference w:id="635"/>
      </w:r>
      <w:r>
        <w:rPr>
          <w:rFonts w:ascii="Amiri" w:hAnsi="Amiri" w:eastAsia="Amiri" w:cs="Amiri"/>
          <w:color w:val="111111"/>
          <w:sz w:val="28"/>
          <w:sz w:val="28"/>
          <w:szCs w:val="28"/>
          <w:rtl w:val="true"/>
          <w:lang w:bidi="ar-SA"/>
        </w:rPr>
        <w:t>، خلاف الظاهر من التخيير كما ترى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الكراهة، اشتمال طائفة أُخرى على ضمان الزوج</w:t>
      </w:r>
      <w:r>
        <w:rPr>
          <w:rStyle w:val="FootnoteAnchor"/>
          <w:rtl w:val="true"/>
        </w:rPr>
        <w:footnoteReference w:id="636"/>
      </w:r>
      <w:r>
        <w:rPr>
          <w:rFonts w:ascii="IRNazanin" w:hAnsi="IRNazanin" w:eastAsia="IRNazanin"/>
          <w:color w:val="111111"/>
          <w:sz w:val="28"/>
          <w:sz w:val="28"/>
          <w:szCs w:val="28"/>
          <w:rtl w:val="true"/>
          <w:lang w:bidi="fa-IR"/>
        </w:rPr>
        <w:t>، و منها</w:t>
      </w:r>
    </w:p>
    <w:p>
      <w:pPr>
        <w:pStyle w:val="BookText"/>
        <w:rPr/>
      </w:pPr>
      <w:r>
        <w:rPr>
          <w:rFonts w:ascii="Amiri" w:hAnsi="Amiri" w:eastAsia="Amiri" w:cs="Amiri"/>
          <w:color w:val="111111"/>
          <w:sz w:val="28"/>
          <w:sz w:val="28"/>
          <w:szCs w:val="28"/>
          <w:rtl w:val="true"/>
          <w:lang w:bidi="ar-SA"/>
        </w:rPr>
        <w:t xml:space="preserve">معتبر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وطأ امرأتَهُ قبل تسع سنين، فأصابها عيب، فهو ضامن</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الممكن التمسّك بهذه الطائفة من الأخبار على جواز الوطء دبراً؛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 لها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الدخول بها مطلقاً، و إن كان إطلاقه ممنوعاً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هذا الباب، عن غياث بن إبراهيم،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توطأ جارية لأقلّ من عشر سنين، فإن فعل فعيبت فقد ضمن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أيضاً يؤيّد ما أبدعناه، و إلّا فلهم المناقشة فيه سنداً و دلالة؛ بحمله على الاستحباب، أو على أنّ المراد ابتداء العشر، فيكون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كونها بالغة، و كان الحكم من متفرعات حدّ البلوغ، كما لا يخفى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اشتهر من بعض أبناء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المناقشة في ضرب هذا القانون؛ و أنّه من المختصّات ببعض الأقطار العربيّة؛ لامتناع الصبايا و الفتيات عنه نوعاً، لضعف رشدهنّ، و يكون ذلك إضراراً بحقّهن، فهو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مفوّض إليهنّ و إلى أوليائهنّ بعد الإكمال، و ليس فيه الإلزام</w:t>
      </w:r>
    </w:p>
    <w:p>
      <w:pPr>
        <w:pStyle w:val="BookText"/>
        <w:rPr/>
      </w:pPr>
      <w:r>
        <w:rPr>
          <w:rFonts w:ascii="Amiri" w:hAnsi="Amiri" w:eastAsia="Amiri" w:cs="Amiri"/>
          <w:color w:val="111111"/>
          <w:sz w:val="28"/>
          <w:sz w:val="28"/>
          <w:szCs w:val="28"/>
          <w:rtl w:val="true"/>
          <w:lang w:bidi="ar-SA"/>
        </w:rPr>
        <w:t>و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انجبار ضعفهنّ بذلك، كما شوهد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يشكل الحكم؛ من أجل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هي الأمة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و ينحلّ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الفتيّة</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عموميّتها جدّاً على ما في بعض أخبار المسألة؛ من أخذ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كمعتبر حمّاد، عن الحلبيّ</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ربّما يمنع إطلاق الحكم بالنسبة إلى المدخول بها قبل الإكمال و شبهها؛ بدعوى الانصراف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في خبر طلحة بن زيد،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بكراً، فدخل بها في أقلّ من تسع سنين، فعيبت ضمن</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 حُمران،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تزوّج</w:t>
      </w:r>
    </w:p>
    <w:p>
      <w:pPr>
        <w:pStyle w:val="BookText"/>
        <w:rPr/>
      </w:pPr>
      <w:r>
        <w:rPr>
          <w:rFonts w:ascii="Amiri" w:hAnsi="Amiri" w:eastAsia="Amiri" w:cs="Amiri"/>
          <w:color w:val="111111"/>
          <w:sz w:val="28"/>
          <w:sz w:val="28"/>
          <w:szCs w:val="28"/>
          <w:rtl w:val="true"/>
          <w:lang w:bidi="ar-SA"/>
        </w:rPr>
        <w:t xml:space="preserve">دواماً كان النكاح، أو منقطعاً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جارية بكراً لم تدرك </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إلى آخره، فكأنّ الحكم كان مغروساً في خصوص غيرهنّ ثانياً و بأنّ الحكم كان بلحاظ ما يترتّب عليه من الفساد ثالثاً، فليتأمل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دواماً كان النكاح أو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إطلاق معاقد الإجماعات السابقة،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خصوصه الإجماع بقسميه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غير ظاهر عندي، و هو مقتضى إطلاق النصوص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الأظهر منها كونها ناظرة إلى الدائمة؛ لما فيها من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 لها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يومئ إلى طول المدّة، و هو خلاف المتعاهد، و لا سيّما في الصغيرة، بل متعة الصغيرة لأجل الاستمتاع، نادر جدّاً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قصور في شمول الأدلّة لها من جهة الحكم الوضعيّ و الضمان، الآتي بتفصيل</w:t>
      </w:r>
      <w:r>
        <w:rPr>
          <w:rStyle w:val="FootnoteAnchor"/>
          <w:rtl w:val="true"/>
        </w:rPr>
        <w:footnoteReference w:id="646"/>
      </w:r>
      <w:r>
        <w:rPr>
          <w:rFonts w:ascii="Amiri" w:hAnsi="Amiri" w:eastAsia="Amiri" w:cs="Amiri"/>
          <w:color w:val="111111"/>
          <w:sz w:val="28"/>
          <w:sz w:val="28"/>
          <w:szCs w:val="28"/>
          <w:rtl w:val="true"/>
          <w:lang w:bidi="ar-SA"/>
        </w:rPr>
        <w:t>إن شاء اللَّه تعالى، و لا منع من التفكيك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سائر الاستمتاعات كاللّمس بشهوة، و الضمّ، و التفخيذ فلا بأس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الرضيعة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بأس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خلافاً للأصل، و وفاقاً لمقتضى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استشكل في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القدر المسلّم منه جواز الدخول قبلًا و التقبيل و الضمّ، دون مثل التفخيذ و نحوه، فيكون المعوّل استصحاب الحرمة الثابتة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للمنع عنه مجال؛ لأجل الأخبار المانعة عن الاستمناء، الدالّة بإطلاقها على حرمته، و منها مرسلة علاء بن رزين،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الخضخضة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الفواحش، و نكاح الأمة خير منه</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و خبر إسحاق بن عمّار</w:t>
      </w:r>
      <w:r>
        <w:rPr>
          <w:rStyle w:val="FootnoteAnchor"/>
          <w:rtl w:val="true"/>
        </w:rPr>
        <w:footnoteReference w:id="64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ما ورد من الآثار السيّئة المترتّبة على الزنا و نحوه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أمكن المناقشة في كلّ ذلك، و لكن جواز بعض</w:t>
      </w:r>
    </w:p>
    <w:p>
      <w:pPr>
        <w:pStyle w:val="BookText"/>
        <w:rPr/>
      </w:pPr>
      <w:r>
        <w:rPr>
          <w:rFonts w:ascii="Amiri" w:hAnsi="Amiri" w:eastAsia="Amiri" w:cs="Amiri"/>
          <w:color w:val="111111"/>
          <w:sz w:val="28"/>
          <w:sz w:val="28"/>
          <w:szCs w:val="28"/>
          <w:rtl w:val="true"/>
          <w:lang w:bidi="ar-SA"/>
        </w:rPr>
        <w:t xml:space="preserve">و لو وطأها قبل التسع و لم يفضِها، لم يترتّب عليه شي‌ء غير الإثم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الاستمتاعات غير المتعارفة، الخارجة عن اقتضاء العقد، محتاج إلى الدليل المرخّص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يترتّب عليه شي‌ء غير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الإثم، فقد مضى في أوّل المسألة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غيره، فقد نسب</w:t>
      </w:r>
      <w:r>
        <w:rPr>
          <w:rStyle w:val="FootnoteAnchor"/>
          <w:rtl w:val="true"/>
        </w:rPr>
        <w:footnoteReference w:id="650"/>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بل و ابن إدريس</w:t>
      </w:r>
      <w:r>
        <w:rPr>
          <w:rStyle w:val="FootnoteAnchor"/>
          <w:rtl w:val="true"/>
        </w:rPr>
        <w:footnoteReference w:id="653"/>
      </w:r>
      <w:r>
        <w:rPr>
          <w:rFonts w:ascii="Amiri" w:hAnsi="Amiri" w:eastAsia="Amiri" w:cs="Amiri"/>
          <w:color w:val="111111"/>
          <w:sz w:val="28"/>
          <w:sz w:val="28"/>
          <w:szCs w:val="28"/>
          <w:rtl w:val="true"/>
          <w:lang w:bidi="ar-SA"/>
        </w:rPr>
        <w:t>، حرمتها عليه أيضاً، و لعلّه مستند إلى بعض ما عندهما، أو إلى مرسل يعقوب بن يزيد، عن بعض أصحابنا،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الرجل المرأة، فدخل بها قبل أن تبلغ تسع سنين، فرّق بينهما، و لم</w:t>
      </w:r>
    </w:p>
    <w:p>
      <w:pPr>
        <w:pStyle w:val="BookText"/>
        <w:rPr/>
      </w:pPr>
      <w:r>
        <w:rPr>
          <w:rFonts w:ascii="Amiri" w:hAnsi="Amiri" w:eastAsia="Amiri" w:cs="Amiri"/>
          <w:color w:val="111111"/>
          <w:sz w:val="28"/>
          <w:sz w:val="28"/>
          <w:szCs w:val="28"/>
          <w:rtl w:val="true"/>
          <w:lang w:bidi="ar-SA"/>
        </w:rPr>
        <w:t>تحلّ له أبداً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الإشكال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 و شموله لصورة عدم الإفضاء يدلّ على انتفاء الزوجيّة بمجرّد الوطء، على خلاف النصوص الآتية</w:t>
      </w:r>
      <w:r>
        <w:rPr>
          <w:rFonts w:eastAsia="Amiri" w:cs="Amiri" w:ascii="Amiri" w:hAnsi="Amiri"/>
          <w:color w:val="111111"/>
          <w:sz w:val="28"/>
          <w:szCs w:val="28"/>
          <w:rtl w:val="true"/>
          <w:lang w:bidi="ar-SA"/>
        </w:rPr>
        <w:t>»</w:t>
      </w:r>
      <w:r>
        <w:rPr>
          <w:rStyle w:val="FootnoteAnchor"/>
          <w:rtl w:val="true"/>
        </w:rPr>
        <w:footnoteReference w:id="655"/>
      </w:r>
      <w:r>
        <w:rPr>
          <w:rStyle w:val="FootnoteAnchor"/>
          <w:rtl w:val="true"/>
        </w:rPr>
        <w:footnoteReference w:id="656"/>
      </w:r>
      <w:r>
        <w:rPr>
          <w:rFonts w:ascii="Amiri" w:hAnsi="Amiri" w:eastAsia="Amiri" w:cs="Amiri"/>
          <w:color w:val="111111"/>
          <w:sz w:val="28"/>
          <w:sz w:val="28"/>
          <w:szCs w:val="28"/>
          <w:rtl w:val="true"/>
          <w:lang w:bidi="ar-SA"/>
        </w:rPr>
        <w:t xml:space="preserve">انتهى، في غير محلّه؛ لذهاب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للأصول المتلقّاة إليه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الإرسال عن بعض أصحابنا لا يضرّ؛ لظهور الجملة في أنّه من الفقهاء أو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لا تدلّ على حصول الفراق قهراً، بل ظاهرها وجوب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شمولها لصورة عدم الإفضاء، فهو ليس وهناً بعد ذهاب العلمين إليه، و لا سيّما فيهما، مع عدم دعوى الإجماع على المسألة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الحرمة مقتضى الأصل، و الحرمة مستندة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 مسلكي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الحيض واحداً، أو مسلكي الحيض و الغائط واحداً و توهّم معارضته</w:t>
      </w:r>
      <w:r>
        <w:rPr>
          <w:rStyle w:val="FootnoteAnchor"/>
          <w:rtl w:val="true"/>
        </w:rPr>
        <w:footnoteReference w:id="658"/>
      </w:r>
      <w:r>
        <w:rPr>
          <w:rFonts w:ascii="Amiri" w:hAnsi="Amiri" w:eastAsia="Amiri" w:cs="Amiri"/>
          <w:color w:val="111111"/>
          <w:sz w:val="28"/>
          <w:sz w:val="28"/>
          <w:szCs w:val="28"/>
          <w:rtl w:val="true"/>
          <w:lang w:bidi="ar-SA"/>
        </w:rPr>
        <w:t>مع الخبرين الآتيين</w:t>
      </w:r>
      <w:r>
        <w:rPr>
          <w:rStyle w:val="FootnoteAnchor"/>
          <w:rtl w:val="true"/>
        </w:rPr>
        <w:footnoteReference w:id="659"/>
      </w:r>
      <w:r>
        <w:rPr>
          <w:rFonts w:ascii="Amiri" w:hAnsi="Amiri" w:eastAsia="Amiri" w:cs="Amiri"/>
          <w:color w:val="111111"/>
          <w:sz w:val="28"/>
          <w:sz w:val="28"/>
          <w:szCs w:val="28"/>
          <w:rtl w:val="true"/>
          <w:lang w:bidi="ar-SA"/>
        </w:rPr>
        <w:t>، في غير محلّه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احتاط الأُستاذ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Style w:val="FootnoteAnchor"/>
          <w:rtl w:val="true"/>
        </w:rPr>
        <w:footnoteReference w:id="660"/>
      </w:r>
      <w:r>
        <w:rPr>
          <w:rFonts w:ascii="Amiri" w:hAnsi="Amiri" w:eastAsia="Amiri" w:cs="Amiri"/>
          <w:color w:val="111111"/>
          <w:sz w:val="28"/>
          <w:sz w:val="28"/>
          <w:szCs w:val="28"/>
          <w:rtl w:val="true"/>
          <w:lang w:bidi="ar-SA"/>
        </w:rPr>
        <w:t>و ما يتراءى من استشمام الإجماع على عدم الحرمة في صورة عدم الإفضاء</w:t>
      </w:r>
      <w:r>
        <w:rPr>
          <w:rStyle w:val="FootnoteAnchor"/>
          <w:rtl w:val="true"/>
        </w:rPr>
        <w:footnoteReference w:id="661"/>
      </w:r>
      <w:r>
        <w:rPr>
          <w:rFonts w:ascii="Amiri" w:hAnsi="Amiri" w:eastAsia="Amiri" w:cs="Amiri"/>
          <w:color w:val="111111"/>
          <w:sz w:val="28"/>
          <w:sz w:val="28"/>
          <w:szCs w:val="28"/>
          <w:rtl w:val="true"/>
          <w:lang w:bidi="ar-SA"/>
        </w:rPr>
        <w:t>، في غير محلّه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توهّم انجبار ضعف المرسل بعمل المشهور به</w:t>
      </w:r>
      <w:r>
        <w:rPr>
          <w:rStyle w:val="FootnoteAnchor"/>
          <w:rtl w:val="true"/>
        </w:rPr>
        <w:footnoteReference w:id="662"/>
      </w:r>
      <w:r>
        <w:rPr>
          <w:rFonts w:ascii="Amiri" w:hAnsi="Amiri" w:eastAsia="Amiri" w:cs="Amiri"/>
          <w:color w:val="111111"/>
          <w:sz w:val="28"/>
          <w:sz w:val="28"/>
          <w:szCs w:val="28"/>
          <w:rtl w:val="true"/>
          <w:lang w:bidi="ar-SA"/>
        </w:rPr>
        <w:t>، في غير محلّه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المسألة إلى مزيد تأمّل، و سيظهر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جعل مسلكي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كلماتهم في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الإفضاء</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بعد معلوميّة المراد منه في</w:t>
      </w:r>
    </w:p>
    <w:p>
      <w:pPr>
        <w:pStyle w:val="BookText"/>
        <w:rPr/>
      </w:pPr>
      <w:r>
        <w:rPr>
          <w:rFonts w:ascii="Amiri" w:hAnsi="Amiri" w:eastAsia="Amiri" w:cs="Amiri"/>
          <w:color w:val="111111"/>
          <w:sz w:val="28"/>
          <w:sz w:val="28"/>
          <w:szCs w:val="28"/>
          <w:rtl w:val="true"/>
          <w:lang w:bidi="ar-SA"/>
        </w:rPr>
        <w:t>الروايات؛ و هو الخلل الواقع بالمقاربة و الجماع في المجاري و المسالك، من غير أن تكون المقاربة بالدخول في القبل أو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معلوميّة الإطلاق في النصوص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الخلل هو أن تتداخل المجاري، سواء كان ذلك بالاتحاد، كما يتّفق نوعاً بين مسلكي البول و الحيض، أو بالتثقيب، كما يتّفق بين مسلكي الغائط و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إمكان الاتفاق بين مسلكي البول و الغائط، دون الحيض، فهو منفيّ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يتّفق اتحاد المسلكين في القدّام، و تجعل الثقبة بينه و بين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موضوع الحكم، مورد الخلاف جدّاً، و الخروج عنه بتعيين الواحد منها، في نهاية الإعضال، و يحتاج إلى الخرص و التخمين المنهي عنه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القدر المتيقّن هي الصورة الأُولى، و هي المتعارفة إمكاناً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إلحاق الثانية بها لغةً أوّلًا، و حكماً بالأولويّة ثانياً، كما يمكن دعوى أنّ المناط ما في معتبر حُمران الآتي،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أفسدها و عطّلها</w:t>
      </w:r>
    </w:p>
    <w:p>
      <w:pPr>
        <w:pStyle w:val="BookText"/>
        <w:rPr/>
      </w:pPr>
      <w:r>
        <w:rPr>
          <w:rFonts w:ascii="Amiri" w:hAnsi="Amiri" w:eastAsia="Amiri" w:cs="Amiri"/>
          <w:color w:val="111111"/>
          <w:sz w:val="28"/>
          <w:sz w:val="28"/>
          <w:szCs w:val="28"/>
          <w:rtl w:val="true"/>
          <w:lang w:bidi="ar-SA"/>
        </w:rPr>
        <w:t xml:space="preserve">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وطؤها أبداً، على الأزواج </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إلى آخره، و هذا الأمر في الثانية أولى من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هو الإفساد التشريعي؛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الإمام أن يغرمه 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و نحوه</w:t>
      </w:r>
      <w:r>
        <w:rPr>
          <w:rStyle w:val="FootnoteAnchor"/>
          <w:rtl w:val="true"/>
        </w:rPr>
        <w:footnoteReference w:id="666"/>
      </w:r>
      <w:r>
        <w:rPr>
          <w:rFonts w:ascii="Amiri" w:hAnsi="Amiri" w:eastAsia="Amiri" w:cs="Amiri"/>
          <w:color w:val="111111"/>
          <w:sz w:val="28"/>
          <w:sz w:val="28"/>
          <w:szCs w:val="28"/>
          <w:rtl w:val="true"/>
          <w:lang w:bidi="ar-SA"/>
        </w:rPr>
        <w:t>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أن يكون بمعنى الانتهاء، و منه قوله تعالى وَ قَدْ أَفْضى بَعْضُكُمْ إِلى بَعْضٍ</w:t>
      </w:r>
      <w:r>
        <w:rPr>
          <w:rStyle w:val="FootnoteAnchor"/>
          <w:rtl w:val="true"/>
        </w:rPr>
        <w:footnoteReference w:id="66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عليه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المشهور، و عليه حكاية الإجماعات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و أمثالها</w:t>
      </w:r>
      <w:r>
        <w:rPr>
          <w:rStyle w:val="FootnoteAnchor"/>
          <w:rtl w:val="true"/>
        </w:rPr>
        <w:footnoteReference w:id="671"/>
      </w:r>
      <w:r>
        <w:rPr>
          <w:rFonts w:ascii="IRNazanin" w:hAnsi="IRNazanin" w:eastAsia="IRNazanin"/>
          <w:color w:val="111111"/>
          <w:sz w:val="28"/>
          <w:sz w:val="28"/>
          <w:szCs w:val="28"/>
          <w:rtl w:val="true"/>
          <w:lang w:bidi="fa-IR"/>
        </w:rPr>
        <w:t>، و هو المستظهر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67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له بمعتبر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تزوّج جارية بكراً لم تدرك، فلمّا دخل بها اقتضّها فأفضاها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بها حين دخل بها و لها تسع سنين، فلا شي‌ء عليه، و إن كانت لم تبلغ تسع سنين، أو كان لها أقلّ من ذلك بقليل حين دخل بها فاقتضّها، فإنّه قد أفسدها و عطّلها على الأزواج، فعلى الإمام أن يغرمه ديتها، و إن أمسكها، و لم يطلّقها حتّى تموت، فلا شي‌ء عليه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ذلك لمكان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قد أفسدها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الظاهر في التحريم، و المفروغ عنه أنّها تكون لغيره، و لكنّها معطّلة عليه؛ لمكان الإفضاء، و حيث أنّ الحرمة الأبديّة مستندة إلى الشرع، فعلى الإمام غرامة ذلك، دون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و عدم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إبقاؤها في بيته بتحمّل نفقتها، فلا شي‌ء على الإمام من التغريم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خبر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اقتضّ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امرأته فأفضاها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إن كان دخل بها قبل أن تبلغ</w:t>
      </w:r>
    </w:p>
    <w:p>
      <w:pPr>
        <w:pStyle w:val="BookText"/>
        <w:rPr/>
      </w:pP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أمسكها و لم يطلّقها، فلا شي‌ء عليه </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الحديث، فهو لا ينافي سابقه؛ لما أنّ عهدة الأداء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سنده من الإهمال؛ لوجود الحارث بن محمّد بن النعمان صاحب الطاق</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له</w:t>
      </w:r>
      <w:r>
        <w:rPr>
          <w:rStyle w:val="FootnoteAnchor"/>
          <w:rtl w:val="true"/>
        </w:rPr>
        <w:footnoteReference w:id="676"/>
      </w:r>
      <w:r>
        <w:rPr>
          <w:rFonts w:ascii="Amiri" w:hAnsi="Amiri" w:eastAsia="Amiri" w:cs="Amiri"/>
          <w:color w:val="111111"/>
          <w:sz w:val="28"/>
          <w:sz w:val="28"/>
          <w:szCs w:val="28"/>
          <w:rtl w:val="true"/>
          <w:lang w:bidi="ar-SA"/>
        </w:rPr>
        <w:t>بخبر يعقوب بن يزيد</w:t>
      </w:r>
      <w:r>
        <w:rPr>
          <w:rStyle w:val="FootnoteAnchor"/>
          <w:rtl w:val="true"/>
        </w:rPr>
        <w:footnoteReference w:id="677"/>
      </w:r>
      <w:r>
        <w:rPr>
          <w:rFonts w:ascii="Amiri" w:hAnsi="Amiri" w:eastAsia="Amiri" w:cs="Amiri"/>
          <w:color w:val="111111"/>
          <w:sz w:val="28"/>
          <w:sz w:val="28"/>
          <w:szCs w:val="28"/>
          <w:rtl w:val="true"/>
          <w:lang w:bidi="ar-SA"/>
        </w:rPr>
        <w:t>الماضي، فهو في غير محلّه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أغرب منه توهّم انجباره بالإجماع على أمر مقيّد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يشكل الأمر في أصل الحكم؛ لضعف الاستدلال المزبور، و لعدم تماميّة الإجماعات المحكيّة الموجودة في الكتب الأخيرة، و لظهور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فهمه المشهور في بقاء الزوجيّة، و هي تنافي التحريم الأبدي؛ لعدم مساعدة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الوطء فقط، دون سائر التمتّعات، و معاقدُ الإجماعات ساكتة عن ذلك، و هو القدر المتيقّن منها، و يساعده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هذا و ذاك احتاط الفقيه اليزدي</w:t>
      </w:r>
      <w:r>
        <w:rPr>
          <w:rStyle w:val="FootnoteAnchor"/>
          <w:rtl w:val="true"/>
        </w:rPr>
        <w:footnoteReference w:id="679"/>
      </w:r>
      <w:r>
        <w:rPr>
          <w:rFonts w:ascii="Amiri" w:hAnsi="Amiri" w:eastAsia="Amiri" w:cs="Amiri"/>
          <w:color w:val="111111"/>
          <w:sz w:val="28"/>
          <w:sz w:val="28"/>
          <w:szCs w:val="28"/>
          <w:rtl w:val="true"/>
          <w:lang w:bidi="ar-SA"/>
        </w:rPr>
        <w:t xml:space="preserve">، بل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النزهة</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هو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العجيب 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إمّا لأجل عدم ثبوتها من الإفضاء موضوعاً، أو لأجل عدم إطلاق لدليل المنع و التحريم، و ظاهره أنّ الحكم يستوي فيه العاصي و غيره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تخرج عن زوجيّته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فيجري عليها أحكامها؛ من التوارث، و حرمة الخامسة، و حرمة أُختها معها و غيرها،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Style w:val="FootnoteAnchor"/>
          <w:rtl w:val="true"/>
        </w:rPr>
        <w:footnoteReference w:id="683"/>
      </w:r>
      <w:r>
        <w:rPr>
          <w:rFonts w:ascii="Amiri" w:hAnsi="Amiri" w:eastAsia="Amiri" w:cs="Amiri"/>
          <w:color w:val="111111"/>
          <w:sz w:val="28"/>
          <w:sz w:val="28"/>
          <w:szCs w:val="28"/>
          <w:rtl w:val="true"/>
          <w:lang w:bidi="ar-SA"/>
        </w:rPr>
        <w:t xml:space="preserve">،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الأقوى</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قضية القواعد؛ لأنّ الخروج عنها بالتحريم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بالتنافي العرفيّ</w:t>
      </w:r>
      <w:r>
        <w:rPr>
          <w:rStyle w:val="FootnoteAnchor"/>
          <w:rtl w:val="true"/>
        </w:rPr>
        <w:footnoteReference w:id="685"/>
      </w:r>
      <w:r>
        <w:rPr>
          <w:rFonts w:ascii="Amiri" w:hAnsi="Amiri" w:eastAsia="Amiri" w:cs="Amiri"/>
          <w:color w:val="111111"/>
          <w:sz w:val="28"/>
          <w:sz w:val="28"/>
          <w:szCs w:val="28"/>
          <w:rtl w:val="true"/>
          <w:lang w:bidi="ar-SA"/>
        </w:rPr>
        <w:t>، قد أُشير إليه آنفاً؛ لإمكان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الحرمة مستوعبة لجميع أنحاء الاستمتاعات، فتكون أشدّ حرمة من الأجنبيّة أيضاً؛ لجواز النظر إليها للتزويج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الآثار الخاصّة؛ من إيجاب النفقة و أمثالها رغم أنفه، و هذا و لو كان عن عمد و اختيار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يستدل عليه بالخبرين الممرور بهما</w:t>
      </w:r>
      <w:r>
        <w:rPr>
          <w:rStyle w:val="FootnoteAnchor"/>
          <w:rtl w:val="true"/>
        </w:rPr>
        <w:footnoteReference w:id="686"/>
      </w:r>
      <w:r>
        <w:rPr>
          <w:rFonts w:ascii="Amiri" w:hAnsi="Amiri" w:eastAsia="Amiri" w:cs="Amiri"/>
          <w:color w:val="111111"/>
          <w:sz w:val="28"/>
          <w:sz w:val="28"/>
          <w:szCs w:val="28"/>
          <w:rtl w:val="true"/>
          <w:lang w:bidi="ar-SA"/>
        </w:rPr>
        <w:t>و هما معتبرا حُمران، و خبر بُرَيد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لكنّك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الإبقاء في الدار و تحت العيلولة، كان قويّاً لولا ما في ذيل خبر بريد، و لكنّه لا يضرّ بعد ضعف سنده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الظاهر من معتبر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ذلك،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أفضى امرأة، فقوّمها قيمة الأمة الصحيحة، و قيمتها مفضاة، ثمّ نظر ما بين ذلك فجعل من ديتها، و أجبر الزوج على إمساكها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الإجبار لا يتعلّق إلّا بالتكوين، و لا يسلب اختياره بالنسبة إلى الطلاق، كما لا يخفى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اعتبار بقاء الزوجيّة بلحاظ الآثار الشرعيّة، ليس من الأُمور الاختياريّة، و العقلاء يعتبرون الزواج في محيط آخر؛ لأغراض أُخر، و لأجل ذلك منعنا جواز النكاح باعتبار رفع حرمة النظر؛ فإنّ ذلك من الأحكام الشرعيّة المترتّبة على الموضوعات العرفيّة، فليتدبر جيّداً و عندئذٍ تصير الحرمة ذاتيّة، لا عرضيّة كالحرمة حال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عليه نفقتها ما دامت حيّة و إن طلّقها،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خلاف الأُصول و ابن الجنيد</w:t>
      </w:r>
      <w:r>
        <w:rPr>
          <w:rStyle w:val="FootnoteAnchor"/>
          <w:rtl w:val="true"/>
        </w:rPr>
        <w:footnoteReference w:id="690"/>
      </w:r>
      <w:r>
        <w:rPr>
          <w:rFonts w:ascii="Amiri" w:hAnsi="Amiri" w:eastAsia="Amiri" w:cs="Amiri"/>
          <w:color w:val="111111"/>
          <w:sz w:val="28"/>
          <w:sz w:val="28"/>
          <w:szCs w:val="28"/>
          <w:rtl w:val="true"/>
          <w:lang w:bidi="ar-SA"/>
        </w:rPr>
        <w:t>، و وفاقاً لجملة من الإجماعات المحكيّة عن جماعة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المهمّ معتبر الحلبيّ،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فوقع بها فأفضاها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الإجراء عليها ما دامت حيّة</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فدعوى السقوط بالطلاق</w:t>
      </w:r>
      <w:r>
        <w:rPr>
          <w:rStyle w:val="FootnoteAnchor"/>
          <w:rtl w:val="true"/>
        </w:rPr>
        <w:footnoteReference w:id="693"/>
      </w:r>
      <w:r>
        <w:rPr>
          <w:rFonts w:ascii="Amiri" w:hAnsi="Amiri" w:eastAsia="Amiri" w:cs="Amiri"/>
          <w:color w:val="111111"/>
          <w:sz w:val="28"/>
          <w:sz w:val="28"/>
          <w:szCs w:val="28"/>
          <w:rtl w:val="true"/>
          <w:lang w:bidi="ar-SA"/>
        </w:rPr>
        <w:t>، غير مسموعة، و لا ينبغي عدّها منافي الإطلاق</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بظهورها في غير الصغيرة؛ لخروجها عن المتعارف أوّلًا، و 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الكبيرة البالغة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 إن تزوّجت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الطلاق على الأحوط، بل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 إن تزوّجت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و عليه حكاية الشهرة</w:t>
      </w:r>
      <w:r>
        <w:rPr>
          <w:rStyle w:val="FootnoteAnchor"/>
          <w:rtl w:val="true"/>
        </w:rPr>
        <w:footnoteReference w:id="694"/>
      </w:r>
      <w:r>
        <w:rPr>
          <w:rFonts w:ascii="Amiri" w:hAnsi="Amiri" w:eastAsia="Amiri" w:cs="Amiri"/>
          <w:color w:val="111111"/>
          <w:sz w:val="28"/>
          <w:sz w:val="28"/>
          <w:szCs w:val="28"/>
          <w:rtl w:val="true"/>
          <w:lang w:bidi="ar-SA"/>
        </w:rPr>
        <w:t xml:space="preserve">، و خالفهم جمع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فهد</w:t>
      </w:r>
      <w:r>
        <w:rPr>
          <w:rStyle w:val="FootnoteAnchor"/>
          <w:rtl w:val="true"/>
        </w:rPr>
        <w:footnoteReference w:id="695"/>
      </w:r>
      <w:r>
        <w:rPr>
          <w:rFonts w:ascii="IRNazanin" w:hAnsi="IRNazanin" w:eastAsia="IRNazanin"/>
          <w:color w:val="111111"/>
          <w:sz w:val="28"/>
          <w:sz w:val="28"/>
          <w:szCs w:val="28"/>
          <w:rtl w:val="true"/>
          <w:lang w:bidi="fa-IR"/>
        </w:rPr>
        <w:t>، و أمثالهم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استشكل القواعد فيه، معلّلًا بتعاليل غير لائقة</w:t>
      </w:r>
      <w:r>
        <w:rPr>
          <w:rStyle w:val="FootnoteAnchor"/>
          <w:rtl w:val="true"/>
        </w:rPr>
        <w:footnoteReference w:id="697"/>
      </w:r>
      <w:r>
        <w:rPr>
          <w:rFonts w:ascii="Amiri" w:hAnsi="Amiri" w:eastAsia="Amiri" w:cs="Amiri"/>
          <w:color w:val="111111"/>
          <w:sz w:val="28"/>
          <w:sz w:val="28"/>
          <w:szCs w:val="28"/>
          <w:rtl w:val="true"/>
          <w:lang w:bidi="ar-SA"/>
        </w:rPr>
        <w:t>ضرورة أنّ زوال الزوجيّة لو كان مضرّاً بوجوبها، لكان الوجوب منتفياً و إن لم تتزوّج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تعطيلها على الأزواج، فهو مذكور في معتبر حُمران عند ذكر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النفقة ثانياً على الزوج الثاني، فهو لا ينافيه؛ لأنّه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تكليفيّاً صرفاً، و كان يجب الإكساء و الإطعام، فربّما يلزم المحذور مثلًا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معتبر الحلبيّ، هو أنّ وجوب الإجراء مستند إلى الإفضاء، لا الزوجيّة</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الموضوع مذكور في كلام</w:t>
      </w:r>
    </w:p>
    <w:p>
      <w:pPr>
        <w:pStyle w:val="BookText"/>
        <w:rPr/>
      </w:pPr>
      <w:r>
        <w:rPr>
          <w:rFonts w:ascii="Amiri" w:hAnsi="Amiri" w:eastAsia="Amiri" w:cs="Amiri"/>
          <w:color w:val="111111"/>
          <w:sz w:val="28"/>
          <w:sz w:val="28"/>
          <w:szCs w:val="28"/>
          <w:rtl w:val="true"/>
          <w:lang w:bidi="ar-SA"/>
        </w:rPr>
        <w:t xml:space="preserve">السائل، و الحكمَ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الإشكال في أصل الحكم أو في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العرف ينتقل من إيجاب الإجراء، إلى أنّ هذا حكم مترشّح عن الإفضاء المنتهى إلى سقوط المرأة في جامعة الزواج، فلو كانت مزوّجة غير معطّلة على الأزواج، فلا مصلحة في الإجراء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هذا حكم من قبيل الكفّارة، و إرغام لأنفه، فيكون في مورد الإفضاء بسوء الاختيار و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عطّلها على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بأن يكون علّة لوجوب النفقة من وجوب الدية، فإذا تزوّجت فليست عليها النفقة، فتأمّل جيّداً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وجوب النفقة مطابقاً للاحتياط</w:t>
      </w:r>
      <w:r>
        <w:rPr>
          <w:rStyle w:val="FootnoteAnchor"/>
          <w:rtl w:val="true"/>
        </w:rPr>
        <w:footnoteReference w:id="699"/>
      </w:r>
      <w:r>
        <w:rPr>
          <w:rFonts w:ascii="Amiri" w:hAnsi="Amiri" w:eastAsia="Amiri" w:cs="Amiri"/>
          <w:color w:val="111111"/>
          <w:sz w:val="28"/>
          <w:sz w:val="28"/>
          <w:szCs w:val="28"/>
          <w:rtl w:val="true"/>
          <w:lang w:bidi="ar-SA"/>
        </w:rPr>
        <w:t>، فهو ممنوع إلّا إذا طابت نفسه، و إلّا فعلى الزوجة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عليه دية الإفضاء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دية النفس، فإذا كانت حرّة فلها نصف دية الرجل، مضافاً إلى المهر الذي استحقّته بالعقد و الدخول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الدية؛ فلما مرّ من معتبر حُمران، و رواية ابن معاوية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أنّها دية النفس، فيأتي إن شاء اللَّه تعالى تفصيله في كتاب الديات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المستند لو كان الخبرين، فالحكم مقيّد بما إذا لم يمسكها، و قد أعرض عنهما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التفكيك في الفقرات بحسب الحجّية، فربّما يكون خارجاً عن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المستند هي الشهرة الفتوائيّة القديمة، فلا موقع للإشكال فيه إلا عند جمع من الأخباريين و بعض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المسألة بعضَ نصوص أُخر تطلب من محلّها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بالدخول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يمنع مدخليّة مثل هذا الدخول في تمام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دخل بزوجته بعد إكمال التسع فأفضاها، لم تحرم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تحرم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للأصل و الاتفاق، و قد مضى وجه المناقشة في الحرمة قبل الإكمال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المناقشة في الحلّية هنا، فهو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قد أفسدها و عطّلها على الأزواج </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هو الإفساد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مورد التعليل التي لم تبلغ، لا يضرّ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معتبر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كونها غير 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ناظر إلى نفي الدية، فراجع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ذيل رواية ابن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دخل بها و لها تسع سنين، فلا شي‌ء عليه؛ إن شاء أمسك، و إن شاء طلّق</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فهو لا ينافي التحريم عندهم كما لا يخفى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تحريم الرشيدة البالغة بالإفضاء، أولى بالاعتبار من الصغيرة غير البالغة، فربّما يستظهر التحريم هنا بالأولوية، و اللَّه العالم بأحكامه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تثبت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الإنفاق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ما دامت حيّة،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تثبت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الاتفاق، و الأصل، و نصوص المسألة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بعض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معتبر سليمان بن خالد</w:t>
      </w:r>
      <w:r>
        <w:rPr>
          <w:rStyle w:val="FootnoteAnchor"/>
          <w:rtl w:val="true"/>
        </w:rPr>
        <w:footnoteReference w:id="705"/>
      </w:r>
      <w:r>
        <w:rPr>
          <w:rFonts w:ascii="Amiri" w:hAnsi="Amiri" w:eastAsia="Amiri" w:cs="Amiri"/>
          <w:color w:val="111111"/>
          <w:sz w:val="28"/>
          <w:sz w:val="28"/>
          <w:szCs w:val="28"/>
          <w:rtl w:val="true"/>
          <w:lang w:bidi="ar-SA"/>
        </w:rPr>
        <w:t xml:space="preserve">، و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ثبوت الدية مطلقاً، و خبرَ ابن معاوية غير نقيّ السند</w:t>
      </w:r>
      <w:r>
        <w:rPr>
          <w:rStyle w:val="FootnoteAnchor"/>
          <w:rtl w:val="true"/>
        </w:rPr>
        <w:footnoteReference w:id="707"/>
      </w:r>
      <w:r>
        <w:rPr>
          <w:rFonts w:ascii="Amiri" w:hAnsi="Amiri" w:eastAsia="Amiri" w:cs="Amiri"/>
          <w:color w:val="111111"/>
          <w:sz w:val="28"/>
          <w:sz w:val="28"/>
          <w:szCs w:val="28"/>
          <w:rtl w:val="true"/>
          <w:lang w:bidi="ar-SA"/>
        </w:rPr>
        <w:t>، و معتبر حُمران لاشتماله على ما لا يقول به المشهور</w:t>
      </w:r>
      <w:r>
        <w:rPr>
          <w:rStyle w:val="FootnoteAnchor"/>
          <w:rtl w:val="true"/>
        </w:rPr>
        <w:footnoteReference w:id="708"/>
      </w:r>
      <w:r>
        <w:rPr>
          <w:rFonts w:ascii="Amiri" w:hAnsi="Amiri" w:eastAsia="Amiri" w:cs="Amiri"/>
          <w:color w:val="111111"/>
          <w:sz w:val="28"/>
          <w:sz w:val="28"/>
          <w:szCs w:val="28"/>
          <w:rtl w:val="true"/>
          <w:lang w:bidi="ar-SA"/>
        </w:rPr>
        <w:t>غير محرز 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الإنفاق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 بما مرّ عن الحلبيّ</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قضيّة ما سلف منّا فيه، اختصاصه</w:t>
      </w:r>
    </w:p>
    <w:p>
      <w:pPr>
        <w:pStyle w:val="BookText"/>
        <w:rPr/>
      </w:pPr>
      <w:r>
        <w:rPr>
          <w:rFonts w:ascii="Amiri" w:hAnsi="Amiri" w:eastAsia="Amiri" w:cs="Amiri"/>
          <w:color w:val="111111"/>
          <w:sz w:val="28"/>
          <w:sz w:val="28"/>
          <w:szCs w:val="28"/>
          <w:rtl w:val="true"/>
          <w:lang w:bidi="ar-SA"/>
        </w:rPr>
        <w:t>و إن كان الأقوى عدم الوجوب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بالكبيرة على احتمال قوي</w:t>
      </w:r>
      <w:r>
        <w:rPr>
          <w:rStyle w:val="FootnoteAnchor"/>
          <w:rtl w:val="true"/>
        </w:rPr>
        <w:footnoteReference w:id="710"/>
      </w:r>
      <w:r>
        <w:rPr>
          <w:rFonts w:ascii="Amiri" w:hAnsi="Amiri" w:eastAsia="Amiri" w:cs="Amiri"/>
          <w:color w:val="111111"/>
          <w:sz w:val="28"/>
          <w:sz w:val="28"/>
          <w:szCs w:val="28"/>
          <w:rtl w:val="true"/>
          <w:lang w:bidi="ar-SA"/>
        </w:rPr>
        <w:t>، و لا أقلّ من أنّ تقييده، يستلزم خروج الفرد الشائع، و لأجل ذلك احتاط كثير من المتأخّرين هنا</w:t>
      </w:r>
      <w:r>
        <w:rPr>
          <w:rStyle w:val="FootnoteAnchor"/>
          <w:rtl w:val="true"/>
        </w:rPr>
        <w:footnoteReference w:id="711"/>
      </w:r>
      <w:r>
        <w:rPr>
          <w:rFonts w:ascii="Amiri" w:hAnsi="Amiri" w:eastAsia="Amiri" w:cs="Amiri"/>
          <w:color w:val="111111"/>
          <w:sz w:val="28"/>
          <w:sz w:val="28"/>
          <w:szCs w:val="28"/>
          <w:rtl w:val="true"/>
          <w:lang w:bidi="ar-SA"/>
        </w:rPr>
        <w:t>، و قيل</w:t>
      </w:r>
      <w:r>
        <w:rPr>
          <w:rStyle w:val="FootnoteAnchor"/>
          <w:rtl w:val="true"/>
        </w:rPr>
        <w:footnoteReference w:id="7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تمايل إليه الشيخ في محكيّ الخلاف</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وفاقاً للمعظم، و عليه حكاية المشهور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يظنّ كون المسألة إجماعيّة</w:t>
      </w:r>
      <w:r>
        <w:rPr>
          <w:rStyle w:val="FootnoteAnchor"/>
          <w:rtl w:val="true"/>
        </w:rPr>
        <w:footnoteReference w:id="714"/>
      </w:r>
      <w:r>
        <w:rPr>
          <w:rFonts w:ascii="Amiri" w:hAnsi="Amiri" w:eastAsia="Amiri" w:cs="Amiri"/>
          <w:color w:val="111111"/>
          <w:sz w:val="28"/>
          <w:sz w:val="28"/>
          <w:szCs w:val="28"/>
          <w:rtl w:val="true"/>
          <w:lang w:bidi="ar-SA"/>
        </w:rPr>
        <w:t>، لولا أنّها معلّلة؛ لما في المسألة من الآثار، فإنّ الإطلاق المزبور ربّما كان مصبّه الصغيرة؛ لأنّها تحرم دونها، و الإجراء عليها و الإنفاق بمناسبة الإفضاء المنتهى إلى التحريم، حسبما يستفاد من مجموع الأخبار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توهّم نفي الوجوب؛ مستنداً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معتبر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فهو في غير محلّه؛ لأنّ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إذا كانت غير بالغة تسع سنين، فعلى الإمام تغريم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غير ناظرة إلى</w:t>
      </w:r>
    </w:p>
    <w:p>
      <w:pPr>
        <w:pStyle w:val="BookText"/>
        <w:rPr/>
      </w:pPr>
      <w:r>
        <w:rPr>
          <w:rFonts w:ascii="Amiri" w:hAnsi="Amiri" w:eastAsia="Amiri" w:cs="Amiri"/>
          <w:color w:val="111111"/>
          <w:sz w:val="28"/>
          <w:sz w:val="28"/>
          <w:szCs w:val="28"/>
          <w:rtl w:val="true"/>
          <w:lang w:bidi="ar-SA"/>
        </w:rPr>
        <w:t>مسألة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لها الإطلاق، فلازمه نفي النفقة و لو كانت في حبالته، و الالتزام به و بالتقييد أبعد عن الواقع، و إلّا فالنسبة بين الإطلاقين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معتبر الحلبيّ عموم من وجه كما هو الظاهر، و لو كان ترجيح فهو مع إطلاق معتبر الحلبيّ و إلّا فالمرجع هي الشهرة، أو هي المرجّح، أو الشهرة الفتوائيّة مرجع، و الروائيّة مرجّح، و هما هنا مع معتبر حُمران، و لأجل ذاك و ذلك أفتى بعض المتأخّرين بوجوبها</w:t>
      </w:r>
      <w:r>
        <w:rPr>
          <w:rStyle w:val="FootnoteAnchor"/>
          <w:rtl w:val="true"/>
        </w:rPr>
        <w:footnoteReference w:id="716"/>
      </w:r>
      <w:r>
        <w:rPr>
          <w:rFonts w:ascii="IRNazanin" w:hAnsi="IRNazanin" w:eastAsia="IRNazanin"/>
          <w:color w:val="111111"/>
          <w:sz w:val="28"/>
          <w:sz w:val="28"/>
          <w:szCs w:val="28"/>
          <w:rtl w:val="true"/>
          <w:lang w:bidi="fa-IR"/>
        </w:rPr>
        <w:t>، و الآخر بعدمه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أمكن المناقشة في دلالة معتبر الحلبيّ؛ لاحتمال كون 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فتصبح مجملة من هذه الجهة، و تسقط عن الدلالة و المعارضة في هذه المسألة، كما ترى</w:t>
      </w:r>
      <w:r>
        <w:rPr>
          <w:rFonts w:eastAsia="Amiri" w:cs="Amiri" w:ascii="Amiri" w:hAnsi="Amiri"/>
          <w:color w:val="111111"/>
          <w:sz w:val="28"/>
          <w:szCs w:val="28"/>
          <w:rtl w:val="true"/>
          <w:lang w:bidi="ar-SA"/>
        </w:rPr>
        <w:t>.</w:t>
      </w:r>
      <w:bookmarkStart w:id="254" w:name="pg12370_121844"/>
    </w:p>
    <w:p>
      <w:pPr>
        <w:pStyle w:val="Heading4"/>
        <w:numPr>
          <w:ilvl w:val="3"/>
          <w:numId w:val="1"/>
        </w:numPr>
        <w:rPr/>
      </w:pPr>
      <w:bookmarkStart w:id="255" w:name="__RefHeading___Toc9026260_417432637"/>
      <w:bookmarkStart w:id="256" w:name="_Toc91"/>
      <w:bookmarkEnd w:id="254"/>
      <w:bookmarkEnd w:id="255"/>
      <w:r>
        <w:rPr>
          <w:rtl w:val="true"/>
        </w:rPr>
        <w:t>[</w:t>
      </w:r>
      <w:r>
        <w:rPr>
          <w:rtl w:val="true"/>
        </w:rPr>
        <w:t xml:space="preserve">مسألة </w:t>
      </w:r>
      <w:r>
        <w:rPr/>
        <w:t>13</w:t>
      </w:r>
      <w:r>
        <w:rPr>
          <w:rtl w:val="true"/>
        </w:rPr>
        <w:t xml:space="preserve">: </w:t>
      </w:r>
      <w:r>
        <w:rPr>
          <w:rtl w:val="true"/>
        </w:rPr>
        <w:t>لا يجوز ترك وطء الزوجة أكثر من أربعة أشهر</w:t>
      </w:r>
      <w:r>
        <w:rPr>
          <w:rtl w:val="true"/>
        </w:rPr>
        <w:t>]</w:t>
      </w:r>
      <w:bookmarkEnd w:id="25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وطء الزوجة أكثر من أربعة أشهر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المسألة مقطوع بها، و لم يعهد نقل الخلاف فيها</w:t>
      </w:r>
      <w:r>
        <w:rPr>
          <w:rStyle w:val="FootnoteAnchor"/>
          <w:rtl w:val="true"/>
        </w:rPr>
        <w:footnoteReference w:id="719"/>
      </w:r>
      <w:r>
        <w:rPr>
          <w:rFonts w:ascii="Amiri" w:hAnsi="Amiri" w:eastAsia="Amiri" w:cs="Amiri"/>
          <w:color w:val="111111"/>
          <w:sz w:val="28"/>
          <w:sz w:val="28"/>
          <w:szCs w:val="28"/>
          <w:rtl w:val="true"/>
          <w:lang w:bidi="ar-SA"/>
        </w:rPr>
        <w:t>، مع أنّها مستندة حسب الظاهر إلى أخبار مذكورة في كتاب النكاح</w:t>
      </w:r>
      <w:r>
        <w:rPr>
          <w:rStyle w:val="FootnoteAnchor"/>
          <w:rtl w:val="true"/>
        </w:rPr>
        <w:footnoteReference w:id="720"/>
      </w:r>
      <w:r>
        <w:rPr>
          <w:rFonts w:ascii="Amiri" w:hAnsi="Amiri" w:eastAsia="Amiri" w:cs="Amiri"/>
          <w:color w:val="111111"/>
          <w:sz w:val="28"/>
          <w:sz w:val="28"/>
          <w:szCs w:val="28"/>
          <w:rtl w:val="true"/>
          <w:lang w:bidi="ar-SA"/>
        </w:rPr>
        <w:t>و الإيلاء</w:t>
      </w:r>
      <w:r>
        <w:rPr>
          <w:rStyle w:val="FootnoteAnchor"/>
          <w:rtl w:val="true"/>
        </w:rPr>
        <w:footnoteReference w:id="721"/>
      </w:r>
      <w:r>
        <w:rPr>
          <w:rFonts w:ascii="Amiri" w:hAnsi="Amiri" w:eastAsia="Amiri" w:cs="Amiri"/>
          <w:color w:val="111111"/>
          <w:sz w:val="28"/>
          <w:sz w:val="28"/>
          <w:szCs w:val="28"/>
          <w:rtl w:val="true"/>
          <w:lang w:bidi="ar-SA"/>
        </w:rPr>
        <w:t xml:space="preserve">، و فيها معتبر صفوان بن يحيى،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الرجل تكون عنده المرأة الشابّة، فيمسك عنها الأشهر و السنة لا يقربها، ليس يريد الإضرار بها، يكون لهم مصيبة، يكون في ذلك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تركها أربعة أشهر، كان آثماً بعد ذلك</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سيمرّ عليك بعض أخبار كتاب الإيلاء في فروع المسألة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هنا غير ممكنة، إلّا بما يرى في المتن من الغلق في الجمل، مع الغلط النحويّ الذي يرى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ذلك إثماً</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هذا مع أنّه لا دلالة لها على وجوب الوطء؛ لإمكان كفاية المضاجعة</w:t>
      </w:r>
    </w:p>
    <w:p>
      <w:pPr>
        <w:pStyle w:val="BookText"/>
        <w:rPr/>
      </w:pPr>
      <w:r>
        <w:rPr>
          <w:rFonts w:ascii="Amiri" w:hAnsi="Amiri" w:eastAsia="Amiri" w:cs="Amiri"/>
          <w:color w:val="111111"/>
          <w:sz w:val="28"/>
          <w:sz w:val="28"/>
          <w:szCs w:val="28"/>
          <w:rtl w:val="true"/>
          <w:lang w:bidi="ar-SA"/>
        </w:rPr>
        <w:t xml:space="preserve">إلّا بإذنها،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الملاعبة و التفخيذ، و نحوها ممّا يجوز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فيه الإضرار بها، هو تركها المستمرّ بترك المراودة، دون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أخبار الإيلاء ما يستدلّ به على هذه الجهة في المسألة، كما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كون ذلك من حقوقها، و هو خلاف ظاهر معتبر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قضية معتبر بكير بن أعين، و بريد بن معاوية،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آلى الرجل أن لا يقرب امرأته، فليس لها قول و لا حقّ في الأربعة أشهر، و لا إثم عليه في كفّه عنها في الأربعة أشهر، فإن مضت الأربعة أشهر قبل أن يمسّها، فسكتت و رضيت، فهو في حلٍّ و سعة، فإن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مضافاً إلى ظهوره في المسألة السابقة، يدلّ على أنّ برضاها و بسكوتها لا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اختصاص الحكم بذلك الباب،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و وفاقاً لإطلاق كثير من المتون</w:t>
      </w:r>
      <w:r>
        <w:rPr>
          <w:rStyle w:val="FootnoteAnchor"/>
          <w:rtl w:val="true"/>
        </w:rPr>
        <w:footnoteReference w:id="726"/>
      </w:r>
      <w:r>
        <w:rPr>
          <w:rFonts w:ascii="Amiri" w:hAnsi="Amiri" w:eastAsia="Amiri" w:cs="Amiri"/>
          <w:color w:val="111111"/>
          <w:sz w:val="28"/>
          <w:sz w:val="28"/>
          <w:szCs w:val="28"/>
          <w:rtl w:val="true"/>
          <w:lang w:bidi="ar-SA"/>
        </w:rPr>
        <w:t>، و تنصيص جملة منها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السرّ في الإشكال؛ قصور معقد الإجماع عن شمولها، و الروايةِ المذكورة عنها أيضاً؛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عنده المرأة الشابّة، فيمسك عنها الأشهر و السنة</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فإنّ الظاهر منه السؤال عن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الإطلاق المزبور سكوتيّ؛ يحصل من ترك الاستفصال، و هو غير محتاج إليه، بعد كون الغالب في السؤال المزبور هي الدائمة؛ لحرمة المتعة عند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متن الحكم يناسب الدائمة، و فيه سياسة المنزل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المراجعة إلى أخبار الإيلاء و إن كانت تعطي العموم، و يمكن استفادة ذلك من تلك الأخبار و إن لم يجر الإيلاء في المنقطعة، إلّا أنّ</w:t>
      </w:r>
    </w:p>
    <w:p>
      <w:pPr>
        <w:pStyle w:val="BookText"/>
        <w:rPr/>
      </w:pPr>
      <w:r>
        <w:rPr>
          <w:rFonts w:ascii="Amiri" w:hAnsi="Amiri" w:eastAsia="Amiri" w:cs="Amiri"/>
          <w:color w:val="111111"/>
          <w:sz w:val="28"/>
          <w:sz w:val="28"/>
          <w:szCs w:val="28"/>
          <w:rtl w:val="true"/>
          <w:lang w:bidi="ar-SA"/>
        </w:rPr>
        <w:t xml:space="preserve">و يختصّ الحكم بصورة عدم العذر، و أمّا معه فيجوز الترك مطلقاً ما دام وجود العذر، كما إذا خيف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الإنصاف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عرفت من المناقشة في أصل دلالة معتبر صفوان على حكم المسألة</w:t>
      </w:r>
      <w:r>
        <w:rPr>
          <w:rStyle w:val="FootnoteAnchor"/>
          <w:rtl w:val="true"/>
        </w:rPr>
        <w:footnoteReference w:id="729"/>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خيف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لخروجه عن معقد الإجماع احتمالًا، فتجري البراءة عن وجوبه عند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بقاعدة نفي الضرر</w:t>
      </w:r>
      <w:r>
        <w:rPr>
          <w:rStyle w:val="FootnoteAnchor"/>
          <w:rtl w:val="true"/>
        </w:rPr>
        <w:footnoteReference w:id="730"/>
      </w:r>
      <w:r>
        <w:rPr>
          <w:rFonts w:ascii="Amiri" w:hAnsi="Amiri" w:eastAsia="Amiri" w:cs="Amiri"/>
          <w:color w:val="111111"/>
          <w:sz w:val="28"/>
          <w:sz w:val="28"/>
          <w:szCs w:val="28"/>
          <w:rtl w:val="true"/>
          <w:lang w:bidi="ar-SA"/>
        </w:rPr>
        <w:t>، فهو في مورد أُحرز الضرر، و لا يكفي خوفه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التمسّك بقاعدة حرمة الضرر بالنفس</w:t>
      </w:r>
      <w:r>
        <w:rPr>
          <w:rStyle w:val="FootnoteAnchor"/>
          <w:rtl w:val="true"/>
        </w:rPr>
        <w:footnoteReference w:id="731"/>
      </w:r>
      <w:r>
        <w:rPr>
          <w:rFonts w:ascii="Amiri" w:hAnsi="Amiri" w:eastAsia="Amiri" w:cs="Amiri"/>
          <w:color w:val="111111"/>
          <w:sz w:val="28"/>
          <w:sz w:val="28"/>
          <w:szCs w:val="28"/>
          <w:rtl w:val="true"/>
          <w:lang w:bidi="ar-SA"/>
        </w:rPr>
        <w:t>لأنّها كالجار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الوالد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من منكري قاعدة نفي الضرر و حكومتها على الأدلّة الأوّلية</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النسبة بين وجوب الوطء، و حرمة الإضرار بالنفس، عموم من وجه، و لا يبعد تقدّم الثاني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دعوى تقبيح العقلاء، الإقدام في الأُمور كلّها في صورة خوف</w:t>
      </w:r>
    </w:p>
    <w:p>
      <w:pPr>
        <w:pStyle w:val="BookText"/>
        <w:rPr/>
      </w:pPr>
      <w:r>
        <w:rPr>
          <w:rFonts w:ascii="Amiri" w:hAnsi="Amiri" w:eastAsia="Amiri" w:cs="Amiri"/>
          <w:color w:val="111111"/>
          <w:sz w:val="28"/>
          <w:sz w:val="28"/>
          <w:szCs w:val="28"/>
          <w:rtl w:val="true"/>
          <w:lang w:bidi="ar-SA"/>
        </w:rPr>
        <w:t xml:space="preserve">و من العذر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الميل المانع عن انتشار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يختصّ الحكم بالحاضر، فلا بأس على المسافر و إن طال سفره، أو يعمّهما، فلا يجوز للمسافر إطالة سفره أزيد من أربعة أشهر، بل يجب عليه مع عدم العذر الحضور؛ لإيفاء حقّ زوجته؟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بشرط كون السفر ضروريّاً و لو عرفاً، كسفر تجارة، أو زيارة، أو تحصيل علم و نحو ذلك، دون ما كان لمجرد الميل و الأُنس و التفرّج، الضرر، و يكون الحكم عند الإصابة منجّزاً، فعليه لا تجري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الشرعيّة منها، فليتأمّل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وجود العذر، كعدم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العذر خوف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انتشار العضو، يكون معذوراً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التمكّن من النشر بالعلاج يجب، إلّا إذا استشكلنا في كبراها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له قصور أدلّة المسألة؛ إجماعاً كان، أو رواية؛ فإنّ احتمال كون مورد السؤال هي الحاضرة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المناقشة في الثانية، فقد عرفت الإشكال فيها رأساً؛ و أنّ الحكم قوياً مستند إلى الإجماع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المراجعة إلى أخبار الإيلاء،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بكثرتها</w:t>
      </w:r>
    </w:p>
    <w:p>
      <w:pPr>
        <w:pStyle w:val="BookText"/>
        <w:rPr/>
      </w:pPr>
      <w:r>
        <w:rPr>
          <w:rFonts w:ascii="Amiri" w:hAnsi="Amiri" w:eastAsia="Amiri" w:cs="Amiri"/>
          <w:color w:val="111111"/>
          <w:sz w:val="28"/>
          <w:sz w:val="28"/>
          <w:szCs w:val="28"/>
          <w:rtl w:val="true"/>
          <w:lang w:bidi="ar-SA"/>
        </w:rPr>
        <w:t>و نحو ذلك على الأحوط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عامّ، و لأجل ذاك و هذا، ذهب جمع من المعاصرين إلى عدم الفرق</w:t>
      </w:r>
      <w:r>
        <w:rPr>
          <w:rStyle w:val="FootnoteAnchor"/>
          <w:rtl w:val="true"/>
        </w:rPr>
        <w:footnoteReference w:id="733"/>
      </w:r>
      <w:r>
        <w:rPr>
          <w:rFonts w:ascii="Amiri" w:hAnsi="Amiri" w:eastAsia="Amiri" w:cs="Amiri"/>
          <w:color w:val="111111"/>
          <w:sz w:val="28"/>
          <w:sz w:val="28"/>
          <w:szCs w:val="28"/>
          <w:rtl w:val="true"/>
          <w:lang w:bidi="ar-SA"/>
        </w:rPr>
        <w:t xml:space="preserve">، خلافاً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قيّد الحكم بحضور الزوج، و استدلّ له بالسيرة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القدر المتيقّن من الخارج عن معقد الإجماع بالسيرة، أو عن محطّ الرواية، فكأنّه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استند إلى الإجماع و الرواية إطلاقاً، و إلى المخصّص اللبيّ، و إلّا فقصور أدلّة المسألة، ينتهي إلى الأخذ بالقدر المتيقّن؛ و هو الحاضر دون المسافر مطلقاً، و لذلك لا يرى هذا التفصيل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السيرة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بندرة الاتفاق، فلا يستكشف منها الإمضاء، فهي مردوعة بالرواية، و لا سيّما بعد سقوط الحكم برضا الزوجة، و خصوصاً إذا لم يكن يجب إلّا عند مطالبتها؛ لكونه من الحقوق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توهّم مردوعيّة السيرة بالرواية مطلقاً، فقد تقرّر في محلّه بطلان الدور، و لكن ردع السيرة الاغتراسيّة العمليّة، لا يتعارف بإطلاق رواية واحدة، فيعلم منه أنّ المقصود منها محصور في غير مورد السيرة،</w:t>
      </w:r>
    </w:p>
    <w:p>
      <w:pPr>
        <w:pStyle w:val="BookText"/>
        <w:rPr/>
      </w:pPr>
      <w:r>
        <w:rPr>
          <w:rFonts w:ascii="Amiri" w:hAnsi="Amiri" w:eastAsia="Amiri" w:cs="Amiri"/>
          <w:color w:val="111111"/>
          <w:sz w:val="28"/>
          <w:sz w:val="28"/>
          <w:szCs w:val="28"/>
          <w:rtl w:val="true"/>
          <w:lang w:bidi="ar-SA"/>
        </w:rPr>
        <w:t>و تفصيله في محالّه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تأييد التفصيل بين الشابّة و العجوز لو أمكن المناقشة في أصل الحكم، فهل ترك الوطء مطلقاً يجوز؛ قضاءً لحقّ الاستصحاب أو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لا يجوز؛ لأنّه خلاف طبع النكاح أو الشرط الضمنيّ، و لأجل ذلك استشكل في نفوذ اشتراطه في ضمن العقد؟</w:t>
      </w:r>
    </w:p>
    <w:p>
      <w:pPr>
        <w:pStyle w:val="BookText"/>
        <w:rPr/>
      </w:pPr>
      <w:r>
        <w:rPr>
          <w:rFonts w:ascii="Amiri" w:hAnsi="Amiri" w:eastAsia="Amiri" w:cs="Amiri"/>
          <w:color w:val="111111"/>
          <w:sz w:val="28"/>
          <w:sz w:val="28"/>
          <w:szCs w:val="28"/>
          <w:rtl w:val="true"/>
          <w:lang w:bidi="ar-SA"/>
        </w:rPr>
        <w:t>أو يفصّل بين العقود حسب اختلاف حالات المتعاقدين؟</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ينبغي التفصيل بين الشابّة و الشائبة؛ لاختصاص مورد السؤال بالشابّة</w:t>
      </w:r>
      <w:r>
        <w:rPr>
          <w:rStyle w:val="FootnoteAnchor"/>
          <w:rtl w:val="true"/>
        </w:rPr>
        <w:footnoteReference w:id="736"/>
      </w:r>
      <w:r>
        <w:rPr>
          <w:rFonts w:ascii="Amiri" w:hAnsi="Amiri" w:eastAsia="Amiri" w:cs="Amiri"/>
          <w:color w:val="111111"/>
          <w:sz w:val="28"/>
          <w:sz w:val="28"/>
          <w:szCs w:val="28"/>
          <w:rtl w:val="true"/>
          <w:lang w:bidi="ar-SA"/>
        </w:rPr>
        <w:t>، مع مساعدة الاعتبار، بعد كون الإجماع غير معلوم المعقد، و لو كان فهو معلّل بالرواية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يستظهر عموم الحكم من أخبار الإيلاء أحياناً</w:t>
      </w:r>
      <w:r>
        <w:rPr>
          <w:rStyle w:val="FootnoteAnchor"/>
          <w:rtl w:val="true"/>
        </w:rPr>
        <w:footnoteReference w:id="737"/>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التعميم</w:t>
      </w:r>
      <w:r>
        <w:rPr>
          <w:rStyle w:val="FootnoteAnchor"/>
          <w:rtl w:val="true"/>
        </w:rPr>
        <w:footnoteReference w:id="738"/>
      </w:r>
      <w:r>
        <w:rPr>
          <w:rFonts w:ascii="Amiri" w:hAnsi="Amiri" w:eastAsia="Amiri" w:cs="Amiri"/>
          <w:color w:val="111111"/>
          <w:sz w:val="28"/>
          <w:sz w:val="28"/>
          <w:szCs w:val="28"/>
          <w:rtl w:val="true"/>
          <w:lang w:bidi="ar-SA"/>
        </w:rPr>
        <w:t>، فهو من شعب التمسّك بإطلاق معقد الإجماع، مع أنّ هذه الإجماعات لا تغني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التخصيص 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الخوف على زناهنّ</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روى الكليني بسنده عن محمّد بن جعفر عن بعض رجاله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من النساء ما لا ينكدح فزنا منهنّ شي‌ء فالإثم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القول بالتخصيص إلى القاصرين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bookmarkStart w:id="257" w:name="pg12370_121852"/>
    </w:p>
    <w:p>
      <w:pPr>
        <w:pStyle w:val="Heading4"/>
        <w:numPr>
          <w:ilvl w:val="3"/>
          <w:numId w:val="1"/>
        </w:numPr>
        <w:rPr/>
      </w:pPr>
      <w:bookmarkStart w:id="258" w:name="__RefHeading___Toc9026262_417432637"/>
      <w:bookmarkStart w:id="259" w:name="_Toc92"/>
      <w:bookmarkEnd w:id="257"/>
      <w:bookmarkEnd w:id="258"/>
      <w:r>
        <w:rPr>
          <w:rtl w:val="true"/>
        </w:rPr>
        <w:t>[</w:t>
      </w:r>
      <w:r>
        <w:rPr>
          <w:rtl w:val="true"/>
        </w:rPr>
        <w:t xml:space="preserve">مسألة </w:t>
      </w:r>
      <w:r>
        <w:rPr/>
        <w:t>14</w:t>
      </w:r>
      <w:r>
        <w:rPr>
          <w:rtl w:val="true"/>
        </w:rPr>
        <w:t xml:space="preserve">: </w:t>
      </w:r>
      <w:r>
        <w:rPr>
          <w:rtl w:val="true"/>
        </w:rPr>
        <w:t>لا إشكال في جواز العزل</w:t>
      </w:r>
      <w:r>
        <w:rPr>
          <w:rtl w:val="true"/>
        </w:rPr>
        <w:t>]</w:t>
      </w:r>
      <w:bookmarkEnd w:id="25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إخراج الآلة عند الإنزال، و إفراغ المنيّ إلى الخارج في غير الزوجة الدائمة الحرّة،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الزوجة الدائمة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قاعدة و نصاً و إجماعاً</w:t>
      </w:r>
      <w:r>
        <w:rPr>
          <w:rStyle w:val="FootnoteAnchor"/>
          <w:rtl w:val="true"/>
        </w:rPr>
        <w:footnoteReference w:id="740"/>
      </w:r>
      <w:r>
        <w:rPr>
          <w:rFonts w:ascii="Amiri" w:hAnsi="Amiri" w:eastAsia="Amiri" w:cs="Amiri"/>
          <w:color w:val="111111"/>
          <w:sz w:val="28"/>
          <w:sz w:val="28"/>
          <w:szCs w:val="28"/>
          <w:rtl w:val="true"/>
          <w:lang w:bidi="ar-SA"/>
        </w:rPr>
        <w:t xml:space="preserve">، و هو مقتضى كثير من المطلقات المذكورة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و فيها معتبر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تدلّ هي على أنّ للمرء، صرفَ نطفته في أي مكان يريد، و منه الأرحام المحرّم عليه الدخول بها، فلو حملت منه الأجنبيّة بالآلات الحديثة صحّ،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وقوع المعارضة بينه في مورد الحرّة المتمتّع بها، و بين معتبرة الثاني في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العزل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الأمة فلا بأس، و أمّا الحرّة فإنّي أكره ذلك، إلّا أن يشترط عليها حين يتزوّجها</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فيها مع إذنها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يقيّد به الإطلاق الأوّل، فيكون الحكم في موردها مبنيّاً على التحريم، و عندئذٍ يرجع في التخصيص إلى الإجماع المحكيّ عن جماعة</w:t>
      </w:r>
      <w:r>
        <w:rPr>
          <w:rStyle w:val="FootnoteAnchor"/>
          <w:rtl w:val="true"/>
        </w:rPr>
        <w:footnoteReference w:id="744"/>
      </w:r>
      <w:r>
        <w:rPr>
          <w:rFonts w:ascii="Amiri" w:hAnsi="Amiri" w:eastAsia="Amiri" w:cs="Amiri"/>
          <w:color w:val="111111"/>
          <w:sz w:val="28"/>
          <w:sz w:val="28"/>
          <w:szCs w:val="28"/>
          <w:rtl w:val="true"/>
          <w:lang w:bidi="ar-SA"/>
        </w:rPr>
        <w:t xml:space="preserve">، أو تنكر دلالته رأساً على الأزيد من الكراهة، أو يحمل على الكراهة الشخصيّة؛ برجوع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أنّها على خلاف القواعد؛ لأنّ الشرط على خلاف الكتاب، و تخصيص تلك الأدلّة به محلّ إشكال؛ لما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إبائها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من الكراهة غير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تقييد تلك المطلقات بهذه الواحدة، محلّ المناقشة، فتقع المعارضة، و تقييدها بها يستلزم خروج الفرد الشائع جدّاً، و لا سيّما مع صراحتها في الإطلاق، فليتأمّل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إذنها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كون الممنوعيّة في بعض الصور الآتية، مستندة إلى أنّه إضرار بحقّها عليه، و هو صريح معتبر ابن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ترضى، أو يشترط ذلك عليها حين يتزوّجها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منهم عدم البأس بذلك مع رضاها حرمة و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مستثنى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يعزل عن الحرّة إلّا بإذنها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إمكان المناقشة في كلّ واحد من الأدلّة، يوجب المناقشة في دليل المنع؛ لأنّ منع كونه حقّا، و منعَ حجيّة النبوي و لو كان في محلّه، و لكن منع خبر ابن مسلم الآتي الدالّ على الكراهة، يوجب سقوط الحرمة من رأس</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لمحمّد بن مسلم في هذه المسألة، خبراً واحداً و إن رواه الأصحاب بطريقين</w:t>
      </w:r>
      <w:r>
        <w:rPr>
          <w:rStyle w:val="FootnoteAnchor"/>
          <w:rtl w:val="true"/>
        </w:rPr>
        <w:footnoteReference w:id="747"/>
      </w:r>
      <w:r>
        <w:rPr>
          <w:rFonts w:ascii="Amiri" w:hAnsi="Amiri" w:eastAsia="Amiri" w:cs="Amiri"/>
          <w:color w:val="111111"/>
          <w:sz w:val="28"/>
          <w:sz w:val="28"/>
          <w:szCs w:val="28"/>
          <w:rtl w:val="true"/>
          <w:lang w:bidi="ar-SA"/>
        </w:rPr>
        <w:t xml:space="preserve">، و لا يوجد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صفوان، عن العلاء، عنه، فإذا كانا خبراً واحداً، تقع المعارضة بين أصالة الزيادة و النقيصة، و لا سبيل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نعت الجزم إلى ترجيح أحدهما على الآخر، فيلزم بقاء الكراهة أو الحرمة بحالها و لو رضيت</w:t>
      </w:r>
    </w:p>
    <w:p>
      <w:pPr>
        <w:pStyle w:val="BookText"/>
        <w:rPr/>
      </w:pPr>
      <w:r>
        <w:rPr>
          <w:rFonts w:ascii="Amiri" w:hAnsi="Amiri" w:eastAsia="Amiri" w:cs="Amiri"/>
          <w:color w:val="111111"/>
          <w:sz w:val="28"/>
          <w:sz w:val="28"/>
          <w:szCs w:val="28"/>
          <w:rtl w:val="true"/>
          <w:lang w:bidi="ar-SA"/>
        </w:rPr>
        <w:t>أمّا فيها بدون إذنها، ففيه قولان، أشهرهما الجواز مع الكراهة، و هو الأقوى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المساعد للاعتبار، و لسائر الأدلّة المتخيّلة التي ربّما يستند إليها للتحريم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خلافاً لما نسب</w:t>
      </w:r>
      <w:r>
        <w:rPr>
          <w:rStyle w:val="FootnoteAnchor"/>
          <w:rtl w:val="true"/>
        </w:rPr>
        <w:footnoteReference w:id="748"/>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50"/>
      </w:r>
      <w:r>
        <w:rPr>
          <w:rFonts w:ascii="Amiri" w:hAnsi="Amiri" w:eastAsia="Amiri" w:cs="Amiri"/>
          <w:color w:val="111111"/>
          <w:sz w:val="28"/>
          <w:sz w:val="28"/>
          <w:szCs w:val="28"/>
          <w:rtl w:val="true"/>
          <w:lang w:bidi="ar-SA"/>
        </w:rPr>
        <w:t xml:space="preserve">من الحرمة، بل الإجماع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و وفاقاً لطائفة من الأخبار المطلقة الصريحة في الجواز</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الدليل المقيّد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Style w:val="FootnoteAnchor"/>
          <w:rtl w:val="true"/>
        </w:rPr>
        <w:footnoteReference w:id="753"/>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 ذلك في الحرّة، و هي الظاهرة في الحرمة، و النبوي السابق</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الباب المزبور، عن يعقوب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بالعزل في ستّة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تيقّنت أنّها لا تلد، و المسنّة،</w:t>
      </w:r>
    </w:p>
    <w:p>
      <w:pPr>
        <w:pStyle w:val="BookText"/>
        <w:rPr/>
      </w:pPr>
      <w:r>
        <w:rPr>
          <w:rFonts w:ascii="Amiri" w:hAnsi="Amiri" w:eastAsia="Amiri" w:cs="Amiri"/>
          <w:color w:val="111111"/>
          <w:sz w:val="28"/>
          <w:sz w:val="28"/>
          <w:szCs w:val="28"/>
          <w:rtl w:val="true"/>
          <w:lang w:bidi="ar-SA"/>
        </w:rPr>
        <w:t xml:space="preserve">بل لا يبعد عدم الكراهة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 علم أنّها لا تلد، و في المسنّة، و السليطة، و البذيّة، و التي لا ترضع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المرأة السليطة، و البذيّة، و المرأة التي لا ترضع ولدها، و الأمة</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إرجاعه إلى مفهوم القيد، إلّا أنّ مقتضى المفهوم ليس الحرمة؛ لأنّ البأس أعمّ منها، مع أنّ مفهوم القيد أيضاً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نقاوة السند من جهات، و لا يمكن توهّم انجباره بما مرّ،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الكراهة في المذكورات؛ فلما عرفت، و عرفت المناقشة في سنده، فلا يصلح للإفتاء به بعد 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التسامح في أدلّة السنن</w:t>
      </w:r>
      <w:r>
        <w:rPr>
          <w:rStyle w:val="FootnoteAnchor"/>
          <w:rtl w:val="true"/>
        </w:rPr>
        <w:footnoteReference w:id="755"/>
      </w:r>
      <w:r>
        <w:rPr>
          <w:rFonts w:ascii="Amiri" w:hAnsi="Amiri" w:eastAsia="Amiri" w:cs="Amiri"/>
          <w:color w:val="111111"/>
          <w:sz w:val="28"/>
          <w:sz w:val="28"/>
          <w:szCs w:val="28"/>
          <w:rtl w:val="true"/>
          <w:lang w:bidi="ar-SA"/>
        </w:rPr>
        <w:t>، لا تصلح للإفتاء على طبقها في المستحبّات و المكروهات</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المناقشة في الكراهة كلا؛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معتبر ابن مسلم، لا يدلّ على الكراهة الشرعيّة</w:t>
      </w:r>
      <w:r>
        <w:rPr>
          <w:rStyle w:val="FootnoteAnchor"/>
          <w:rtl w:val="true"/>
        </w:rPr>
        <w:footnoteReference w:id="757"/>
      </w:r>
      <w:r>
        <w:rPr>
          <w:rFonts w:ascii="IRNazanin" w:hAnsi="IRNazanin" w:eastAsia="IRNazanin"/>
          <w:color w:val="111111"/>
          <w:sz w:val="28"/>
          <w:sz w:val="28"/>
          <w:szCs w:val="28"/>
          <w:rtl w:val="true"/>
          <w:lang w:bidi="fa-IR"/>
        </w:rPr>
        <w:t>لأنّها لا تجوز بالشرط، و قد عرفت</w:t>
      </w:r>
    </w:p>
    <w:p>
      <w:pPr>
        <w:pStyle w:val="BookText"/>
        <w:rPr/>
      </w:pPr>
      <w:r>
        <w:rPr>
          <w:rFonts w:ascii="Amiri" w:hAnsi="Amiri" w:eastAsia="Amiri" w:cs="Amiri"/>
          <w:color w:val="111111"/>
          <w:sz w:val="28"/>
          <w:sz w:val="28"/>
          <w:szCs w:val="28"/>
          <w:rtl w:val="true"/>
          <w:lang w:bidi="ar-SA"/>
        </w:rPr>
        <w:t xml:space="preserve">كما أنّ الأقوى عدم وجوب 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عليه، و إن قلنا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للزوجة، و هي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تحصّل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المناقشة في أصل مرجوحيّة العزل مطلقاً، فضلًا عن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ما تعارف في العصر من تغليف العضو، يكون من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وجهان إن كان النظر إلى حقّ المرأة؛ و أنّها تستحقّ نزول الماء في رحمها، و أمثال ذلك من النكت السياسيّة المذكورة بعضها في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وجوب 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المشهور بين المتأخّرين</w:t>
      </w:r>
      <w:r>
        <w:rPr>
          <w:rStyle w:val="FootnoteAnchor"/>
          <w:rtl w:val="true"/>
        </w:rPr>
        <w:footnoteReference w:id="758"/>
      </w:r>
      <w:r>
        <w:rPr>
          <w:rFonts w:ascii="Amiri" w:hAnsi="Amiri" w:eastAsia="Amiri" w:cs="Amiri"/>
          <w:color w:val="111111"/>
          <w:sz w:val="28"/>
          <w:sz w:val="28"/>
          <w:szCs w:val="28"/>
          <w:rtl w:val="true"/>
          <w:lang w:bidi="ar-SA"/>
        </w:rPr>
        <w:t>، وفاقاً للأصل، و هو مقتضى كون الحكم مكروهاً، مع أنّ القول بالحرمة أيضاً لا يقتضي ذلك، فضلًا عمّا سلف من نفي الكراهة الاصطلاحيّة، على احتمال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بوجوبها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المحكيّ</w:t>
      </w:r>
      <w:r>
        <w:rPr>
          <w:rStyle w:val="FootnoteAnchor"/>
          <w:rtl w:val="true"/>
        </w:rPr>
        <w:footnoteReference w:id="759"/>
      </w:r>
      <w:r>
        <w:rPr>
          <w:rFonts w:ascii="Amiri" w:hAnsi="Amiri" w:eastAsia="Amiri" w:cs="Amiri"/>
          <w:color w:val="111111"/>
          <w:sz w:val="28"/>
          <w:sz w:val="28"/>
          <w:szCs w:val="28"/>
          <w:rtl w:val="true"/>
          <w:lang w:bidi="ar-SA"/>
        </w:rPr>
        <w:t>عن جماعة من القدماء، كالشيخ، و القاضي،</w:t>
      </w:r>
    </w:p>
    <w:p>
      <w:pPr>
        <w:pStyle w:val="BookText"/>
        <w:rPr/>
      </w:pPr>
      <w:r>
        <w:rPr>
          <w:rFonts w:ascii="Amiri" w:hAnsi="Amiri" w:eastAsia="Amiri" w:cs="Amiri"/>
          <w:color w:val="111111"/>
          <w:sz w:val="28"/>
          <w:sz w:val="28"/>
          <w:szCs w:val="28"/>
          <w:rtl w:val="true"/>
          <w:lang w:bidi="ar-SA"/>
        </w:rPr>
        <w:t>و أبي الصلاح، و ابني حمزة و زهرة</w:t>
      </w:r>
      <w:r>
        <w:rPr>
          <w:rStyle w:val="FootnoteAnchor"/>
          <w:rtl w:val="true"/>
        </w:rPr>
        <w:footnoteReference w:id="760"/>
      </w:r>
      <w:r>
        <w:rPr>
          <w:rFonts w:ascii="Amiri" w:hAnsi="Amiri" w:eastAsia="Amiri" w:cs="Amiri"/>
          <w:color w:val="111111"/>
          <w:sz w:val="28"/>
          <w:sz w:val="28"/>
          <w:szCs w:val="28"/>
          <w:rtl w:val="true"/>
          <w:lang w:bidi="ar-SA"/>
        </w:rPr>
        <w:t>، و إليه ذهب العلّامة في معظم كتبه</w:t>
      </w:r>
      <w:r>
        <w:rPr>
          <w:rStyle w:val="FootnoteAnchor"/>
          <w:rtl w:val="true"/>
        </w:rPr>
        <w:footnoteReference w:id="76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الوجوب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بالكراهة أو نفيناها رأساً؛ و ذلك لعدم التهافت بين الحكمين، و قد التزم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تأخير قضاء شهر رمضان إلى رمضان آخر بالكفّارة، و عدم الوجوب أيضاً</w:t>
      </w:r>
      <w:r>
        <w:rPr>
          <w:rStyle w:val="FootnoteAnchor"/>
          <w:rtl w:val="true"/>
        </w:rPr>
        <w:footnoteReference w:id="763"/>
      </w:r>
      <w:r>
        <w:rPr>
          <w:rFonts w:ascii="Amiri" w:hAnsi="Amiri" w:eastAsia="Amiri" w:cs="Amiri"/>
          <w:color w:val="111111"/>
          <w:sz w:val="28"/>
          <w:sz w:val="28"/>
          <w:szCs w:val="28"/>
          <w:rtl w:val="true"/>
          <w:lang w:bidi="ar-SA"/>
        </w:rPr>
        <w:t>، و الدية مثلها لا تلازم حرمة الفعل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المهمّ في المسألة هي رواياتها، و فيها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ديات الأعضاء، و عن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بأسانيده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دية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منيّ الرجل يفرغ عن عرسه، فيعزل عنها الماء، و لم يرد ذلك، نصف خمس المائة؛ عشرة دنانير، و إذا أفرغ فيها عشرين ديناراً </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عن الشيخ في الصحيح، عن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طيّ خبر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منيّ الرجل يفرغ عن عرسه، فعزل عنها الماء، و لم يرد ذلك، نصف خمس المائة؛ عشرة دنانير</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مثل سابقه؛ في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تكن المرأة راضية بذلك، فالصحيح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قضيّتهما الدية و لو كان العزل جائزاً، و لذلك نسب إلى جمع الكراهة في المسألة السابقة، و وجوب الدية في هذه المسألة</w:t>
      </w:r>
      <w:r>
        <w:rPr>
          <w:rStyle w:val="FootnoteAnchor"/>
          <w:rtl w:val="true"/>
        </w:rPr>
        <w:footnoteReference w:id="766"/>
      </w:r>
      <w:r>
        <w:rPr>
          <w:rFonts w:ascii="Amiri" w:hAnsi="Amiri" w:eastAsia="Amiri" w:cs="Amiri"/>
          <w:color w:val="111111"/>
          <w:sz w:val="28"/>
          <w:sz w:val="28"/>
          <w:szCs w:val="28"/>
          <w:rtl w:val="true"/>
          <w:lang w:bidi="ar-SA"/>
        </w:rPr>
        <w:t>، كما يظهر ممّا ذكرناه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الخبر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فيمن أفرغ رجلًا عن عرسه، فهو أجنبيّ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المناقشة في سندهما و لا سيّما في الأوّل، فهي تذبّ بما تحرّر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ظريف 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يحتمل كونه دية بعد المرافعة و فصل الخصومة؛ لقوله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المتراءى منهما صورة المخاصمة</w:t>
      </w:r>
      <w:r>
        <w:rPr>
          <w:rFonts w:eastAsia="Amiri" w:cs="Amiri" w:ascii="Amiri" w:hAnsi="Amiri"/>
          <w:color w:val="111111"/>
          <w:sz w:val="28"/>
          <w:szCs w:val="28"/>
          <w:rtl w:val="true"/>
          <w:lang w:bidi="ar-SA"/>
        </w:rPr>
        <w:t>.</w:t>
      </w:r>
      <w:bookmarkStart w:id="260" w:name="pg12370_121860"/>
    </w:p>
    <w:p>
      <w:pPr>
        <w:pStyle w:val="Heading3"/>
        <w:numPr>
          <w:ilvl w:val="2"/>
          <w:numId w:val="1"/>
        </w:numPr>
        <w:rPr/>
      </w:pPr>
      <w:bookmarkStart w:id="261" w:name="__RefHeading___Toc9026264_417432637"/>
      <w:bookmarkStart w:id="262" w:name="_Toc93"/>
      <w:bookmarkEnd w:id="260"/>
      <w:bookmarkEnd w:id="261"/>
      <w:r>
        <w:rPr>
          <w:rtl w:val="true"/>
        </w:rPr>
        <w:t>[</w:t>
      </w:r>
      <w:r>
        <w:rPr>
          <w:rtl w:val="true"/>
        </w:rPr>
        <w:t>أحكام النظر</w:t>
      </w:r>
      <w:r>
        <w:rPr>
          <w:rtl w:val="true"/>
        </w:rPr>
        <w:t>]</w:t>
      </w:r>
      <w:bookmarkEnd w:id="262"/>
    </w:p>
    <w:p>
      <w:pPr>
        <w:pStyle w:val="Heading4"/>
        <w:numPr>
          <w:ilvl w:val="3"/>
          <w:numId w:val="1"/>
        </w:numPr>
        <w:rPr/>
      </w:pPr>
      <w:bookmarkStart w:id="263" w:name="__RefHeading___Toc9026266_417432637"/>
      <w:bookmarkStart w:id="264" w:name="_Toc94"/>
      <w:bookmarkEnd w:id="263"/>
      <w:r>
        <w:rPr>
          <w:rtl w:val="true"/>
        </w:rPr>
        <w:t>[</w:t>
      </w:r>
      <w:r>
        <w:rPr>
          <w:rtl w:val="true"/>
        </w:rPr>
        <w:t xml:space="preserve">مسألة </w:t>
      </w:r>
      <w:r>
        <w:rPr/>
        <w:t>15</w:t>
      </w:r>
      <w:r>
        <w:rPr>
          <w:rtl w:val="true"/>
        </w:rPr>
        <w:t xml:space="preserve">: </w:t>
      </w:r>
      <w:r>
        <w:rPr>
          <w:rtl w:val="true"/>
        </w:rPr>
        <w:t>يجوز لكلّ من الزوج و الزوجة النظر إلى جسد الآخر</w:t>
      </w:r>
      <w:r>
        <w:rPr>
          <w:rtl w:val="true"/>
        </w:rPr>
        <w:t>]</w:t>
      </w:r>
      <w:bookmarkEnd w:id="264"/>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الزوج و الزوجة النظر إلى جسد الآخر؛ ظاهره، و باطنه، حتّى العورة،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قضيّة النكاح عرفاً، و عدّ من الضروريّات فقهاً</w:t>
      </w:r>
      <w:r>
        <w:rPr>
          <w:rStyle w:val="FootnoteAnchor"/>
          <w:rtl w:val="true"/>
        </w:rPr>
        <w:footnoteReference w:id="769"/>
      </w:r>
      <w:r>
        <w:rPr>
          <w:rFonts w:ascii="IRNazanin" w:hAnsi="IRNazanin" w:eastAsia="IRNazanin"/>
          <w:color w:val="111111"/>
          <w:sz w:val="28"/>
          <w:sz w:val="28"/>
          <w:szCs w:val="28"/>
          <w:rtl w:val="true"/>
          <w:lang w:bidi="fa-IR"/>
        </w:rPr>
        <w:t>، و تواترت النصوص به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عن ابن حمزة مخالفتهم في خصوص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الفرج حال الجماع</w:t>
      </w:r>
      <w:r>
        <w:rPr>
          <w:rStyle w:val="FootnoteAnchor"/>
          <w:rtl w:val="true"/>
        </w:rPr>
        <w:footnoteReference w:id="771"/>
      </w:r>
      <w:r>
        <w:rPr>
          <w:rFonts w:ascii="Amiri" w:hAnsi="Amiri" w:eastAsia="Amiri" w:cs="Amiri"/>
          <w:color w:val="111111"/>
          <w:sz w:val="28"/>
          <w:sz w:val="28"/>
          <w:szCs w:val="28"/>
          <w:rtl w:val="true"/>
          <w:lang w:bidi="ar-SA"/>
        </w:rPr>
        <w:t xml:space="preserve">، و أمّا الدبر فلا نهي عنه؛ لاختصاص ما رواه الصدوق عن أبي سعيد الخدري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أحدٌ إلى فرج امرأته، و ليغضّ بصره عند الجماع؛ فإنّ النظر إلى الفرج يورث العمى في الولد</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مقتضاه حرمة النظر إلى فرج المرأة، و وجوب الغضّ عند الجماع، فلا يكون لابن حمزة الاستناد إليه إلّا بالتأويل، أو يكون الحكم و هو حرمة النظر الى الفرج مطلقاً مؤكّداً حال الجماع</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يحمل على الكراهة؛ قضاءً لحقّ ذات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النظر إلى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يناسب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سنده إليه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جماعة غير مذكورين، و بعضهم من العامّة</w:t>
      </w:r>
      <w:r>
        <w:rPr>
          <w:rStyle w:val="FootnoteAnchor"/>
          <w:rtl w:val="true"/>
        </w:rPr>
        <w:footnoteReference w:id="773"/>
      </w:r>
      <w:r>
        <w:rPr>
          <w:rFonts w:ascii="Amiri" w:hAnsi="Amiri" w:eastAsia="Amiri" w:cs="Amiri"/>
          <w:color w:val="111111"/>
          <w:sz w:val="28"/>
          <w:sz w:val="28"/>
          <w:szCs w:val="28"/>
          <w:rtl w:val="true"/>
          <w:lang w:bidi="ar-SA"/>
        </w:rPr>
        <w:t>، و مع ورود معتبر سَماعة على جواز النظر إلى الفرج</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يستظهر من بعض أخبار الباب، استحباب النظر إلى جسد المرأة؛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اللذّة إلّا ذلك</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من غير ثبوت الكراهة حتّى بالنسبة إلى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حال المجامعة يكره؛ لما في معتبر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ينظر في فرج المرأة و هو يجامعها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إلّا أنّه يورث العمى</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بكلّ عضو منه كلّ عضو من الآخر، مع التلذّد 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لعين ما مرّ، إلّا أنّه لم يرد به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الشبهة استصحاب الحرمة، و قضيّة إطلاقه جوازه بعد الموت أيضاً، و لكنّه لا يخلو من النظر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قضيّة الشبهة استصحاب الحلّية</w:t>
      </w:r>
      <w:r>
        <w:rPr>
          <w:rFonts w:eastAsia="Amiri" w:cs="Amiri" w:ascii="Amiri" w:hAnsi="Amiri"/>
          <w:color w:val="111111"/>
          <w:sz w:val="28"/>
          <w:szCs w:val="28"/>
          <w:rtl w:val="true"/>
          <w:lang w:bidi="ar-SA"/>
        </w:rPr>
        <w:t>.</w:t>
      </w:r>
      <w:bookmarkStart w:id="265" w:name="pg12370_121863"/>
    </w:p>
    <w:p>
      <w:pPr>
        <w:pStyle w:val="Heading4"/>
        <w:numPr>
          <w:ilvl w:val="3"/>
          <w:numId w:val="1"/>
        </w:numPr>
        <w:rPr/>
      </w:pPr>
      <w:bookmarkStart w:id="266" w:name="__RefHeading___Toc9026268_417432637"/>
      <w:bookmarkStart w:id="267" w:name="_Toc95"/>
      <w:bookmarkEnd w:id="265"/>
      <w:bookmarkEnd w:id="266"/>
      <w:r>
        <w:rPr>
          <w:rtl w:val="true"/>
        </w:rPr>
        <w:t>[</w:t>
      </w:r>
      <w:r>
        <w:rPr>
          <w:rtl w:val="true"/>
        </w:rPr>
        <w:t xml:space="preserve">مسألة </w:t>
      </w:r>
      <w:r>
        <w:rPr/>
        <w:t>16</w:t>
      </w:r>
      <w:r>
        <w:rPr>
          <w:rtl w:val="true"/>
        </w:rPr>
        <w:t xml:space="preserve">: </w:t>
      </w:r>
      <w:r>
        <w:rPr>
          <w:rtl w:val="true"/>
        </w:rPr>
        <w:t>لا إشكال في جواز نظر الرجل إلى ما عدا العورة من مماثله</w:t>
      </w:r>
      <w:r>
        <w:rPr>
          <w:rtl w:val="true"/>
        </w:rPr>
        <w:t>]</w:t>
      </w:r>
      <w:bookmarkEnd w:id="267"/>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نظر الرجل إلى ما عدا العورة من مماثله، شيخاً كان المنظور إليه أو شابّاً، حسن الصورة أو قبيحها، إذا لم يكن مع تلذّد و ريبة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كان ممنوعاً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عدّه من ضروريّات الدّين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فلا يخلو من التأسّف، و ما هو منه هو جوازه في الحمّام، و القياس غير جائز، و لا سيّما في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بتلذّذ و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معهما فالعبارة قاصرة، إلّا أنّ المقصود تحريم النظر، أو الاحتياط في المسألة، و يكون هناك نوع فرار من حكم المسألة على وجه دقيق؛ و ذلك لعدم دليل على الحرمة بعد اقتضاء الأُصول حلّيته إلّا الإجماع الآتي في المسألة الثامنة عشرة</w:t>
      </w:r>
      <w:r>
        <w:rPr>
          <w:rStyle w:val="FootnoteAnchor"/>
          <w:rtl w:val="true"/>
        </w:rPr>
        <w:footnoteReference w:id="778"/>
      </w:r>
      <w:r>
        <w:rPr>
          <w:rFonts w:ascii="Amiri" w:hAnsi="Amiri" w:eastAsia="Amiri" w:cs="Amiri"/>
          <w:color w:val="111111"/>
          <w:sz w:val="28"/>
          <w:sz w:val="28"/>
          <w:szCs w:val="28"/>
          <w:rtl w:val="true"/>
          <w:lang w:bidi="ar-SA"/>
        </w:rPr>
        <w:t xml:space="preserve">إن شاء اللَّه تعالى، و يظهر هناك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يصحّ دعوى وضوح الحرمة حسب ذوق الشريعة المطهّرة؛ فإنّه إذا حرم على الوجه المزبور إلى الأجنبيّة، و إلى النساء من غير الأُمّة الإسلاميّة، فهنا أولى بالحرمة بعد ذلك التحذير</w:t>
      </w:r>
    </w:p>
    <w:p>
      <w:pPr>
        <w:pStyle w:val="BookText"/>
        <w:rPr/>
      </w:pPr>
      <w:r>
        <w:rPr>
          <w:rFonts w:ascii="Amiri" w:hAnsi="Amiri" w:eastAsia="Amiri" w:cs="Amiri"/>
          <w:color w:val="111111"/>
          <w:sz w:val="28"/>
          <w:sz w:val="28"/>
          <w:szCs w:val="28"/>
          <w:rtl w:val="true"/>
          <w:lang w:bidi="ar-SA"/>
        </w:rPr>
        <w:t xml:space="preserve">و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القبل و الدبر و البيضتان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نظر المرأة إلى ما عدا العورة من مماثلها، و أمّا عورتها فيحرم أن تنظر إليها كالرجل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العجيب، فدعوى مقطوعيّة الحكم هنا قوي جدّاً، و الفساد اللازم هنا احتمالًا أفحش شي‌ء في الإسلام ظاهراً، حتّى عدّ من الكفر</w:t>
      </w:r>
      <w:r>
        <w:rPr>
          <w:rStyle w:val="FootnoteAnchor"/>
          <w:rtl w:val="true"/>
        </w:rPr>
        <w:footnoteReference w:id="779"/>
      </w:r>
      <w:r>
        <w:rPr>
          <w:rFonts w:ascii="IRNazanin" w:hAnsi="IRNazanin" w:eastAsia="IRNazanin"/>
          <w:color w:val="111111"/>
          <w:sz w:val="28"/>
          <w:sz w:val="28"/>
          <w:szCs w:val="28"/>
          <w:rtl w:val="true"/>
          <w:lang w:bidi="fa-IR"/>
        </w:rPr>
        <w:t>و أفتى به الصدوق</w:t>
      </w:r>
      <w:r>
        <w:rPr>
          <w:rStyle w:val="FootnoteAnchor"/>
          <w:rtl w:val="true"/>
        </w:rPr>
        <w:footnoteReference w:id="780"/>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الكلام من هذه الجهة، يطلب من كتاب الطهارة، أحكام التخلّي،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عورتها، فيحرم أن تنظر إليها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أنّ ذلك يحرم على المماثل، كذلك يحرم على غير المماثل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جواز نظر المرأة إلى مماثلتها مطلقاً كما يظهر من المتن، على</w:t>
      </w:r>
    </w:p>
    <w:p>
      <w:pPr>
        <w:pStyle w:val="BookText"/>
        <w:rPr/>
      </w:pPr>
      <w:r>
        <w:rPr>
          <w:rFonts w:ascii="Amiri" w:hAnsi="Amiri" w:eastAsia="Amiri" w:cs="Amiri"/>
          <w:color w:val="111111"/>
          <w:sz w:val="28"/>
          <w:sz w:val="28"/>
          <w:szCs w:val="28"/>
          <w:rtl w:val="true"/>
          <w:lang w:bidi="ar-SA"/>
        </w:rPr>
        <w:t xml:space="preserve">خلاف ما يستظهر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فهو في محلّ المناقشة؛ لإمكان أن يكون في نظر المرأة إلى مماثلتها، الثوران و الريبة إلى الفساد و المساحقة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حرمة مطلق النظر الريبيّ، كما لا يبعد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حكم حرمة النظر إلى العورة أيضاً، يطلب من أحكام التخلّي، إن شاء اللَّه تعالى</w:t>
      </w:r>
      <w:r>
        <w:rPr>
          <w:rFonts w:eastAsia="Amiri" w:cs="Amiri" w:ascii="Amiri" w:hAnsi="Amiri"/>
          <w:color w:val="111111"/>
          <w:sz w:val="28"/>
          <w:szCs w:val="28"/>
          <w:rtl w:val="true"/>
          <w:lang w:bidi="ar-SA"/>
        </w:rPr>
        <w:t>.</w:t>
      </w:r>
      <w:bookmarkStart w:id="268" w:name="pg12370_121866"/>
    </w:p>
    <w:p>
      <w:pPr>
        <w:pStyle w:val="Heading4"/>
        <w:numPr>
          <w:ilvl w:val="3"/>
          <w:numId w:val="1"/>
        </w:numPr>
        <w:rPr/>
      </w:pPr>
      <w:bookmarkStart w:id="269" w:name="__RefHeading___Toc9026270_417432637"/>
      <w:bookmarkStart w:id="270" w:name="_Toc96"/>
      <w:bookmarkEnd w:id="268"/>
      <w:bookmarkEnd w:id="269"/>
      <w:r>
        <w:rPr>
          <w:rtl w:val="true"/>
        </w:rPr>
        <w:t>[</w:t>
      </w:r>
      <w:r>
        <w:rPr>
          <w:rtl w:val="true"/>
        </w:rPr>
        <w:t xml:space="preserve">مسألة </w:t>
      </w:r>
      <w:r>
        <w:rPr/>
        <w:t>17</w:t>
      </w:r>
      <w:r>
        <w:rPr>
          <w:rtl w:val="true"/>
        </w:rPr>
        <w:t xml:space="preserve">: </w:t>
      </w:r>
      <w:r>
        <w:rPr>
          <w:rtl w:val="true"/>
        </w:rPr>
        <w:t>يجوز الرجل أن ينظر إلى جسد محارمه، ما عدا العورة</w:t>
      </w:r>
      <w:r>
        <w:rPr>
          <w:rtl w:val="true"/>
        </w:rPr>
        <w:t>]</w:t>
      </w:r>
      <w:bookmarkEnd w:id="270"/>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أن ينظر إلى جسد محارمه، ما عدا العورة،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محرّماً لبانت الحرمة بالضرورة، مضافاً إلى الإجماعات المحكيّة عن جماعة</w:t>
      </w:r>
      <w:r>
        <w:rPr>
          <w:rStyle w:val="FootnoteAnchor"/>
          <w:rtl w:val="true"/>
        </w:rPr>
        <w:footnoteReference w:id="782"/>
      </w:r>
      <w:r>
        <w:rPr>
          <w:rFonts w:ascii="Amiri" w:hAnsi="Amiri" w:eastAsia="Amiri" w:cs="Amiri"/>
          <w:color w:val="111111"/>
          <w:sz w:val="28"/>
          <w:sz w:val="28"/>
          <w:szCs w:val="28"/>
          <w:rtl w:val="true"/>
          <w:lang w:bidi="ar-SA"/>
        </w:rPr>
        <w:t>، و يظهر من بعض الأخبار المرويّة في المسألة، مفروغيّة الحكم، و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يحلّ للرجل أن يرى من المرأة إذا لم يكن محرّماً </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الغريب ما حكي عن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w:t>
      </w:r>
      <w:r>
        <w:rPr>
          <w:rStyle w:val="FootnoteAnchor"/>
          <w:rtl w:val="true"/>
        </w:rPr>
        <w:footnoteReference w:id="784"/>
      </w:r>
      <w:r>
        <w:rPr>
          <w:rFonts w:ascii="Amiri" w:hAnsi="Amiri" w:eastAsia="Amiri" w:cs="Amiri"/>
          <w:color w:val="111111"/>
          <w:sz w:val="28"/>
          <w:sz w:val="28"/>
          <w:szCs w:val="28"/>
          <w:rtl w:val="true"/>
          <w:lang w:bidi="ar-SA"/>
        </w:rPr>
        <w:t>، مع ما في عبارته من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الثدي حال الرضاع</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فراجع؛ فإنّ الأمر 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احتمال الممنوعيّة بالنسبة إلى بعض الحالات و الشابّات و هنّ عاريات بتمام جسدهنّ ما عدا العورة، قوي، و يساعده الارتكاز، و ربّما يحمل عليه كلام العلّامة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لا يستثني الثدي جدّاً، و لا يكثر الابتلاء به إلى حدّ لو كان لبان،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 يمكن الاستشهاد من قوله تعالى وَ لا يُبْدِينَ زِينَتَهُنَّ إِلَّا لِبُعُولَتِهِنَ </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إلى آخره، لجواز النظر بالنسبة إلى المحارم، كذلك ليستشهد منه لممنوعيّته بالنسبة إلى ما هو المستور طبعاً حين المراودات في الخلوات؛ لخروجها عن حدّ الآية الشريفة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تغسيل المحارم مجرّدات، و يلقى على عورتهن خرقة</w:t>
      </w:r>
      <w:r>
        <w:rPr>
          <w:rStyle w:val="FootnoteAnchor"/>
          <w:rtl w:val="true"/>
        </w:rPr>
        <w:footnoteReference w:id="787"/>
      </w:r>
      <w:r>
        <w:rPr>
          <w:rFonts w:ascii="Amiri" w:hAnsi="Amiri" w:eastAsia="Amiri" w:cs="Amiri"/>
          <w:color w:val="111111"/>
          <w:sz w:val="28"/>
          <w:sz w:val="28"/>
          <w:szCs w:val="28"/>
          <w:rtl w:val="true"/>
          <w:lang w:bidi="ar-SA"/>
        </w:rPr>
        <w:t>، لا يشهد على شي‌ء</w:t>
      </w:r>
      <w:r>
        <w:rPr>
          <w:rStyle w:val="FootnoteAnchor"/>
          <w:rtl w:val="true"/>
        </w:rPr>
        <w:footnoteReference w:id="788"/>
      </w:r>
      <w:r>
        <w:rPr>
          <w:rFonts w:ascii="Amiri" w:hAnsi="Amiri" w:eastAsia="Amiri" w:cs="Amiri"/>
          <w:color w:val="111111"/>
          <w:sz w:val="28"/>
          <w:sz w:val="28"/>
          <w:szCs w:val="28"/>
          <w:rtl w:val="true"/>
          <w:lang w:bidi="ar-SA"/>
        </w:rPr>
        <w:t>لاختلاف الحكم باختلاف الحالات في المقام جدّاً، كالقواعد منهنّ،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أبي الجارود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يظهر منه المنع؛ لما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زينة المحرّم، فموضع القلادة فما فوقها، و الدّمْلَج فما دونه، و الخَلْخال و ما أسفل منه </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الحديث، إلّا أنّه لا يفيد شيئاً؛ لأنّه مضافاً إلى عدم ثبوت سند له، و إلى ما في متنه من بُعده عن متون الأخبار غير معمول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هي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مع تلذّذ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يحرم عليه نكاحهنّ من جهة النسب، أو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في الأعراض و النظر إليهنّ،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مع 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اتفاقاً</w:t>
      </w:r>
      <w:r>
        <w:rPr>
          <w:rStyle w:val="FootnoteAnchor"/>
          <w:rtl w:val="true"/>
        </w:rPr>
        <w:footnoteReference w:id="790"/>
      </w:r>
      <w:r>
        <w:rPr>
          <w:rFonts w:ascii="Amiri" w:hAnsi="Amiri" w:eastAsia="Amiri" w:cs="Amiri"/>
          <w:color w:val="111111"/>
          <w:sz w:val="28"/>
          <w:sz w:val="28"/>
          <w:szCs w:val="28"/>
          <w:rtl w:val="true"/>
          <w:lang w:bidi="ar-SA"/>
        </w:rPr>
        <w:t>و احتمال اختصاص الإجماع بمورد الأجنبيّة، ساقط ظاهراً، و سيظهر الأمر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المستند ما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الرضاع لحمة كلحمة النسب</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 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فلا يقتضي حلّية ما أُحلّ بالنسب، كما لا يخفى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الإطلاقات العرفيّة على الأُمّهات الرضاعيات و الآباء الرضاعيّين فهي ليست على وجه الحقيقة بالضرورة، فكونهم آباءً أو</w:t>
      </w:r>
    </w:p>
    <w:p>
      <w:pPr>
        <w:pStyle w:val="BookText"/>
        <w:rPr/>
      </w:pPr>
      <w:r>
        <w:rPr>
          <w:rFonts w:ascii="Amiri" w:hAnsi="Amiri" w:eastAsia="Amiri" w:cs="Amiri"/>
          <w:color w:val="111111"/>
          <w:sz w:val="28"/>
          <w:sz w:val="28"/>
          <w:szCs w:val="28"/>
          <w:rtl w:val="true"/>
          <w:lang w:bidi="ar-SA"/>
        </w:rPr>
        <w:t>أو المصاهرة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حتّى تشملهم الآية</w:t>
      </w:r>
      <w:r>
        <w:rPr>
          <w:rStyle w:val="FootnoteAnchor"/>
          <w:rtl w:val="true"/>
        </w:rPr>
        <w:footnoteReference w:id="793"/>
      </w:r>
      <w:r>
        <w:rPr>
          <w:rFonts w:ascii="Amiri" w:hAnsi="Amiri" w:eastAsia="Amiri" w:cs="Amiri"/>
          <w:color w:val="111111"/>
          <w:sz w:val="28"/>
          <w:sz w:val="28"/>
          <w:szCs w:val="28"/>
          <w:rtl w:val="true"/>
          <w:lang w:bidi="ar-SA"/>
        </w:rPr>
        <w:t xml:space="preserve">، يحتاج إلى دليل حاكم، و ما في الأخبار من التعبير عن الأب الرضاعيّ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اللبن</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أيضاً يؤيّد ذلك، و لو لا كون الحكم مقطوعاً به عندهم، كان للمناقشة فيه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قضيّة الآية الشريفة</w:t>
      </w:r>
      <w:r>
        <w:rPr>
          <w:rStyle w:val="FootnoteAnchor"/>
          <w:rtl w:val="true"/>
        </w:rPr>
        <w:footnoteReference w:id="795"/>
      </w:r>
      <w:r>
        <w:rPr>
          <w:rFonts w:ascii="Amiri" w:hAnsi="Amiri" w:eastAsia="Amiri" w:cs="Amiri"/>
          <w:color w:val="111111"/>
          <w:sz w:val="28"/>
          <w:sz w:val="28"/>
          <w:szCs w:val="28"/>
          <w:rtl w:val="true"/>
          <w:lang w:bidi="ar-SA"/>
        </w:rPr>
        <w:t>إجمالًا؛ لما فيها من استثناء بعولتهنّ و آباء بعولتهنّ و أبناء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جواز النظر إلى أُمّ الزوجة و الربائب، فهو للاتفاق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المحارم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ظاهراً في المحرّم باللواط و الزّنا، على القول به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فآية تحريم النكاح</w:t>
      </w:r>
      <w:r>
        <w:rPr>
          <w:rStyle w:val="FootnoteAnchor"/>
          <w:rtl w:val="true"/>
        </w:rPr>
        <w:footnoteReference w:id="796"/>
      </w:r>
      <w:r>
        <w:rPr>
          <w:rFonts w:ascii="Amiri" w:hAnsi="Amiri" w:eastAsia="Amiri" w:cs="Amiri"/>
          <w:color w:val="111111"/>
          <w:sz w:val="28"/>
          <w:sz w:val="28"/>
          <w:szCs w:val="28"/>
          <w:rtl w:val="true"/>
          <w:lang w:bidi="ar-SA"/>
        </w:rPr>
        <w:t>، ليست مخصصة لآية تحريم النظر</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يجوز 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ما عدا العورة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ربّما يناقش في دلالة الآية الثانية</w:t>
      </w:r>
      <w:r>
        <w:rPr>
          <w:rStyle w:val="FootnoteAnchor"/>
          <w:rtl w:val="true"/>
        </w:rPr>
        <w:footnoteReference w:id="798"/>
      </w:r>
      <w:r>
        <w:rPr>
          <w:rFonts w:ascii="Amiri" w:hAnsi="Amiri" w:eastAsia="Amiri" w:cs="Amiri"/>
          <w:color w:val="111111"/>
          <w:sz w:val="28"/>
          <w:sz w:val="28"/>
          <w:szCs w:val="28"/>
          <w:rtl w:val="true"/>
          <w:lang w:bidi="ar-SA"/>
        </w:rPr>
        <w:t>على جواز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متضمّنة لجواز الإظهار على النساء، و هو أعمّ من جواز نظرهم إليهنّ؛ فإنّه من الممكن التفكيك كما في الرجال، فإنّه يجوز خروجهم عُراة عليهنّ، مع حرمة نظرهنّ إليهم، و هنا مراعاةً للتسهيل عليهنّ رخّص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ينافيه قوله تعالى وَ لا يُبْدِينَ زِينَتَهُنَّ إِلَّا لِبُعُولَتِهِنَ </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إلى آخره، 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نظرهم إليهنّ،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المسألة ذات رواية حتّى يعتمد عليها؛ و تدل على عموم المدّعى، و لأجل ذلك استشكل فيها بعض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يجوز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 في مسألة جواز نظرهم بعضهم إلى بعض</w:t>
      </w:r>
      <w:r>
        <w:rPr>
          <w:rStyle w:val="FootnoteAnchor"/>
          <w:rtl w:val="true"/>
        </w:rPr>
        <w:footnoteReference w:id="800"/>
      </w:r>
      <w:r>
        <w:rPr>
          <w:rFonts w:ascii="Amiri" w:hAnsi="Amiri" w:eastAsia="Amiri" w:cs="Amiri"/>
          <w:color w:val="111111"/>
          <w:sz w:val="28"/>
          <w:sz w:val="28"/>
          <w:szCs w:val="28"/>
          <w:rtl w:val="true"/>
          <w:lang w:bidi="ar-SA"/>
        </w:rPr>
        <w:t>، و أمّا حكم العورة و موضوعها فيطلب من بحوث التخلّي و أحكامه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نظرهنّ غير مقيّد حسب الفتوى بعدم التلذّذ و الريبة، إلّا أنّه محتمل؛ لما يترتّب عليه من الفساد و الافتتان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الأصل جوازه</w:t>
      </w:r>
      <w:r>
        <w:rPr>
          <w:rFonts w:eastAsia="Amiri" w:cs="Amiri" w:ascii="Amiri" w:hAnsi="Amiri"/>
          <w:color w:val="111111"/>
          <w:sz w:val="28"/>
          <w:szCs w:val="28"/>
          <w:rtl w:val="true"/>
          <w:lang w:bidi="ar-SA"/>
        </w:rPr>
        <w:t>.</w:t>
      </w:r>
      <w:bookmarkStart w:id="271" w:name="pg12370_121871"/>
    </w:p>
    <w:p>
      <w:pPr>
        <w:pStyle w:val="Heading4"/>
        <w:numPr>
          <w:ilvl w:val="3"/>
          <w:numId w:val="1"/>
        </w:numPr>
        <w:rPr/>
      </w:pPr>
      <w:bookmarkStart w:id="272" w:name="__RefHeading___Toc9026272_417432637"/>
      <w:bookmarkStart w:id="273" w:name="_Toc97"/>
      <w:bookmarkEnd w:id="271"/>
      <w:bookmarkEnd w:id="272"/>
      <w:r>
        <w:rPr>
          <w:rtl w:val="true"/>
        </w:rPr>
        <w:t>[</w:t>
      </w:r>
      <w:r>
        <w:rPr>
          <w:rtl w:val="true"/>
        </w:rPr>
        <w:t xml:space="preserve">مسألة </w:t>
      </w:r>
      <w:r>
        <w:rPr/>
        <w:t>18</w:t>
      </w:r>
      <w:r>
        <w:rPr>
          <w:rtl w:val="true"/>
        </w:rPr>
        <w:t xml:space="preserve">: </w:t>
      </w:r>
      <w:r>
        <w:rPr>
          <w:rtl w:val="true"/>
        </w:rPr>
        <w:t>لا إشكال في عدم جواز نظر الرجل إلى ما عدا الوجه و الكفّين؛ من المرأة الأجنبيّة</w:t>
      </w:r>
      <w:r>
        <w:rPr>
          <w:rtl w:val="true"/>
        </w:rPr>
        <w:t>]</w:t>
      </w:r>
      <w:bookmarkEnd w:id="273"/>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عدم جواز نظر الرجل إلى ما عدا الوجه و الكفّين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المرأة الأجنبيّة، من شعرها و سائر جسدها، 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 مقطوعاً به، و مفروغاً عنه</w:t>
      </w:r>
      <w:r>
        <w:rPr>
          <w:rStyle w:val="FootnoteAnchor"/>
          <w:rtl w:val="true"/>
        </w:rPr>
        <w:footnoteReference w:id="801"/>
      </w:r>
      <w:r>
        <w:rPr>
          <w:rFonts w:ascii="Amiri" w:hAnsi="Amiri" w:eastAsia="Amiri" w:cs="Amiri"/>
          <w:color w:val="111111"/>
          <w:sz w:val="28"/>
          <w:sz w:val="28"/>
          <w:szCs w:val="28"/>
          <w:rtl w:val="true"/>
          <w:lang w:bidi="ar-SA"/>
        </w:rPr>
        <w:t xml:space="preserve">، و يشهد له السيرة الالتزاميّة القطعيّة، و لعلّها إسلاميّة، و لا يخالفنا أحد من المخالفين؛ حسب ما يظهر من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و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ضرورة من المذهب</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تسوق جملة من الأخبار الآتية في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أمكن المناقشة فيها سنداً أو دلالةً، على سبيل منع الخلو كما لا يبعد، و أمكن المناقشة في إطلاق معقد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القدر المتيقّن منه هو النظر و بتلذّذ و ريبة، كما يساعده الاعتبار، لأمكن تأييد ذلك بمعتبر عليّ بن سويد، 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مبتلى بالنظر إلى المرأة الجميلة، فيعجبني النظر إليها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بأس، إذا عرف اللَّه من نيّتك الصدق، و إيّاك و الزّنا؛ فإنّه يمحق البركة، و يهلك الدين</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كان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تلذّذ و ريبة،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ورد في القواعد</w:t>
      </w:r>
      <w:r>
        <w:rPr>
          <w:rStyle w:val="FootnoteAnchor"/>
          <w:rtl w:val="true"/>
        </w:rPr>
        <w:footnoteReference w:id="805"/>
      </w:r>
      <w:r>
        <w:rPr>
          <w:rFonts w:ascii="Amiri" w:hAnsi="Amiri" w:eastAsia="Amiri" w:cs="Amiri"/>
          <w:color w:val="111111"/>
          <w:sz w:val="28"/>
          <w:sz w:val="28"/>
          <w:szCs w:val="28"/>
          <w:rtl w:val="true"/>
          <w:lang w:bidi="ar-SA"/>
        </w:rPr>
        <w:t>، و ما ورد في جواز النظر حال الاضطرار</w:t>
      </w:r>
      <w:r>
        <w:rPr>
          <w:rStyle w:val="FootnoteAnchor"/>
          <w:rtl w:val="true"/>
        </w:rPr>
        <w:footnoteReference w:id="806"/>
      </w:r>
      <w:r>
        <w:rPr>
          <w:rFonts w:ascii="Amiri" w:hAnsi="Amiri" w:eastAsia="Amiri" w:cs="Amiri"/>
          <w:color w:val="111111"/>
          <w:sz w:val="28"/>
          <w:sz w:val="28"/>
          <w:szCs w:val="28"/>
          <w:rtl w:val="true"/>
          <w:lang w:bidi="ar-SA"/>
        </w:rPr>
        <w:t>، و أمثال ذلك، كلّها دليل المنع الكلّي، و سيأتي زيادة توضيح حول صحيح ابن سويد</w:t>
      </w:r>
      <w:r>
        <w:rPr>
          <w:rStyle w:val="FootnoteAnchor"/>
          <w:rtl w:val="true"/>
        </w:rPr>
        <w:footnoteReference w:id="807"/>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الآية الشريفة</w:t>
      </w:r>
      <w:r>
        <w:rPr>
          <w:rStyle w:val="FootnoteAnchor"/>
          <w:rtl w:val="true"/>
        </w:rPr>
        <w:footnoteReference w:id="808"/>
      </w:r>
      <w:r>
        <w:rPr>
          <w:rFonts w:ascii="Amiri" w:hAnsi="Amiri" w:eastAsia="Amiri" w:cs="Amiri"/>
          <w:color w:val="111111"/>
          <w:sz w:val="28"/>
          <w:sz w:val="28"/>
          <w:szCs w:val="28"/>
          <w:rtl w:val="true"/>
          <w:lang w:bidi="ar-SA"/>
        </w:rPr>
        <w:t>، فغاية ما تدلّ عليه بملاحظة ما ورد في نزولها</w:t>
      </w:r>
      <w:r>
        <w:rPr>
          <w:rStyle w:val="FootnoteAnchor"/>
          <w:rtl w:val="true"/>
        </w:rPr>
        <w:footnoteReference w:id="809"/>
      </w:r>
      <w:r>
        <w:rPr>
          <w:rFonts w:ascii="Amiri" w:hAnsi="Amiri" w:eastAsia="Amiri" w:cs="Amiri"/>
          <w:color w:val="111111"/>
          <w:sz w:val="28"/>
          <w:sz w:val="28"/>
          <w:szCs w:val="28"/>
          <w:rtl w:val="true"/>
          <w:lang w:bidi="ar-SA"/>
        </w:rPr>
        <w:t>هي حرمة النظر أو وجوب الغضّ عند الريبة و التلذّذ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كناية عن صرف النظر عن النساء؛ بالمحافظة على فروجهم، و بعدم الاعتناء بتطلّباتها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فيه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ذلك مضافاً إلى ما أُشير إليه، ما ورد في جواز النظر الى شعور نساء أهل الذمّة و أيديهنّ</w:t>
      </w:r>
      <w:r>
        <w:rPr>
          <w:rStyle w:val="FootnoteAnchor"/>
          <w:rtl w:val="true"/>
        </w:rPr>
        <w:footnoteReference w:id="810"/>
      </w:r>
      <w:r>
        <w:rPr>
          <w:rFonts w:ascii="Amiri" w:hAnsi="Amiri" w:eastAsia="Amiri" w:cs="Amiri"/>
          <w:color w:val="111111"/>
          <w:sz w:val="28"/>
          <w:sz w:val="28"/>
          <w:szCs w:val="28"/>
          <w:rtl w:val="true"/>
          <w:lang w:bidi="ar-SA"/>
        </w:rPr>
        <w:t>، و في جواز النظر إلى شعور نساء</w:t>
      </w:r>
    </w:p>
    <w:p>
      <w:pPr>
        <w:pStyle w:val="BookText"/>
        <w:rPr/>
      </w:pPr>
      <w:r>
        <w:rPr>
          <w:rFonts w:ascii="Amiri" w:hAnsi="Amiri" w:eastAsia="Amiri" w:cs="Amiri"/>
          <w:color w:val="111111"/>
          <w:sz w:val="28"/>
          <w:sz w:val="28"/>
          <w:szCs w:val="28"/>
          <w:rtl w:val="true"/>
          <w:lang w:bidi="ar-SA"/>
        </w:rPr>
        <w:t>الأعراب، و أهل السواد و العلوج، و المجنونة و المغلوبة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إذا نهوا لا ينتهون</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فإنّه يعلم منه كونه نهياً في أصل الشريعة، و هكذا ما ورد في عدم جواز النظر إلى شعر أُخت الزوجة</w:t>
      </w:r>
      <w:r>
        <w:rPr>
          <w:rStyle w:val="FootnoteAnchor"/>
          <w:rtl w:val="true"/>
        </w:rPr>
        <w:footnoteReference w:id="813"/>
      </w:r>
      <w:r>
        <w:rPr>
          <w:rFonts w:ascii="Amiri" w:hAnsi="Amiri" w:eastAsia="Amiri" w:cs="Amiri"/>
          <w:color w:val="111111"/>
          <w:sz w:val="28"/>
          <w:sz w:val="28"/>
          <w:szCs w:val="28"/>
          <w:rtl w:val="true"/>
          <w:lang w:bidi="ar-SA"/>
        </w:rPr>
        <w:t>فراجع و تأمل، و قضيّة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إطلاقها الممنوعيّة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 منصرف إلى صورة النظر بتلذّذ و ريبة، و خوفِ الفتنة و الفساد، و هذا لا ينافي حرمة السفور عليهنّ، و وجوبَ الحجاب بالنسبة إليهنّ بالضرورة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الاستثناء، لا يكون جواز النظر بريبة، مورده بضرورة عقول المتشرّعة و لو لم يكن عامّ واضح المرام يدلّ على المنع، و لكن يستفاد من القيود المأخوذة في هذه الطوائف، الممنوعيّة المطلقة، فليتدبّر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الوجه و الكفّان إذا كان بتلذّذ و 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بتلذّذ و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يأتي من ذهب إلى جواز ذلك مرّة واحدة</w:t>
      </w:r>
      <w:r>
        <w:rPr>
          <w:rStyle w:val="FootnoteAnchor"/>
          <w:rtl w:val="true"/>
        </w:rPr>
        <w:footnoteReference w:id="814"/>
      </w:r>
      <w:r>
        <w:rPr>
          <w:rFonts w:ascii="Amiri" w:hAnsi="Amiri" w:eastAsia="Amiri" w:cs="Amiri"/>
          <w:color w:val="111111"/>
          <w:sz w:val="28"/>
          <w:sz w:val="28"/>
          <w:szCs w:val="28"/>
          <w:rtl w:val="true"/>
          <w:lang w:bidi="ar-SA"/>
        </w:rPr>
        <w:t>، و أمّا مطلقاً فهو ممنوع عندهم، و هو مقتضى الأدلّة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و أمثاله، القدر المتيقّن من تلك الأدلّة قريبة؛ فإنّه أولى بالمنع، و عليه يدلّ ما ضبطه أهل السير و التأريخ؛ من أحوال النساء المؤمنات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كيفيّة تردّدهن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مطلقات، مثل الاستثناء في الآية الشريفة</w:t>
      </w:r>
      <w:r>
        <w:rPr>
          <w:rStyle w:val="FootnoteAnchor"/>
          <w:rtl w:val="true"/>
        </w:rPr>
        <w:footnoteReference w:id="815"/>
      </w:r>
      <w:r>
        <w:rPr>
          <w:rFonts w:ascii="Amiri" w:hAnsi="Amiri" w:eastAsia="Amiri" w:cs="Amiri"/>
          <w:color w:val="111111"/>
          <w:sz w:val="28"/>
          <w:sz w:val="28"/>
          <w:szCs w:val="28"/>
          <w:rtl w:val="true"/>
          <w:lang w:bidi="ar-SA"/>
        </w:rPr>
        <w:t>، و الأخبار الواردة في الوجه و الكفّين و القدمين</w:t>
      </w:r>
      <w:r>
        <w:rPr>
          <w:rStyle w:val="FootnoteAnchor"/>
          <w:rtl w:val="true"/>
        </w:rPr>
        <w:footnoteReference w:id="816"/>
      </w:r>
      <w:r>
        <w:rPr>
          <w:rFonts w:ascii="Amiri" w:hAnsi="Amiri" w:eastAsia="Amiri" w:cs="Amiri"/>
          <w:color w:val="111111"/>
          <w:sz w:val="28"/>
          <w:sz w:val="28"/>
          <w:szCs w:val="28"/>
          <w:rtl w:val="true"/>
          <w:lang w:bidi="ar-SA"/>
        </w:rPr>
        <w:t>فإنّ قضيّتها الجواز مطلقاً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أمكن المناقشة في دلالة الآية على الجواز في المسألة بأنّ الاستثناء هنا من قبيل الاستثناء في قوله تعالى وَ ما كانَ لِمُؤْمِنٍ أَنْ يَقْتُلَ مُؤْمِناً إِلَّا خَطَأً</w:t>
      </w:r>
      <w:r>
        <w:rPr>
          <w:rStyle w:val="FootnoteAnchor"/>
          <w:rtl w:val="true"/>
        </w:rPr>
        <w:footnoteReference w:id="817"/>
      </w:r>
      <w:r>
        <w:rPr>
          <w:rFonts w:ascii="Amiri" w:hAnsi="Amiri" w:eastAsia="Amiri" w:cs="Amiri"/>
          <w:color w:val="111111"/>
          <w:sz w:val="28"/>
          <w:sz w:val="28"/>
          <w:szCs w:val="28"/>
          <w:rtl w:val="true"/>
          <w:lang w:bidi="ar-SA"/>
        </w:rPr>
        <w:t>فما يحلّ لهنّ إبداء زينتهنّ إلّا ما ظهر منها قهراً و طبعاً، لا أنّه يجوز الإبداء بالنسبة إلى ما ظهر، و سيظهر الكلام ذيل المسألة إن شاء اللَّه تعالى يمكن المناقشة في الإطلاقات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معرض عنها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بدونها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 بل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 و عدمه مطلقاً، و التفصيل بين نظرة واحدة فالأوّل، و تكرار النظر فالثاني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أحوط الأقوال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ما ورد من استثناء أيدي نساء أهل الذمّة</w:t>
      </w:r>
      <w:r>
        <w:rPr>
          <w:rStyle w:val="FootnoteAnchor"/>
          <w:rtl w:val="true"/>
        </w:rPr>
        <w:footnoteReference w:id="818"/>
      </w:r>
      <w:r>
        <w:rPr>
          <w:rFonts w:ascii="Amiri" w:hAnsi="Amiri" w:eastAsia="Amiri" w:cs="Amiri"/>
          <w:color w:val="111111"/>
          <w:sz w:val="28"/>
          <w:sz w:val="28"/>
          <w:szCs w:val="28"/>
          <w:rtl w:val="true"/>
          <w:lang w:bidi="ar-SA"/>
        </w:rPr>
        <w:t>، معارض لها بمفهومها الثابت له عرفاً جدّاً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من تجويز النظر إلى المجنونة و المغلوبة على عقلها ما لم يتعمّد</w:t>
      </w:r>
      <w:r>
        <w:rPr>
          <w:rStyle w:val="FootnoteAnchor"/>
          <w:rtl w:val="true"/>
        </w:rPr>
        <w:footnoteReference w:id="819"/>
      </w:r>
      <w:r>
        <w:rPr>
          <w:rFonts w:ascii="Amiri" w:hAnsi="Amiri" w:eastAsia="Amiri" w:cs="Amiri"/>
          <w:color w:val="111111"/>
          <w:sz w:val="28"/>
          <w:sz w:val="28"/>
          <w:szCs w:val="28"/>
          <w:rtl w:val="true"/>
          <w:lang w:bidi="ar-SA"/>
        </w:rPr>
        <w:t>، فمع التعمّد لا يجوز فيهنّ، فضلًا عن غيرهّن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اتفاقيّة، و يقتضيها ذوق المتشرّعة، و يناسبها اهتمام الإسلام بسدّ ثغور الفساد، و لا سيّما في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معتبر ابن سويد الماضي،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اللَّه من نيّتك الصدق</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 مجرّد إمكان المناقشة فيما استقصيناه حسب الصناعة، غير كافٍ؛ لما يفهم العرف من المجموع، ما اختاره المجمعين إنصافاً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بدونها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نظرتان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جواز النظر من السيرة أي النظر إلى ما كان الناس يبتلون به يوماً و ليلًا، و إلى ما في بعض الأخبار و الآثار المؤيّدة لهذه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 المسائل المبتلية بها الأُمّة الإسلاميّة في أدوار حياتها الاجتماعيّة، إذا كانت من المحرّمات الإلهيّة، لا بدّ و أن يتبيّن حالها و حكمها في الشريعة؛ على وجه لا يشكّ فيه الاثنان؛ لأنّ الدعاة إليها كثيرون، و الأمّة الإسلاميّة يحافظونها على الأجيال التالية طبعاً، فعندئذٍ إذا رأينا أنّ مسألة النظر غير الشهوىّ، كانت ممّا يبتلي بها كافّة المسلمين المتدينين و غيرهم؛ في معاشهم و تجارتهم، و في محاوراتهم و معاشرتهم اليوميّة الرائجة بين الأقوام و القبائل، و لم تكن حرمة واضحة في الأخبار و الآيات؛ على حدّ النار على المنار، و الشمس في رابعة النهار، يتبيّن من ذاك و ذاك أنّ الجواز قطعيّ، و لو كان الشرع يهتمّ بتحريم ذلك، لأوضحه في الآيات المختلفة، و المآثير الواضحة، بعبارات ظاهرة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المتدبر في الوقائع الخارجيّة، و الترّددِ المتعارف بين العشائر و القبائل، و الأقوام و الأجيال، يجد أنّه لا مخلص من هذا الأمر؛ و أنّ مسألة النظر بلا شهوة و ريبة و تلذّذ، ما كانت مطرح الأنظار السالفة، و أنّ كلّ النظر كان حول تحريم النظر الباطل الخبيث، الذي</w:t>
      </w:r>
    </w:p>
    <w:p>
      <w:pPr>
        <w:pStyle w:val="BookText"/>
        <w:rPr/>
      </w:pPr>
      <w:r>
        <w:rPr>
          <w:rFonts w:ascii="Amiri" w:hAnsi="Amiri" w:eastAsia="Amiri" w:cs="Amiri"/>
          <w:color w:val="111111"/>
          <w:sz w:val="28"/>
          <w:sz w:val="28"/>
          <w:szCs w:val="28"/>
          <w:rtl w:val="true"/>
          <w:lang w:bidi="ar-SA"/>
        </w:rPr>
        <w:t>يجده الناظر من نفسه و وجدانه من غير حاجة إلى توضيح ذلك؛ ضرورة أنّ ما هو الممنوع وجداناً و خُلقاً، هو المحرّم شرعاً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يؤيّده معتبر عليّ بن سويد السابق، الصريح في تجويز النظر مطلقاً؛ إذا عرف اللَّه من نيّته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 على الاضطرار للنظر بقصد العلاج</w:t>
      </w:r>
      <w:r>
        <w:rPr>
          <w:rStyle w:val="FootnoteAnchor"/>
          <w:rtl w:val="true"/>
        </w:rPr>
        <w:footnoteReference w:id="821"/>
      </w:r>
      <w:r>
        <w:rPr>
          <w:rFonts w:ascii="Amiri" w:hAnsi="Amiri" w:eastAsia="Amiri" w:cs="Amiri"/>
          <w:color w:val="111111"/>
          <w:sz w:val="28"/>
          <w:sz w:val="28"/>
          <w:szCs w:val="28"/>
          <w:rtl w:val="true"/>
          <w:lang w:bidi="ar-SA"/>
        </w:rPr>
        <w:t>، أو على النظر الاتفاقيّ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بلا وجه جدّاً؛ ضرورة أنّ ابن سويد ما كان معالجاً حسب تأريخ حياته، و كان النظر دأبه و عادته، من غير الاضطرار و لو كان معالجاً؛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رجل مبتلى بالنظر إلى المرأة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كونه طبيباً و معالجاً، فكأنّه كان ينظر إليها لأجل النيّات الصادقة، و تقوية الإيمان و التوحيد؛ حيث أنّها جمال اللَّه تبارك و تعالى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أنّه كان يتلذّذ بالنظر إليهنّ</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غير تامّ؛ لأنّ هذا ينافي وثاقته</w:t>
      </w:r>
      <w:r>
        <w:rPr>
          <w:rStyle w:val="FootnoteAnchor"/>
          <w:rtl w:val="true"/>
        </w:rPr>
        <w:footnoteReference w:id="825"/>
      </w:r>
      <w:r>
        <w:rPr>
          <w:rFonts w:ascii="Amiri" w:hAnsi="Amiri" w:eastAsia="Amiri" w:cs="Amiri"/>
          <w:color w:val="111111"/>
          <w:sz w:val="28"/>
          <w:sz w:val="28"/>
          <w:szCs w:val="28"/>
          <w:rtl w:val="true"/>
          <w:lang w:bidi="ar-SA"/>
        </w:rPr>
        <w:t>، ضرورة معروفيّة هذا الحكم بين الأصحاب الأوّلين، بل</w:t>
      </w:r>
    </w:p>
    <w:p>
      <w:pPr>
        <w:pStyle w:val="BookText"/>
        <w:rPr/>
      </w:pPr>
      <w:r>
        <w:rPr>
          <w:rFonts w:ascii="Amiri" w:hAnsi="Amiri" w:eastAsia="Amiri" w:cs="Amiri"/>
          <w:color w:val="111111"/>
          <w:sz w:val="28"/>
          <w:sz w:val="28"/>
          <w:szCs w:val="28"/>
          <w:rtl w:val="true"/>
          <w:lang w:bidi="ar-SA"/>
        </w:rPr>
        <w:t>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27"/>
      </w:r>
      <w:r>
        <w:rPr>
          <w:rFonts w:ascii="Amiri" w:hAnsi="Amiri" w:eastAsia="Amiri" w:cs="Amiri"/>
          <w:color w:val="111111"/>
          <w:sz w:val="28"/>
          <w:sz w:val="28"/>
          <w:szCs w:val="28"/>
          <w:rtl w:val="true"/>
          <w:lang w:bidi="ar-SA"/>
        </w:rPr>
        <w:t>و كلّ من قيّد التحريم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بالتلذّذ و الريبة</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أنّه يجوز النظر في غير هذه الصورة مطلقاً؛ من غير فرق بين النظرة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في أنّ القدر المتيقن حرمة النظرة الثانية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النظر إلى الأخبار الموجودة بين أيدينا، أنّ النظرة الأُولى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من سهام إبليس</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و ما ورد من التفصيل بين النظرة الأولى و الثانية</w:t>
      </w:r>
      <w:r>
        <w:rPr>
          <w:rStyle w:val="FootnoteAnchor"/>
          <w:rtl w:val="true"/>
        </w:rPr>
        <w:footnoteReference w:id="830"/>
      </w:r>
      <w:r>
        <w:rPr>
          <w:rFonts w:ascii="Amiri" w:hAnsi="Amiri" w:eastAsia="Amiri" w:cs="Amiri"/>
          <w:color w:val="111111"/>
          <w:sz w:val="28"/>
          <w:sz w:val="28"/>
          <w:szCs w:val="28"/>
          <w:rtl w:val="true"/>
          <w:lang w:bidi="ar-SA"/>
        </w:rPr>
        <w:t>أيضاً، هو ممنوعيّة النظرة الثانية مطلقاً؛ سواء كان بتلذّذ و شهوة، أم كان بصدق و نيّة خالصة، فالقول بالجواز مطلقاً ينافيه الطائفتان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لكنّك عرفت فيما سبق حكم الطائفة الأُولى؛ فإنّها مع كثرتها غير نقيّة السند 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المنساق من إطلاقها هو النظر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الأمر في الطائفة الثانية؛ فإنّ 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نظرة لك؛ و الثانية عليك و لا لك، و الثالثة فيها الهلاك</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حيّة قتل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النظرة النظرة، فليس لك يا عليّ إلّا أوّل نظرة</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هاتان غير نقيّتي السند؛ حسب ما تحرّر عندنا في مراسيل الصدوق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بإسناده عن ابن أبي عمير عن عبد اللَّه بن يحيى الأسدي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بعد النظرة، تزرع في القلب الشهوة، و كفى بها لصاحبها فتنة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قريب اعتباره عندنا، و إن لم يوثّق الكاهلي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الشأن في دلالة هذه الأخبار على الحرمة و إن لم تكن</w:t>
      </w:r>
    </w:p>
    <w:p>
      <w:pPr>
        <w:pStyle w:val="BookText"/>
        <w:rPr/>
      </w:pPr>
      <w:r>
        <w:rPr>
          <w:rFonts w:ascii="Amiri" w:hAnsi="Amiri" w:eastAsia="Amiri" w:cs="Amiri"/>
          <w:color w:val="111111"/>
          <w:sz w:val="28"/>
          <w:sz w:val="28"/>
          <w:szCs w:val="28"/>
          <w:rtl w:val="true"/>
          <w:lang w:bidi="ar-SA"/>
        </w:rPr>
        <w:t>النظرة بشهوة؛ فإنّها ممنوعة جدّاً، فإنّ المستفاد منها أنّ النظرة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نوعاً فارغة عن النيّة الباطلة جائزة، و لكنّها في المرة الثانية، تلازم نوعاً تلك النيّة فتحرم، و أمّا فيما لم يكن النظر مقروناً بالنيّة الشيطانيّة، فهذه الأخبار غير ناظرة إليها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المسألة بعض الشواهد الأُخر، الناهضة على أنّ الأمر مبنيّ على الكراهة، و إن لم يقل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وجه القول بالتحريم مطلقاً، و بالتفصيل بين الاولى و الثانية، كما ظهر وجه تحليل النظر الشيطانيّ في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القدر المتيقّن هي حرمة الثانية، إذا كانت مقرونة بالتلذذ و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يستفاد من أدلّة استثناء الوجه و الكفين</w:t>
      </w:r>
      <w:r>
        <w:rPr>
          <w:rStyle w:val="FootnoteAnchor"/>
          <w:rtl w:val="true"/>
        </w:rPr>
        <w:footnoteReference w:id="834"/>
      </w:r>
      <w:r>
        <w:rPr>
          <w:rFonts w:ascii="Amiri" w:hAnsi="Amiri" w:eastAsia="Amiri" w:cs="Amiri"/>
          <w:color w:val="111111"/>
          <w:sz w:val="28"/>
          <w:sz w:val="28"/>
          <w:szCs w:val="28"/>
          <w:rtl w:val="true"/>
          <w:lang w:bidi="ar-SA"/>
        </w:rPr>
        <w:t>من عموم وجوب ستر المرأة نفسها، جواز النظر إليها؛ بدعوى الملازمة العرفيّة بين تجويز الاستثناء، و تجويز النظر على الرجال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خلط بعض الأفاضل بين أدلّة المسألتين</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مسألة وجوب الستر على المرأة، مذكورة في كتاب الصلاة، و مسألةَ حرمة</w:t>
      </w:r>
    </w:p>
    <w:p>
      <w:pPr>
        <w:pStyle w:val="BookText"/>
        <w:rPr/>
      </w:pPr>
      <w:r>
        <w:rPr>
          <w:rFonts w:ascii="Amiri" w:hAnsi="Amiri" w:eastAsia="Amiri" w:cs="Amiri"/>
          <w:color w:val="111111"/>
          <w:sz w:val="28"/>
          <w:sz w:val="28"/>
          <w:szCs w:val="28"/>
          <w:rtl w:val="true"/>
          <w:lang w:bidi="ar-SA"/>
        </w:rPr>
        <w:t>النظر إلى الأجنبيّة، معنونة في المقام، و أدلّة تلك المسألة غير أدلّة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الملازمة العرفيّة، يمكن استظهار جواز النظر منها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المسألة، لا بأس بذكر 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اعتبارها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بجواز النظر إلى الوجه و الكفّين،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يحلّ له أن ينظر إلى شعر أُخت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تكون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امرأته و الغريبة سواء؟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من النظر إليه منها؟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شعرها و ذراعها</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القواعد، و تجويز النظر فيها إلى الذراع، يشعر بأنّ الوجه و الكفّين كان يجوز، فتأمّل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 مرسلة ابن عبيد،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أن يرى من المرأة؛ إذا لم يكن محرماً؟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و الكفّان و القدمان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ذكرناه مع إجماله، يظهر وجه استثناء الكفّين و الوجه و لو كان يجب عليهنّ التستّر، و لكنهنّ لا ينتهين في ذلك، و مع هذا لم يرد نصّ يمنع الرجال عن النظر صريحاً، بل ورد بعض الظواهر على جوازه</w:t>
      </w:r>
      <w:r>
        <w:rPr>
          <w:rStyle w:val="FootnoteAnchor"/>
          <w:rtl w:val="true"/>
        </w:rPr>
        <w:footnoteReference w:id="838"/>
      </w:r>
      <w:r>
        <w:rPr>
          <w:rFonts w:ascii="IRNazanin" w:hAnsi="IRNazanin" w:eastAsia="IRNazanin"/>
          <w:color w:val="111111"/>
          <w:sz w:val="28"/>
          <w:sz w:val="28"/>
          <w:szCs w:val="28"/>
          <w:rtl w:val="true"/>
          <w:lang w:bidi="fa-IR"/>
        </w:rPr>
        <w:t>، فلا تخلط</w:t>
      </w:r>
      <w:r>
        <w:rPr>
          <w:rFonts w:eastAsia="IRNazanin" w:cs="IRNazanin"/>
          <w:color w:val="111111"/>
          <w:sz w:val="28"/>
          <w:szCs w:val="28"/>
          <w:rtl w:val="true"/>
          <w:lang w:bidi="fa-IR"/>
        </w:rPr>
        <w:t>.</w:t>
      </w:r>
      <w:bookmarkStart w:id="274" w:name="pg12370_121883"/>
    </w:p>
    <w:p>
      <w:pPr>
        <w:pStyle w:val="Heading4"/>
        <w:numPr>
          <w:ilvl w:val="3"/>
          <w:numId w:val="1"/>
        </w:numPr>
        <w:rPr/>
      </w:pPr>
      <w:bookmarkStart w:id="275" w:name="__RefHeading___Toc9026274_417432637"/>
      <w:bookmarkStart w:id="276" w:name="_Toc98"/>
      <w:bookmarkEnd w:id="274"/>
      <w:bookmarkEnd w:id="275"/>
      <w:r>
        <w:rPr>
          <w:rtl w:val="true"/>
        </w:rPr>
        <w:t>[</w:t>
      </w:r>
      <w:r>
        <w:rPr>
          <w:rtl w:val="true"/>
        </w:rPr>
        <w:t xml:space="preserve">مسألة </w:t>
      </w:r>
      <w:r>
        <w:rPr/>
        <w:t>19</w:t>
      </w:r>
      <w:r>
        <w:rPr>
          <w:rtl w:val="true"/>
        </w:rPr>
        <w:t xml:space="preserve">: </w:t>
      </w:r>
      <w:r>
        <w:rPr>
          <w:rtl w:val="true"/>
        </w:rPr>
        <w:t>لا يجوز للمرأة النظر إلى الأجنبي كالعكس</w:t>
      </w:r>
      <w:r>
        <w:rPr>
          <w:rtl w:val="true"/>
        </w:rPr>
        <w:t>]</w:t>
      </w:r>
      <w:bookmarkEnd w:id="276"/>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للمرأة النظر إلى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كالعكس،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مطلقاً حسب ما يظهر، و عليه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عموم الحذف في الآية الشريفة</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تتحد المرأة مع الرجل، فتمنع في محلّ المنع، و لا تمنع في غيره إجماعاً</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يناقش في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معلّل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الحذف، ينتهي إلى المنع عن كلّ شي‌ء، و هو كما ترى، فتكون الآية في موقف تحريم خاصّ بحسب محلّ النظر و الحال، و القدر المتيقّن منه هو الأجنبيّ؛ إذا كان في حال الشهوة و الريبة، فلا دليل على المنع المطلق حتّى نحتاج إلى استثناء الوجه و الكفين بدليل آخر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تحريم النظر كان يتّضح؛ لكثرة الابتلاء به، و مجرّد خبر عامّي يحكي قصّة عائشة و حفصة</w:t>
      </w:r>
      <w:r>
        <w:rPr>
          <w:rStyle w:val="FootnoteAnchor"/>
          <w:rtl w:val="true"/>
        </w:rPr>
        <w:footnoteReference w:id="841"/>
      </w:r>
      <w:r>
        <w:rPr>
          <w:rFonts w:ascii="Amiri" w:hAnsi="Amiri" w:eastAsia="Amiri" w:cs="Amiri"/>
          <w:color w:val="111111"/>
          <w:sz w:val="28"/>
          <w:sz w:val="28"/>
          <w:szCs w:val="28"/>
          <w:rtl w:val="true"/>
          <w:lang w:bidi="ar-SA"/>
        </w:rPr>
        <w:t>، أو رواية أُخرى تحكي عن قضيّة</w:t>
      </w:r>
    </w:p>
    <w:p>
      <w:pPr>
        <w:pStyle w:val="BookText"/>
        <w:rPr/>
      </w:pPr>
      <w:r>
        <w:rPr>
          <w:rFonts w:ascii="Amiri" w:hAnsi="Amiri" w:eastAsia="Amiri" w:cs="Amiri"/>
          <w:color w:val="111111"/>
          <w:sz w:val="28"/>
          <w:sz w:val="28"/>
          <w:szCs w:val="28"/>
          <w:rtl w:val="true"/>
          <w:lang w:bidi="ar-SA"/>
        </w:rPr>
        <w:t xml:space="preserve">و 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الوجه و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سيّدة النساء سلام اللَّه عليها في مورد ابن أُمّ مكتوم، وروده في البيت</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كتاب النكاح، أبواب مقدّمات النكاح، الباب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يكفي لحلّ هذه المشاكل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جواز النظر إلى الوجه و الكفين من النساء دون الرجال؛ بتوهّم وجود الدليل</w:t>
      </w:r>
      <w:r>
        <w:rPr>
          <w:rStyle w:val="FootnoteAnchor"/>
          <w:rtl w:val="true"/>
        </w:rPr>
        <w:footnoteReference w:id="843"/>
      </w:r>
      <w:r>
        <w:rPr>
          <w:rFonts w:ascii="Amiri" w:hAnsi="Amiri" w:eastAsia="Amiri" w:cs="Amiri"/>
          <w:color w:val="111111"/>
          <w:sz w:val="28"/>
          <w:sz w:val="28"/>
          <w:szCs w:val="28"/>
          <w:rtl w:val="true"/>
          <w:lang w:bidi="ar-SA"/>
        </w:rPr>
        <w:t>على الاستثناء هناك، لا هنا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الفقيه كلّ الفقيه، من يراجع السيرة السالفة، ويلا حظ الأخبار و الأحكام الإلهيّة بالقياس إليها، حتّى يتّضح له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مطلقاً حتّى بريبة و تلذّذ، و قد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جواز النظر للنساء و لو كان بتلذّذ؛ لأنّ التلذّذ نادر، و ربّما لا يبالي الشرع بالنادر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التلذّذ الحاصل بالنظر و الاستدامة إذا كان متعارفاً يمكن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تجويزه في موارد جوازه، كما نسب إلى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 فتخصّ ممنوعيّة النظر بما إذا قصد التلذّذ بالنظر، و هو المنسوب إلى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bookmarkStart w:id="277" w:name="pg12370_121886"/>
    </w:p>
    <w:p>
      <w:pPr>
        <w:pStyle w:val="Heading4"/>
        <w:numPr>
          <w:ilvl w:val="3"/>
          <w:numId w:val="1"/>
        </w:numPr>
        <w:rPr/>
      </w:pPr>
      <w:bookmarkStart w:id="278" w:name="__RefHeading___Toc9026276_417432637"/>
      <w:bookmarkStart w:id="279" w:name="_Toc99"/>
      <w:bookmarkEnd w:id="277"/>
      <w:bookmarkEnd w:id="278"/>
      <w:r>
        <w:rPr>
          <w:rtl w:val="true"/>
        </w:rPr>
        <w:t>[</w:t>
      </w:r>
      <w:r>
        <w:rPr>
          <w:rtl w:val="true"/>
        </w:rPr>
        <w:t xml:space="preserve">مسألة </w:t>
      </w:r>
      <w:r>
        <w:rPr/>
        <w:t>20</w:t>
      </w:r>
      <w:r>
        <w:rPr>
          <w:rtl w:val="true"/>
        </w:rPr>
        <w:t xml:space="preserve">: </w:t>
      </w:r>
      <w:r>
        <w:rPr>
          <w:rtl w:val="true"/>
        </w:rPr>
        <w:t>كلّ من يحرم النظر إليه يحرم مسّه</w:t>
      </w:r>
      <w:r>
        <w:rPr>
          <w:rtl w:val="true"/>
        </w:rPr>
        <w:t>]</w:t>
      </w:r>
      <w:bookmarkEnd w:id="27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يحرم النظر إليه يحرم مسّه،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قبل الإجماع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فيه خلافاً، بل كأنّه ضروريّ على وجه يكون محرّماً بنفسه</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انتهى الأخبار الكثيرة المتفرّقة، ففي أبواب غسل الميّت معتبر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مع النساء غسلته امرأته، و إن لم تكن امرأته معه غسّلته أُولاهنّ به، و تلفّ على يدها خرقة</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ما ورد من جواز تغسيل المحارم بلا لفّ</w:t>
      </w:r>
      <w:r>
        <w:rPr>
          <w:rStyle w:val="FootnoteAnchor"/>
          <w:rtl w:val="true"/>
        </w:rPr>
        <w:footnoteReference w:id="848"/>
      </w:r>
      <w:r>
        <w:rPr>
          <w:rFonts w:ascii="Amiri" w:hAnsi="Amiri" w:eastAsia="Amiri" w:cs="Amiri"/>
          <w:color w:val="111111"/>
          <w:sz w:val="28"/>
          <w:sz w:val="28"/>
          <w:szCs w:val="28"/>
          <w:rtl w:val="true"/>
          <w:lang w:bidi="ar-SA"/>
        </w:rPr>
        <w:t>، اختصاص اللفّ بالأولى غير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أبواب مقدمات النكاح و فيه مرسلة ابن أبي نجران،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زنا الفم القبلة، و زنا اليدين اللّمس </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صافح امرأة تحرم عليه، فقد</w:t>
      </w:r>
    </w:p>
    <w:p>
      <w:pPr>
        <w:pStyle w:val="BookText"/>
        <w:rPr/>
      </w:pPr>
      <w:r>
        <w:rPr>
          <w:rFonts w:ascii="Amiri" w:hAnsi="Amiri" w:eastAsia="Amiri" w:cs="Amiri"/>
          <w:color w:val="111111"/>
          <w:sz w:val="28"/>
          <w:sz w:val="28"/>
          <w:szCs w:val="28"/>
          <w:rtl w:val="true"/>
          <w:lang w:bidi="ar-SA"/>
        </w:rPr>
        <w:t xml:space="preserve">باءَ بسخط من اللَّه عزّ و جلّ </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صافح امرأة حراماً، جاء يوم القيامة مغلولًا، ثمّ يُؤمر به إلى النار </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معتبر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يصافح الرجل المرأة ليست بذات محرم؟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من وراء الثوب</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معتبر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مصافحة الرجل المرأة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للرجل أن يصافح المرأة، إلّا امرأة يحرم عليه أن يتزوّجها؛ أُخت، أو بنت، أو عمّة، أو خالة، أو بنت أُخت، أو نحوها، و أمّا المرأة التي يحلّ له أن يتزوجها، فلا يصافحها إلّا من وراء الثوب، و لا يغمز كفّها</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أبواب النكاح المحرّم في حديث عقاب الأعمال،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إذا طاوعت الرجل، فنال منها حراماً و قبّلها، و باشرها حراماً، أو فاكهها، أو أصاب منها فاحشة، فعليها مثل ما على الرجل، فإن غلبها على نفسها، كان على الرجل وزره و وزرها</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ما ينفعك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الباب السابق روايات تحكي كيفيّة بيعة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النساء</w:t>
      </w:r>
      <w:r>
        <w:rPr>
          <w:rStyle w:val="FootnoteAnchor"/>
          <w:rtl w:val="true"/>
        </w:rPr>
        <w:footnoteReference w:id="855"/>
      </w:r>
      <w:r>
        <w:rPr>
          <w:rFonts w:ascii="Amiri" w:hAnsi="Amiri" w:eastAsia="Amiri" w:cs="Amiri"/>
          <w:color w:val="111111"/>
          <w:sz w:val="28"/>
          <w:sz w:val="28"/>
          <w:szCs w:val="28"/>
          <w:rtl w:val="true"/>
          <w:lang w:bidi="ar-SA"/>
        </w:rPr>
        <w:t xml:space="preserve">، و فيها أيضاً ما يشهد على الممنوعيّة، إن لم يكن ذلك من خصائصه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خوف يوجب الافتراق بلا طلاق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المقصود تحريم المسّ، و هذه الطوائف قاصرة، إلّا الأُولى و حديث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إمكان المناقشة في ذلك بعد اقتضاء الاعتبار تحريمه، و هو الموافق لمرتكز المتشرّعة، و لا عسر و لا حرج في ذلك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الأجنبيّ الأجنبيّة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النظر إلى الوجه و الكفّين من الأجنبيّة، لم نقل بجواز مسّهما منها، فلا يجوز للرجل مصافحتها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بها من وراء الثوب، لكن لا يغمز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بدعوى انصراف أدلّة المنع حتّى الإجماع إلى مورد المسّ بتلذّذ و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ينبغي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يناسب التفريع ما يتفرّع عليه؛ فإنّ المصافحة أخصّ، لإمكان تحريمها خصوصاً،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56"/>
      </w:r>
      <w:r>
        <w:rPr>
          <w:rFonts w:ascii="Amiri" w:hAnsi="Amiri" w:eastAsia="Amiri" w:cs="Amiri"/>
          <w:color w:val="111111"/>
          <w:sz w:val="28"/>
          <w:sz w:val="28"/>
          <w:szCs w:val="28"/>
          <w:rtl w:val="true"/>
          <w:lang w:bidi="ar-SA"/>
        </w:rPr>
        <w:t xml:space="preserve">و أقرّ به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على أنّ الملازمة ممنوعة، و في المحكي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حرم النظر حرم اللّمس قطعاً، بل لا إشكال في حرمة اللّمس و إن جاز النظر؛ للأخبار الكثيرة</w:t>
      </w:r>
      <w:r>
        <w:rPr>
          <w:rFonts w:eastAsia="Amiri" w:cs="Amiri" w:ascii="Amiri" w:hAnsi="Amiri"/>
          <w:color w:val="111111"/>
          <w:sz w:val="28"/>
          <w:szCs w:val="28"/>
          <w:rtl w:val="true"/>
          <w:lang w:bidi="ar-SA"/>
        </w:rPr>
        <w:t>»</w:t>
      </w:r>
      <w:r>
        <w:rPr>
          <w:rStyle w:val="FootnoteAnchor"/>
          <w:rtl w:val="true"/>
        </w:rPr>
        <w:footnoteReference w:id="8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مراده من الأخبار الكثيرة، لا بدّ و أن تكون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تحريمه على إطلاقه محلّ إشكال، فتدبّر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يغمز</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يجسّها و لا يكبسها باليد، و قد مرّ في الأخبار ما يدلّ عليه</w:t>
      </w:r>
    </w:p>
    <w:p>
      <w:pPr>
        <w:pStyle w:val="BookText"/>
        <w:rPr/>
      </w:pPr>
      <w:r>
        <w:rPr>
          <w:rFonts w:ascii="Amiri" w:hAnsi="Amiri" w:eastAsia="Amiri" w:cs="Amiri"/>
          <w:color w:val="111111"/>
          <w:sz w:val="28"/>
          <w:sz w:val="28"/>
          <w:szCs w:val="28"/>
          <w:rtl w:val="true"/>
          <w:lang w:bidi="ar-SA"/>
        </w:rPr>
        <w:t>بالأولويّة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طائفة منهم حسب إطلاقهم، جواز المسّ من وراء الثوب عند غير الضرورة، بل و لو كان فيه الريبة و التلذّذ</w:t>
      </w:r>
      <w:r>
        <w:rPr>
          <w:rStyle w:val="FootnoteAnchor"/>
          <w:rtl w:val="true"/>
        </w:rPr>
        <w:footnoteReference w:id="860"/>
      </w:r>
      <w:r>
        <w:rPr>
          <w:rFonts w:ascii="Amiri" w:hAnsi="Amiri" w:eastAsia="Amiri" w:cs="Amiri"/>
          <w:color w:val="111111"/>
          <w:sz w:val="28"/>
          <w:sz w:val="28"/>
          <w:szCs w:val="28"/>
          <w:rtl w:val="true"/>
          <w:lang w:bidi="ar-SA"/>
        </w:rPr>
        <w:t>، و يحتمل مفروغيّة الممنوعيّة من هذه الجهة، إلّا أنّ إطلاق معتبر أبي بصير يسدّها</w:t>
      </w:r>
      <w:r>
        <w:rPr>
          <w:rStyle w:val="FootnoteAnchor"/>
          <w:rtl w:val="true"/>
        </w:rPr>
        <w:footnoteReference w:id="861"/>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bookmarkStart w:id="280" w:name="pg12370_121891"/>
    </w:p>
    <w:p>
      <w:pPr>
        <w:pStyle w:val="Heading4"/>
        <w:numPr>
          <w:ilvl w:val="3"/>
          <w:numId w:val="1"/>
        </w:numPr>
        <w:rPr/>
      </w:pPr>
      <w:bookmarkStart w:id="281" w:name="__RefHeading___Toc9026278_417432637"/>
      <w:bookmarkStart w:id="282" w:name="_Toc100"/>
      <w:bookmarkEnd w:id="280"/>
      <w:bookmarkEnd w:id="281"/>
      <w:r>
        <w:rPr>
          <w:rtl w:val="true"/>
        </w:rPr>
        <w:t>[</w:t>
      </w:r>
      <w:r>
        <w:rPr>
          <w:rtl w:val="true"/>
        </w:rPr>
        <w:t xml:space="preserve">مسألة </w:t>
      </w:r>
      <w:r>
        <w:rPr/>
        <w:t>21</w:t>
      </w:r>
      <w:r>
        <w:rPr>
          <w:rtl w:val="true"/>
        </w:rPr>
        <w:t xml:space="preserve">: </w:t>
      </w:r>
      <w:r>
        <w:rPr>
          <w:rtl w:val="true"/>
        </w:rPr>
        <w:t>لا يجوز النظر إلى العضو المبان من الأجنبيّ و الأجنبيّة</w:t>
      </w:r>
      <w:r>
        <w:rPr>
          <w:rtl w:val="true"/>
        </w:rPr>
        <w:t>]</w:t>
      </w:r>
      <w:bookmarkEnd w:id="282"/>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النظر إلى العضو المبان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الأجنبيّ و الأجنبيّة، 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العضو المبان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المعروف بين المتعرّضين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القواعد استشكل في الحكم</w:t>
      </w:r>
      <w:r>
        <w:rPr>
          <w:rStyle w:val="FootnoteAnchor"/>
          <w:rtl w:val="true"/>
        </w:rPr>
        <w:footnoteReference w:id="862"/>
      </w:r>
      <w:r>
        <w:rPr>
          <w:rFonts w:ascii="Amiri" w:hAnsi="Amiri" w:eastAsia="Amiri" w:cs="Amiri"/>
          <w:color w:val="111111"/>
          <w:sz w:val="28"/>
          <w:sz w:val="28"/>
          <w:szCs w:val="28"/>
          <w:rtl w:val="true"/>
          <w:lang w:bidi="ar-SA"/>
        </w:rPr>
        <w:t xml:space="preserve">، و في كلام الشيخ المناقشة في استصحاب الحرمة الثابتة في ظرف الاتصال؛ بدعوى تعدّد الموضوع، فإنّ موضوع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صادق على الجزء المنفصل، فالمرجع أصل البراءة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دعوى كفاية الأدلّة الاجتهاديّة المانعة؛ ضرورة أنّ المحرّم هو النظر إلى الجسم و المادّة، لا التي عرضته الروح الإنسانيّة، و لذلك لا يجوز بعد الموت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 التحريم تحليليّاً؛ حسب الأعضاء و الأجزاء، فلا يجوز النظر إلى كلّ جزء من بدن الأجنبيّة و الأجنبيّ، فلا يجوز النظر إلى اليد و الرجل و البطن؛ لأنّ الجثمان ليس موضوع التحريم على نعت العموم المجموعيّ بالضرورة، و لا على وجه الارتباط بين الأجزاء، حتّى يكون المحرّم هو النظر إلى اليد إذا صاحبه النظر إلى سائر الأجزاء، فالحكم الثابت بالدليل الاجتهادي، ينحلّ في نظر العرف إلى الأحكام المتعدّدة بتعدّد الأجزاء، و يكون باقياً 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قضيّة الاستصحاب، فالحقّ أنّ جريانه محلّ إشكال، لا لما في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كي يتوجّه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الاستصحابيّ باقٍ عرفاً، و إن كان موضوع الدليل غير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 الحكم الثابت للجزء، إن كان حكماً مستقلا في ظرف الاتصال، فهو باقٍ، و لا تصل النوبة إلى الاستصحاب، و إن كان حكماً ضمنيّاً، فلا يعقل بقاؤه و احتمال بقائه؛ لأنّه تابع الكلّ، كبقيّة موضوعه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النظر إلى البيت فخرب، فإنّ النظر إلى الجزء المبان من البيت، لا يثبت حرمته باستصحاب حرمة النظر الثابتة في ظرف الاتصال؛ لأنّ هذا الجزء المبان، ما كان بما هو مورد التحريم حتّى يحتمل بقاؤه، و لو كان كذلك فلا يحتاج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يظهر حكم استصحاب نجاسة الجزء المقطوع من الكلب و أمثاله، فلا تخلط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الصناعة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التحريم يخصّ بصورة الحياة أو الاتصال؛ اتكالًا على فهم العرف، فتصير الأدلّة الاجتهاديّة قاصرة عن التحريم، و تكون البراءة معوّلًا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النظر إلى الشعر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لا بأس بالنظر إلى السنّ و الظّفر المنفصلين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 إطلاق ما ورد من جواز وصل شعر غيرها بشعرها</w:t>
      </w:r>
      <w:r>
        <w:rPr>
          <w:rStyle w:val="FootnoteAnchor"/>
          <w:rtl w:val="true"/>
        </w:rPr>
        <w:footnoteReference w:id="865"/>
      </w:r>
      <w:r>
        <w:rPr>
          <w:rFonts w:ascii="Amiri" w:hAnsi="Amiri" w:eastAsia="Amiri" w:cs="Amiri"/>
          <w:color w:val="111111"/>
          <w:sz w:val="28"/>
          <w:sz w:val="28"/>
          <w:szCs w:val="28"/>
          <w:rtl w:val="true"/>
          <w:lang w:bidi="ar-SA"/>
        </w:rPr>
        <w:t>، مع الملازمة العرفيّة و العاديّة بين ذلك و بين نظر الزوج و لمسه؛ ضرورة اطلاعهم عليه بأخبارهن به نوعاً، فتُرك الاستفصال كما يأتي في الخبرين الآتيين، و الإطلاق اللفظي و المقامي يعضدان الحلّية، و 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للأكثر</w:t>
      </w:r>
      <w:r>
        <w:rPr>
          <w:rStyle w:val="FootnoteAnchor"/>
          <w:rtl w:val="true"/>
        </w:rPr>
        <w:footnoteReference w:id="866"/>
      </w:r>
      <w:r>
        <w:rPr>
          <w:rFonts w:ascii="IRNazanin" w:hAnsi="IRNazanin" w:eastAsia="IRNazanin"/>
          <w:color w:val="111111"/>
          <w:sz w:val="28"/>
          <w:sz w:val="28"/>
          <w:szCs w:val="28"/>
          <w:rtl w:val="true"/>
          <w:lang w:bidi="fa-IR"/>
        </w:rPr>
        <w:t>، و وفاقاً لبعضهم</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يومئ إلى أنّه لا ينبغي الإشكال في جواز النظر إلى مثل الظفر و السنّ، و كذا الشعر</w:t>
      </w:r>
      <w:r>
        <w:rPr>
          <w:rStyle w:val="FootnoteAnchor"/>
          <w:rtl w:val="true"/>
        </w:rPr>
        <w:footnoteReference w:id="868"/>
      </w:r>
      <w:r>
        <w:rPr>
          <w:rFonts w:ascii="Amiri" w:hAnsi="Amiri" w:eastAsia="Amiri" w:cs="Amiri"/>
          <w:color w:val="111111"/>
          <w:sz w:val="28"/>
          <w:sz w:val="28"/>
          <w:szCs w:val="28"/>
          <w:rtl w:val="true"/>
          <w:lang w:bidi="ar-SA"/>
        </w:rPr>
        <w:t>، و في كلام الشيخ الأنصاري التصريح بذلك</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يمكن أن يوجّه الاحتياط و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الشعر لا يقاس بسائر الأعضاء؛ فإنّ فيه التحريك، و لا سيّما في صورة الاطلاع على أنّه من الأجنبيّة المعلومة الكذائيّة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 الأدلّة الخاصّة، تدلّ على المنع عن النظر إلى شعورهنّ</w:t>
      </w:r>
      <w:r>
        <w:rPr>
          <w:rStyle w:val="FootnoteAnchor"/>
          <w:rtl w:val="true"/>
        </w:rPr>
        <w:footnoteReference w:id="870"/>
      </w:r>
      <w:r>
        <w:rPr>
          <w:rFonts w:ascii="Amiri" w:hAnsi="Amiri" w:eastAsia="Amiri" w:cs="Amiri"/>
          <w:color w:val="111111"/>
          <w:sz w:val="28"/>
          <w:sz w:val="28"/>
          <w:szCs w:val="28"/>
          <w:rtl w:val="true"/>
          <w:lang w:bidi="ar-SA"/>
        </w:rPr>
        <w:t>فإنّ الترخيص في شعور نساء أهل الذمّة</w:t>
      </w:r>
      <w:r>
        <w:rPr>
          <w:rStyle w:val="FootnoteAnchor"/>
          <w:rtl w:val="true"/>
        </w:rPr>
        <w:footnoteReference w:id="871"/>
      </w:r>
      <w:r>
        <w:rPr>
          <w:rFonts w:ascii="Amiri" w:hAnsi="Amiri" w:eastAsia="Amiri" w:cs="Amiri"/>
          <w:color w:val="111111"/>
          <w:sz w:val="28"/>
          <w:sz w:val="28"/>
          <w:szCs w:val="28"/>
          <w:rtl w:val="true"/>
          <w:lang w:bidi="ar-SA"/>
        </w:rPr>
        <w:t>، في مورد المنع عن غيرهم، و قضيّة إطلاقها المنع حال الانفصال و لو كان متّصلًا بشعر المرأة المحلّلة أو المحرّمة فعلى هذا يتعيّن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ورد في الأخبار ما يقتضي الجواز حال الانفصال و لو كان متّصلًا بشعر آخر</w:t>
      </w:r>
      <w:r>
        <w:rPr>
          <w:rStyle w:val="FootnoteAnchor"/>
          <w:rtl w:val="true"/>
        </w:rPr>
        <w:footnoteReference w:id="872"/>
      </w:r>
      <w:r>
        <w:rPr>
          <w:rFonts w:ascii="Amiri" w:hAnsi="Amiri" w:eastAsia="Amiri" w:cs="Amiri"/>
          <w:color w:val="111111"/>
          <w:sz w:val="28"/>
          <w:sz w:val="28"/>
          <w:szCs w:val="28"/>
          <w:rtl w:val="true"/>
          <w:lang w:bidi="ar-SA"/>
        </w:rPr>
        <w:t>، و تكون هي غير نقيّة السند، و يحتمل انجبار ضعفها بالعمل، احتاط المصنّف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تلك الأخبار، ما رواه الشيخ بسنده عن ثابت بن سعيد الذي لم يثبت وثاقته،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تجعل في رؤوسهنّ القرامل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يصلح الصوف و ما كان من شعر امرأة لنفسها، و كره للمرأة أن تجعل القرامل من شعر غيرها، فإن وصلت شعرها بصوف أو بشعر نفسها،</w:t>
      </w:r>
    </w:p>
    <w:p>
      <w:pPr>
        <w:pStyle w:val="BookText"/>
        <w:rPr/>
      </w:pPr>
      <w:r>
        <w:rPr>
          <w:rFonts w:ascii="Amiri" w:hAnsi="Amiri" w:eastAsia="Amiri" w:cs="Amiri"/>
          <w:color w:val="111111"/>
          <w:sz w:val="28"/>
          <w:sz w:val="28"/>
          <w:szCs w:val="28"/>
          <w:rtl w:val="true"/>
          <w:lang w:bidi="ar-SA"/>
        </w:rPr>
        <w:t>فلا يضرّها</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w:t>
      </w:r>
      <w:r>
        <w:rPr>
          <w:rStyle w:val="FootnoteAnchor"/>
          <w:rtl w:val="true"/>
        </w:rPr>
        <w:footnoteReference w:id="874"/>
      </w:r>
      <w:r>
        <w:rPr>
          <w:rFonts w:ascii="Amiri" w:hAnsi="Amiri" w:eastAsia="Amiri" w:cs="Amiri"/>
          <w:color w:val="111111"/>
          <w:sz w:val="28"/>
          <w:sz w:val="28"/>
          <w:szCs w:val="28"/>
          <w:rtl w:val="true"/>
          <w:lang w:bidi="ar-SA"/>
        </w:rPr>
        <w:t>، و هو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يمكن دعوى دلالتهما على المنع؛ لعدم إباء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الإطلاق على الحرمة، فلا يكون قرينة على خلاف ما ثبت بالأخبار الأُخر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وصلت شعرها بصوف أو شعر نفسها،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بالمفهوم على الضرر و البأس المؤيّد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بعد اللتيّا و التي، إثبات المنع ممنوع بما مرّ؛ لأنّ أخبار المنع ناظرة إلى حال الوصل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كان معلوماً أنّه من المرأة الجميلة المقصودة، و كان النظر و اللّمس إليه بداعي تلك المرأة، يمكن المنع جدّاً كما لا يخفى</w:t>
      </w:r>
      <w:r>
        <w:rPr>
          <w:rFonts w:eastAsia="Amiri" w:cs="Amiri" w:ascii="Amiri" w:hAnsi="Amiri"/>
          <w:color w:val="111111"/>
          <w:sz w:val="28"/>
          <w:szCs w:val="28"/>
          <w:rtl w:val="true"/>
          <w:lang w:bidi="ar-SA"/>
        </w:rPr>
        <w:t>.</w:t>
      </w:r>
      <w:bookmarkStart w:id="283" w:name="pg12370_121896"/>
    </w:p>
    <w:p>
      <w:pPr>
        <w:pStyle w:val="Heading4"/>
        <w:numPr>
          <w:ilvl w:val="3"/>
          <w:numId w:val="1"/>
        </w:numPr>
        <w:rPr/>
      </w:pPr>
      <w:bookmarkStart w:id="284" w:name="__RefHeading___Toc9026280_417432637"/>
      <w:bookmarkStart w:id="285" w:name="_Toc101"/>
      <w:bookmarkEnd w:id="283"/>
      <w:bookmarkEnd w:id="284"/>
      <w:r>
        <w:rPr>
          <w:rtl w:val="true"/>
        </w:rPr>
        <w:t>[</w:t>
      </w:r>
      <w:r>
        <w:rPr>
          <w:rtl w:val="true"/>
        </w:rPr>
        <w:t xml:space="preserve">مسألة </w:t>
      </w:r>
      <w:r>
        <w:rPr/>
        <w:t>22</w:t>
      </w:r>
      <w:r>
        <w:rPr>
          <w:rtl w:val="true"/>
        </w:rPr>
        <w:t xml:space="preserve">: </w:t>
      </w:r>
      <w:r>
        <w:rPr>
          <w:rtl w:val="true"/>
        </w:rPr>
        <w:t>يستثنى من حرمة النظر و اللّمس في الأجنبيّ و الأجنبيّة، مقام المعالجة</w:t>
      </w:r>
      <w:r>
        <w:rPr>
          <w:rtl w:val="true"/>
        </w:rPr>
        <w:t>]</w:t>
      </w:r>
      <w:bookmarkEnd w:id="285"/>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حرمة النظر و اللّمس في الأجنبيّ و الأجنبيّة، مقام المعالجة؛ إذا لم يمكن بالمماثل،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يمكن بالمماثل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 بلا خلاف فيه كما عن آخر</w:t>
      </w:r>
      <w:r>
        <w:rPr>
          <w:rStyle w:val="FootnoteAnchor"/>
          <w:rtl w:val="true"/>
        </w:rPr>
        <w:footnoteReference w:id="876"/>
      </w:r>
      <w:r>
        <w:rPr>
          <w:rFonts w:ascii="Amiri" w:hAnsi="Amiri" w:eastAsia="Amiri" w:cs="Amiri"/>
          <w:color w:val="111111"/>
          <w:sz w:val="28"/>
          <w:sz w:val="28"/>
          <w:szCs w:val="28"/>
          <w:rtl w:val="true"/>
          <w:lang w:bidi="ar-SA"/>
        </w:rPr>
        <w:t>، و هو الظاهر من معتبر أبي حمزة الثماليّ،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المسلمة، يصيبها البلاء في جسدها؛ أمّا كسر، و إمّا جُرح؛ في مكان لا يصلح النظر إليه، يكون الرجل أرفق بعلاجه من النساء، أ يصلح له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اضطرّت إليه فليعالجها إن شاءت</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الرجل 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وجود المعالج المماثل المرفق، و مع ذلك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في كلامه بالجواب عن عنوان آخر؛ و هو الاضطرار مع إرادة المرأة و مشيئتها، و لا شبهة أنّه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المماثل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اضطرارها إلى المعالجة، لا إلى المعالجة عند المعالج الخاصّ، فيكون نفس اضطرارها مجوّز</w:t>
      </w:r>
    </w:p>
    <w:p>
      <w:pPr>
        <w:pStyle w:val="BookText"/>
        <w:rPr/>
      </w:pPr>
      <w:r>
        <w:rPr>
          <w:rFonts w:ascii="Amiri" w:hAnsi="Amiri" w:eastAsia="Amiri" w:cs="Amiri"/>
          <w:color w:val="111111"/>
          <w:sz w:val="28"/>
          <w:sz w:val="28"/>
          <w:szCs w:val="28"/>
          <w:rtl w:val="true"/>
          <w:lang w:bidi="ar-SA"/>
        </w:rPr>
        <w:t>المراجعة إليه، و مقتضى الخبر جواز نظر المعالج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العرفيّ، يحصل في موارد الحاجة العرفيّة، فلا يجب تحمّل الألم، و لا تبعيد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الحاجة إلى المعالجة، تختلف حسب اختلاف أماكن الأبدان و أجزائها، و في الخبر ما يومئ إليه؛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مكان لا يصلح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مثل الوجه و الكفين بالضرورة، و يعلم منه أنّ في المرأة مكاناً يصلح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أمكن تجويز النظر بمجرّد الحاجة، كما يظهر من عبائر جمع من الأصحاب</w:t>
      </w:r>
      <w:r>
        <w:rPr>
          <w:rStyle w:val="FootnoteAnchor"/>
          <w:rtl w:val="true"/>
        </w:rPr>
        <w:footnoteReference w:id="878"/>
      </w:r>
      <w:r>
        <w:rPr>
          <w:rFonts w:ascii="Amiri" w:hAnsi="Amiri" w:eastAsia="Amiri" w:cs="Amiri"/>
          <w:color w:val="111111"/>
          <w:sz w:val="28"/>
          <w:sz w:val="28"/>
          <w:szCs w:val="28"/>
          <w:rtl w:val="true"/>
          <w:lang w:bidi="ar-SA"/>
        </w:rPr>
        <w:t xml:space="preserve">، و من مورد الإجماع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بدعوى أنّه من الاضطرار المبيح، فتدبّر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يبقى في المقام، أنّ التمسّك بقاعدة نفي الاضطرار و بالأدلّة العامّة</w:t>
      </w:r>
      <w:r>
        <w:rPr>
          <w:rStyle w:val="FootnoteAnchor"/>
          <w:rtl w:val="true"/>
        </w:rPr>
        <w:footnoteReference w:id="880"/>
      </w:r>
      <w:r>
        <w:rPr>
          <w:rFonts w:ascii="Amiri" w:hAnsi="Amiri" w:eastAsia="Amiri" w:cs="Amiri"/>
          <w:color w:val="111111"/>
          <w:sz w:val="28"/>
          <w:sz w:val="28"/>
          <w:szCs w:val="28"/>
          <w:rtl w:val="true"/>
          <w:lang w:bidi="ar-SA"/>
        </w:rPr>
        <w:t>، مورد الإشكال، و هكذا بقاعدة نفي الضرر</w:t>
      </w:r>
      <w:r>
        <w:rPr>
          <w:rStyle w:val="FootnoteAnchor"/>
          <w:rtl w:val="true"/>
        </w:rPr>
        <w:footnoteReference w:id="881"/>
      </w:r>
      <w:r>
        <w:rPr>
          <w:rFonts w:ascii="Amiri" w:hAnsi="Amiri" w:eastAsia="Amiri" w:cs="Amiri"/>
          <w:color w:val="111111"/>
          <w:sz w:val="28"/>
          <w:sz w:val="28"/>
          <w:szCs w:val="28"/>
          <w:rtl w:val="true"/>
          <w:lang w:bidi="ar-SA"/>
        </w:rPr>
        <w:t>و ذلك لأنّ اضطرار النساء إلى إبراز المكان غير الصالح، و إبداءِ محالّ الحرام، لا يورث</w:t>
      </w:r>
    </w:p>
    <w:p>
      <w:pPr>
        <w:pStyle w:val="BookText"/>
        <w:rPr/>
      </w:pPr>
      <w:r>
        <w:rPr>
          <w:rFonts w:ascii="Amiri" w:hAnsi="Amiri" w:eastAsia="Amiri" w:cs="Amiri"/>
          <w:color w:val="111111"/>
          <w:sz w:val="28"/>
          <w:sz w:val="28"/>
          <w:szCs w:val="28"/>
          <w:rtl w:val="true"/>
          <w:lang w:bidi="ar-SA"/>
        </w:rPr>
        <w:t>جواز نظر المرء المعالج؛ ضرورة أنّ حرمة الإبداء و الإظهار ترتفع بالاضطرار، و أمّا وجوب الغضّ على المرء، فلا يستثنى منه بمجرّد اضطرار المرأة الأجنبيّة؛ فإنّ حرمة النظر إلى الأجنبيّة، ترفع إذا تعيّن العلاج عليه و يصير واجباً، فلا ينبغي الخلط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من التمسّك بقاعدة نفي الضرر ذلك؛ فإنّ ما هو الضرري هو لزوم التحفّظ على المرأة، و هذا لا يستلزم جواز النظر للمرء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الاقتضاء يلازم ذلك، في غير محلّه؛ لأنّه يتمسّك به، إذا لزم منه طرح الدليل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المرأة تضطر إلى نظر المرء، فهي مضافاً إلى أنّ الاضطرار يستند إلى إظهار بدنها و إبرازه للأجنبيّ أنّ الأدلّة العامة غير لائقة بنفي هذا النحو من الحكم؛ بمعنى أنّ اضطرار المكلّف، أوجب رفع الحكم عن المكلّف غير المضطرّ،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اضطرار المرأة إلى الجماع، مع أنّها ذات بعل لا يتمكن منه، فإنّه لا يوجب جواز الجماع للمرء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موارد توقّف حفظ النفس، يمكن الترخيص إذا كان الحفظ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إطلاق قاعدة نفي الضرر، نفي الحكم عن المرء الأجنبيّ و لو كان ضرريّاً بالنسبة إلى الأجنبيّة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ثابت؛ للزوم جواز الأُمور الأُخر، و لا يمكن الالتزام 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كمعرفة النبض إذا لم تمكن بآلة نحو الدرجة و غيرها، و الفصد، و الحجامة، و جبر الكسر،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يمكن الاستدلال لجواز النظر، بمعتبر عليّ بن سويد الماضي</w:t>
      </w:r>
      <w:r>
        <w:rPr>
          <w:rStyle w:val="FootnoteAnchor"/>
          <w:rtl w:val="true"/>
        </w:rPr>
        <w:footnoteReference w:id="882"/>
      </w:r>
      <w:r>
        <w:rPr>
          <w:rFonts w:ascii="Amiri" w:hAnsi="Amiri" w:eastAsia="Amiri" w:cs="Amiri"/>
          <w:color w:val="111111"/>
          <w:sz w:val="28"/>
          <w:sz w:val="28"/>
          <w:szCs w:val="28"/>
          <w:rtl w:val="true"/>
          <w:lang w:bidi="ar-SA"/>
        </w:rPr>
        <w:t>، بناءً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وارد مورد المعالجة</w:t>
      </w:r>
      <w:r>
        <w:rPr>
          <w:rStyle w:val="FootnoteAnchor"/>
          <w:rtl w:val="true"/>
        </w:rPr>
        <w:footnoteReference w:id="88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يتوقّف على النظر أو اللّمس 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استثناء غير النظر إشكال؛ لعدم الدليل عليه، و صحيح الثماليّ</w:t>
      </w:r>
      <w:r>
        <w:rPr>
          <w:rStyle w:val="FootnoteAnchor"/>
          <w:rtl w:val="true"/>
        </w:rPr>
        <w:footnoteReference w:id="884"/>
      </w:r>
      <w:r>
        <w:rPr>
          <w:rFonts w:ascii="Amiri" w:hAnsi="Amiri" w:eastAsia="Amiri" w:cs="Amiri"/>
          <w:color w:val="111111"/>
          <w:sz w:val="28"/>
          <w:sz w:val="28"/>
          <w:szCs w:val="28"/>
          <w:rtl w:val="true"/>
          <w:lang w:bidi="ar-SA"/>
        </w:rPr>
        <w:t>مخصوص بمورد النظر، و قد عرفت المناقشة في التمسّك بالأدلّة العامّة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اضطرّت إليه فليعالجها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يخصّ بمورد السؤال، فإذا اضطرت إلى العلاج، و أرادت من المعالج أن يعالجها، يجوز له ذلك بمراجعتها إليه و باختياره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التعبير إشعار، بأنّ إباحة النظر له منوطة بذلك، و مخصوصة بهذه الصورة، فمجرّد كون العلاج أصلح لا يكفي، و ليتأمّل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مقامِ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توقّف استنقاذه من الغرق و الحرق، على النظر و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دعوى قيام السيرة على المراجعة إليهم للمعالجة، و هذه الأدلّة غير كافية لردعها، فتكون هي إمّا موجبة لصرفها عن صورة العلاج، أو مخصّصة لها و مقيّدة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المريض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النظر يكون عن شهوة و تلذّذ، فلا يبعد أيضاً جواز الرجوع؛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المذكور، و هو قضيّة إطلاق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معتبر ابن سويد</w:t>
      </w:r>
      <w:r>
        <w:rPr>
          <w:rStyle w:val="FootnoteAnchor"/>
          <w:rtl w:val="true"/>
        </w:rPr>
        <w:footnoteReference w:id="886"/>
      </w:r>
      <w:r>
        <w:rPr>
          <w:rFonts w:ascii="Amiri" w:hAnsi="Amiri" w:eastAsia="Amiri" w:cs="Amiri"/>
          <w:color w:val="111111"/>
          <w:sz w:val="28"/>
          <w:sz w:val="28"/>
          <w:szCs w:val="28"/>
          <w:rtl w:val="true"/>
          <w:lang w:bidi="ar-SA"/>
        </w:rPr>
        <w:t>، وارداً في هذا المقام، فلازمه جواز ذلك إذا عرف اللَّه من نيّته الصدق، لا مطلقاً،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مقام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السابق مع رعاية القيود المأخوذة في كلماته، يندرج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مفروض الكلام بأن يدور الأمر بين حفظ النفس عن الهلاك، و بين الابتلاء بالنظر و اللّمس و أمثالهما لا إشكال؛ لأنّ المحافظة واجبة على كلّ أحد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السبق إلى الاستنقاذ بدواعٍ باطلة، مع وجود من فيه الكفاية،</w:t>
      </w:r>
    </w:p>
    <w:p>
      <w:pPr>
        <w:pStyle w:val="BookText"/>
        <w:rPr/>
      </w:pPr>
      <w:r>
        <w:rPr>
          <w:rFonts w:ascii="Amiri" w:hAnsi="Amiri" w:eastAsia="Amiri" w:cs="Amiri"/>
          <w:color w:val="111111"/>
          <w:sz w:val="28"/>
          <w:sz w:val="28"/>
          <w:szCs w:val="28"/>
          <w:rtl w:val="true"/>
          <w:lang w:bidi="ar-SA"/>
        </w:rPr>
        <w:t xml:space="preserve">و إذا اقتضت الضرورة أو توقّف العلاج على النظر دون اللمس، أو العكس، اقتصر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 إليه، و فيما يضطرّ إليه اقتصر على مقدار الضرورة، فلا يجوز الآخر، و لا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جائز، و لعلّ إطلاق كلامهم منصرف عن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حكم ما إذا توقّف النجاة من الهلاك على الأكثر من النظر و اللّمس،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اقتصر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حسب حكم العقلاء و العرف؛ بناءً على حرمة النظر و اللمس مطلقاً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بجوازهما إذا لم يكن بشهوة و ريبة، و لا سيّما بدعوى قصور الأدلّة العامّة عن شمول هذه المواقف، فلا يقتصر على مقدار الضرورة، و ربّما ينتهي التدقيق في هذه الأُمور، إلى هلاك المرضى؛ لأنّ المواظبة على مقدار الضرورة، توجب انحراف نظر المعالج عمّا هو اللازم عليه، ففي مقام المعالجة و الاستنقاذ و أمثالهما، يكون رعاية ذلك على خلاف الاحتياط أحياناً، فلا تخلط</w:t>
      </w:r>
      <w:r>
        <w:rPr>
          <w:rFonts w:eastAsia="Amiri" w:cs="Amiri" w:ascii="Amiri" w:hAnsi="Amiri"/>
          <w:color w:val="111111"/>
          <w:sz w:val="28"/>
          <w:szCs w:val="28"/>
          <w:rtl w:val="true"/>
          <w:lang w:bidi="ar-SA"/>
        </w:rPr>
        <w:t>.</w:t>
      </w:r>
      <w:bookmarkStart w:id="286" w:name="pg12370_121902"/>
    </w:p>
    <w:p>
      <w:pPr>
        <w:pStyle w:val="Heading4"/>
        <w:numPr>
          <w:ilvl w:val="3"/>
          <w:numId w:val="1"/>
        </w:numPr>
        <w:rPr/>
      </w:pPr>
      <w:bookmarkStart w:id="287" w:name="__RefHeading___Toc9026282_417432637"/>
      <w:bookmarkStart w:id="288" w:name="_Toc102"/>
      <w:bookmarkEnd w:id="286"/>
      <w:bookmarkEnd w:id="287"/>
      <w:r>
        <w:rPr>
          <w:rtl w:val="true"/>
        </w:rPr>
        <w:t>[</w:t>
      </w:r>
      <w:r>
        <w:rPr>
          <w:rtl w:val="true"/>
        </w:rPr>
        <w:t xml:space="preserve">مسألة </w:t>
      </w:r>
      <w:r>
        <w:rPr/>
        <w:t>23</w:t>
      </w:r>
      <w:r>
        <w:rPr>
          <w:rtl w:val="true"/>
        </w:rPr>
        <w:t xml:space="preserve">: </w:t>
      </w:r>
      <w:r>
        <w:rPr>
          <w:rtl w:val="true"/>
        </w:rPr>
        <w:t>كما يحرم على الرجل النظر إلى الأجنبيّة، يجب عليها التستّر من الأجانب</w:t>
      </w:r>
      <w:r>
        <w:rPr>
          <w:rtl w:val="true"/>
        </w:rPr>
        <w:t>]</w:t>
      </w:r>
      <w:bookmarkEnd w:id="288"/>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على الرجل النظر إلى الأجنبيّة، يجب عليها التستّر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على الرجال التستّر، و إن كان يحرم على النساء النظر إليهم 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علموا بأنّ النساء يتعمّدن النظر إليهم، فالأحوط التستّر منهنّ، و إن كان الأقوى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مدّ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عليها 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الإطلاق وجوبه بالنسبة إلى جميع أعضائها؛ حتّى الوجه و الكفين، و هذا لا ينافي جواز النظر للمرء إذا لم تسترها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التستّر بالقياس إلى غير الوجه و الكفّين، ضروري و إجماعي، و إنّما الكلام في موارد الاستثناء الواقعة في كلام جمع</w:t>
      </w:r>
      <w:r>
        <w:rPr>
          <w:rStyle w:val="FootnoteAnchor"/>
          <w:rtl w:val="true"/>
        </w:rPr>
        <w:footnoteReference w:id="887"/>
      </w:r>
      <w:r>
        <w:rPr>
          <w:rFonts w:ascii="Amiri" w:hAnsi="Amiri" w:eastAsia="Amiri" w:cs="Amiri"/>
          <w:color w:val="111111"/>
          <w:sz w:val="28"/>
          <w:sz w:val="28"/>
          <w:szCs w:val="28"/>
          <w:rtl w:val="true"/>
          <w:lang w:bidi="ar-SA"/>
        </w:rPr>
        <w:t>، و في الأخبار الخاصّة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الإشارة إليها، لا بأس بذكر الآية الشريفة، حيث وردت في هذا المقام، قال اللَّه تعالى 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 وَ تُوبُوا إِلَى اللَّهِ جَمِيعاً أَيُّهَا الْمُؤْمِنُونَ لَعَلَّكُمْ تُفْلِحُونَ</w:t>
      </w:r>
    </w:p>
    <w:p>
      <w:pPr>
        <w:pStyle w:val="BookText"/>
        <w:rPr/>
      </w:pP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فيه سعد الإسكاف و هو مشكل أمره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استقبل شابّ من الأنصار امرأة بالمدينة، و كان النساء يتقنّعن خلف آذانهنّ، فنظر إليها و هي مقبلة، فلمّا جازت نظر إليها و دخل في زقاق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سمّاه ببني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ينظر خلفها، و اعترض وجهه عظم في الحائط أو زجاجة، فشقّ وجهه، فلمّا مضت المرأة نظر فإذا الدّماء تسيل على ثوبه و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لآتينّ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لأُخبرنّه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قُلْ لِلْمُؤْمِنِينَ يَغُضُّوا مِنْ أَبْصارِهِمْ وَ يَحْفَظُوا فُرُوجَهُمْ ذلِكَ أَزْكى لَهُمْ إِنَّ اللَّهَ خَبِيرٌ بِما يَصْنَعُونَ</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الآية السابقة</w:t>
      </w:r>
      <w:r>
        <w:rPr>
          <w:rStyle w:val="FootnoteAnchor"/>
          <w:rtl w:val="true"/>
        </w:rPr>
        <w:footnoteReference w:id="891"/>
      </w:r>
      <w:r>
        <w:rPr>
          <w:rFonts w:ascii="Amiri" w:hAnsi="Amiri" w:eastAsia="Amiri" w:cs="Amiri"/>
          <w:color w:val="111111"/>
          <w:sz w:val="28"/>
          <w:sz w:val="28"/>
          <w:szCs w:val="28"/>
          <w:rtl w:val="true"/>
          <w:lang w:bidi="ar-SA"/>
        </w:rPr>
        <w:t>، أيضاً وردت في ذيلها بهذه المناسبة،</w:t>
      </w:r>
    </w:p>
    <w:p>
      <w:pPr>
        <w:pStyle w:val="BookText"/>
        <w:rPr/>
      </w:pPr>
      <w:r>
        <w:rPr>
          <w:rFonts w:ascii="Amiri" w:hAnsi="Amiri" w:eastAsia="Amiri" w:cs="Amiri"/>
          <w:color w:val="111111"/>
          <w:sz w:val="28"/>
          <w:sz w:val="28"/>
          <w:szCs w:val="28"/>
          <w:rtl w:val="true"/>
          <w:lang w:bidi="ar-SA"/>
        </w:rPr>
        <w:t>فعلى هذا تكون الآية في مورد النظر؛ و في محلّ إيجاب التستّر عن نظر الأجنبيّ، فيمكن رفع الإجمال من هذه الناحية؛ حسب ما عليه كثير من أرباب التفسير</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وجوب التستّر عن مطلق النظر، و حرمة الإبداء عند كلّ نظر، يحتاج إلى المئونة، و تكفيها الإطلاق؛ فإنّ المورد لا يوجب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الانصراف إلى النظر الخاصّ و إن كانت قريبة في ذاتها، إلّا أنّها بعيدة، بعد ذهاب المعظم إلى ممنوعيّته؛ و وجوب التستّر عليهنّ في الجملة مطلقاً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آية غض النظر 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المؤمنات يوجدن الموانع و الحواجب بينهنّ و بين ما يحرم عليهنّ النظر إليه وَ يَحْفَظْنَ فُرُوجَهُنَ عن كلّ آفة عرفيّة، و خلاف عقليّ، و ممنوع شرعيّ؛ حسب الإطلاق، فإنّه أُحيل فهم المحذوف إلى الأمة؛ لأنّه أمر تدركه الطبائع السليمة، و الأنفس المتشرّعة وَ لا يُبْدِينَ زِينَتَهُنَّ إِلَّا ما ظَهَرَ مِنْها و اتّفق ظهوره بجريان الرياح، فيكون حال هذا الاستثناء، حالَ الاستثناء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لِمُؤْمِنٍ أَنْ يَقْتُلَ مُؤْمِناً إِلَّا خَطَأً</w:t>
      </w:r>
      <w:r>
        <w:rPr>
          <w:rStyle w:val="FootnoteAnchor"/>
          <w:rtl w:val="true"/>
        </w:rPr>
        <w:footnoteReference w:id="893"/>
      </w:r>
      <w:r>
        <w:rPr>
          <w:rFonts w:ascii="Amiri" w:hAnsi="Amiri" w:eastAsia="Amiri" w:cs="Amiri"/>
          <w:color w:val="111111"/>
          <w:sz w:val="28"/>
          <w:sz w:val="28"/>
          <w:szCs w:val="28"/>
          <w:rtl w:val="true"/>
          <w:lang w:bidi="ar-SA"/>
        </w:rPr>
        <w:t>فلو ظهرت الزينة كالجيوب و الزندين و الساقين؛ ممّا هي المحرّكات نوعاً، و تثير الشهوات عادةً فلا بأس، و لكن لا يجوز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قوله تعالى وَ لْيَضْرِبْنَ بِخُمُرِهِنَّ عَلى جُيُوبِهِنَ</w:t>
      </w:r>
      <w:r>
        <w:rPr>
          <w:rStyle w:val="FootnoteAnchor"/>
          <w:rtl w:val="true"/>
        </w:rPr>
        <w:footnoteReference w:id="894"/>
      </w:r>
      <w:r>
        <w:rPr>
          <w:rFonts w:ascii="Amiri" w:hAnsi="Amiri" w:eastAsia="Amiri" w:cs="Amiri"/>
          <w:color w:val="111111"/>
          <w:sz w:val="28"/>
          <w:sz w:val="28"/>
          <w:szCs w:val="28"/>
          <w:rtl w:val="true"/>
          <w:lang w:bidi="ar-SA"/>
        </w:rPr>
        <w:t>حتّى لا يظهر و لو من باب الاتفاق و الصدفة؛ و حين الغفلة و الذهول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لما أُشير إليه، تعقيب القول المزبور بقوله تعالى وَ لا يُبْدِينَ زِينَتَهُنَ</w:t>
      </w:r>
      <w:r>
        <w:rPr>
          <w:rStyle w:val="FootnoteAnchor"/>
          <w:rtl w:val="true"/>
        </w:rPr>
        <w:footnoteReference w:id="895"/>
      </w:r>
      <w:r>
        <w:rPr>
          <w:rFonts w:ascii="Amiri" w:hAnsi="Amiri" w:eastAsia="Amiri" w:cs="Amiri"/>
          <w:color w:val="111111"/>
          <w:sz w:val="28"/>
          <w:sz w:val="28"/>
          <w:szCs w:val="28"/>
          <w:rtl w:val="true"/>
          <w:lang w:bidi="ar-SA"/>
        </w:rPr>
        <w:t xml:space="preserve">فيكون الوجه و الكفّ و القدم، خارجة عن الآية صدراً و ذيلًا، و لا يكون الكفّ و الوجه و القدم محلّ الزينة، حتّى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باعتبار علقة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قطع النظر عن أخبار المسألة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بالنظر إليها، فلأحد دعوى أنّ قوله تعالى وَ يَحْفَظْنَ فُرُوجَهُنَ</w:t>
      </w:r>
      <w:r>
        <w:rPr>
          <w:rStyle w:val="FootnoteAnchor"/>
          <w:rtl w:val="true"/>
        </w:rPr>
        <w:footnoteReference w:id="896"/>
      </w:r>
      <w:r>
        <w:rPr>
          <w:rFonts w:ascii="Amiri" w:hAnsi="Amiri" w:eastAsia="Amiri" w:cs="Amiri"/>
          <w:color w:val="111111"/>
          <w:sz w:val="28"/>
          <w:sz w:val="28"/>
          <w:szCs w:val="28"/>
          <w:rtl w:val="true"/>
          <w:lang w:bidi="ar-SA"/>
        </w:rPr>
        <w:t xml:space="preserve">يدلّ على وجوب تسترهنّ؛ لأنهنّ كلّهنّ فرج؛ لانّه العورة،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كلّها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الأخبار</w:t>
      </w:r>
      <w:r>
        <w:rPr>
          <w:rStyle w:val="FootnoteAnchor"/>
          <w:rtl w:val="true"/>
        </w:rPr>
        <w:footnoteReference w:id="897"/>
      </w:r>
      <w:r>
        <w:rPr>
          <w:rFonts w:ascii="Amiri" w:hAnsi="Amiri" w:eastAsia="Amiri" w:cs="Amiri"/>
          <w:color w:val="111111"/>
          <w:sz w:val="28"/>
          <w:sz w:val="28"/>
          <w:szCs w:val="28"/>
          <w:rtl w:val="true"/>
          <w:lang w:bidi="ar-SA"/>
        </w:rPr>
        <w:t>، و لكن دون إثباتها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المتضمّنة لإفادة أنّ ما ظَهَرَ مِنْها هي الزينة الظاهرة، و منها الخاتم و المَسَكة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القُلْب و الكحل</w:t>
      </w:r>
      <w:r>
        <w:rPr>
          <w:rStyle w:val="FootnoteAnchor"/>
          <w:rtl w:val="true"/>
        </w:rPr>
        <w:footnoteReference w:id="898"/>
      </w:r>
      <w:r>
        <w:rPr>
          <w:rFonts w:ascii="Amiri" w:hAnsi="Amiri" w:eastAsia="Amiri" w:cs="Amiri"/>
          <w:color w:val="111111"/>
          <w:sz w:val="28"/>
          <w:sz w:val="28"/>
          <w:szCs w:val="28"/>
          <w:rtl w:val="true"/>
          <w:lang w:bidi="ar-SA"/>
        </w:rPr>
        <w:t>، فهي غير نقيّة الإسناد، و لو أمكن تصحيح بعضها لكن حجّيتها في مثل المقام بعد ظهور الآية في الخلاف مشكلة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الدالّة على عدم وجوب ستر الوجه و الكفيّن و بناءً على هذا، لا تدلّ الآية على وجوب التستّر بالقياس إلى مطلق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دلالة جملة من الأخبار على عدم وجوب التستّر؛ بالنسبة إلى مثل الوجه و الكفيّن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الذراعين من المرأة، 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قال اللَّه تعالى وَ لا يُبْدِينَ زِينَتَهُنَّ إِلَّا لِبُعُولَتِهِنَ</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ما دون الخمار من الزينة، و ما دون السوارين</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خارج عمّا يستره الخمار، و هو الرقبة و الرأس، و الكفّ فوق السوار لا دونه، فلا تشملهما الآية، و لا الفقرة الأُولى أيضاً؛ بهذه المناسبة،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أبي حمزة الثماليّ السابق، الظاهر في أنّ في بدن النساء مكاناً يصلح النظر إليه، و قد أشرنا فيما سبق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المرأة تكون في السفر مع الرجال، ليس فيهم لها ذو محرم، و لا معهم امرأة، فتموت المرأة، ما يصنع بها؟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منها ما أوجب اللَّه عليه التيمّم، و لا تمسّ، و لا يكشف لها شي‌ء من محاسنها التي أمر اللَّه بسترها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بطن كفّيها، ثمّ يغسل وجهها، ثمّ يغسل ظهر كفّيها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يعاضد هذه الأخبار السيرة، و كثرة الابتلاء، و لو كان يجب ستر الوجه و الكفّ، لبان وجوبه، كالنار على المنار، و لا يكفي لمثله خبر</w:t>
      </w:r>
    </w:p>
    <w:p>
      <w:pPr>
        <w:pStyle w:val="BookText"/>
        <w:rPr/>
      </w:pPr>
      <w:r>
        <w:rPr>
          <w:rFonts w:ascii="Amiri" w:hAnsi="Amiri" w:eastAsia="Amiri" w:cs="Amiri"/>
          <w:color w:val="111111"/>
          <w:sz w:val="28"/>
          <w:sz w:val="28"/>
          <w:szCs w:val="28"/>
          <w:rtl w:val="true"/>
          <w:lang w:bidi="ar-SA"/>
        </w:rPr>
        <w:t>أو خبران مثل مكاتبة الصّفار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ينبغي الخلط بين أخبار هذه المسألة، و روايات مسألة حرمة النظر، ممّا لا ملازمة بينهما كما مرّ</w:t>
      </w:r>
      <w:r>
        <w:rPr>
          <w:rStyle w:val="FootnoteAnchor"/>
          <w:rtl w:val="true"/>
        </w:rPr>
        <w:footnoteReference w:id="904"/>
      </w:r>
      <w:r>
        <w:rPr>
          <w:rFonts w:ascii="Amiri" w:hAnsi="Amiri" w:eastAsia="Amiri" w:cs="Amiri"/>
          <w:color w:val="111111"/>
          <w:sz w:val="28"/>
          <w:sz w:val="28"/>
          <w:szCs w:val="28"/>
          <w:rtl w:val="true"/>
          <w:lang w:bidi="ar-SA"/>
        </w:rPr>
        <w:t xml:space="preserve">، فإطالة البحث هنا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 غيره</w:t>
      </w:r>
      <w:r>
        <w:rPr>
          <w:rStyle w:val="FootnoteAnchor"/>
          <w:rtl w:val="true"/>
        </w:rPr>
        <w:footnoteReference w:id="906"/>
      </w:r>
      <w:r>
        <w:rPr>
          <w:rFonts w:ascii="Amiri" w:hAnsi="Amiri" w:eastAsia="Amiri" w:cs="Amiri"/>
          <w:color w:val="111111"/>
          <w:sz w:val="28"/>
          <w:sz w:val="28"/>
          <w:szCs w:val="28"/>
          <w:rtl w:val="true"/>
          <w:lang w:bidi="ar-SA"/>
        </w:rPr>
        <w:t>بذكر تلك الأخبار،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الآية الشريفة ظاهرة فيما فهمه الجمهور، و تقتضيه المآثير المزبورة، لكانت هي أمّا دالّة على استثناء الوجه و الكفّين، أو مجملة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وصلت النوبة إلى معارضة الأخبار في المسألة، تكون روايات الجواز أقوى دلالة و سنداً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أخبار المنع لا تبلغ إلى أقلّ الجمع، فيشكل اعتبارها؛ لما أُشير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اتضاح أمثال هذه المسائل، لا يحتاج إلى الخبر و الرواية، و قد علمت أنّ الأكثر من الأقدمين اختاروا الجواز</w:t>
      </w:r>
      <w:r>
        <w:rPr>
          <w:rStyle w:val="FootnoteAnchor"/>
          <w:rtl w:val="true"/>
        </w:rPr>
        <w:footnoteReference w:id="907"/>
      </w:r>
      <w:r>
        <w:rPr>
          <w:rFonts w:ascii="Amiri" w:hAnsi="Amiri" w:eastAsia="Amiri" w:cs="Amiri"/>
          <w:color w:val="111111"/>
          <w:sz w:val="28"/>
          <w:sz w:val="28"/>
          <w:szCs w:val="28"/>
          <w:rtl w:val="true"/>
          <w:lang w:bidi="ar-SA"/>
        </w:rPr>
        <w:t>، و هو مقتضى بالأُصول العمليّة؛ من الاستصحاب و البراءة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الأوّل، الجهة الثالثة، المسألة الرابعة، الفرع الأوّل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و أولياء العقد،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المتعة،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القراءة في الصلاة،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 شرائطه،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و شرائطه،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القراءة في الصلاة،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العقود،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الإجارة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البيع،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و أُنظر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الشيخ الأنصاري القولَ بالإجماع عن عدّةٍ من الفحول، انظر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و أولياء العقد،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كتاب الوقوف و الصدقات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مابعدها، 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أحكام الإجارة، المسألة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كتاب الغصب،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الأوّل، الجهة الثالثة، المسألة الرابعة، الفرع السابع، الأمر الثالث</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حاشية المكاسب، السيّد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الأوّل، الجهة الثالثة، المسألة الرابعة، الفرع السابع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 تفاوت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كتاب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القصاص في النفس،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الثاني، الشرط الرابع، الأمر السابع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الثاني، الشرط الأوّل، الفرع الثاني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 شروطه،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الثاني، الشرط الأوّل، الفرع الثاني، بحث و تفصيل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الثاني، الشرط الأوّل، الفرع الثاني، بحث و تفصيل في نفوذ أمر الصبي مطلقاً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 شروطه،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العتق،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خبرٍ في هذا الباب لكنّ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بصحّة تدبير الصبيّ إذا كان مميّزاً عاقلًا مراهقاً و قال قيّده أصحابنا بما إذا بلغ عشر سنين فصاعداً إذا كان عاقلًا و قال دليلنا إجماع الفرقة و أخبارهم على أنّ الصبيّ إذا بلغ عشر سنين صحّت وصيّته و التدبير وصيّته، 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أعداد الفرائض،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كتاب الصوم، أبواب من يصحّ منه الصوم،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الثاني، الشرط الأوّل، الفرع الثاني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الثاني، الشرط الأوّل، الفرع الثاني، ذنابة قد يستدل على أنّه مسلوب العبارة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العاقلة،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مصباح الفقاهة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أبواب مقدّمات الحدود و أحكامها العامة،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كتاب الحجر،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المقصد الثاني، الشرط الأوّل، الفرع الثالث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أحكام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كتاب الطلاق، أبواب مقدّماته،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عثرنا عليه من إفادات شهيدنا السعيد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لمبحث البيع من تحرير الوسيلة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حاشية المكاسب،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الراغب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تعليقة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كتاب البيوع، الباب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صفات القاضي و ما يجوز أن يقضى به،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المعاني في شرح تلخيص المفتاح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بابا طاهر الهمداني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 از حاجيان حج بپرسم‌كه اين ديرى بسه يا ديرتر شم</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لاحظ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سقط من الغنية المطبوعة في ضمن الجوامع الفقهية راجع إلى سلسلة الينابيع الفقهية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الشيخ الأنصاري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أيضاً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العيوب،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الخيار،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به الشافعيّ، لاحظ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 القاضي 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الطواف،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السيّد الخوئي، قسم المعاملات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سقطت من الغنية المطبوعة في ضمن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سلسلة الينابيع الفقهيّة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مابعدها، مصباح الفقاهة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الأُولى المرسلة المرويّة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نهى عن تلقّي الركبان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تلقّاها فصاحبها بالخيار إذا دخل 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سلسلة الينابيع الفقهيّة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سقط من الغنية المطبوعة في ضمن الجوامع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سلسلة الينابيع الفقهيّة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آداب التجارة،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كتاب الخيارات من تحريرات في الفقه مفقودة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كتاب الخيارات من تحريرات في الفقه مفقودة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أيضاً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كتاب الخيارات من تحريرات في الفقه مفقودة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قاعدة لا ضرر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كتاب الخيارات من تحريرات في الفقه مفقودة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فإنّه لا يحلّ دم امرئ مسلم و لا ماله إلّا بطيبة نفسه، 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الصلاة، أبواب مكان المصلّي،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قاعدة لا ضرر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مفقودة، لكنّه أورد بعض مباحثها المربوط بها في 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كتاب الخيارات من تحريرات في الفقه مفقودة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نقل الشيخ في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لكن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الماء المطلق،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مبيعٍ تلف قبل قبضه فهو من مال بائعه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المكاسب، الشيخ الأنصاري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كتاب الرهن،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الخيارات من تحريرات في الفقه مفقودة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قاعدة لا ضرر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خيار الحيوان من تحريرات في الفقه مفقودة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صلاة المسافر من تحريرات في الفقه مفقودة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كتاب الخيارات من تحريرات في الفقه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يؤسف له فقدان هذه المباحث من كتاب الخيارات من تحريرات في الفقه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لاحظ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العيوب،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الشرط الرابع، الأمر الثاني عشر، المرحلة السادسة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و شروطه،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كتاب البيع من تحريرات في الفقه مفقودة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الصفحة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كتابه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مفقودة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حاشية المكاسب، المحقّق الإيرواني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أحكام العيوب،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أيضاً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المباحث من كتاب الخيارات من تحريرات في الفقه مفقودة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أبواب أحكام العيوب،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الخيارات، الرابع من مسقطات خيار العيب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البيع، الجهة الاولى في ماهية البيع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العيوب،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الخيارات، الثاني من مسقطات الردّ و الأرش</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تهذيب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محاضرات في اصول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الخيار،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أحكام العيوب،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وسيلة النجاة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القول في الخيارات،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لاحظ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فصل ماء البئر،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ما علّقه الأعلام عليها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ما يكتسب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كتاب القضاء، أبواب كيفية الحكم،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الأشربة، أبواب الأطعمة المباحة،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هذه العبارة سقطت من الغنية المطبوعة في ضمن الجوامع الفقهيّة، راجع سلسلة الينابيع الفقهيّة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الخيارات، الجانب الرابع من المسقط الرابع من مسقطات خيار العيب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تحريرات في الفقه، كتاب الخيارات، أحكام الخيار، المسألة الثالثة من مسائل إرث الخيار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كتب الأحاديث من العامّة و الخاصّة بعد الفحص عنها في مظانها، و لكن استدل بها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السيّد اليزدي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الفقه، كتاب الخيارات، أحكام الخيار، حول مشاكل إرث الحقوق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المحقّق الخراساني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النكاح المحرّم و ما يناسبه،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النكاح المحرّم و ما يناسبه،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النكاح المحرّم و ما يناسبه،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المقنعة بل يظهر منه الحكم في صورة الإفضاء كما في باب ضمان النفوس من أبواب القضايا و الأحكام من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فلعلّ النسبة غير ثابتة كما يظهر من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لكن قيّده بالتعيّب في الصفحة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علي و في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الشيخ رجع عن الإطلاق في النهاية إلى التقييد في الإستبصار كما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بالمصاهرة و نحوها،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ما يحرم بالمصاهرة و نحوها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خبرا حمران و بريد بن معاوية، راجع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ما يحرم بالمصاهرة و نحوها،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الفصل الثاني،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في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مع تعليقة المحقّق البروجردي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أبواب ما يحرم بالمصاهرة و نحوها،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بالمصاهرة و نحوها،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يرد في حقّه مدح أو ذمّ في كتب الرجال، راجع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الحاء من أصحاب الإمام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بالمصاهرة و نحوها،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كتاب النكاح، الفصل الثاني،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الأخير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بالمصاهرة و نحوها،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 و لاحظ أيضاً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موجبات الضمان،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المحكيّة عن ابن جنيد الإسكافي كما في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الصيمري و ابن القطّان كما في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الشيخ الأنصاري في كتاب النكاح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الفصل الثاني،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الصفحة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أبواب ديات الأعضاء،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أبواب ديات المنافع،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ما يحرم بالمصاهرة و نحوها،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أبواب ديات المنافع،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أبواب ديات الأعضاء،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الفصل الثاني،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الفصل الثاني،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الخلاف و لكن راجع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كتاب الإيلاء و الكفّارات، أبواب الإيلاء،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كونه على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كتاب الإيلاء و الكفّارات، أبواب الإيلاء،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كتاب النكاح، الفصل الأوّل، المسألة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تهذيب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كتاب النكاح،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نصّ الرواية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أخبار من بلغ و نحوه، 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مقدّمة العبادات،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تحريرات في الأُصول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لاحظ أيضاً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الكافي، أبو الصلاح الحلبي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الصوم، الفصل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القضاء،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الأعضاء،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كتاب النكاح، الفصل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قواعده الرجاليّة أو فيما علّقه على خاتمة المستدرك و كلاهما مفقودان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مشيخة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النكاح المحرّم و ما يناسبه،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غسل الميّت،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بالرضاع،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خبر يعبّر صريحاً عن الأب الرضاعي بصاحب اللبن، نعم يوجد بتعبير آخر مع اتّحاد المفهوم، 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ما يحرم بالرضاع،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النكاح المحرّم و ما يناسبه،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مقدّماته و آدابه،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النكاح المحرّم و ما يناسبه،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أصحاب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مستمسك العروة الوثقى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ابن أُمّ مكتوم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عائشة و حفصة فقال لهما قوما فادخلا البيت، فقالتا إنّه أعمى،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يركما فإنّكما تريانه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عن أبيه عن جدّه علي بن الحسين عن أبيه أنّ فاطمة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عليها أعمى فحجبته، فقال لها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حجبته و هو لا يراك،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 لم يكن يراني فأنا أراه و هو يشمّ الريح، فقال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أنّك بضعة منّي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لاحظ كتاب النكاح،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لاحظ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غسل الميّت،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غسل الميّت،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النكاح المحرّم و ما يناسبه،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الباب صرّح بذلك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يصافحها إلّا من وراء الثوب و لا يغمز كفّها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كتاب النكاح،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الشيخ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و آدابه، الباب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غسل الميّت،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الشهادات، أبواب الشهادات،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لاحظ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60312</Words>
  <Characters>253292</Characters>
  <CharactersWithSpaces>311282</CharactersWithSpaces>
  <Paragraphs>2325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2026-08-23T14:29:00Z</dcterms:created>
  <dc:creator>ghaemiyeh.com</dc:creator>
  <dc:description/>
  <dc:language>en-US</dc:language>
  <cp:lastModifiedBy/>
  <dcterms:modified xsi:type="dcterms:W3CDTF">2026-08-23T17:59:11Z</dcterms:modified>
  <cp:revision>1</cp:revision>
  <dc:subject/>
  <dc:title>مستند تحریر الوسیلة جلد 2</dc:title>
</cp:coreProperties>
</file>

<file path=docProps/custom.xml><?xml version="1.0" encoding="utf-8"?>
<Properties xmlns="http://schemas.openxmlformats.org/officeDocument/2006/custom-properties" xmlns:vt="http://schemas.openxmlformats.org/officeDocument/2006/docPropsVTypes"/>
</file>