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الاجتهاد والتقلید و الطهاره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3106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2310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23110_417432637">
            <w:r>
              <w:rPr>
                <w:webHidden/>
                <w:rStyle w:val="IndexLink"/>
                <w:rtl w:val="true"/>
              </w:rPr>
              <w:t>ادامة کتاب الطهارة</w:t>
            </w:r>
            <w:r>
              <w:rPr>
                <w:rStyle w:val="IndexLink"/>
                <w:rtl w:val="true"/>
              </w:rPr>
              <w:tab/>
            </w:r>
            <w:r>
              <w:rPr>
                <w:rStyle w:val="IndexLink"/>
              </w:rPr>
              <w:t>8</w:t>
            </w:r>
          </w:hyperlink>
        </w:p>
        <w:p>
          <w:pPr>
            <w:pStyle w:val="Contents3"/>
            <w:tabs>
              <w:tab w:val="clear" w:pos="8459"/>
              <w:tab w:val="right" w:pos="9026" w:leader="dot"/>
            </w:tabs>
            <w:rPr/>
          </w:pPr>
          <w:hyperlink w:anchor="__RefHeading___Toc1723112_417432637">
            <w:r>
              <w:rPr>
                <w:webHidden/>
                <w:rStyle w:val="IndexLink"/>
                <w:rtl w:val="true"/>
              </w:rPr>
              <w:t>فصل فی أحکام التخلّی</w:t>
            </w:r>
            <w:r>
              <w:rPr>
                <w:rStyle w:val="IndexLink"/>
                <w:rtl w:val="true"/>
              </w:rPr>
              <w:tab/>
            </w:r>
            <w:r>
              <w:rPr>
                <w:rStyle w:val="IndexLink"/>
              </w:rPr>
              <w:t>8</w:t>
            </w:r>
          </w:hyperlink>
        </w:p>
        <w:p>
          <w:pPr>
            <w:pStyle w:val="Contents4"/>
            <w:tabs>
              <w:tab w:val="clear" w:pos="8176"/>
              <w:tab w:val="right" w:pos="9026" w:leader="dot"/>
            </w:tabs>
            <w:rPr/>
          </w:pPr>
          <w:hyperlink w:anchor="__RefHeading___Toc1723114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723116_417432637">
            <w:r>
              <w:rPr>
                <w:webHidden/>
                <w:rStyle w:val="IndexLink"/>
                <w:rtl w:val="true"/>
              </w:rPr>
              <w:t>وجوب ستر العورة و حرمة النظر إلیها</w:t>
            </w:r>
            <w:r>
              <w:rPr>
                <w:rStyle w:val="IndexLink"/>
                <w:rtl w:val="true"/>
              </w:rPr>
              <w:tab/>
            </w:r>
            <w:r>
              <w:rPr>
                <w:rStyle w:val="IndexLink"/>
              </w:rPr>
              <w:t>8</w:t>
            </w:r>
          </w:hyperlink>
        </w:p>
        <w:p>
          <w:pPr>
            <w:pStyle w:val="Contents4"/>
            <w:tabs>
              <w:tab w:val="clear" w:pos="8176"/>
              <w:tab w:val="right" w:pos="9026" w:leader="dot"/>
            </w:tabs>
            <w:rPr/>
          </w:pPr>
          <w:hyperlink w:anchor="__RefHeading___Toc1723118_417432637">
            <w:r>
              <w:rPr>
                <w:webHidden/>
                <w:rStyle w:val="IndexLink"/>
                <w:rtl w:val="true"/>
              </w:rPr>
              <w:t>المراد من الناظر المحترم</w:t>
            </w:r>
            <w:r>
              <w:rPr>
                <w:rStyle w:val="IndexLink"/>
                <w:rtl w:val="true"/>
              </w:rPr>
              <w:tab/>
            </w:r>
            <w:r>
              <w:rPr>
                <w:rStyle w:val="IndexLink"/>
              </w:rPr>
              <w:t>22</w:t>
            </w:r>
          </w:hyperlink>
        </w:p>
        <w:p>
          <w:pPr>
            <w:pStyle w:val="Contents4"/>
            <w:tabs>
              <w:tab w:val="clear" w:pos="8176"/>
              <w:tab w:val="right" w:pos="9026" w:leader="dot"/>
            </w:tabs>
            <w:rPr/>
          </w:pPr>
          <w:hyperlink w:anchor="__RefHeading___Toc1723120_417432637">
            <w:r>
              <w:rPr>
                <w:webHidden/>
                <w:rStyle w:val="IndexLink"/>
                <w:rtl w:val="true"/>
              </w:rPr>
              <w:t>فروع ستر العورة و حرمة النظر إلیها</w:t>
            </w:r>
            <w:r>
              <w:rPr>
                <w:rStyle w:val="IndexLink"/>
                <w:rtl w:val="true"/>
              </w:rPr>
              <w:tab/>
            </w:r>
            <w:r>
              <w:rPr>
                <w:rStyle w:val="IndexLink"/>
              </w:rPr>
              <w:t>23</w:t>
            </w:r>
          </w:hyperlink>
        </w:p>
        <w:p>
          <w:pPr>
            <w:pStyle w:val="Contents4"/>
            <w:tabs>
              <w:tab w:val="clear" w:pos="8176"/>
              <w:tab w:val="right" w:pos="9026" w:leader="dot"/>
            </w:tabs>
            <w:rPr/>
          </w:pPr>
          <w:hyperlink w:anchor="__RefHeading___Toc1723122_417432637">
            <w:r>
              <w:rPr>
                <w:webHidden/>
                <w:rStyle w:val="IndexLink"/>
                <w:rtl w:val="true"/>
              </w:rPr>
              <w:t>حکم النظر إلی عورة الخنثی</w:t>
            </w:r>
            <w:r>
              <w:rPr>
                <w:rStyle w:val="IndexLink"/>
                <w:rtl w:val="true"/>
              </w:rPr>
              <w:tab/>
            </w:r>
            <w:r>
              <w:rPr>
                <w:rStyle w:val="IndexLink"/>
              </w:rPr>
              <w:t>29</w:t>
            </w:r>
          </w:hyperlink>
        </w:p>
        <w:p>
          <w:pPr>
            <w:pStyle w:val="Contents4"/>
            <w:tabs>
              <w:tab w:val="clear" w:pos="8176"/>
              <w:tab w:val="right" w:pos="9026" w:leader="dot"/>
            </w:tabs>
            <w:rPr/>
          </w:pPr>
          <w:hyperlink w:anchor="__RefHeading___Toc1723124_417432637">
            <w:r>
              <w:rPr>
                <w:webHidden/>
                <w:rStyle w:val="IndexLink"/>
                <w:rtl w:val="true"/>
              </w:rPr>
              <w:t>النظر إلی العورة عند الاضطرار</w:t>
            </w:r>
            <w:r>
              <w:rPr>
                <w:rStyle w:val="IndexLink"/>
                <w:rtl w:val="true"/>
              </w:rPr>
              <w:tab/>
            </w:r>
            <w:r>
              <w:rPr>
                <w:rStyle w:val="IndexLink"/>
              </w:rPr>
              <w:t>31</w:t>
            </w:r>
          </w:hyperlink>
        </w:p>
        <w:p>
          <w:pPr>
            <w:pStyle w:val="Contents4"/>
            <w:tabs>
              <w:tab w:val="clear" w:pos="8176"/>
              <w:tab w:val="right" w:pos="9026" w:leader="dot"/>
            </w:tabs>
            <w:rPr/>
          </w:pPr>
          <w:hyperlink w:anchor="__RefHeading___Toc1723126_417432637">
            <w:r>
              <w:rPr>
                <w:webHidden/>
                <w:rStyle w:val="IndexLink"/>
                <w:rtl w:val="true"/>
              </w:rPr>
              <w:t>حرمة استقبال القبلة و استدبارها</w:t>
            </w:r>
            <w:r>
              <w:rPr>
                <w:rStyle w:val="IndexLink"/>
                <w:rtl w:val="true"/>
              </w:rPr>
              <w:tab/>
            </w:r>
            <w:r>
              <w:rPr>
                <w:rStyle w:val="IndexLink"/>
              </w:rPr>
              <w:t>33</w:t>
            </w:r>
          </w:hyperlink>
        </w:p>
        <w:p>
          <w:pPr>
            <w:pStyle w:val="Contents4"/>
            <w:tabs>
              <w:tab w:val="clear" w:pos="8176"/>
              <w:tab w:val="right" w:pos="9026" w:leader="dot"/>
            </w:tabs>
            <w:rPr/>
          </w:pPr>
          <w:hyperlink w:anchor="__RefHeading___Toc1723128_417432637">
            <w:r>
              <w:rPr>
                <w:webHidden/>
                <w:rStyle w:val="IndexLink"/>
                <w:rtl w:val="true"/>
              </w:rPr>
              <w:t>الحکم حال الاستبراء و الاستنجاء</w:t>
            </w:r>
            <w:r>
              <w:rPr>
                <w:rStyle w:val="IndexLink"/>
                <w:rtl w:val="true"/>
              </w:rPr>
              <w:tab/>
            </w:r>
            <w:r>
              <w:rPr>
                <w:rStyle w:val="IndexLink"/>
              </w:rPr>
              <w:t>38</w:t>
            </w:r>
          </w:hyperlink>
        </w:p>
        <w:p>
          <w:pPr>
            <w:pStyle w:val="Contents4"/>
            <w:tabs>
              <w:tab w:val="clear" w:pos="8176"/>
              <w:tab w:val="right" w:pos="9026" w:leader="dot"/>
            </w:tabs>
            <w:rPr/>
          </w:pPr>
          <w:hyperlink w:anchor="__RefHeading___Toc1723130_417432637">
            <w:r>
              <w:rPr>
                <w:webHidden/>
                <w:rStyle w:val="IndexLink"/>
                <w:rtl w:val="true"/>
              </w:rPr>
              <w:t>الاضطرار إلی الاستقبال أو الاستدبار</w:t>
            </w:r>
            <w:r>
              <w:rPr>
                <w:rStyle w:val="IndexLink"/>
                <w:rtl w:val="true"/>
              </w:rPr>
              <w:tab/>
            </w:r>
            <w:r>
              <w:rPr>
                <w:rStyle w:val="IndexLink"/>
              </w:rPr>
              <w:t>40</w:t>
            </w:r>
          </w:hyperlink>
        </w:p>
        <w:p>
          <w:pPr>
            <w:pStyle w:val="Contents4"/>
            <w:tabs>
              <w:tab w:val="clear" w:pos="8176"/>
              <w:tab w:val="right" w:pos="9026" w:leader="dot"/>
            </w:tabs>
            <w:rPr/>
          </w:pPr>
          <w:hyperlink w:anchor="__RefHeading___Toc1723132_417432637">
            <w:r>
              <w:rPr>
                <w:webHidden/>
                <w:rStyle w:val="IndexLink"/>
                <w:rtl w:val="true"/>
              </w:rPr>
              <w:t>الحکم عند اشتباه جهة القبلة</w:t>
            </w:r>
            <w:r>
              <w:rPr>
                <w:rStyle w:val="IndexLink"/>
                <w:rtl w:val="true"/>
              </w:rPr>
              <w:tab/>
            </w:r>
            <w:r>
              <w:rPr>
                <w:rStyle w:val="IndexLink"/>
              </w:rPr>
              <w:t>42</w:t>
            </w:r>
          </w:hyperlink>
        </w:p>
        <w:p>
          <w:pPr>
            <w:pStyle w:val="Contents4"/>
            <w:tabs>
              <w:tab w:val="clear" w:pos="8176"/>
              <w:tab w:val="right" w:pos="9026" w:leader="dot"/>
            </w:tabs>
            <w:rPr/>
          </w:pPr>
          <w:hyperlink w:anchor="__RefHeading___Toc1723134_417432637">
            <w:r>
              <w:rPr>
                <w:webHidden/>
                <w:rStyle w:val="IndexLink"/>
                <w:rtl w:val="true"/>
              </w:rPr>
              <w:t>عدم جواز التسبیب إلی التخلّی فی استقبال القبلة و استدبارها</w:t>
            </w:r>
            <w:r>
              <w:rPr>
                <w:rStyle w:val="IndexLink"/>
                <w:rtl w:val="true"/>
              </w:rPr>
              <w:tab/>
            </w:r>
            <w:r>
              <w:rPr>
                <w:rStyle w:val="IndexLink"/>
              </w:rPr>
              <w:t>44</w:t>
            </w:r>
          </w:hyperlink>
        </w:p>
        <w:p>
          <w:pPr>
            <w:pStyle w:val="Contents4"/>
            <w:tabs>
              <w:tab w:val="clear" w:pos="8176"/>
              <w:tab w:val="right" w:pos="9026" w:leader="dot"/>
            </w:tabs>
            <w:rPr/>
          </w:pPr>
          <w:hyperlink w:anchor="__RefHeading___Toc1723136_417432637">
            <w:r>
              <w:rPr>
                <w:webHidden/>
                <w:rStyle w:val="IndexLink"/>
                <w:rtl w:val="true"/>
              </w:rPr>
              <w:t>ردع المتخلّی إلی القبلة أو مستدبرها</w:t>
            </w:r>
            <w:r>
              <w:rPr>
                <w:rStyle w:val="IndexLink"/>
                <w:rtl w:val="true"/>
              </w:rPr>
              <w:tab/>
            </w:r>
            <w:r>
              <w:rPr>
                <w:rStyle w:val="IndexLink"/>
              </w:rPr>
              <w:t>45</w:t>
            </w:r>
          </w:hyperlink>
        </w:p>
        <w:p>
          <w:pPr>
            <w:pStyle w:val="Contents4"/>
            <w:tabs>
              <w:tab w:val="clear" w:pos="8176"/>
              <w:tab w:val="right" w:pos="9026" w:leader="dot"/>
            </w:tabs>
            <w:rPr/>
          </w:pPr>
          <w:hyperlink w:anchor="__RefHeading___Toc1723138_417432637">
            <w:r>
              <w:rPr>
                <w:webHidden/>
                <w:rStyle w:val="IndexLink"/>
                <w:rtl w:val="true"/>
              </w:rPr>
              <w:t>عدم وجوب الإرشاد إلی القبلة</w:t>
            </w:r>
            <w:r>
              <w:rPr>
                <w:rStyle w:val="IndexLink"/>
                <w:rtl w:val="true"/>
              </w:rPr>
              <w:tab/>
            </w:r>
            <w:r>
              <w:rPr>
                <w:rStyle w:val="IndexLink"/>
              </w:rPr>
              <w:t>46</w:t>
            </w:r>
          </w:hyperlink>
        </w:p>
        <w:p>
          <w:pPr>
            <w:pStyle w:val="Contents4"/>
            <w:tabs>
              <w:tab w:val="clear" w:pos="8176"/>
              <w:tab w:val="right" w:pos="9026" w:leader="dot"/>
            </w:tabs>
            <w:rPr/>
          </w:pPr>
          <w:hyperlink w:anchor="__RefHeading___Toc1723140_417432637">
            <w:r>
              <w:rPr>
                <w:webHidden/>
                <w:rStyle w:val="IndexLink"/>
                <w:rtl w:val="true"/>
              </w:rPr>
              <w:t>حرمة التخلّی فی ملک الغیر</w:t>
            </w:r>
            <w:r>
              <w:rPr>
                <w:rStyle w:val="IndexLink"/>
                <w:rtl w:val="true"/>
              </w:rPr>
              <w:tab/>
            </w:r>
            <w:r>
              <w:rPr>
                <w:rStyle w:val="IndexLink"/>
              </w:rPr>
              <w:t>52</w:t>
            </w:r>
          </w:hyperlink>
        </w:p>
        <w:p>
          <w:pPr>
            <w:pStyle w:val="Contents4"/>
            <w:tabs>
              <w:tab w:val="clear" w:pos="8176"/>
              <w:tab w:val="right" w:pos="9026" w:leader="dot"/>
            </w:tabs>
            <w:rPr/>
          </w:pPr>
          <w:hyperlink w:anchor="__RefHeading___Toc1723142_417432637">
            <w:r>
              <w:rPr>
                <w:webHidden/>
                <w:rStyle w:val="IndexLink"/>
                <w:rtl w:val="true"/>
              </w:rPr>
              <w:t>حکم التخلّی فی مثل المدارس</w:t>
            </w:r>
            <w:r>
              <w:rPr>
                <w:rStyle w:val="IndexLink"/>
                <w:rtl w:val="true"/>
              </w:rPr>
              <w:tab/>
            </w:r>
            <w:r>
              <w:rPr>
                <w:rStyle w:val="IndexLink"/>
              </w:rPr>
              <w:t>55</w:t>
            </w:r>
          </w:hyperlink>
        </w:p>
        <w:p>
          <w:pPr>
            <w:pStyle w:val="Contents3"/>
            <w:tabs>
              <w:tab w:val="clear" w:pos="8459"/>
              <w:tab w:val="right" w:pos="9026" w:leader="dot"/>
            </w:tabs>
            <w:rPr/>
          </w:pPr>
          <w:hyperlink w:anchor="__RefHeading___Toc1723144_417432637">
            <w:r>
              <w:rPr>
                <w:webHidden/>
                <w:rStyle w:val="IndexLink"/>
                <w:rtl w:val="true"/>
              </w:rPr>
              <w:t>فصل فی الاستنجاء</w:t>
            </w:r>
            <w:r>
              <w:rPr>
                <w:rStyle w:val="IndexLink"/>
                <w:rtl w:val="true"/>
              </w:rPr>
              <w:tab/>
            </w:r>
            <w:r>
              <w:rPr>
                <w:rStyle w:val="IndexLink"/>
              </w:rPr>
              <w:t>57</w:t>
            </w:r>
          </w:hyperlink>
        </w:p>
        <w:p>
          <w:pPr>
            <w:pStyle w:val="Contents4"/>
            <w:tabs>
              <w:tab w:val="clear" w:pos="8176"/>
              <w:tab w:val="right" w:pos="9026" w:leader="dot"/>
            </w:tabs>
            <w:rPr/>
          </w:pPr>
          <w:hyperlink w:anchor="__RefHeading___Toc1723146_41743263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723148_417432637">
            <w:r>
              <w:rPr>
                <w:webHidden/>
                <w:rStyle w:val="IndexLink"/>
                <w:rtl w:val="true"/>
              </w:rPr>
              <w:t>غسل مخرج البول بالماء</w:t>
            </w:r>
            <w:r>
              <w:rPr>
                <w:rStyle w:val="IndexLink"/>
                <w:rtl w:val="true"/>
              </w:rPr>
              <w:tab/>
            </w:r>
            <w:r>
              <w:rPr>
                <w:rStyle w:val="IndexLink"/>
              </w:rPr>
              <w:t>57</w:t>
            </w:r>
          </w:hyperlink>
        </w:p>
        <w:p>
          <w:pPr>
            <w:pStyle w:val="Contents4"/>
            <w:tabs>
              <w:tab w:val="clear" w:pos="8176"/>
              <w:tab w:val="right" w:pos="9026" w:leader="dot"/>
            </w:tabs>
            <w:rPr/>
          </w:pPr>
          <w:hyperlink w:anchor="__RefHeading___Toc1723150_417432637">
            <w:r>
              <w:rPr>
                <w:webHidden/>
                <w:rStyle w:val="IndexLink"/>
                <w:rtl w:val="true"/>
              </w:rPr>
              <w:t>غسل مخرج الغائط</w:t>
            </w:r>
            <w:r>
              <w:rPr>
                <w:rStyle w:val="IndexLink"/>
                <w:rtl w:val="true"/>
              </w:rPr>
              <w:tab/>
            </w:r>
            <w:r>
              <w:rPr>
                <w:rStyle w:val="IndexLink"/>
              </w:rPr>
              <w:t>66</w:t>
            </w:r>
          </w:hyperlink>
        </w:p>
        <w:p>
          <w:pPr>
            <w:pStyle w:val="Contents4"/>
            <w:tabs>
              <w:tab w:val="clear" w:pos="8176"/>
              <w:tab w:val="right" w:pos="9026" w:leader="dot"/>
            </w:tabs>
            <w:rPr/>
          </w:pPr>
          <w:hyperlink w:anchor="__RefHeading___Toc1723152_417432637">
            <w:r>
              <w:rPr>
                <w:webHidden/>
                <w:rStyle w:val="IndexLink"/>
                <w:rtl w:val="true"/>
              </w:rPr>
              <w:t>الاستنجاء بغیر الماء</w:t>
            </w:r>
            <w:r>
              <w:rPr>
                <w:rStyle w:val="IndexLink"/>
                <w:rtl w:val="true"/>
              </w:rPr>
              <w:tab/>
            </w:r>
            <w:r>
              <w:rPr>
                <w:rStyle w:val="IndexLink"/>
              </w:rPr>
              <w:t>67</w:t>
            </w:r>
          </w:hyperlink>
        </w:p>
        <w:p>
          <w:pPr>
            <w:pStyle w:val="Contents4"/>
            <w:tabs>
              <w:tab w:val="clear" w:pos="8176"/>
              <w:tab w:val="right" w:pos="9026" w:leader="dot"/>
            </w:tabs>
            <w:rPr/>
          </w:pPr>
          <w:hyperlink w:anchor="__RefHeading___Toc1723154_417432637">
            <w:r>
              <w:rPr>
                <w:webHidden/>
                <w:rStyle w:val="IndexLink"/>
                <w:rtl w:val="true"/>
              </w:rPr>
              <w:t>ما یعتبر فی الاستنجاء بالماء أو بغیره</w:t>
            </w:r>
            <w:r>
              <w:rPr>
                <w:rStyle w:val="IndexLink"/>
                <w:rtl w:val="true"/>
              </w:rPr>
              <w:tab/>
            </w:r>
            <w:r>
              <w:rPr>
                <w:rStyle w:val="IndexLink"/>
              </w:rPr>
              <w:t>71</w:t>
            </w:r>
          </w:hyperlink>
        </w:p>
        <w:p>
          <w:pPr>
            <w:pStyle w:val="Contents4"/>
            <w:tabs>
              <w:tab w:val="clear" w:pos="8176"/>
              <w:tab w:val="right" w:pos="9026" w:leader="dot"/>
            </w:tabs>
            <w:rPr/>
          </w:pPr>
          <w:hyperlink w:anchor="__RefHeading___Toc1723156_417432637">
            <w:r>
              <w:rPr>
                <w:webHidden/>
                <w:rStyle w:val="IndexLink"/>
                <w:rtl w:val="true"/>
              </w:rPr>
              <w:t>الاستنجاء بالعظم و الروث و سائر المحترمات</w:t>
            </w:r>
            <w:r>
              <w:rPr>
                <w:rStyle w:val="IndexLink"/>
                <w:rtl w:val="true"/>
              </w:rPr>
              <w:tab/>
            </w:r>
            <w:r>
              <w:rPr>
                <w:rStyle w:val="IndexLink"/>
              </w:rPr>
              <w:t>83</w:t>
            </w:r>
          </w:hyperlink>
        </w:p>
        <w:p>
          <w:pPr>
            <w:pStyle w:val="Contents4"/>
            <w:tabs>
              <w:tab w:val="clear" w:pos="8176"/>
              <w:tab w:val="right" w:pos="9026" w:leader="dot"/>
            </w:tabs>
            <w:rPr/>
          </w:pPr>
          <w:hyperlink w:anchor="__RefHeading___Toc1723158_417432637">
            <w:r>
              <w:rPr>
                <w:webHidden/>
                <w:rStyle w:val="IndexLink"/>
                <w:rtl w:val="true"/>
              </w:rPr>
              <w:t>فروع الاستنجاء</w:t>
            </w:r>
            <w:r>
              <w:rPr>
                <w:rStyle w:val="IndexLink"/>
                <w:rtl w:val="true"/>
              </w:rPr>
              <w:tab/>
            </w:r>
            <w:r>
              <w:rPr>
                <w:rStyle w:val="IndexLink"/>
              </w:rPr>
              <w:t>85</w:t>
            </w:r>
          </w:hyperlink>
        </w:p>
        <w:p>
          <w:pPr>
            <w:pStyle w:val="Contents4"/>
            <w:tabs>
              <w:tab w:val="clear" w:pos="8176"/>
              <w:tab w:val="right" w:pos="9026" w:leader="dot"/>
            </w:tabs>
            <w:rPr/>
          </w:pPr>
          <w:hyperlink w:anchor="__RefHeading___Toc1723160_417432637">
            <w:r>
              <w:rPr>
                <w:webHidden/>
                <w:rStyle w:val="IndexLink"/>
                <w:rtl w:val="true"/>
              </w:rPr>
              <w:t>الشکّ فی الاستنجاء</w:t>
            </w:r>
            <w:r>
              <w:rPr>
                <w:rStyle w:val="IndexLink"/>
                <w:rtl w:val="true"/>
              </w:rPr>
              <w:tab/>
            </w:r>
            <w:r>
              <w:rPr>
                <w:rStyle w:val="IndexLink"/>
              </w:rPr>
              <w:t>88</w:t>
            </w:r>
          </w:hyperlink>
        </w:p>
        <w:p>
          <w:pPr>
            <w:pStyle w:val="Contents3"/>
            <w:tabs>
              <w:tab w:val="clear" w:pos="8459"/>
              <w:tab w:val="right" w:pos="9026" w:leader="dot"/>
            </w:tabs>
            <w:rPr/>
          </w:pPr>
          <w:hyperlink w:anchor="__RefHeading___Toc1723162_417432637">
            <w:r>
              <w:rPr>
                <w:webHidden/>
                <w:rStyle w:val="IndexLink"/>
                <w:rtl w:val="true"/>
              </w:rPr>
              <w:t>فصل فی الاستبراء</w:t>
            </w:r>
            <w:r>
              <w:rPr>
                <w:rStyle w:val="IndexLink"/>
                <w:rtl w:val="true"/>
              </w:rPr>
              <w:tab/>
            </w:r>
            <w:r>
              <w:rPr>
                <w:rStyle w:val="IndexLink"/>
              </w:rPr>
              <w:t>95</w:t>
            </w:r>
          </w:hyperlink>
        </w:p>
        <w:p>
          <w:pPr>
            <w:pStyle w:val="Contents4"/>
            <w:tabs>
              <w:tab w:val="clear" w:pos="8176"/>
              <w:tab w:val="right" w:pos="9026" w:leader="dot"/>
            </w:tabs>
            <w:rPr/>
          </w:pPr>
          <w:hyperlink w:anchor="__RefHeading___Toc1723164_41743263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723166_417432637">
            <w:r>
              <w:rPr>
                <w:webHidden/>
                <w:rStyle w:val="IndexLink"/>
                <w:rtl w:val="true"/>
              </w:rPr>
              <w:t>کیفیّة الاستبراء</w:t>
            </w:r>
            <w:r>
              <w:rPr>
                <w:rStyle w:val="IndexLink"/>
                <w:rtl w:val="true"/>
              </w:rPr>
              <w:tab/>
            </w:r>
            <w:r>
              <w:rPr>
                <w:rStyle w:val="IndexLink"/>
              </w:rPr>
              <w:t>95</w:t>
            </w:r>
          </w:hyperlink>
        </w:p>
        <w:p>
          <w:pPr>
            <w:pStyle w:val="Contents4"/>
            <w:tabs>
              <w:tab w:val="clear" w:pos="8176"/>
              <w:tab w:val="right" w:pos="9026" w:leader="dot"/>
            </w:tabs>
            <w:rPr/>
          </w:pPr>
          <w:hyperlink w:anchor="__RefHeading___Toc1723168_417432637">
            <w:r>
              <w:rPr>
                <w:webHidden/>
                <w:rStyle w:val="IndexLink"/>
                <w:rtl w:val="true"/>
              </w:rPr>
              <w:t>فائدة الاستبراء</w:t>
            </w:r>
            <w:r>
              <w:rPr>
                <w:rStyle w:val="IndexLink"/>
                <w:rtl w:val="true"/>
              </w:rPr>
              <w:tab/>
            </w:r>
            <w:r>
              <w:rPr>
                <w:rStyle w:val="IndexLink"/>
              </w:rPr>
              <w:t>101</w:t>
            </w:r>
          </w:hyperlink>
        </w:p>
        <w:p>
          <w:pPr>
            <w:pStyle w:val="Contents4"/>
            <w:tabs>
              <w:tab w:val="clear" w:pos="8176"/>
              <w:tab w:val="right" w:pos="9026" w:leader="dot"/>
            </w:tabs>
            <w:rPr/>
          </w:pPr>
          <w:hyperlink w:anchor="__RefHeading___Toc1723170_417432637">
            <w:r>
              <w:rPr>
                <w:webHidden/>
                <w:rStyle w:val="IndexLink"/>
                <w:rtl w:val="true"/>
              </w:rPr>
              <w:t>استبراء المرأة</w:t>
            </w:r>
            <w:r>
              <w:rPr>
                <w:rStyle w:val="IndexLink"/>
                <w:rtl w:val="true"/>
              </w:rPr>
              <w:tab/>
            </w:r>
            <w:r>
              <w:rPr>
                <w:rStyle w:val="IndexLink"/>
              </w:rPr>
              <w:t>104</w:t>
            </w:r>
          </w:hyperlink>
        </w:p>
        <w:p>
          <w:pPr>
            <w:pStyle w:val="Contents4"/>
            <w:tabs>
              <w:tab w:val="clear" w:pos="8176"/>
              <w:tab w:val="right" w:pos="9026" w:leader="dot"/>
            </w:tabs>
            <w:rPr/>
          </w:pPr>
          <w:hyperlink w:anchor="__RefHeading___Toc1723172_417432637">
            <w:r>
              <w:rPr>
                <w:webHidden/>
                <w:rStyle w:val="IndexLink"/>
                <w:rtl w:val="true"/>
              </w:rPr>
              <w:t>فروع الاستبراء</w:t>
            </w:r>
            <w:r>
              <w:rPr>
                <w:rStyle w:val="IndexLink"/>
                <w:rtl w:val="true"/>
              </w:rPr>
              <w:tab/>
            </w:r>
            <w:r>
              <w:rPr>
                <w:rStyle w:val="IndexLink"/>
              </w:rPr>
              <w:t>105</w:t>
            </w:r>
          </w:hyperlink>
        </w:p>
        <w:p>
          <w:pPr>
            <w:pStyle w:val="Contents4"/>
            <w:tabs>
              <w:tab w:val="clear" w:pos="8176"/>
              <w:tab w:val="right" w:pos="9026" w:leader="dot"/>
            </w:tabs>
            <w:rPr/>
          </w:pPr>
          <w:hyperlink w:anchor="__RefHeading___Toc1723174_417432637">
            <w:r>
              <w:rPr>
                <w:webHidden/>
                <w:rStyle w:val="IndexLink"/>
                <w:rtl w:val="true"/>
              </w:rPr>
              <w:t>عدم اعتبار المباشرة فی الاستبراء</w:t>
            </w:r>
            <w:r>
              <w:rPr>
                <w:rStyle w:val="IndexLink"/>
                <w:rtl w:val="true"/>
              </w:rPr>
              <w:tab/>
            </w:r>
            <w:r>
              <w:rPr>
                <w:rStyle w:val="IndexLink"/>
              </w:rPr>
              <w:t>109</w:t>
            </w:r>
          </w:hyperlink>
        </w:p>
        <w:p>
          <w:pPr>
            <w:pStyle w:val="Contents4"/>
            <w:tabs>
              <w:tab w:val="clear" w:pos="8176"/>
              <w:tab w:val="right" w:pos="9026" w:leader="dot"/>
            </w:tabs>
            <w:rPr/>
          </w:pPr>
          <w:hyperlink w:anchor="__RefHeading___Toc1723176_417432637">
            <w:r>
              <w:rPr>
                <w:webHidden/>
                <w:rStyle w:val="IndexLink"/>
                <w:rtl w:val="true"/>
              </w:rPr>
              <w:t>الشکّ فی الاستبراء و الرطوبة</w:t>
            </w:r>
            <w:r>
              <w:rPr>
                <w:rStyle w:val="IndexLink"/>
                <w:rtl w:val="true"/>
              </w:rPr>
              <w:tab/>
            </w:r>
            <w:r>
              <w:rPr>
                <w:rStyle w:val="IndexLink"/>
              </w:rPr>
              <w:t>109</w:t>
            </w:r>
          </w:hyperlink>
        </w:p>
        <w:p>
          <w:pPr>
            <w:pStyle w:val="Contents3"/>
            <w:tabs>
              <w:tab w:val="clear" w:pos="8459"/>
              <w:tab w:val="right" w:pos="9026" w:leader="dot"/>
            </w:tabs>
            <w:rPr/>
          </w:pPr>
          <w:hyperlink w:anchor="__RefHeading___Toc1723178_417432637">
            <w:r>
              <w:rPr>
                <w:webHidden/>
                <w:rStyle w:val="IndexLink"/>
                <w:rtl w:val="true"/>
              </w:rPr>
              <w:t>فصل فی مستحبّات التخلّی و مکروهاته</w:t>
            </w:r>
            <w:r>
              <w:rPr>
                <w:rStyle w:val="IndexLink"/>
                <w:rtl w:val="true"/>
              </w:rPr>
              <w:tab/>
            </w:r>
            <w:r>
              <w:rPr>
                <w:rStyle w:val="IndexLink"/>
              </w:rPr>
              <w:t>120</w:t>
            </w:r>
          </w:hyperlink>
        </w:p>
        <w:p>
          <w:pPr>
            <w:pStyle w:val="Contents4"/>
            <w:tabs>
              <w:tab w:val="clear" w:pos="8176"/>
              <w:tab w:val="right" w:pos="9026" w:leader="dot"/>
            </w:tabs>
            <w:rPr/>
          </w:pPr>
          <w:hyperlink w:anchor="__RefHeading___Toc1723180_41743263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723182_417432637">
            <w:r>
              <w:rPr>
                <w:webHidden/>
                <w:rStyle w:val="IndexLink"/>
                <w:rtl w:val="true"/>
              </w:rPr>
              <w:t>مستحبّات التخلّی</w:t>
            </w:r>
            <w:r>
              <w:rPr>
                <w:rStyle w:val="IndexLink"/>
                <w:rtl w:val="true"/>
              </w:rPr>
              <w:tab/>
            </w:r>
            <w:r>
              <w:rPr>
                <w:rStyle w:val="IndexLink"/>
              </w:rPr>
              <w:t>120</w:t>
            </w:r>
          </w:hyperlink>
        </w:p>
        <w:p>
          <w:pPr>
            <w:pStyle w:val="Contents4"/>
            <w:tabs>
              <w:tab w:val="clear" w:pos="8176"/>
              <w:tab w:val="right" w:pos="9026" w:leader="dot"/>
            </w:tabs>
            <w:rPr/>
          </w:pPr>
          <w:hyperlink w:anchor="__RefHeading___Toc1723184_417432637">
            <w:r>
              <w:rPr>
                <w:webHidden/>
                <w:rStyle w:val="IndexLink"/>
                <w:rtl w:val="true"/>
              </w:rPr>
              <w:t>مکروهات التخلّی</w:t>
            </w:r>
            <w:r>
              <w:rPr>
                <w:rStyle w:val="IndexLink"/>
                <w:rtl w:val="true"/>
              </w:rPr>
              <w:tab/>
            </w:r>
            <w:r>
              <w:rPr>
                <w:rStyle w:val="IndexLink"/>
              </w:rPr>
              <w:t>133</w:t>
            </w:r>
          </w:hyperlink>
        </w:p>
        <w:p>
          <w:pPr>
            <w:pStyle w:val="Contents3"/>
            <w:tabs>
              <w:tab w:val="clear" w:pos="8459"/>
              <w:tab w:val="right" w:pos="9026" w:leader="dot"/>
            </w:tabs>
            <w:rPr/>
          </w:pPr>
          <w:hyperlink w:anchor="__RefHeading___Toc1723186_417432637">
            <w:r>
              <w:rPr>
                <w:webHidden/>
                <w:rStyle w:val="IndexLink"/>
                <w:rtl w:val="true"/>
              </w:rPr>
              <w:t>فصل فی موجبات الوضوء و نواقضه</w:t>
            </w:r>
            <w:r>
              <w:rPr>
                <w:rStyle w:val="IndexLink"/>
                <w:rtl w:val="true"/>
              </w:rPr>
              <w:tab/>
            </w:r>
            <w:r>
              <w:rPr>
                <w:rStyle w:val="IndexLink"/>
              </w:rPr>
              <w:t>151</w:t>
            </w:r>
          </w:hyperlink>
        </w:p>
        <w:p>
          <w:pPr>
            <w:pStyle w:val="Contents4"/>
            <w:tabs>
              <w:tab w:val="clear" w:pos="8176"/>
              <w:tab w:val="right" w:pos="9026" w:leader="dot"/>
            </w:tabs>
            <w:rPr/>
          </w:pPr>
          <w:hyperlink w:anchor="__RefHeading___Toc1723188_41743263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723190_417432637">
            <w:r>
              <w:rPr>
                <w:webHidden/>
                <w:rStyle w:val="IndexLink"/>
                <w:rtl w:val="true"/>
              </w:rPr>
              <w:t>نواقض الوضوء</w:t>
            </w:r>
            <w:r>
              <w:rPr>
                <w:rStyle w:val="IndexLink"/>
                <w:rtl w:val="true"/>
              </w:rPr>
              <w:t>:</w:t>
            </w:r>
            <w:r>
              <w:rPr>
                <w:rStyle w:val="IndexLink"/>
                <w:rtl w:val="true"/>
              </w:rPr>
              <w:t>الأوّل و الثانی</w:t>
            </w:r>
            <w:r>
              <w:rPr>
                <w:rStyle w:val="IndexLink"/>
                <w:rtl w:val="true"/>
              </w:rPr>
              <w:t>:</w:t>
            </w:r>
            <w:r>
              <w:rPr>
                <w:rStyle w:val="IndexLink"/>
                <w:rtl w:val="true"/>
              </w:rPr>
              <w:t>البول و الغائط</w:t>
            </w:r>
            <w:r>
              <w:rPr>
                <w:rStyle w:val="IndexLink"/>
                <w:rtl w:val="true"/>
              </w:rPr>
              <w:tab/>
            </w:r>
            <w:r>
              <w:rPr>
                <w:rStyle w:val="IndexLink"/>
              </w:rPr>
              <w:t>151</w:t>
            </w:r>
          </w:hyperlink>
        </w:p>
        <w:p>
          <w:pPr>
            <w:pStyle w:val="Contents4"/>
            <w:tabs>
              <w:tab w:val="clear" w:pos="8176"/>
              <w:tab w:val="right" w:pos="9026" w:leader="dot"/>
            </w:tabs>
            <w:rPr/>
          </w:pPr>
          <w:hyperlink w:anchor="__RefHeading___Toc1723192_417432637">
            <w:r>
              <w:rPr>
                <w:webHidden/>
                <w:rStyle w:val="IndexLink"/>
                <w:rtl w:val="true"/>
              </w:rPr>
              <w:t>الثالث</w:t>
            </w:r>
            <w:r>
              <w:rPr>
                <w:rStyle w:val="IndexLink"/>
                <w:rtl w:val="true"/>
              </w:rPr>
              <w:t>:</w:t>
            </w:r>
            <w:r>
              <w:rPr>
                <w:rStyle w:val="IndexLink"/>
                <w:rtl w:val="true"/>
              </w:rPr>
              <w:t>الریح</w:t>
            </w:r>
            <w:r>
              <w:rPr>
                <w:rStyle w:val="IndexLink"/>
                <w:rtl w:val="true"/>
              </w:rPr>
              <w:tab/>
            </w:r>
            <w:r>
              <w:rPr>
                <w:rStyle w:val="IndexLink"/>
              </w:rPr>
              <w:t>157</w:t>
            </w:r>
          </w:hyperlink>
        </w:p>
        <w:p>
          <w:pPr>
            <w:pStyle w:val="Contents4"/>
            <w:tabs>
              <w:tab w:val="clear" w:pos="8176"/>
              <w:tab w:val="right" w:pos="9026" w:leader="dot"/>
            </w:tabs>
            <w:rPr/>
          </w:pPr>
          <w:hyperlink w:anchor="__RefHeading___Toc1723194_417432637">
            <w:r>
              <w:rPr>
                <w:webHidden/>
                <w:rStyle w:val="IndexLink"/>
                <w:rtl w:val="true"/>
              </w:rPr>
              <w:t>الرابع</w:t>
            </w:r>
            <w:r>
              <w:rPr>
                <w:rStyle w:val="IndexLink"/>
                <w:rtl w:val="true"/>
              </w:rPr>
              <w:t>:</w:t>
            </w:r>
            <w:r>
              <w:rPr>
                <w:rStyle w:val="IndexLink"/>
                <w:rtl w:val="true"/>
              </w:rPr>
              <w:t>النوم</w:t>
            </w:r>
            <w:r>
              <w:rPr>
                <w:rStyle w:val="IndexLink"/>
                <w:rtl w:val="true"/>
              </w:rPr>
              <w:tab/>
            </w:r>
            <w:r>
              <w:rPr>
                <w:rStyle w:val="IndexLink"/>
              </w:rPr>
              <w:t>159</w:t>
            </w:r>
          </w:hyperlink>
        </w:p>
        <w:p>
          <w:pPr>
            <w:pStyle w:val="Contents4"/>
            <w:tabs>
              <w:tab w:val="clear" w:pos="8176"/>
              <w:tab w:val="right" w:pos="9026" w:leader="dot"/>
            </w:tabs>
            <w:rPr/>
          </w:pPr>
          <w:hyperlink w:anchor="__RefHeading___Toc1723196_417432637">
            <w:r>
              <w:rPr>
                <w:webHidden/>
                <w:rStyle w:val="IndexLink"/>
                <w:rtl w:val="true"/>
              </w:rPr>
              <w:t>الخامس</w:t>
            </w:r>
            <w:r>
              <w:rPr>
                <w:rStyle w:val="IndexLink"/>
                <w:rtl w:val="true"/>
              </w:rPr>
              <w:t>:</w:t>
            </w:r>
            <w:r>
              <w:rPr>
                <w:rStyle w:val="IndexLink"/>
                <w:rtl w:val="true"/>
              </w:rPr>
              <w:t>کلّ ما أزال العقل</w:t>
            </w:r>
            <w:r>
              <w:rPr>
                <w:rStyle w:val="IndexLink"/>
                <w:rtl w:val="true"/>
              </w:rPr>
              <w:tab/>
            </w:r>
            <w:r>
              <w:rPr>
                <w:rStyle w:val="IndexLink"/>
              </w:rPr>
              <w:t>167</w:t>
            </w:r>
          </w:hyperlink>
        </w:p>
        <w:p>
          <w:pPr>
            <w:pStyle w:val="Contents4"/>
            <w:tabs>
              <w:tab w:val="clear" w:pos="8176"/>
              <w:tab w:val="right" w:pos="9026" w:leader="dot"/>
            </w:tabs>
            <w:rPr/>
          </w:pPr>
          <w:hyperlink w:anchor="__RefHeading___Toc1723198_417432637">
            <w:r>
              <w:rPr>
                <w:webHidden/>
                <w:rStyle w:val="IndexLink"/>
                <w:rtl w:val="true"/>
              </w:rPr>
              <w:t>السادس</w:t>
            </w:r>
            <w:r>
              <w:rPr>
                <w:rStyle w:val="IndexLink"/>
                <w:rtl w:val="true"/>
              </w:rPr>
              <w:t>:</w:t>
            </w:r>
            <w:r>
              <w:rPr>
                <w:rStyle w:val="IndexLink"/>
                <w:rtl w:val="true"/>
              </w:rPr>
              <w:t>الاستحاضة</w:t>
            </w:r>
            <w:r>
              <w:rPr>
                <w:rStyle w:val="IndexLink"/>
                <w:rtl w:val="true"/>
              </w:rPr>
              <w:tab/>
            </w:r>
            <w:r>
              <w:rPr>
                <w:rStyle w:val="IndexLink"/>
              </w:rPr>
              <w:t>169</w:t>
            </w:r>
          </w:hyperlink>
        </w:p>
        <w:p>
          <w:pPr>
            <w:pStyle w:val="Contents4"/>
            <w:tabs>
              <w:tab w:val="clear" w:pos="8176"/>
              <w:tab w:val="right" w:pos="9026" w:leader="dot"/>
            </w:tabs>
            <w:rPr/>
          </w:pPr>
          <w:hyperlink w:anchor="__RefHeading___Toc1723200_417432637">
            <w:r>
              <w:rPr>
                <w:webHidden/>
                <w:rStyle w:val="IndexLink"/>
                <w:rtl w:val="true"/>
              </w:rPr>
              <w:t>الشکّ فی الناقض</w:t>
            </w:r>
            <w:r>
              <w:rPr>
                <w:rStyle w:val="IndexLink"/>
                <w:rtl w:val="true"/>
              </w:rPr>
              <w:tab/>
            </w:r>
            <w:r>
              <w:rPr>
                <w:rStyle w:val="IndexLink"/>
              </w:rPr>
              <w:t>171</w:t>
            </w:r>
          </w:hyperlink>
        </w:p>
        <w:p>
          <w:pPr>
            <w:pStyle w:val="Contents4"/>
            <w:tabs>
              <w:tab w:val="clear" w:pos="8176"/>
              <w:tab w:val="right" w:pos="9026" w:leader="dot"/>
            </w:tabs>
            <w:rPr/>
          </w:pPr>
          <w:hyperlink w:anchor="__RefHeading___Toc1723202_417432637">
            <w:r>
              <w:rPr>
                <w:webHidden/>
                <w:rStyle w:val="IndexLink"/>
                <w:rtl w:val="true"/>
              </w:rPr>
              <w:t>خروج القیح</w:t>
            </w:r>
            <w:r>
              <w:rPr>
                <w:rStyle w:val="IndexLink"/>
                <w:rtl w:val="true"/>
              </w:rPr>
              <w:tab/>
            </w:r>
            <w:r>
              <w:rPr>
                <w:rStyle w:val="IndexLink"/>
              </w:rPr>
              <w:t>172</w:t>
            </w:r>
          </w:hyperlink>
        </w:p>
        <w:p>
          <w:pPr>
            <w:pStyle w:val="Contents4"/>
            <w:tabs>
              <w:tab w:val="clear" w:pos="8176"/>
              <w:tab w:val="right" w:pos="9026" w:leader="dot"/>
            </w:tabs>
            <w:rPr/>
          </w:pPr>
          <w:hyperlink w:anchor="__RefHeading___Toc1723204_417432637">
            <w:r>
              <w:rPr>
                <w:webHidden/>
                <w:rStyle w:val="IndexLink"/>
                <w:rtl w:val="true"/>
              </w:rPr>
              <w:t>حکم المذی و الوذی و الودی</w:t>
            </w:r>
            <w:r>
              <w:rPr>
                <w:rStyle w:val="IndexLink"/>
                <w:rtl w:val="true"/>
              </w:rPr>
              <w:tab/>
            </w:r>
            <w:r>
              <w:rPr>
                <w:rStyle w:val="IndexLink"/>
              </w:rPr>
              <w:t>173</w:t>
            </w:r>
          </w:hyperlink>
        </w:p>
        <w:p>
          <w:pPr>
            <w:pStyle w:val="Contents4"/>
            <w:tabs>
              <w:tab w:val="clear" w:pos="8176"/>
              <w:tab w:val="right" w:pos="9026" w:leader="dot"/>
            </w:tabs>
            <w:rPr/>
          </w:pPr>
          <w:hyperlink w:anchor="__RefHeading___Toc1723206_417432637">
            <w:r>
              <w:rPr>
                <w:webHidden/>
                <w:rStyle w:val="IndexLink"/>
                <w:rtl w:val="true"/>
              </w:rPr>
              <w:t>الأُمور التی قیل باستحباب الوضوء عقیبها</w:t>
            </w:r>
            <w:r>
              <w:rPr>
                <w:rStyle w:val="IndexLink"/>
                <w:rtl w:val="true"/>
              </w:rPr>
              <w:tab/>
            </w:r>
            <w:r>
              <w:rPr>
                <w:rStyle w:val="IndexLink"/>
              </w:rPr>
              <w:t>181</w:t>
            </w:r>
          </w:hyperlink>
        </w:p>
        <w:p>
          <w:pPr>
            <w:pStyle w:val="Contents4"/>
            <w:tabs>
              <w:tab w:val="clear" w:pos="8176"/>
              <w:tab w:val="right" w:pos="9026" w:leader="dot"/>
            </w:tabs>
            <w:rPr/>
          </w:pPr>
          <w:hyperlink w:anchor="__RefHeading___Toc1723208_417432637">
            <w:r>
              <w:rPr>
                <w:webHidden/>
                <w:rStyle w:val="IndexLink"/>
                <w:rtl w:val="true"/>
              </w:rPr>
              <w:t>الاکتفاء بالوضوء الاستحبابیّ</w:t>
            </w:r>
            <w:r>
              <w:rPr>
                <w:rStyle w:val="IndexLink"/>
                <w:rtl w:val="true"/>
              </w:rPr>
              <w:tab/>
            </w:r>
            <w:r>
              <w:rPr>
                <w:rStyle w:val="IndexLink"/>
              </w:rPr>
              <w:t>189</w:t>
            </w:r>
          </w:hyperlink>
        </w:p>
        <w:p>
          <w:pPr>
            <w:pStyle w:val="Contents3"/>
            <w:tabs>
              <w:tab w:val="clear" w:pos="8459"/>
              <w:tab w:val="right" w:pos="9026" w:leader="dot"/>
            </w:tabs>
            <w:rPr/>
          </w:pPr>
          <w:hyperlink w:anchor="__RefHeading___Toc1723210_417432637">
            <w:r>
              <w:rPr>
                <w:webHidden/>
                <w:rStyle w:val="IndexLink"/>
                <w:rtl w:val="true"/>
              </w:rPr>
              <w:t>فصل فی غایات الوضوءات الواجبة و غیر الواجبة</w:t>
            </w:r>
            <w:r>
              <w:rPr>
                <w:rStyle w:val="IndexLink"/>
                <w:rtl w:val="true"/>
              </w:rPr>
              <w:tab/>
            </w:r>
            <w:r>
              <w:rPr>
                <w:rStyle w:val="IndexLink"/>
              </w:rPr>
              <w:t>193</w:t>
            </w:r>
          </w:hyperlink>
        </w:p>
        <w:p>
          <w:pPr>
            <w:pStyle w:val="Contents4"/>
            <w:tabs>
              <w:tab w:val="clear" w:pos="8176"/>
              <w:tab w:val="right" w:pos="9026" w:leader="dot"/>
            </w:tabs>
            <w:rPr/>
          </w:pPr>
          <w:hyperlink w:anchor="__RefHeading___Toc1723212_417432637">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723214_417432637">
            <w:r>
              <w:rPr>
                <w:webHidden/>
                <w:rStyle w:val="IndexLink"/>
                <w:rtl w:val="true"/>
              </w:rPr>
              <w:t>شرطیة الوضوء فی الصحة و الکمال</w:t>
            </w:r>
            <w:r>
              <w:rPr>
                <w:rStyle w:val="IndexLink"/>
                <w:rtl w:val="true"/>
              </w:rPr>
              <w:tab/>
            </w:r>
            <w:r>
              <w:rPr>
                <w:rStyle w:val="IndexLink"/>
              </w:rPr>
              <w:t>193</w:t>
            </w:r>
          </w:hyperlink>
        </w:p>
        <w:p>
          <w:pPr>
            <w:pStyle w:val="Contents4"/>
            <w:tabs>
              <w:tab w:val="clear" w:pos="8176"/>
              <w:tab w:val="right" w:pos="9026" w:leader="dot"/>
            </w:tabs>
            <w:rPr/>
          </w:pPr>
          <w:hyperlink w:anchor="__RefHeading___Toc1723216_417432637">
            <w:r>
              <w:rPr>
                <w:webHidden/>
                <w:rStyle w:val="IndexLink"/>
                <w:rtl w:val="true"/>
              </w:rPr>
              <w:t>شرطیة الوضوء فی جواز فعل</w:t>
            </w:r>
            <w:r>
              <w:rPr>
                <w:rStyle w:val="IndexLink"/>
                <w:rtl w:val="true"/>
              </w:rPr>
              <w:tab/>
            </w:r>
            <w:r>
              <w:rPr>
                <w:rStyle w:val="IndexLink"/>
              </w:rPr>
              <w:t>194</w:t>
            </w:r>
          </w:hyperlink>
        </w:p>
        <w:p>
          <w:pPr>
            <w:pStyle w:val="Contents4"/>
            <w:tabs>
              <w:tab w:val="clear" w:pos="8176"/>
              <w:tab w:val="right" w:pos="9026" w:leader="dot"/>
            </w:tabs>
            <w:rPr/>
          </w:pPr>
          <w:hyperlink w:anchor="__RefHeading___Toc1723218_417432637">
            <w:r>
              <w:rPr>
                <w:webHidden/>
                <w:rStyle w:val="IndexLink"/>
                <w:rtl w:val="true"/>
              </w:rPr>
              <w:t>شرطیة الوضوء فی تحقق أمر</w:t>
            </w:r>
            <w:r>
              <w:rPr>
                <w:rStyle w:val="IndexLink"/>
                <w:rtl w:val="true"/>
              </w:rPr>
              <w:tab/>
            </w:r>
            <w:r>
              <w:rPr>
                <w:rStyle w:val="IndexLink"/>
              </w:rPr>
              <w:t>195</w:t>
            </w:r>
          </w:hyperlink>
        </w:p>
        <w:p>
          <w:pPr>
            <w:pStyle w:val="Contents4"/>
            <w:tabs>
              <w:tab w:val="clear" w:pos="8176"/>
              <w:tab w:val="right" w:pos="9026" w:leader="dot"/>
            </w:tabs>
            <w:rPr/>
          </w:pPr>
          <w:hyperlink w:anchor="__RefHeading___Toc1723220_417432637">
            <w:r>
              <w:rPr>
                <w:webHidden/>
                <w:rStyle w:val="IndexLink"/>
                <w:rtl w:val="true"/>
              </w:rPr>
              <w:t>الوضوء الذی لا غایة له</w:t>
            </w:r>
            <w:r>
              <w:rPr>
                <w:rStyle w:val="IndexLink"/>
                <w:rtl w:val="true"/>
              </w:rPr>
              <w:tab/>
            </w:r>
            <w:r>
              <w:rPr>
                <w:rStyle w:val="IndexLink"/>
              </w:rPr>
              <w:t>195</w:t>
            </w:r>
          </w:hyperlink>
        </w:p>
        <w:p>
          <w:pPr>
            <w:pStyle w:val="Contents4"/>
            <w:tabs>
              <w:tab w:val="clear" w:pos="8176"/>
              <w:tab w:val="right" w:pos="9026" w:leader="dot"/>
            </w:tabs>
            <w:rPr/>
          </w:pPr>
          <w:hyperlink w:anchor="__RefHeading___Toc1723222_417432637">
            <w:r>
              <w:rPr>
                <w:webHidden/>
                <w:rStyle w:val="IndexLink"/>
                <w:rtl w:val="true"/>
              </w:rPr>
              <w:t>فی کون الوضوء مستحبّاً نفسیّاً</w:t>
            </w:r>
            <w:r>
              <w:rPr>
                <w:rStyle w:val="IndexLink"/>
                <w:rtl w:val="true"/>
              </w:rPr>
              <w:tab/>
            </w:r>
            <w:r>
              <w:rPr>
                <w:rStyle w:val="IndexLink"/>
              </w:rPr>
              <w:t>196</w:t>
            </w:r>
          </w:hyperlink>
        </w:p>
        <w:p>
          <w:pPr>
            <w:pStyle w:val="Contents4"/>
            <w:tabs>
              <w:tab w:val="clear" w:pos="8176"/>
              <w:tab w:val="right" w:pos="9026" w:leader="dot"/>
            </w:tabs>
            <w:rPr/>
          </w:pPr>
          <w:hyperlink w:anchor="__RefHeading___Toc1723224_417432637">
            <w:r>
              <w:rPr>
                <w:webHidden/>
                <w:rStyle w:val="IndexLink"/>
                <w:rtl w:val="true"/>
              </w:rPr>
              <w:t>غایات الوضوء الواجب</w:t>
            </w:r>
            <w:r>
              <w:rPr>
                <w:rStyle w:val="IndexLink"/>
                <w:rtl w:val="true"/>
              </w:rPr>
              <w:tab/>
            </w:r>
            <w:r>
              <w:rPr>
                <w:rStyle w:val="IndexLink"/>
              </w:rPr>
              <w:t>200</w:t>
            </w:r>
          </w:hyperlink>
        </w:p>
        <w:p>
          <w:pPr>
            <w:pStyle w:val="Contents4"/>
            <w:tabs>
              <w:tab w:val="clear" w:pos="8176"/>
              <w:tab w:val="right" w:pos="9026" w:leader="dot"/>
            </w:tabs>
            <w:rPr/>
          </w:pPr>
          <w:hyperlink w:anchor="__RefHeading___Toc1723226_417432637">
            <w:r>
              <w:rPr>
                <w:webHidden/>
                <w:rStyle w:val="IndexLink"/>
                <w:rtl w:val="true"/>
              </w:rPr>
              <w:t>نذر الوضوء</w:t>
            </w:r>
            <w:r>
              <w:rPr>
                <w:rStyle w:val="IndexLink"/>
                <w:rtl w:val="true"/>
              </w:rPr>
              <w:tab/>
            </w:r>
            <w:r>
              <w:rPr>
                <w:rStyle w:val="IndexLink"/>
              </w:rPr>
              <w:t>209</w:t>
            </w:r>
          </w:hyperlink>
        </w:p>
        <w:p>
          <w:pPr>
            <w:pStyle w:val="Contents4"/>
            <w:tabs>
              <w:tab w:val="clear" w:pos="8176"/>
              <w:tab w:val="right" w:pos="9026" w:leader="dot"/>
            </w:tabs>
            <w:rPr/>
          </w:pPr>
          <w:hyperlink w:anchor="__RefHeading___Toc1723228_417432637">
            <w:r>
              <w:rPr>
                <w:webHidden/>
                <w:rStyle w:val="IndexLink"/>
                <w:rtl w:val="true"/>
              </w:rPr>
              <w:t>أقسام وجوب الوضوء بالنذر</w:t>
            </w:r>
            <w:r>
              <w:rPr>
                <w:rStyle w:val="IndexLink"/>
                <w:rtl w:val="true"/>
              </w:rPr>
              <w:tab/>
            </w:r>
            <w:r>
              <w:rPr>
                <w:rStyle w:val="IndexLink"/>
              </w:rPr>
              <w:t>214</w:t>
            </w:r>
          </w:hyperlink>
        </w:p>
        <w:p>
          <w:pPr>
            <w:pStyle w:val="Contents4"/>
            <w:tabs>
              <w:tab w:val="clear" w:pos="8176"/>
              <w:tab w:val="right" w:pos="9026" w:leader="dot"/>
            </w:tabs>
            <w:rPr/>
          </w:pPr>
          <w:hyperlink w:anchor="__RefHeading___Toc1723230_417432637">
            <w:r>
              <w:rPr>
                <w:webHidden/>
                <w:rStyle w:val="IndexLink"/>
                <w:rtl w:val="true"/>
              </w:rPr>
              <w:t>مسّ القرآن مع الحدث</w:t>
            </w:r>
            <w:r>
              <w:rPr>
                <w:rStyle w:val="IndexLink"/>
                <w:rtl w:val="true"/>
              </w:rPr>
              <w:tab/>
            </w:r>
            <w:r>
              <w:rPr>
                <w:rStyle w:val="IndexLink"/>
              </w:rPr>
              <w:t>217</w:t>
            </w:r>
          </w:hyperlink>
        </w:p>
        <w:p>
          <w:pPr>
            <w:pStyle w:val="Contents4"/>
            <w:tabs>
              <w:tab w:val="clear" w:pos="8176"/>
              <w:tab w:val="right" w:pos="9026" w:leader="dot"/>
            </w:tabs>
            <w:rPr/>
          </w:pPr>
          <w:hyperlink w:anchor="__RefHeading___Toc1723232_417432637">
            <w:r>
              <w:rPr>
                <w:webHidden/>
                <w:rStyle w:val="IndexLink"/>
                <w:rtl w:val="true"/>
              </w:rPr>
              <w:t>فروع مس المحدث کتابة القرآن</w:t>
            </w:r>
            <w:r>
              <w:rPr>
                <w:rStyle w:val="IndexLink"/>
                <w:rtl w:val="true"/>
              </w:rPr>
              <w:tab/>
            </w:r>
            <w:r>
              <w:rPr>
                <w:rStyle w:val="IndexLink"/>
              </w:rPr>
              <w:t>222</w:t>
            </w:r>
          </w:hyperlink>
        </w:p>
        <w:p>
          <w:pPr>
            <w:pStyle w:val="Contents3"/>
            <w:tabs>
              <w:tab w:val="clear" w:pos="8459"/>
              <w:tab w:val="right" w:pos="9026" w:leader="dot"/>
            </w:tabs>
            <w:rPr/>
          </w:pPr>
          <w:hyperlink w:anchor="__RefHeading___Toc1723234_417432637">
            <w:r>
              <w:rPr>
                <w:webHidden/>
                <w:rStyle w:val="IndexLink"/>
                <w:rtl w:val="true"/>
              </w:rPr>
              <w:t>فصل فی الوضوءات المستحبة</w:t>
            </w:r>
            <w:r>
              <w:rPr>
                <w:rStyle w:val="IndexLink"/>
                <w:rtl w:val="true"/>
              </w:rPr>
              <w:tab/>
            </w:r>
            <w:r>
              <w:rPr>
                <w:rStyle w:val="IndexLink"/>
              </w:rPr>
              <w:t>228</w:t>
            </w:r>
          </w:hyperlink>
        </w:p>
        <w:p>
          <w:pPr>
            <w:pStyle w:val="Contents4"/>
            <w:tabs>
              <w:tab w:val="clear" w:pos="8176"/>
              <w:tab w:val="right" w:pos="9026" w:leader="dot"/>
            </w:tabs>
            <w:rPr/>
          </w:pPr>
          <w:hyperlink w:anchor="__RefHeading___Toc1723236_41743263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723238_417432637">
            <w:r>
              <w:rPr>
                <w:webHidden/>
                <w:rStyle w:val="IndexLink"/>
                <w:rtl w:val="true"/>
              </w:rPr>
              <w:t>استحباب الوضوء للصلاة المندوبة</w:t>
            </w:r>
            <w:r>
              <w:rPr>
                <w:rStyle w:val="IndexLink"/>
                <w:rtl w:val="true"/>
              </w:rPr>
              <w:tab/>
            </w:r>
            <w:r>
              <w:rPr>
                <w:rStyle w:val="IndexLink"/>
              </w:rPr>
              <w:t>229</w:t>
            </w:r>
          </w:hyperlink>
        </w:p>
        <w:p>
          <w:pPr>
            <w:pStyle w:val="Contents4"/>
            <w:tabs>
              <w:tab w:val="clear" w:pos="8176"/>
              <w:tab w:val="right" w:pos="9026" w:leader="dot"/>
            </w:tabs>
            <w:rPr/>
          </w:pPr>
          <w:hyperlink w:anchor="__RefHeading___Toc1723240_417432637">
            <w:r>
              <w:rPr>
                <w:webHidden/>
                <w:rStyle w:val="IndexLink"/>
                <w:rtl w:val="true"/>
              </w:rPr>
              <w:t>استحباب الوضوء للطواف</w:t>
            </w:r>
            <w:r>
              <w:rPr>
                <w:rStyle w:val="IndexLink"/>
                <w:rtl w:val="true"/>
              </w:rPr>
              <w:tab/>
            </w:r>
            <w:r>
              <w:rPr>
                <w:rStyle w:val="IndexLink"/>
              </w:rPr>
              <w:t>229</w:t>
            </w:r>
          </w:hyperlink>
        </w:p>
        <w:p>
          <w:pPr>
            <w:pStyle w:val="Contents4"/>
            <w:tabs>
              <w:tab w:val="clear" w:pos="8176"/>
              <w:tab w:val="right" w:pos="9026" w:leader="dot"/>
            </w:tabs>
            <w:rPr/>
          </w:pPr>
          <w:hyperlink w:anchor="__RefHeading___Toc1723242_417432637">
            <w:r>
              <w:rPr>
                <w:webHidden/>
                <w:rStyle w:val="IndexLink"/>
                <w:rtl w:val="true"/>
              </w:rPr>
              <w:t>الوضوء التهیئی</w:t>
            </w:r>
            <w:r>
              <w:rPr>
                <w:rStyle w:val="IndexLink"/>
                <w:rtl w:val="true"/>
              </w:rPr>
              <w:tab/>
            </w:r>
            <w:r>
              <w:rPr>
                <w:rStyle w:val="IndexLink"/>
              </w:rPr>
              <w:t>231</w:t>
            </w:r>
          </w:hyperlink>
        </w:p>
        <w:p>
          <w:pPr>
            <w:pStyle w:val="Contents4"/>
            <w:tabs>
              <w:tab w:val="clear" w:pos="8176"/>
              <w:tab w:val="right" w:pos="9026" w:leader="dot"/>
            </w:tabs>
            <w:rPr/>
          </w:pPr>
          <w:hyperlink w:anchor="__RefHeading___Toc1723244_417432637">
            <w:r>
              <w:rPr>
                <w:webHidden/>
                <w:rStyle w:val="IndexLink"/>
                <w:rtl w:val="true"/>
              </w:rPr>
              <w:t>استحباب الوضوء لدخول المساجد</w:t>
            </w:r>
            <w:r>
              <w:rPr>
                <w:rStyle w:val="IndexLink"/>
                <w:rtl w:val="true"/>
              </w:rPr>
              <w:tab/>
            </w:r>
            <w:r>
              <w:rPr>
                <w:rStyle w:val="IndexLink"/>
              </w:rPr>
              <w:t>235</w:t>
            </w:r>
          </w:hyperlink>
        </w:p>
        <w:p>
          <w:pPr>
            <w:pStyle w:val="Contents4"/>
            <w:tabs>
              <w:tab w:val="clear" w:pos="8176"/>
              <w:tab w:val="right" w:pos="9026" w:leader="dot"/>
            </w:tabs>
            <w:rPr/>
          </w:pPr>
          <w:hyperlink w:anchor="__RefHeading___Toc1723246_417432637">
            <w:r>
              <w:rPr>
                <w:webHidden/>
                <w:rStyle w:val="IndexLink"/>
                <w:rtl w:val="true"/>
              </w:rPr>
              <w:t>استحباب الوضوء لمناسک الحج</w:t>
            </w:r>
            <w:r>
              <w:rPr>
                <w:rStyle w:val="IndexLink"/>
                <w:rtl w:val="true"/>
              </w:rPr>
              <w:tab/>
            </w:r>
            <w:r>
              <w:rPr>
                <w:rStyle w:val="IndexLink"/>
              </w:rPr>
              <w:t>236</w:t>
            </w:r>
          </w:hyperlink>
        </w:p>
        <w:p>
          <w:pPr>
            <w:pStyle w:val="Contents4"/>
            <w:tabs>
              <w:tab w:val="clear" w:pos="8176"/>
              <w:tab w:val="right" w:pos="9026" w:leader="dot"/>
            </w:tabs>
            <w:rPr/>
          </w:pPr>
          <w:hyperlink w:anchor="__RefHeading___Toc1723248_417432637">
            <w:r>
              <w:rPr>
                <w:webHidden/>
                <w:rStyle w:val="IndexLink"/>
                <w:rtl w:val="true"/>
              </w:rPr>
              <w:t>استحباب الوضوء لصلاة الجنازة</w:t>
            </w:r>
            <w:r>
              <w:rPr>
                <w:rStyle w:val="IndexLink"/>
                <w:rtl w:val="true"/>
              </w:rPr>
              <w:tab/>
            </w:r>
            <w:r>
              <w:rPr>
                <w:rStyle w:val="IndexLink"/>
              </w:rPr>
              <w:t>236</w:t>
            </w:r>
          </w:hyperlink>
        </w:p>
        <w:p>
          <w:pPr>
            <w:pStyle w:val="Contents4"/>
            <w:tabs>
              <w:tab w:val="clear" w:pos="8176"/>
              <w:tab w:val="right" w:pos="9026" w:leader="dot"/>
            </w:tabs>
            <w:rPr/>
          </w:pPr>
          <w:hyperlink w:anchor="__RefHeading___Toc1723250_417432637">
            <w:r>
              <w:rPr>
                <w:webHidden/>
                <w:rStyle w:val="IndexLink"/>
                <w:rtl w:val="true"/>
              </w:rPr>
              <w:t>استحباب الوضوء لزیارة القبور</w:t>
            </w:r>
            <w:r>
              <w:rPr>
                <w:rStyle w:val="IndexLink"/>
                <w:rtl w:val="true"/>
              </w:rPr>
              <w:tab/>
            </w:r>
            <w:r>
              <w:rPr>
                <w:rStyle w:val="IndexLink"/>
              </w:rPr>
              <w:t>237</w:t>
            </w:r>
          </w:hyperlink>
        </w:p>
        <w:p>
          <w:pPr>
            <w:pStyle w:val="Contents4"/>
            <w:tabs>
              <w:tab w:val="clear" w:pos="8176"/>
              <w:tab w:val="right" w:pos="9026" w:leader="dot"/>
            </w:tabs>
            <w:rPr/>
          </w:pPr>
          <w:hyperlink w:anchor="__RefHeading___Toc1723252_417432637">
            <w:r>
              <w:rPr>
                <w:webHidden/>
                <w:rStyle w:val="IndexLink"/>
                <w:rtl w:val="true"/>
              </w:rPr>
              <w:t>استحباب الوضوء لقراءة القرآن</w:t>
            </w:r>
            <w:r>
              <w:rPr>
                <w:rStyle w:val="IndexLink"/>
                <w:rtl w:val="true"/>
              </w:rPr>
              <w:tab/>
            </w:r>
            <w:r>
              <w:rPr>
                <w:rStyle w:val="IndexLink"/>
              </w:rPr>
              <w:t>237</w:t>
            </w:r>
          </w:hyperlink>
        </w:p>
        <w:p>
          <w:pPr>
            <w:pStyle w:val="Contents4"/>
            <w:tabs>
              <w:tab w:val="clear" w:pos="8176"/>
              <w:tab w:val="right" w:pos="9026" w:leader="dot"/>
            </w:tabs>
            <w:rPr/>
          </w:pPr>
          <w:hyperlink w:anchor="__RefHeading___Toc1723254_417432637">
            <w:r>
              <w:rPr>
                <w:webHidden/>
                <w:rStyle w:val="IndexLink"/>
                <w:rtl w:val="true"/>
              </w:rPr>
              <w:t>استحباب الوضوء للدعاء و طلب الحاجة</w:t>
            </w:r>
            <w:r>
              <w:rPr>
                <w:rStyle w:val="IndexLink"/>
                <w:rtl w:val="true"/>
              </w:rPr>
              <w:tab/>
            </w:r>
            <w:r>
              <w:rPr>
                <w:rStyle w:val="IndexLink"/>
              </w:rPr>
              <w:t>238</w:t>
            </w:r>
          </w:hyperlink>
        </w:p>
        <w:p>
          <w:pPr>
            <w:pStyle w:val="Contents4"/>
            <w:tabs>
              <w:tab w:val="clear" w:pos="8176"/>
              <w:tab w:val="right" w:pos="9026" w:leader="dot"/>
            </w:tabs>
            <w:rPr/>
          </w:pPr>
          <w:hyperlink w:anchor="__RefHeading___Toc1723256_417432637">
            <w:r>
              <w:rPr>
                <w:webHidden/>
                <w:rStyle w:val="IndexLink"/>
                <w:rtl w:val="true"/>
              </w:rPr>
              <w:t>استحباب الوضوء لزیارة الأئمة علیهم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723258_417432637">
            <w:r>
              <w:rPr>
                <w:webHidden/>
                <w:rStyle w:val="IndexLink"/>
                <w:rtl w:val="true"/>
              </w:rPr>
              <w:t>استحباب الوضوء لسجدة الشکر أو التلاوة</w:t>
            </w:r>
            <w:r>
              <w:rPr>
                <w:rStyle w:val="IndexLink"/>
                <w:rtl w:val="true"/>
              </w:rPr>
              <w:tab/>
            </w:r>
            <w:r>
              <w:rPr>
                <w:rStyle w:val="IndexLink"/>
              </w:rPr>
              <w:t>239</w:t>
            </w:r>
          </w:hyperlink>
        </w:p>
        <w:p>
          <w:pPr>
            <w:pStyle w:val="Contents4"/>
            <w:tabs>
              <w:tab w:val="clear" w:pos="8176"/>
              <w:tab w:val="right" w:pos="9026" w:leader="dot"/>
            </w:tabs>
            <w:rPr/>
          </w:pPr>
          <w:hyperlink w:anchor="__RefHeading___Toc1723260_417432637">
            <w:r>
              <w:rPr>
                <w:webHidden/>
                <w:rStyle w:val="IndexLink"/>
                <w:rtl w:val="true"/>
              </w:rPr>
              <w:t>استحباب الوضوء للأذان و الإقامة</w:t>
            </w:r>
            <w:r>
              <w:rPr>
                <w:rStyle w:val="IndexLink"/>
                <w:rtl w:val="true"/>
              </w:rPr>
              <w:tab/>
            </w:r>
            <w:r>
              <w:rPr>
                <w:rStyle w:val="IndexLink"/>
              </w:rPr>
              <w:t>240</w:t>
            </w:r>
          </w:hyperlink>
        </w:p>
        <w:p>
          <w:pPr>
            <w:pStyle w:val="Contents4"/>
            <w:tabs>
              <w:tab w:val="clear" w:pos="8176"/>
              <w:tab w:val="right" w:pos="9026" w:leader="dot"/>
            </w:tabs>
            <w:rPr/>
          </w:pPr>
          <w:hyperlink w:anchor="__RefHeading___Toc1723262_417432637">
            <w:r>
              <w:rPr>
                <w:webHidden/>
                <w:rStyle w:val="IndexLink"/>
                <w:rtl w:val="true"/>
              </w:rPr>
              <w:t>استحباب الوضوء لدخول الزوج علی الزوجة لیلة الزفاف</w:t>
            </w:r>
            <w:r>
              <w:rPr>
                <w:rStyle w:val="IndexLink"/>
                <w:rtl w:val="true"/>
              </w:rPr>
              <w:tab/>
            </w:r>
            <w:r>
              <w:rPr>
                <w:rStyle w:val="IndexLink"/>
              </w:rPr>
              <w:t>240</w:t>
            </w:r>
          </w:hyperlink>
        </w:p>
        <w:p>
          <w:pPr>
            <w:pStyle w:val="Contents4"/>
            <w:tabs>
              <w:tab w:val="clear" w:pos="8176"/>
              <w:tab w:val="right" w:pos="9026" w:leader="dot"/>
            </w:tabs>
            <w:rPr/>
          </w:pPr>
          <w:hyperlink w:anchor="__RefHeading___Toc1723264_417432637">
            <w:r>
              <w:rPr>
                <w:webHidden/>
                <w:rStyle w:val="IndexLink"/>
                <w:rtl w:val="true"/>
              </w:rPr>
              <w:t>استحباب الوضوء لورود المسافر علی أهله</w:t>
            </w:r>
            <w:r>
              <w:rPr>
                <w:rStyle w:val="IndexLink"/>
                <w:rtl w:val="true"/>
              </w:rPr>
              <w:tab/>
            </w:r>
            <w:r>
              <w:rPr>
                <w:rStyle w:val="IndexLink"/>
              </w:rPr>
              <w:t>242</w:t>
            </w:r>
          </w:hyperlink>
        </w:p>
        <w:p>
          <w:pPr>
            <w:pStyle w:val="Contents4"/>
            <w:tabs>
              <w:tab w:val="clear" w:pos="8176"/>
              <w:tab w:val="right" w:pos="9026" w:leader="dot"/>
            </w:tabs>
            <w:rPr/>
          </w:pPr>
          <w:hyperlink w:anchor="__RefHeading___Toc1723266_417432637">
            <w:r>
              <w:rPr>
                <w:webHidden/>
                <w:rStyle w:val="IndexLink"/>
                <w:rtl w:val="true"/>
              </w:rPr>
              <w:t>استحباب الوضوء للنوم</w:t>
            </w:r>
            <w:r>
              <w:rPr>
                <w:rStyle w:val="IndexLink"/>
                <w:rtl w:val="true"/>
              </w:rPr>
              <w:tab/>
            </w:r>
            <w:r>
              <w:rPr>
                <w:rStyle w:val="IndexLink"/>
              </w:rPr>
              <w:t>242</w:t>
            </w:r>
          </w:hyperlink>
        </w:p>
        <w:p>
          <w:pPr>
            <w:pStyle w:val="Contents4"/>
            <w:tabs>
              <w:tab w:val="clear" w:pos="8176"/>
              <w:tab w:val="right" w:pos="9026" w:leader="dot"/>
            </w:tabs>
            <w:rPr/>
          </w:pPr>
          <w:hyperlink w:anchor="__RefHeading___Toc1723268_417432637">
            <w:r>
              <w:rPr>
                <w:webHidden/>
                <w:rStyle w:val="IndexLink"/>
                <w:rtl w:val="true"/>
              </w:rPr>
              <w:t>استحباب الوضوء لمقاربة الحامل</w:t>
            </w:r>
            <w:r>
              <w:rPr>
                <w:rStyle w:val="IndexLink"/>
                <w:rtl w:val="true"/>
              </w:rPr>
              <w:tab/>
            </w:r>
            <w:r>
              <w:rPr>
                <w:rStyle w:val="IndexLink"/>
              </w:rPr>
              <w:t>243</w:t>
            </w:r>
          </w:hyperlink>
        </w:p>
        <w:p>
          <w:pPr>
            <w:pStyle w:val="Contents4"/>
            <w:tabs>
              <w:tab w:val="clear" w:pos="8176"/>
              <w:tab w:val="right" w:pos="9026" w:leader="dot"/>
            </w:tabs>
            <w:rPr/>
          </w:pPr>
          <w:hyperlink w:anchor="__RefHeading___Toc1723270_417432637">
            <w:r>
              <w:rPr>
                <w:webHidden/>
                <w:rStyle w:val="IndexLink"/>
                <w:rtl w:val="true"/>
              </w:rPr>
              <w:t>استحباب الوضوء لمس کتابة القرآن</w:t>
            </w:r>
            <w:r>
              <w:rPr>
                <w:rStyle w:val="IndexLink"/>
                <w:rtl w:val="true"/>
              </w:rPr>
              <w:tab/>
            </w:r>
            <w:r>
              <w:rPr>
                <w:rStyle w:val="IndexLink"/>
              </w:rPr>
              <w:t>244</w:t>
            </w:r>
          </w:hyperlink>
        </w:p>
        <w:p>
          <w:pPr>
            <w:pStyle w:val="Contents4"/>
            <w:tabs>
              <w:tab w:val="clear" w:pos="8176"/>
              <w:tab w:val="right" w:pos="9026" w:leader="dot"/>
            </w:tabs>
            <w:rPr/>
          </w:pPr>
          <w:hyperlink w:anchor="__RefHeading___Toc1723272_417432637">
            <w:r>
              <w:rPr>
                <w:webHidden/>
                <w:rStyle w:val="IndexLink"/>
                <w:rtl w:val="true"/>
              </w:rPr>
              <w:t>الوضوء التجدیدی</w:t>
            </w:r>
            <w:r>
              <w:rPr>
                <w:rStyle w:val="IndexLink"/>
                <w:rtl w:val="true"/>
              </w:rPr>
              <w:tab/>
            </w:r>
            <w:r>
              <w:rPr>
                <w:rStyle w:val="IndexLink"/>
              </w:rPr>
              <w:t>245</w:t>
            </w:r>
          </w:hyperlink>
        </w:p>
        <w:p>
          <w:pPr>
            <w:pStyle w:val="Contents4"/>
            <w:tabs>
              <w:tab w:val="clear" w:pos="8176"/>
              <w:tab w:val="right" w:pos="9026" w:leader="dot"/>
            </w:tabs>
            <w:rPr/>
          </w:pPr>
          <w:hyperlink w:anchor="__RefHeading___Toc1723274_417432637">
            <w:r>
              <w:rPr>
                <w:webHidden/>
                <w:rStyle w:val="IndexLink"/>
                <w:rtl w:val="true"/>
              </w:rPr>
              <w:t>استحباب الوضوء لذکر الحائض فی مصلّاها</w:t>
            </w:r>
            <w:r>
              <w:rPr>
                <w:rStyle w:val="IndexLink"/>
                <w:rtl w:val="true"/>
              </w:rPr>
              <w:tab/>
            </w:r>
            <w:r>
              <w:rPr>
                <w:rStyle w:val="IndexLink"/>
              </w:rPr>
              <w:t>248</w:t>
            </w:r>
          </w:hyperlink>
        </w:p>
        <w:p>
          <w:pPr>
            <w:pStyle w:val="Contents4"/>
            <w:tabs>
              <w:tab w:val="clear" w:pos="8176"/>
              <w:tab w:val="right" w:pos="9026" w:leader="dot"/>
            </w:tabs>
            <w:rPr/>
          </w:pPr>
          <w:hyperlink w:anchor="__RefHeading___Toc1723276_417432637">
            <w:r>
              <w:rPr>
                <w:webHidden/>
                <w:rStyle w:val="IndexLink"/>
                <w:rtl w:val="true"/>
              </w:rPr>
              <w:t>استحباب الوضوء لنوم الجنب و أکله و</w:t>
            </w:r>
            <w:r>
              <w:rPr>
                <w:rStyle w:val="IndexLink"/>
                <w:rtl w:val="true"/>
              </w:rPr>
              <w:t>...</w:t>
              <w:tab/>
            </w:r>
            <w:r>
              <w:rPr>
                <w:rStyle w:val="IndexLink"/>
              </w:rPr>
              <w:t>249</w:t>
            </w:r>
          </w:hyperlink>
        </w:p>
        <w:p>
          <w:pPr>
            <w:pStyle w:val="Contents4"/>
            <w:tabs>
              <w:tab w:val="clear" w:pos="8176"/>
              <w:tab w:val="right" w:pos="9026" w:leader="dot"/>
            </w:tabs>
            <w:rPr/>
          </w:pPr>
          <w:hyperlink w:anchor="__RefHeading___Toc1723278_417432637">
            <w:r>
              <w:rPr>
                <w:webHidden/>
                <w:rStyle w:val="IndexLink"/>
                <w:rtl w:val="true"/>
              </w:rPr>
              <w:t>استحباب الوضوء لتکفین المیّت أو تدفینه</w:t>
            </w:r>
            <w:r>
              <w:rPr>
                <w:rStyle w:val="IndexLink"/>
                <w:rtl w:val="true"/>
              </w:rPr>
              <w:tab/>
            </w:r>
            <w:r>
              <w:rPr>
                <w:rStyle w:val="IndexLink"/>
              </w:rPr>
              <w:t>251</w:t>
            </w:r>
          </w:hyperlink>
        </w:p>
        <w:p>
          <w:pPr>
            <w:pStyle w:val="Contents4"/>
            <w:tabs>
              <w:tab w:val="clear" w:pos="8176"/>
              <w:tab w:val="right" w:pos="9026" w:leader="dot"/>
            </w:tabs>
            <w:rPr/>
          </w:pPr>
          <w:hyperlink w:anchor="__RefHeading___Toc1723280_417432637">
            <w:r>
              <w:rPr>
                <w:webHidden/>
                <w:rStyle w:val="IndexLink"/>
                <w:rtl w:val="true"/>
              </w:rPr>
              <w:t>فی أن الوضوء لغایة یباح به سائر الغایات</w:t>
            </w:r>
            <w:r>
              <w:rPr>
                <w:rStyle w:val="IndexLink"/>
                <w:rtl w:val="true"/>
              </w:rPr>
              <w:tab/>
            </w:r>
            <w:r>
              <w:rPr>
                <w:rStyle w:val="IndexLink"/>
              </w:rPr>
              <w:t>254</w:t>
            </w:r>
          </w:hyperlink>
        </w:p>
        <w:p>
          <w:pPr>
            <w:pStyle w:val="Contents4"/>
            <w:tabs>
              <w:tab w:val="clear" w:pos="8176"/>
              <w:tab w:val="right" w:pos="9026" w:leader="dot"/>
            </w:tabs>
            <w:rPr/>
          </w:pPr>
          <w:hyperlink w:anchor="__RefHeading___Toc1723282_417432637">
            <w:r>
              <w:rPr>
                <w:webHidden/>
                <w:rStyle w:val="IndexLink"/>
                <w:rtl w:val="true"/>
              </w:rPr>
              <w:t>الفرق بین الإتیان بمتعلّق التکلیف من باب الاشتباه فی التطبیق و موارد التقیید</w:t>
            </w:r>
            <w:r>
              <w:rPr>
                <w:rStyle w:val="IndexLink"/>
                <w:rtl w:val="true"/>
              </w:rPr>
              <w:tab/>
            </w:r>
            <w:r>
              <w:rPr>
                <w:rStyle w:val="IndexLink"/>
              </w:rPr>
              <w:t>258</w:t>
            </w:r>
          </w:hyperlink>
        </w:p>
        <w:p>
          <w:pPr>
            <w:pStyle w:val="Contents4"/>
            <w:tabs>
              <w:tab w:val="clear" w:pos="8176"/>
              <w:tab w:val="right" w:pos="9026" w:leader="dot"/>
            </w:tabs>
            <w:rPr/>
          </w:pPr>
          <w:hyperlink w:anchor="__RefHeading___Toc1723284_417432637">
            <w:r>
              <w:rPr>
                <w:webHidden/>
                <w:rStyle w:val="IndexLink"/>
                <w:rtl w:val="true"/>
              </w:rPr>
              <w:t>الفرق بین الداعی و التقیید</w:t>
            </w:r>
            <w:r>
              <w:rPr>
                <w:rStyle w:val="IndexLink"/>
                <w:rtl w:val="true"/>
              </w:rPr>
              <w:tab/>
            </w:r>
            <w:r>
              <w:rPr>
                <w:rStyle w:val="IndexLink"/>
              </w:rPr>
              <w:t>260</w:t>
            </w:r>
          </w:hyperlink>
        </w:p>
        <w:p>
          <w:pPr>
            <w:pStyle w:val="Contents4"/>
            <w:tabs>
              <w:tab w:val="clear" w:pos="8176"/>
              <w:tab w:val="right" w:pos="9026" w:leader="dot"/>
            </w:tabs>
            <w:rPr/>
          </w:pPr>
          <w:hyperlink w:anchor="__RefHeading___Toc1723286_417432637">
            <w:r>
              <w:rPr>
                <w:webHidden/>
                <w:rStyle w:val="IndexLink"/>
                <w:rtl w:val="true"/>
              </w:rPr>
              <w:t>عدم تعدّد الوضوء من جهة موجباته و لا من جهة غایاته</w:t>
            </w:r>
            <w:r>
              <w:rPr>
                <w:rStyle w:val="IndexLink"/>
                <w:rtl w:val="true"/>
              </w:rPr>
              <w:tab/>
            </w:r>
            <w:r>
              <w:rPr>
                <w:rStyle w:val="IndexLink"/>
              </w:rPr>
              <w:t>264</w:t>
            </w:r>
          </w:hyperlink>
        </w:p>
        <w:p>
          <w:pPr>
            <w:pStyle w:val="Contents4"/>
            <w:tabs>
              <w:tab w:val="clear" w:pos="8176"/>
              <w:tab w:val="right" w:pos="9026" w:leader="dot"/>
            </w:tabs>
            <w:rPr/>
          </w:pPr>
          <w:hyperlink w:anchor="__RefHeading___Toc1723288_417432637">
            <w:r>
              <w:rPr>
                <w:webHidden/>
                <w:rStyle w:val="IndexLink"/>
                <w:rtl w:val="true"/>
              </w:rPr>
              <w:t>الوضوء للغایات المتعدّدة</w:t>
            </w:r>
            <w:r>
              <w:rPr>
                <w:rStyle w:val="IndexLink"/>
                <w:rtl w:val="true"/>
              </w:rPr>
              <w:tab/>
            </w:r>
            <w:r>
              <w:rPr>
                <w:rStyle w:val="IndexLink"/>
              </w:rPr>
              <w:t>266</w:t>
            </w:r>
          </w:hyperlink>
        </w:p>
        <w:p>
          <w:pPr>
            <w:pStyle w:val="Contents3"/>
            <w:tabs>
              <w:tab w:val="clear" w:pos="8459"/>
              <w:tab w:val="right" w:pos="9026" w:leader="dot"/>
            </w:tabs>
            <w:rPr/>
          </w:pPr>
          <w:hyperlink w:anchor="__RefHeading___Toc1723290_417432637">
            <w:r>
              <w:rPr>
                <w:webHidden/>
                <w:rStyle w:val="IndexLink"/>
                <w:rtl w:val="true"/>
              </w:rPr>
              <w:t>فصل فی بعض مستحبات الوضوء</w:t>
            </w:r>
            <w:r>
              <w:rPr>
                <w:rStyle w:val="IndexLink"/>
                <w:rtl w:val="true"/>
              </w:rPr>
              <w:tab/>
            </w:r>
            <w:r>
              <w:rPr>
                <w:rStyle w:val="IndexLink"/>
              </w:rPr>
              <w:t>269</w:t>
            </w:r>
          </w:hyperlink>
        </w:p>
        <w:p>
          <w:pPr>
            <w:pStyle w:val="Contents4"/>
            <w:tabs>
              <w:tab w:val="clear" w:pos="8176"/>
              <w:tab w:val="right" w:pos="9026" w:leader="dot"/>
            </w:tabs>
            <w:rPr/>
          </w:pPr>
          <w:hyperlink w:anchor="__RefHeading___Toc1723292_41743263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723294_417432637">
            <w:r>
              <w:rPr>
                <w:webHidden/>
                <w:rStyle w:val="IndexLink"/>
                <w:rtl w:val="true"/>
              </w:rPr>
              <w:t>الأوّل</w:t>
            </w:r>
            <w:r>
              <w:rPr>
                <w:rStyle w:val="IndexLink"/>
                <w:rtl w:val="true"/>
              </w:rPr>
              <w:t>:</w:t>
            </w:r>
            <w:r>
              <w:rPr>
                <w:rStyle w:val="IndexLink"/>
                <w:rtl w:val="true"/>
              </w:rPr>
              <w:t>الوضوء بمدّ من الماء</w:t>
            </w:r>
            <w:r>
              <w:rPr>
                <w:rStyle w:val="IndexLink"/>
                <w:rtl w:val="true"/>
              </w:rPr>
              <w:tab/>
            </w:r>
            <w:r>
              <w:rPr>
                <w:rStyle w:val="IndexLink"/>
              </w:rPr>
              <w:t>269</w:t>
            </w:r>
          </w:hyperlink>
        </w:p>
        <w:p>
          <w:pPr>
            <w:pStyle w:val="Contents4"/>
            <w:tabs>
              <w:tab w:val="clear" w:pos="8176"/>
              <w:tab w:val="right" w:pos="9026" w:leader="dot"/>
            </w:tabs>
            <w:rPr/>
          </w:pPr>
          <w:hyperlink w:anchor="__RefHeading___Toc1723296_417432637">
            <w:r>
              <w:rPr>
                <w:webHidden/>
                <w:rStyle w:val="IndexLink"/>
                <w:rtl w:val="true"/>
              </w:rPr>
              <w:t>الثانی</w:t>
            </w:r>
            <w:r>
              <w:rPr>
                <w:rStyle w:val="IndexLink"/>
                <w:rtl w:val="true"/>
              </w:rPr>
              <w:t>:</w:t>
            </w:r>
            <w:r>
              <w:rPr>
                <w:rStyle w:val="IndexLink"/>
                <w:rtl w:val="true"/>
              </w:rPr>
              <w:t>مقدار الصاع</w:t>
            </w:r>
            <w:r>
              <w:rPr>
                <w:rStyle w:val="IndexLink"/>
                <w:rtl w:val="true"/>
              </w:rPr>
              <w:tab/>
            </w:r>
            <w:r>
              <w:rPr>
                <w:rStyle w:val="IndexLink"/>
              </w:rPr>
              <w:t>270</w:t>
            </w:r>
          </w:hyperlink>
        </w:p>
        <w:p>
          <w:pPr>
            <w:pStyle w:val="Contents4"/>
            <w:tabs>
              <w:tab w:val="clear" w:pos="8176"/>
              <w:tab w:val="right" w:pos="9026" w:leader="dot"/>
            </w:tabs>
            <w:rPr/>
          </w:pPr>
          <w:hyperlink w:anchor="__RefHeading___Toc1723298_417432637">
            <w:r>
              <w:rPr>
                <w:webHidden/>
                <w:rStyle w:val="IndexLink"/>
                <w:rtl w:val="true"/>
              </w:rPr>
              <w:t>الثانی</w:t>
            </w:r>
            <w:r>
              <w:rPr>
                <w:rStyle w:val="IndexLink"/>
                <w:rtl w:val="true"/>
              </w:rPr>
              <w:t>:</w:t>
            </w:r>
            <w:r>
              <w:rPr>
                <w:rStyle w:val="IndexLink"/>
                <w:rtl w:val="true"/>
              </w:rPr>
              <w:t>الاستیاک</w:t>
            </w:r>
            <w:r>
              <w:rPr>
                <w:rStyle w:val="IndexLink"/>
                <w:rtl w:val="true"/>
              </w:rPr>
              <w:tab/>
            </w:r>
            <w:r>
              <w:rPr>
                <w:rStyle w:val="IndexLink"/>
              </w:rPr>
              <w:t>272</w:t>
            </w:r>
          </w:hyperlink>
        </w:p>
        <w:p>
          <w:pPr>
            <w:pStyle w:val="Contents4"/>
            <w:tabs>
              <w:tab w:val="clear" w:pos="8176"/>
              <w:tab w:val="right" w:pos="9026" w:leader="dot"/>
            </w:tabs>
            <w:rPr/>
          </w:pPr>
          <w:hyperlink w:anchor="__RefHeading___Toc1723300_417432637">
            <w:r>
              <w:rPr>
                <w:webHidden/>
                <w:rStyle w:val="IndexLink"/>
                <w:rtl w:val="true"/>
              </w:rPr>
              <w:t>الثالث</w:t>
            </w:r>
            <w:r>
              <w:rPr>
                <w:rStyle w:val="IndexLink"/>
                <w:rtl w:val="true"/>
              </w:rPr>
              <w:t>:</w:t>
            </w:r>
            <w:r>
              <w:rPr>
                <w:rStyle w:val="IndexLink"/>
                <w:rtl w:val="true"/>
              </w:rPr>
              <w:t>وضع إناء الوضوء علی الیمین</w:t>
            </w:r>
            <w:r>
              <w:rPr>
                <w:rStyle w:val="IndexLink"/>
                <w:rtl w:val="true"/>
              </w:rPr>
              <w:tab/>
            </w:r>
            <w:r>
              <w:rPr>
                <w:rStyle w:val="IndexLink"/>
              </w:rPr>
              <w:t>272</w:t>
            </w:r>
          </w:hyperlink>
        </w:p>
        <w:p>
          <w:pPr>
            <w:pStyle w:val="Contents4"/>
            <w:tabs>
              <w:tab w:val="clear" w:pos="8176"/>
              <w:tab w:val="right" w:pos="9026" w:leader="dot"/>
            </w:tabs>
            <w:rPr/>
          </w:pPr>
          <w:hyperlink w:anchor="__RefHeading___Toc1723302_417432637">
            <w:r>
              <w:rPr>
                <w:webHidden/>
                <w:rStyle w:val="IndexLink"/>
                <w:rtl w:val="true"/>
              </w:rPr>
              <w:t>الرابع</w:t>
            </w:r>
            <w:r>
              <w:rPr>
                <w:rStyle w:val="IndexLink"/>
                <w:rtl w:val="true"/>
              </w:rPr>
              <w:t>:</w:t>
            </w:r>
            <w:r>
              <w:rPr>
                <w:rStyle w:val="IndexLink"/>
                <w:rtl w:val="true"/>
              </w:rPr>
              <w:t>غسل الیدین قبل الوضوء</w:t>
            </w:r>
            <w:r>
              <w:rPr>
                <w:rStyle w:val="IndexLink"/>
                <w:rtl w:val="true"/>
              </w:rPr>
              <w:tab/>
            </w:r>
            <w:r>
              <w:rPr>
                <w:rStyle w:val="IndexLink"/>
              </w:rPr>
              <w:t>273</w:t>
            </w:r>
          </w:hyperlink>
        </w:p>
        <w:p>
          <w:pPr>
            <w:pStyle w:val="Contents4"/>
            <w:tabs>
              <w:tab w:val="clear" w:pos="8176"/>
              <w:tab w:val="right" w:pos="9026" w:leader="dot"/>
            </w:tabs>
            <w:rPr/>
          </w:pPr>
          <w:hyperlink w:anchor="__RefHeading___Toc1723304_417432637">
            <w:r>
              <w:rPr>
                <w:webHidden/>
                <w:rStyle w:val="IndexLink"/>
                <w:rtl w:val="true"/>
              </w:rPr>
              <w:t>الخامس</w:t>
            </w:r>
            <w:r>
              <w:rPr>
                <w:rStyle w:val="IndexLink"/>
                <w:rtl w:val="true"/>
              </w:rPr>
              <w:t>:</w:t>
            </w:r>
            <w:r>
              <w:rPr>
                <w:rStyle w:val="IndexLink"/>
                <w:rtl w:val="true"/>
              </w:rPr>
              <w:t>المضمضة و الاستنشاق</w:t>
            </w:r>
            <w:r>
              <w:rPr>
                <w:rStyle w:val="IndexLink"/>
                <w:rtl w:val="true"/>
              </w:rPr>
              <w:tab/>
            </w:r>
            <w:r>
              <w:rPr>
                <w:rStyle w:val="IndexLink"/>
              </w:rPr>
              <w:t>274</w:t>
            </w:r>
          </w:hyperlink>
        </w:p>
        <w:p>
          <w:pPr>
            <w:pStyle w:val="Contents4"/>
            <w:tabs>
              <w:tab w:val="clear" w:pos="8176"/>
              <w:tab w:val="right" w:pos="9026" w:leader="dot"/>
            </w:tabs>
            <w:rPr/>
          </w:pPr>
          <w:hyperlink w:anchor="__RefHeading___Toc1723306_417432637">
            <w:r>
              <w:rPr>
                <w:webHidden/>
                <w:rStyle w:val="IndexLink"/>
                <w:rtl w:val="true"/>
              </w:rPr>
              <w:t>السادس</w:t>
            </w:r>
            <w:r>
              <w:rPr>
                <w:rStyle w:val="IndexLink"/>
                <w:rtl w:val="true"/>
              </w:rPr>
              <w:t>:</w:t>
            </w:r>
            <w:r>
              <w:rPr>
                <w:rStyle w:val="IndexLink"/>
                <w:rtl w:val="true"/>
              </w:rPr>
              <w:t>التسمیة عند وضع الید فی الماء</w:t>
            </w:r>
            <w:r>
              <w:rPr>
                <w:rStyle w:val="IndexLink"/>
                <w:rtl w:val="true"/>
              </w:rPr>
              <w:tab/>
            </w:r>
            <w:r>
              <w:rPr>
                <w:rStyle w:val="IndexLink"/>
              </w:rPr>
              <w:t>276</w:t>
            </w:r>
          </w:hyperlink>
        </w:p>
        <w:p>
          <w:pPr>
            <w:pStyle w:val="Contents4"/>
            <w:tabs>
              <w:tab w:val="clear" w:pos="8176"/>
              <w:tab w:val="right" w:pos="9026" w:leader="dot"/>
            </w:tabs>
            <w:rPr/>
          </w:pPr>
          <w:hyperlink w:anchor="__RefHeading___Toc1723308_417432637">
            <w:r>
              <w:rPr>
                <w:webHidden/>
                <w:rStyle w:val="IndexLink"/>
                <w:rtl w:val="true"/>
              </w:rPr>
              <w:t>السابع</w:t>
            </w:r>
            <w:r>
              <w:rPr>
                <w:rStyle w:val="IndexLink"/>
                <w:rtl w:val="true"/>
              </w:rPr>
              <w:t>:</w:t>
            </w:r>
            <w:r>
              <w:rPr>
                <w:rStyle w:val="IndexLink"/>
                <w:rtl w:val="true"/>
              </w:rPr>
              <w:t>الاغتراف بالیمنی</w:t>
            </w:r>
            <w:r>
              <w:rPr>
                <w:rStyle w:val="IndexLink"/>
                <w:rtl w:val="true"/>
              </w:rPr>
              <w:tab/>
            </w:r>
            <w:r>
              <w:rPr>
                <w:rStyle w:val="IndexLink"/>
              </w:rPr>
              <w:t>277</w:t>
            </w:r>
          </w:hyperlink>
        </w:p>
        <w:p>
          <w:pPr>
            <w:pStyle w:val="Contents4"/>
            <w:tabs>
              <w:tab w:val="clear" w:pos="8176"/>
              <w:tab w:val="right" w:pos="9026" w:leader="dot"/>
            </w:tabs>
            <w:rPr/>
          </w:pPr>
          <w:hyperlink w:anchor="__RefHeading___Toc1723310_417432637">
            <w:r>
              <w:rPr>
                <w:webHidden/>
                <w:rStyle w:val="IndexLink"/>
                <w:rtl w:val="true"/>
              </w:rPr>
              <w:t>الثامن</w:t>
            </w:r>
            <w:r>
              <w:rPr>
                <w:rStyle w:val="IndexLink"/>
                <w:rtl w:val="true"/>
              </w:rPr>
              <w:t>:</w:t>
            </w:r>
            <w:r>
              <w:rPr>
                <w:rStyle w:val="IndexLink"/>
                <w:rtl w:val="true"/>
              </w:rPr>
              <w:t>قراءة الأدعیة</w:t>
            </w:r>
            <w:r>
              <w:rPr>
                <w:rStyle w:val="IndexLink"/>
                <w:rtl w:val="true"/>
              </w:rPr>
              <w:tab/>
            </w:r>
            <w:r>
              <w:rPr>
                <w:rStyle w:val="IndexLink"/>
              </w:rPr>
              <w:t>278</w:t>
            </w:r>
          </w:hyperlink>
        </w:p>
        <w:p>
          <w:pPr>
            <w:pStyle w:val="Contents4"/>
            <w:tabs>
              <w:tab w:val="clear" w:pos="8176"/>
              <w:tab w:val="right" w:pos="9026" w:leader="dot"/>
            </w:tabs>
            <w:rPr/>
          </w:pPr>
          <w:hyperlink w:anchor="__RefHeading___Toc1723312_417432637">
            <w:r>
              <w:rPr>
                <w:webHidden/>
                <w:rStyle w:val="IndexLink"/>
                <w:rtl w:val="true"/>
              </w:rPr>
              <w:t>التاسع</w:t>
            </w:r>
            <w:r>
              <w:rPr>
                <w:rStyle w:val="IndexLink"/>
                <w:rtl w:val="true"/>
              </w:rPr>
              <w:t>:</w:t>
            </w:r>
            <w:r>
              <w:rPr>
                <w:rStyle w:val="IndexLink"/>
                <w:rtl w:val="true"/>
              </w:rPr>
              <w:t>التثنیة فی الغسل</w:t>
            </w:r>
            <w:r>
              <w:rPr>
                <w:rStyle w:val="IndexLink"/>
                <w:rtl w:val="true"/>
              </w:rPr>
              <w:tab/>
            </w:r>
            <w:r>
              <w:rPr>
                <w:rStyle w:val="IndexLink"/>
              </w:rPr>
              <w:t>279</w:t>
            </w:r>
          </w:hyperlink>
        </w:p>
        <w:p>
          <w:pPr>
            <w:pStyle w:val="Contents4"/>
            <w:tabs>
              <w:tab w:val="clear" w:pos="8176"/>
              <w:tab w:val="right" w:pos="9026" w:leader="dot"/>
            </w:tabs>
            <w:rPr/>
          </w:pPr>
          <w:hyperlink w:anchor="__RefHeading___Toc1723314_417432637">
            <w:r>
              <w:rPr>
                <w:webHidden/>
                <w:rStyle w:val="IndexLink"/>
                <w:rtl w:val="true"/>
              </w:rPr>
              <w:t>العاشر</w:t>
            </w:r>
            <w:r>
              <w:rPr>
                <w:rStyle w:val="IndexLink"/>
                <w:rtl w:val="true"/>
              </w:rPr>
              <w:t>:</w:t>
            </w:r>
            <w:r>
              <w:rPr>
                <w:rStyle w:val="IndexLink"/>
                <w:rtl w:val="true"/>
              </w:rPr>
              <w:t>بدء الرجل بظاهر الذراعین و المرأة بباطنهما</w:t>
            </w:r>
            <w:r>
              <w:rPr>
                <w:rStyle w:val="IndexLink"/>
                <w:rtl w:val="true"/>
              </w:rPr>
              <w:tab/>
            </w:r>
            <w:r>
              <w:rPr>
                <w:rStyle w:val="IndexLink"/>
              </w:rPr>
              <w:t>284</w:t>
            </w:r>
          </w:hyperlink>
        </w:p>
        <w:p>
          <w:pPr>
            <w:pStyle w:val="Contents4"/>
            <w:tabs>
              <w:tab w:val="clear" w:pos="8176"/>
              <w:tab w:val="right" w:pos="9026" w:leader="dot"/>
            </w:tabs>
            <w:rPr/>
          </w:pPr>
          <w:hyperlink w:anchor="__RefHeading___Toc1723316_417432637">
            <w:r>
              <w:rPr>
                <w:webHidden/>
                <w:rStyle w:val="IndexLink"/>
                <w:rtl w:val="true"/>
              </w:rPr>
              <w:t>الحادی عشر</w:t>
            </w:r>
            <w:r>
              <w:rPr>
                <w:rStyle w:val="IndexLink"/>
                <w:rtl w:val="true"/>
              </w:rPr>
              <w:t>:</w:t>
            </w:r>
            <w:r>
              <w:rPr>
                <w:rStyle w:val="IndexLink"/>
                <w:rtl w:val="true"/>
              </w:rPr>
              <w:t>أن یصبّ الماء علی أعلی کلّ عضو</w:t>
            </w:r>
            <w:r>
              <w:rPr>
                <w:rStyle w:val="IndexLink"/>
                <w:rtl w:val="true"/>
              </w:rPr>
              <w:t>(</w:t>
            </w:r>
            <w:r>
              <w:rPr>
                <w:rStyle w:val="IndexLink"/>
              </w:rPr>
              <w:t>1</w:t>
            </w:r>
            <w:r>
              <w:rPr>
                <w:rStyle w:val="IndexLink"/>
                <w:rtl w:val="true"/>
              </w:rPr>
              <w:t xml:space="preserve">) </w:t>
            </w:r>
            <w:r>
              <w:rPr>
                <w:rStyle w:val="IndexLink"/>
                <w:rtl w:val="true"/>
              </w:rPr>
              <w:t>و أمّا الغسل من الأعلی فواجب</w:t>
            </w:r>
            <w:r>
              <w:rPr>
                <w:rStyle w:val="IndexLink"/>
                <w:rtl w:val="true"/>
              </w:rPr>
              <w:t>.</w:t>
              <w:tab/>
            </w:r>
            <w:r>
              <w:rPr>
                <w:rStyle w:val="IndexLink"/>
              </w:rPr>
              <w:t>285</w:t>
            </w:r>
          </w:hyperlink>
        </w:p>
        <w:p>
          <w:pPr>
            <w:pStyle w:val="Contents4"/>
            <w:tabs>
              <w:tab w:val="clear" w:pos="8176"/>
              <w:tab w:val="right" w:pos="9026" w:leader="dot"/>
            </w:tabs>
            <w:rPr/>
          </w:pPr>
          <w:hyperlink w:anchor="__RefHeading___Toc1723318_417432637">
            <w:r>
              <w:rPr>
                <w:webHidden/>
                <w:rStyle w:val="IndexLink"/>
                <w:rtl w:val="true"/>
              </w:rPr>
              <w:t>الثانی عشر</w:t>
            </w:r>
            <w:r>
              <w:rPr>
                <w:rStyle w:val="IndexLink"/>
                <w:rtl w:val="true"/>
              </w:rPr>
              <w:t>:</w:t>
            </w:r>
            <w:r>
              <w:rPr>
                <w:rStyle w:val="IndexLink"/>
                <w:rtl w:val="true"/>
              </w:rPr>
              <w:t>الغسل بالصبّ لا بالغمس</w:t>
            </w:r>
            <w:r>
              <w:rPr>
                <w:rStyle w:val="IndexLink"/>
                <w:rtl w:val="true"/>
              </w:rPr>
              <w:tab/>
            </w:r>
            <w:r>
              <w:rPr>
                <w:rStyle w:val="IndexLink"/>
              </w:rPr>
              <w:t>286</w:t>
            </w:r>
          </w:hyperlink>
        </w:p>
        <w:p>
          <w:pPr>
            <w:pStyle w:val="Contents4"/>
            <w:tabs>
              <w:tab w:val="clear" w:pos="8176"/>
              <w:tab w:val="right" w:pos="9026" w:leader="dot"/>
            </w:tabs>
            <w:rPr/>
          </w:pPr>
          <w:hyperlink w:anchor="__RefHeading___Toc1723320_417432637">
            <w:r>
              <w:rPr>
                <w:webHidden/>
                <w:rStyle w:val="IndexLink"/>
                <w:rtl w:val="true"/>
              </w:rPr>
              <w:t>الثالث عشر</w:t>
            </w:r>
            <w:r>
              <w:rPr>
                <w:rStyle w:val="IndexLink"/>
                <w:rtl w:val="true"/>
              </w:rPr>
              <w:t>:</w:t>
            </w:r>
            <w:r>
              <w:rPr>
                <w:rStyle w:val="IndexLink"/>
                <w:rtl w:val="true"/>
              </w:rPr>
              <w:t>إمرار الید علی مواضع الغسل</w:t>
            </w:r>
            <w:r>
              <w:rPr>
                <w:rStyle w:val="IndexLink"/>
                <w:rtl w:val="true"/>
              </w:rPr>
              <w:tab/>
            </w:r>
            <w:r>
              <w:rPr>
                <w:rStyle w:val="IndexLink"/>
              </w:rPr>
              <w:t>286</w:t>
            </w:r>
          </w:hyperlink>
        </w:p>
        <w:p>
          <w:pPr>
            <w:pStyle w:val="Contents4"/>
            <w:tabs>
              <w:tab w:val="clear" w:pos="8176"/>
              <w:tab w:val="right" w:pos="9026" w:leader="dot"/>
            </w:tabs>
            <w:rPr/>
          </w:pPr>
          <w:hyperlink w:anchor="__RefHeading___Toc1723322_417432637">
            <w:r>
              <w:rPr>
                <w:webHidden/>
                <w:rStyle w:val="IndexLink"/>
                <w:rtl w:val="true"/>
              </w:rPr>
              <w:t>الرابع عشر</w:t>
            </w:r>
            <w:r>
              <w:rPr>
                <w:rStyle w:val="IndexLink"/>
                <w:rtl w:val="true"/>
              </w:rPr>
              <w:t>:</w:t>
            </w:r>
            <w:r>
              <w:rPr>
                <w:rStyle w:val="IndexLink"/>
                <w:rtl w:val="true"/>
              </w:rPr>
              <w:t>حضور القلب</w:t>
            </w:r>
            <w:r>
              <w:rPr>
                <w:rStyle w:val="IndexLink"/>
                <w:rtl w:val="true"/>
              </w:rPr>
              <w:tab/>
            </w:r>
            <w:r>
              <w:rPr>
                <w:rStyle w:val="IndexLink"/>
              </w:rPr>
              <w:t>287</w:t>
            </w:r>
          </w:hyperlink>
        </w:p>
        <w:p>
          <w:pPr>
            <w:pStyle w:val="Contents4"/>
            <w:tabs>
              <w:tab w:val="clear" w:pos="8176"/>
              <w:tab w:val="right" w:pos="9026" w:leader="dot"/>
            </w:tabs>
            <w:rPr/>
          </w:pPr>
          <w:hyperlink w:anchor="__RefHeading___Toc1723324_417432637">
            <w:r>
              <w:rPr>
                <w:webHidden/>
                <w:rStyle w:val="IndexLink"/>
                <w:rtl w:val="true"/>
              </w:rPr>
              <w:t>الخامس عشر</w:t>
            </w:r>
            <w:r>
              <w:rPr>
                <w:rStyle w:val="IndexLink"/>
                <w:rtl w:val="true"/>
              </w:rPr>
              <w:t>:</w:t>
            </w:r>
            <w:r>
              <w:rPr>
                <w:rStyle w:val="IndexLink"/>
                <w:rtl w:val="true"/>
              </w:rPr>
              <w:t>قراءة سورة القدر حال الوضوء</w:t>
            </w:r>
            <w:r>
              <w:rPr>
                <w:rStyle w:val="IndexLink"/>
                <w:rtl w:val="true"/>
              </w:rPr>
              <w:tab/>
            </w:r>
            <w:r>
              <w:rPr>
                <w:rStyle w:val="IndexLink"/>
              </w:rPr>
              <w:t>288</w:t>
            </w:r>
          </w:hyperlink>
        </w:p>
        <w:p>
          <w:pPr>
            <w:pStyle w:val="Contents4"/>
            <w:tabs>
              <w:tab w:val="clear" w:pos="8176"/>
              <w:tab w:val="right" w:pos="9026" w:leader="dot"/>
            </w:tabs>
            <w:rPr/>
          </w:pPr>
          <w:hyperlink w:anchor="__RefHeading___Toc1723326_417432637">
            <w:r>
              <w:rPr>
                <w:webHidden/>
                <w:rStyle w:val="IndexLink"/>
                <w:rtl w:val="true"/>
              </w:rPr>
              <w:t>السادس عشر</w:t>
            </w:r>
            <w:r>
              <w:rPr>
                <w:rStyle w:val="IndexLink"/>
                <w:rtl w:val="true"/>
              </w:rPr>
              <w:t>:</w:t>
            </w:r>
            <w:r>
              <w:rPr>
                <w:rStyle w:val="IndexLink"/>
                <w:rtl w:val="true"/>
              </w:rPr>
              <w:t>قراءة آیة الکرسی بعد الوضوء</w:t>
            </w:r>
            <w:r>
              <w:rPr>
                <w:rStyle w:val="IndexLink"/>
                <w:rtl w:val="true"/>
              </w:rPr>
              <w:tab/>
            </w:r>
            <w:r>
              <w:rPr>
                <w:rStyle w:val="IndexLink"/>
              </w:rPr>
              <w:t>288</w:t>
            </w:r>
          </w:hyperlink>
        </w:p>
        <w:p>
          <w:pPr>
            <w:pStyle w:val="Contents4"/>
            <w:tabs>
              <w:tab w:val="clear" w:pos="8176"/>
              <w:tab w:val="right" w:pos="9026" w:leader="dot"/>
            </w:tabs>
            <w:rPr/>
          </w:pPr>
          <w:hyperlink w:anchor="__RefHeading___Toc1723328_417432637">
            <w:r>
              <w:rPr>
                <w:webHidden/>
                <w:rStyle w:val="IndexLink"/>
                <w:rtl w:val="true"/>
              </w:rPr>
              <w:t>السابع عشر</w:t>
            </w:r>
            <w:r>
              <w:rPr>
                <w:rStyle w:val="IndexLink"/>
                <w:rtl w:val="true"/>
              </w:rPr>
              <w:t>:</w:t>
            </w:r>
            <w:r>
              <w:rPr>
                <w:rStyle w:val="IndexLink"/>
                <w:rtl w:val="true"/>
              </w:rPr>
              <w:t>فتح العین حال الوضوء</w:t>
            </w:r>
            <w:r>
              <w:rPr>
                <w:rStyle w:val="IndexLink"/>
                <w:rtl w:val="true"/>
              </w:rPr>
              <w:tab/>
            </w:r>
            <w:r>
              <w:rPr>
                <w:rStyle w:val="IndexLink"/>
              </w:rPr>
              <w:t>288</w:t>
            </w:r>
          </w:hyperlink>
        </w:p>
        <w:p>
          <w:pPr>
            <w:pStyle w:val="Contents3"/>
            <w:tabs>
              <w:tab w:val="clear" w:pos="8459"/>
              <w:tab w:val="right" w:pos="9026" w:leader="dot"/>
            </w:tabs>
            <w:rPr/>
          </w:pPr>
          <w:hyperlink w:anchor="__RefHeading___Toc1723330_417432637">
            <w:r>
              <w:rPr>
                <w:webHidden/>
                <w:rStyle w:val="IndexLink"/>
                <w:rtl w:val="true"/>
              </w:rPr>
              <w:t>فصل فی مکروهاته</w:t>
            </w:r>
            <w:r>
              <w:rPr>
                <w:rStyle w:val="IndexLink"/>
                <w:rtl w:val="true"/>
              </w:rPr>
              <w:tab/>
            </w:r>
            <w:r>
              <w:rPr>
                <w:rStyle w:val="IndexLink"/>
              </w:rPr>
              <w:t>289</w:t>
            </w:r>
          </w:hyperlink>
        </w:p>
        <w:p>
          <w:pPr>
            <w:pStyle w:val="Contents4"/>
            <w:tabs>
              <w:tab w:val="clear" w:pos="8176"/>
              <w:tab w:val="right" w:pos="9026" w:leader="dot"/>
            </w:tabs>
            <w:rPr/>
          </w:pPr>
          <w:hyperlink w:anchor="__RefHeading___Toc1723332_41743263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723334_417432637">
            <w:r>
              <w:rPr>
                <w:webHidden/>
                <w:rStyle w:val="IndexLink"/>
                <w:rtl w:val="true"/>
              </w:rPr>
              <w:t>الأوّل</w:t>
            </w:r>
            <w:r>
              <w:rPr>
                <w:rStyle w:val="IndexLink"/>
                <w:rtl w:val="true"/>
              </w:rPr>
              <w:t>:</w:t>
            </w:r>
            <w:r>
              <w:rPr>
                <w:rStyle w:val="IndexLink"/>
                <w:rtl w:val="true"/>
              </w:rPr>
              <w:t>الاستعانة بالغیر</w:t>
            </w:r>
            <w:r>
              <w:rPr>
                <w:rStyle w:val="IndexLink"/>
                <w:rtl w:val="true"/>
              </w:rPr>
              <w:tab/>
            </w:r>
            <w:r>
              <w:rPr>
                <w:rStyle w:val="IndexLink"/>
              </w:rPr>
              <w:t>289</w:t>
            </w:r>
          </w:hyperlink>
        </w:p>
        <w:p>
          <w:pPr>
            <w:pStyle w:val="Contents4"/>
            <w:tabs>
              <w:tab w:val="clear" w:pos="8176"/>
              <w:tab w:val="right" w:pos="9026" w:leader="dot"/>
            </w:tabs>
            <w:rPr/>
          </w:pPr>
          <w:hyperlink w:anchor="__RefHeading___Toc1723336_417432637">
            <w:r>
              <w:rPr>
                <w:webHidden/>
                <w:rStyle w:val="IndexLink"/>
                <w:rtl w:val="true"/>
              </w:rPr>
              <w:t>الثانی</w:t>
            </w:r>
            <w:r>
              <w:rPr>
                <w:rStyle w:val="IndexLink"/>
                <w:rtl w:val="true"/>
              </w:rPr>
              <w:t>:</w:t>
            </w:r>
            <w:r>
              <w:rPr>
                <w:rStyle w:val="IndexLink"/>
                <w:rtl w:val="true"/>
              </w:rPr>
              <w:t>التمندل</w:t>
            </w:r>
            <w:r>
              <w:rPr>
                <w:rStyle w:val="IndexLink"/>
                <w:rtl w:val="true"/>
              </w:rPr>
              <w:tab/>
            </w:r>
            <w:r>
              <w:rPr>
                <w:rStyle w:val="IndexLink"/>
              </w:rPr>
              <w:t>291</w:t>
            </w:r>
          </w:hyperlink>
        </w:p>
        <w:p>
          <w:pPr>
            <w:pStyle w:val="Contents4"/>
            <w:tabs>
              <w:tab w:val="clear" w:pos="8176"/>
              <w:tab w:val="right" w:pos="9026" w:leader="dot"/>
            </w:tabs>
            <w:rPr/>
          </w:pPr>
          <w:hyperlink w:anchor="__RefHeading___Toc1723338_417432637">
            <w:r>
              <w:rPr>
                <w:webHidden/>
                <w:rStyle w:val="IndexLink"/>
                <w:rtl w:val="true"/>
              </w:rPr>
              <w:t>الثالث</w:t>
            </w:r>
            <w:r>
              <w:rPr>
                <w:rStyle w:val="IndexLink"/>
                <w:rtl w:val="true"/>
              </w:rPr>
              <w:t>:</w:t>
            </w:r>
            <w:r>
              <w:rPr>
                <w:rStyle w:val="IndexLink"/>
                <w:rtl w:val="true"/>
              </w:rPr>
              <w:t>الوضوء فی مکان الاستنجاء</w:t>
            </w:r>
            <w:r>
              <w:rPr>
                <w:rStyle w:val="IndexLink"/>
                <w:rtl w:val="true"/>
              </w:rPr>
              <w:tab/>
            </w:r>
            <w:r>
              <w:rPr>
                <w:rStyle w:val="IndexLink"/>
              </w:rPr>
              <w:t>292</w:t>
            </w:r>
          </w:hyperlink>
        </w:p>
        <w:p>
          <w:pPr>
            <w:pStyle w:val="Contents4"/>
            <w:tabs>
              <w:tab w:val="clear" w:pos="8176"/>
              <w:tab w:val="right" w:pos="9026" w:leader="dot"/>
            </w:tabs>
            <w:rPr/>
          </w:pPr>
          <w:hyperlink w:anchor="__RefHeading___Toc1723340_417432637">
            <w:r>
              <w:rPr>
                <w:webHidden/>
                <w:rStyle w:val="IndexLink"/>
                <w:rtl w:val="true"/>
              </w:rPr>
              <w:t>الرابع</w:t>
            </w:r>
            <w:r>
              <w:rPr>
                <w:rStyle w:val="IndexLink"/>
                <w:rtl w:val="true"/>
              </w:rPr>
              <w:t>:</w:t>
            </w:r>
            <w:r>
              <w:rPr>
                <w:rStyle w:val="IndexLink"/>
                <w:rtl w:val="true"/>
              </w:rPr>
              <w:t>الوضوء من الآنیة المفضّضة أو المذهّبة أو</w:t>
            </w:r>
            <w:r>
              <w:rPr>
                <w:rStyle w:val="IndexLink"/>
                <w:rtl w:val="true"/>
              </w:rPr>
              <w:t>...</w:t>
              <w:tab/>
            </w:r>
            <w:r>
              <w:rPr>
                <w:rStyle w:val="IndexLink"/>
              </w:rPr>
              <w:t>293</w:t>
            </w:r>
          </w:hyperlink>
        </w:p>
        <w:p>
          <w:pPr>
            <w:pStyle w:val="Contents4"/>
            <w:tabs>
              <w:tab w:val="clear" w:pos="8176"/>
              <w:tab w:val="right" w:pos="9026" w:leader="dot"/>
            </w:tabs>
            <w:rPr/>
          </w:pPr>
          <w:hyperlink w:anchor="__RefHeading___Toc1723342_417432637">
            <w:r>
              <w:rPr>
                <w:webHidden/>
                <w:rStyle w:val="IndexLink"/>
                <w:rtl w:val="true"/>
              </w:rPr>
              <w:t>الخامس</w:t>
            </w:r>
            <w:r>
              <w:rPr>
                <w:rStyle w:val="IndexLink"/>
                <w:rtl w:val="true"/>
              </w:rPr>
              <w:t>:</w:t>
            </w:r>
            <w:r>
              <w:rPr>
                <w:rStyle w:val="IndexLink"/>
                <w:rtl w:val="true"/>
              </w:rPr>
              <w:t>الوضوء بالمیاه المکروهة</w:t>
            </w:r>
            <w:r>
              <w:rPr>
                <w:rStyle w:val="IndexLink"/>
                <w:rtl w:val="true"/>
              </w:rPr>
              <w:tab/>
            </w:r>
            <w:r>
              <w:rPr>
                <w:rStyle w:val="IndexLink"/>
              </w:rPr>
              <w:t>293</w:t>
            </w:r>
          </w:hyperlink>
        </w:p>
        <w:p>
          <w:pPr>
            <w:pStyle w:val="Contents3"/>
            <w:tabs>
              <w:tab w:val="clear" w:pos="8459"/>
              <w:tab w:val="right" w:pos="9026" w:leader="dot"/>
            </w:tabs>
            <w:rPr/>
          </w:pPr>
          <w:hyperlink w:anchor="__RefHeading___Toc1723344_417432637">
            <w:r>
              <w:rPr>
                <w:webHidden/>
                <w:rStyle w:val="IndexLink"/>
                <w:rtl w:val="true"/>
              </w:rPr>
              <w:t>فصل فی أفعال الوضوء</w:t>
            </w:r>
            <w:r>
              <w:rPr>
                <w:rStyle w:val="IndexLink"/>
                <w:rtl w:val="true"/>
              </w:rPr>
              <w:tab/>
            </w:r>
            <w:r>
              <w:rPr>
                <w:rStyle w:val="IndexLink"/>
              </w:rPr>
              <w:t>296</w:t>
            </w:r>
          </w:hyperlink>
        </w:p>
        <w:p>
          <w:pPr>
            <w:pStyle w:val="Contents4"/>
            <w:tabs>
              <w:tab w:val="clear" w:pos="8176"/>
              <w:tab w:val="right" w:pos="9026" w:leader="dot"/>
            </w:tabs>
            <w:rPr/>
          </w:pPr>
          <w:hyperlink w:anchor="__RefHeading___Toc1723346_41743263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723348_417432637">
            <w:r>
              <w:rPr>
                <w:webHidden/>
                <w:rStyle w:val="IndexLink"/>
                <w:rtl w:val="true"/>
              </w:rPr>
              <w:t>الأوّل</w:t>
            </w:r>
            <w:r>
              <w:rPr>
                <w:rStyle w:val="IndexLink"/>
                <w:rtl w:val="true"/>
              </w:rPr>
              <w:t>:</w:t>
            </w:r>
            <w:r>
              <w:rPr>
                <w:rStyle w:val="IndexLink"/>
                <w:rtl w:val="true"/>
              </w:rPr>
              <w:t>غسل الوجه، و تحدیده</w:t>
            </w:r>
            <w:r>
              <w:rPr>
                <w:rStyle w:val="IndexLink"/>
                <w:rtl w:val="true"/>
              </w:rPr>
              <w:tab/>
            </w:r>
            <w:r>
              <w:rPr>
                <w:rStyle w:val="IndexLink"/>
              </w:rPr>
              <w:t>296</w:t>
            </w:r>
          </w:hyperlink>
        </w:p>
        <w:p>
          <w:pPr>
            <w:pStyle w:val="Contents5"/>
            <w:tabs>
              <w:tab w:val="clear" w:pos="7892"/>
              <w:tab w:val="right" w:pos="9026" w:leader="dot"/>
            </w:tabs>
            <w:rPr/>
          </w:pPr>
          <w:hyperlink w:anchor="__RefHeading___Toc1723350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723352_417432637">
            <w:r>
              <w:rPr>
                <w:webHidden/>
                <w:rStyle w:val="IndexLink"/>
                <w:rtl w:val="true"/>
              </w:rPr>
              <w:t>الأنزع و الأغم و</w:t>
            </w:r>
            <w:r>
              <w:rPr>
                <w:rStyle w:val="IndexLink"/>
                <w:rtl w:val="true"/>
              </w:rPr>
              <w:t>...</w:t>
              <w:tab/>
            </w:r>
            <w:r>
              <w:rPr>
                <w:rStyle w:val="IndexLink"/>
              </w:rPr>
              <w:t>299</w:t>
            </w:r>
          </w:hyperlink>
        </w:p>
        <w:p>
          <w:pPr>
            <w:pStyle w:val="Contents5"/>
            <w:tabs>
              <w:tab w:val="clear" w:pos="7892"/>
              <w:tab w:val="right" w:pos="9026" w:leader="dot"/>
            </w:tabs>
            <w:rPr/>
          </w:pPr>
          <w:hyperlink w:anchor="__RefHeading___Toc1723354_417432637">
            <w:r>
              <w:rPr>
                <w:webHidden/>
                <w:rStyle w:val="IndexLink"/>
                <w:rtl w:val="true"/>
              </w:rPr>
              <w:t>اعتبار إجراء الماء فی الغسل</w:t>
            </w:r>
            <w:r>
              <w:rPr>
                <w:rStyle w:val="IndexLink"/>
                <w:rtl w:val="true"/>
              </w:rPr>
              <w:tab/>
            </w:r>
            <w:r>
              <w:rPr>
                <w:rStyle w:val="IndexLink"/>
              </w:rPr>
              <w:t>300</w:t>
            </w:r>
          </w:hyperlink>
        </w:p>
        <w:p>
          <w:pPr>
            <w:pStyle w:val="Contents5"/>
            <w:tabs>
              <w:tab w:val="clear" w:pos="7892"/>
              <w:tab w:val="right" w:pos="9026" w:leader="dot"/>
            </w:tabs>
            <w:rPr/>
          </w:pPr>
          <w:hyperlink w:anchor="__RefHeading___Toc1723356_417432637">
            <w:r>
              <w:rPr>
                <w:webHidden/>
                <w:rStyle w:val="IndexLink"/>
                <w:rtl w:val="true"/>
              </w:rPr>
              <w:t>الابتداء فی الغسل بالأعلی</w:t>
            </w:r>
            <w:r>
              <w:rPr>
                <w:rStyle w:val="IndexLink"/>
                <w:rtl w:val="true"/>
              </w:rPr>
              <w:tab/>
            </w:r>
            <w:r>
              <w:rPr>
                <w:rStyle w:val="IndexLink"/>
              </w:rPr>
              <w:t>304</w:t>
            </w:r>
          </w:hyperlink>
        </w:p>
        <w:p>
          <w:pPr>
            <w:pStyle w:val="Contents5"/>
            <w:tabs>
              <w:tab w:val="clear" w:pos="7892"/>
              <w:tab w:val="right" w:pos="9026" w:leader="dot"/>
            </w:tabs>
            <w:rPr/>
          </w:pPr>
          <w:hyperlink w:anchor="__RefHeading___Toc1723358_417432637">
            <w:r>
              <w:rPr>
                <w:webHidden/>
                <w:rStyle w:val="IndexLink"/>
                <w:rtl w:val="true"/>
              </w:rPr>
              <w:t>لا یجب غسل ما تحت الشعر</w:t>
            </w:r>
            <w:r>
              <w:rPr>
                <w:rStyle w:val="IndexLink"/>
                <w:rtl w:val="true"/>
              </w:rPr>
              <w:tab/>
            </w:r>
            <w:r>
              <w:rPr>
                <w:rStyle w:val="IndexLink"/>
              </w:rPr>
              <w:t>308</w:t>
            </w:r>
          </w:hyperlink>
        </w:p>
        <w:p>
          <w:pPr>
            <w:pStyle w:val="Contents5"/>
            <w:tabs>
              <w:tab w:val="clear" w:pos="7892"/>
              <w:tab w:val="right" w:pos="9026" w:leader="dot"/>
            </w:tabs>
            <w:rPr/>
          </w:pPr>
          <w:hyperlink w:anchor="__RefHeading___Toc1723360_417432637">
            <w:r>
              <w:rPr>
                <w:webHidden/>
                <w:rStyle w:val="IndexLink"/>
                <w:rtl w:val="true"/>
              </w:rPr>
              <w:t>وجوب إدخال شیء ممّا خرج عن الحدّ</w:t>
            </w:r>
            <w:r>
              <w:rPr>
                <w:rStyle w:val="IndexLink"/>
                <w:rtl w:val="true"/>
              </w:rPr>
              <w:tab/>
            </w:r>
            <w:r>
              <w:rPr>
                <w:rStyle w:val="IndexLink"/>
              </w:rPr>
              <w:t>312</w:t>
            </w:r>
          </w:hyperlink>
        </w:p>
        <w:p>
          <w:pPr>
            <w:pStyle w:val="Contents5"/>
            <w:tabs>
              <w:tab w:val="clear" w:pos="7892"/>
              <w:tab w:val="right" w:pos="9026" w:leader="dot"/>
            </w:tabs>
            <w:rPr/>
          </w:pPr>
          <w:hyperlink w:anchor="__RefHeading___Toc1723362_417432637">
            <w:r>
              <w:rPr>
                <w:webHidden/>
                <w:rStyle w:val="IndexLink"/>
                <w:rtl w:val="true"/>
              </w:rPr>
              <w:t>اللحیة و ما استرسل منها</w:t>
            </w:r>
            <w:r>
              <w:rPr>
                <w:rStyle w:val="IndexLink"/>
                <w:rtl w:val="true"/>
              </w:rPr>
              <w:tab/>
            </w:r>
            <w:r>
              <w:rPr>
                <w:rStyle w:val="IndexLink"/>
              </w:rPr>
              <w:t>314</w:t>
            </w:r>
          </w:hyperlink>
        </w:p>
        <w:p>
          <w:pPr>
            <w:pStyle w:val="Contents5"/>
            <w:tabs>
              <w:tab w:val="clear" w:pos="7892"/>
              <w:tab w:val="right" w:pos="9026" w:leader="dot"/>
            </w:tabs>
            <w:rPr/>
          </w:pPr>
          <w:hyperlink w:anchor="__RefHeading___Toc1723364_417432637">
            <w:r>
              <w:rPr>
                <w:webHidden/>
                <w:rStyle w:val="IndexLink"/>
                <w:rtl w:val="true"/>
              </w:rPr>
              <w:t>إذا کان للمرأة لحیة</w:t>
            </w:r>
            <w:r>
              <w:rPr>
                <w:rStyle w:val="IndexLink"/>
                <w:rtl w:val="true"/>
              </w:rPr>
              <w:tab/>
            </w:r>
            <w:r>
              <w:rPr>
                <w:rStyle w:val="IndexLink"/>
              </w:rPr>
              <w:t>314</w:t>
            </w:r>
          </w:hyperlink>
        </w:p>
        <w:p>
          <w:pPr>
            <w:pStyle w:val="Contents5"/>
            <w:tabs>
              <w:tab w:val="clear" w:pos="7892"/>
              <w:tab w:val="right" w:pos="9026" w:leader="dot"/>
            </w:tabs>
            <w:rPr/>
          </w:pPr>
          <w:hyperlink w:anchor="__RefHeading___Toc1723366_417432637">
            <w:r>
              <w:rPr>
                <w:webHidden/>
                <w:rStyle w:val="IndexLink"/>
                <w:rtl w:val="true"/>
              </w:rPr>
              <w:t>فی إزالة المانع و الشک فی وجوده</w:t>
            </w:r>
            <w:r>
              <w:rPr>
                <w:rStyle w:val="IndexLink"/>
                <w:rtl w:val="true"/>
              </w:rPr>
              <w:tab/>
            </w:r>
            <w:r>
              <w:rPr>
                <w:rStyle w:val="IndexLink"/>
              </w:rPr>
              <w:t>315</w:t>
            </w:r>
          </w:hyperlink>
        </w:p>
        <w:p>
          <w:pPr>
            <w:pStyle w:val="Contents5"/>
            <w:tabs>
              <w:tab w:val="clear" w:pos="7892"/>
              <w:tab w:val="right" w:pos="9026" w:leader="dot"/>
            </w:tabs>
            <w:rPr/>
          </w:pPr>
          <w:hyperlink w:anchor="__RefHeading___Toc1723368_417432637">
            <w:r>
              <w:rPr>
                <w:webHidden/>
                <w:rStyle w:val="IndexLink"/>
                <w:rtl w:val="true"/>
              </w:rPr>
              <w:t>الشکّ فی الحاجب فی موضع الغسل</w:t>
            </w:r>
            <w:r>
              <w:rPr>
                <w:rStyle w:val="IndexLink"/>
                <w:rtl w:val="true"/>
              </w:rPr>
              <w:tab/>
            </w:r>
            <w:r>
              <w:rPr>
                <w:rStyle w:val="IndexLink"/>
              </w:rPr>
              <w:t>316</w:t>
            </w:r>
          </w:hyperlink>
        </w:p>
        <w:p>
          <w:pPr>
            <w:pStyle w:val="Contents4"/>
            <w:tabs>
              <w:tab w:val="clear" w:pos="8176"/>
              <w:tab w:val="right" w:pos="9026" w:leader="dot"/>
            </w:tabs>
            <w:rPr/>
          </w:pPr>
          <w:hyperlink w:anchor="__RefHeading___Toc1723370_417432637">
            <w:r>
              <w:rPr>
                <w:webHidden/>
                <w:rStyle w:val="IndexLink"/>
                <w:rtl w:val="true"/>
              </w:rPr>
              <w:t>الثانی</w:t>
            </w:r>
            <w:r>
              <w:rPr>
                <w:rStyle w:val="IndexLink"/>
                <w:rtl w:val="true"/>
              </w:rPr>
              <w:t>:</w:t>
            </w:r>
            <w:r>
              <w:rPr>
                <w:rStyle w:val="IndexLink"/>
                <w:rtl w:val="true"/>
              </w:rPr>
              <w:t>غسل الیدین من المرفقین إلی أطراف الأصابع</w:t>
            </w:r>
            <w:r>
              <w:rPr>
                <w:rStyle w:val="IndexLink"/>
                <w:rtl w:val="true"/>
              </w:rPr>
              <w:tab/>
            </w:r>
            <w:r>
              <w:rPr>
                <w:rStyle w:val="IndexLink"/>
              </w:rPr>
              <w:t>318</w:t>
            </w:r>
          </w:hyperlink>
        </w:p>
        <w:p>
          <w:pPr>
            <w:pStyle w:val="Contents5"/>
            <w:tabs>
              <w:tab w:val="clear" w:pos="7892"/>
              <w:tab w:val="right" w:pos="9026" w:leader="dot"/>
            </w:tabs>
            <w:rPr/>
          </w:pPr>
          <w:hyperlink w:anchor="__RefHeading___Toc1723372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723374_417432637">
            <w:r>
              <w:rPr>
                <w:webHidden/>
                <w:rStyle w:val="IndexLink"/>
                <w:rtl w:val="true"/>
              </w:rPr>
              <w:t>المراد من المرفق</w:t>
            </w:r>
            <w:r>
              <w:rPr>
                <w:rStyle w:val="IndexLink"/>
                <w:rtl w:val="true"/>
              </w:rPr>
              <w:tab/>
            </w:r>
            <w:r>
              <w:rPr>
                <w:rStyle w:val="IndexLink"/>
              </w:rPr>
              <w:t>322</w:t>
            </w:r>
          </w:hyperlink>
        </w:p>
        <w:p>
          <w:pPr>
            <w:pStyle w:val="Contents5"/>
            <w:tabs>
              <w:tab w:val="clear" w:pos="7892"/>
              <w:tab w:val="right" w:pos="9026" w:leader="dot"/>
            </w:tabs>
            <w:rPr/>
          </w:pPr>
          <w:hyperlink w:anchor="__RefHeading___Toc1723376_417432637">
            <w:r>
              <w:rPr>
                <w:webHidden/>
                <w:rStyle w:val="IndexLink"/>
                <w:rtl w:val="true"/>
              </w:rPr>
              <w:t>حکم توابع الید</w:t>
            </w:r>
            <w:r>
              <w:rPr>
                <w:rStyle w:val="IndexLink"/>
                <w:rtl w:val="true"/>
              </w:rPr>
              <w:tab/>
            </w:r>
            <w:r>
              <w:rPr>
                <w:rStyle w:val="IndexLink"/>
              </w:rPr>
              <w:t>325</w:t>
            </w:r>
          </w:hyperlink>
        </w:p>
        <w:p>
          <w:pPr>
            <w:pStyle w:val="Contents5"/>
            <w:tabs>
              <w:tab w:val="clear" w:pos="7892"/>
              <w:tab w:val="right" w:pos="9026" w:leader="dot"/>
            </w:tabs>
            <w:rPr/>
          </w:pPr>
          <w:hyperlink w:anchor="__RefHeading___Toc1723378_417432637">
            <w:r>
              <w:rPr>
                <w:webHidden/>
                <w:rStyle w:val="IndexLink"/>
                <w:rtl w:val="true"/>
              </w:rPr>
              <w:t>فی حکم الشعر علی الید و الأقطع</w:t>
            </w:r>
            <w:r>
              <w:rPr>
                <w:rStyle w:val="IndexLink"/>
                <w:rtl w:val="true"/>
              </w:rPr>
              <w:tab/>
            </w:r>
            <w:r>
              <w:rPr>
                <w:rStyle w:val="IndexLink"/>
              </w:rPr>
              <w:t>326</w:t>
            </w:r>
          </w:hyperlink>
        </w:p>
        <w:p>
          <w:pPr>
            <w:pStyle w:val="Contents5"/>
            <w:tabs>
              <w:tab w:val="clear" w:pos="7892"/>
              <w:tab w:val="right" w:pos="9026" w:leader="dot"/>
            </w:tabs>
            <w:rPr/>
          </w:pPr>
          <w:hyperlink w:anchor="__RefHeading___Toc1723380_417432637">
            <w:r>
              <w:rPr>
                <w:webHidden/>
                <w:rStyle w:val="IndexLink"/>
                <w:rtl w:val="true"/>
              </w:rPr>
              <w:t>فی حکم الید الزائدة</w:t>
            </w:r>
            <w:r>
              <w:rPr>
                <w:rStyle w:val="IndexLink"/>
                <w:rtl w:val="true"/>
              </w:rPr>
              <w:tab/>
            </w:r>
            <w:r>
              <w:rPr>
                <w:rStyle w:val="IndexLink"/>
              </w:rPr>
              <w:t>330</w:t>
            </w:r>
          </w:hyperlink>
        </w:p>
        <w:p>
          <w:pPr>
            <w:pStyle w:val="Contents5"/>
            <w:tabs>
              <w:tab w:val="clear" w:pos="7892"/>
              <w:tab w:val="right" w:pos="9026" w:leader="dot"/>
            </w:tabs>
            <w:rPr/>
          </w:pPr>
          <w:hyperlink w:anchor="__RefHeading___Toc1723382_417432637">
            <w:r>
              <w:rPr>
                <w:webHidden/>
                <w:rStyle w:val="IndexLink"/>
                <w:rtl w:val="true"/>
              </w:rPr>
              <w:t>فی الوسخ تحت الأظفار</w:t>
            </w:r>
            <w:r>
              <w:rPr>
                <w:rStyle w:val="IndexLink"/>
                <w:rtl w:val="true"/>
              </w:rPr>
              <w:tab/>
            </w:r>
            <w:r>
              <w:rPr>
                <w:rStyle w:val="IndexLink"/>
              </w:rPr>
              <w:t>334</w:t>
            </w:r>
          </w:hyperlink>
        </w:p>
        <w:p>
          <w:pPr>
            <w:pStyle w:val="Contents5"/>
            <w:tabs>
              <w:tab w:val="clear" w:pos="7892"/>
              <w:tab w:val="right" w:pos="9026" w:leader="dot"/>
            </w:tabs>
            <w:rPr/>
          </w:pPr>
          <w:hyperlink w:anchor="__RefHeading___Toc1723384_417432637">
            <w:r>
              <w:rPr>
                <w:webHidden/>
                <w:rStyle w:val="IndexLink"/>
                <w:rtl w:val="true"/>
              </w:rPr>
              <w:t>ترک غسل الکف مع الید</w:t>
            </w:r>
            <w:r>
              <w:rPr>
                <w:rStyle w:val="IndexLink"/>
                <w:rtl w:val="true"/>
              </w:rPr>
              <w:tab/>
            </w:r>
            <w:r>
              <w:rPr>
                <w:rStyle w:val="IndexLink"/>
              </w:rPr>
              <w:t>335</w:t>
            </w:r>
          </w:hyperlink>
        </w:p>
        <w:p>
          <w:pPr>
            <w:pStyle w:val="Contents5"/>
            <w:tabs>
              <w:tab w:val="clear" w:pos="7892"/>
              <w:tab w:val="right" w:pos="9026" w:leader="dot"/>
            </w:tabs>
            <w:rPr/>
          </w:pPr>
          <w:hyperlink w:anchor="__RefHeading___Toc1723386_417432637">
            <w:r>
              <w:rPr>
                <w:webHidden/>
                <w:rStyle w:val="IndexLink"/>
                <w:rtl w:val="true"/>
              </w:rPr>
              <w:t>فی اللحم المقطوع</w:t>
            </w:r>
            <w:r>
              <w:rPr>
                <w:rStyle w:val="IndexLink"/>
                <w:rtl w:val="true"/>
              </w:rPr>
              <w:tab/>
            </w:r>
            <w:r>
              <w:rPr>
                <w:rStyle w:val="IndexLink"/>
              </w:rPr>
              <w:t>335</w:t>
            </w:r>
          </w:hyperlink>
        </w:p>
        <w:p>
          <w:pPr>
            <w:pStyle w:val="Contents5"/>
            <w:tabs>
              <w:tab w:val="clear" w:pos="7892"/>
              <w:tab w:val="right" w:pos="9026" w:leader="dot"/>
            </w:tabs>
            <w:rPr/>
          </w:pPr>
          <w:hyperlink w:anchor="__RefHeading___Toc1723388_417432637">
            <w:r>
              <w:rPr>
                <w:webHidden/>
                <w:rStyle w:val="IndexLink"/>
                <w:rtl w:val="true"/>
              </w:rPr>
              <w:t>حکم الشقوق علی ظهر الکف</w:t>
            </w:r>
            <w:r>
              <w:rPr>
                <w:rStyle w:val="IndexLink"/>
                <w:rtl w:val="true"/>
              </w:rPr>
              <w:tab/>
            </w:r>
            <w:r>
              <w:rPr>
                <w:rStyle w:val="IndexLink"/>
              </w:rPr>
              <w:t>336</w:t>
            </w:r>
          </w:hyperlink>
        </w:p>
        <w:p>
          <w:pPr>
            <w:pStyle w:val="Contents5"/>
            <w:tabs>
              <w:tab w:val="clear" w:pos="7892"/>
              <w:tab w:val="right" w:pos="9026" w:leader="dot"/>
            </w:tabs>
            <w:rPr/>
          </w:pPr>
          <w:hyperlink w:anchor="__RefHeading___Toc1723390_417432637">
            <w:r>
              <w:rPr>
                <w:webHidden/>
                <w:rStyle w:val="IndexLink"/>
                <w:rtl w:val="true"/>
              </w:rPr>
              <w:t>ما ینجمد علی الجرح</w:t>
            </w:r>
            <w:r>
              <w:rPr>
                <w:rStyle w:val="IndexLink"/>
                <w:rtl w:val="true"/>
              </w:rPr>
              <w:tab/>
            </w:r>
            <w:r>
              <w:rPr>
                <w:rStyle w:val="IndexLink"/>
              </w:rPr>
              <w:t>339</w:t>
            </w:r>
          </w:hyperlink>
        </w:p>
        <w:p>
          <w:pPr>
            <w:pStyle w:val="Contents5"/>
            <w:tabs>
              <w:tab w:val="clear" w:pos="7892"/>
              <w:tab w:val="right" w:pos="9026" w:leader="dot"/>
            </w:tabs>
            <w:rPr/>
          </w:pPr>
          <w:hyperlink w:anchor="__RefHeading___Toc1723392_417432637">
            <w:r>
              <w:rPr>
                <w:webHidden/>
                <w:rStyle w:val="IndexLink"/>
                <w:rtl w:val="true"/>
              </w:rPr>
              <w:t>حکم الوسخ علی البشرة</w:t>
            </w:r>
            <w:r>
              <w:rPr>
                <w:rStyle w:val="IndexLink"/>
                <w:rtl w:val="true"/>
              </w:rPr>
              <w:tab/>
            </w:r>
            <w:r>
              <w:rPr>
                <w:rStyle w:val="IndexLink"/>
              </w:rPr>
              <w:t>340</w:t>
            </w:r>
          </w:hyperlink>
        </w:p>
        <w:p>
          <w:pPr>
            <w:pStyle w:val="Contents5"/>
            <w:tabs>
              <w:tab w:val="clear" w:pos="7892"/>
              <w:tab w:val="right" w:pos="9026" w:leader="dot"/>
            </w:tabs>
            <w:rPr/>
          </w:pPr>
          <w:hyperlink w:anchor="__RefHeading___Toc1723394_417432637">
            <w:r>
              <w:rPr>
                <w:webHidden/>
                <w:rStyle w:val="IndexLink"/>
                <w:rtl w:val="true"/>
              </w:rPr>
              <w:t>وضوء الوسواسی</w:t>
            </w:r>
            <w:r>
              <w:rPr>
                <w:rStyle w:val="IndexLink"/>
                <w:rtl w:val="true"/>
              </w:rPr>
              <w:tab/>
            </w:r>
            <w:r>
              <w:rPr>
                <w:rStyle w:val="IndexLink"/>
              </w:rPr>
              <w:t>340</w:t>
            </w:r>
          </w:hyperlink>
        </w:p>
        <w:p>
          <w:pPr>
            <w:pStyle w:val="Contents5"/>
            <w:tabs>
              <w:tab w:val="clear" w:pos="7892"/>
              <w:tab w:val="right" w:pos="9026" w:leader="dot"/>
            </w:tabs>
            <w:rPr/>
          </w:pPr>
          <w:hyperlink w:anchor="__RefHeading___Toc1723396_417432637">
            <w:r>
              <w:rPr>
                <w:webHidden/>
                <w:rStyle w:val="IndexLink"/>
                <w:rtl w:val="true"/>
              </w:rPr>
              <w:t>الوضوء الارتماسی</w:t>
            </w:r>
            <w:r>
              <w:rPr>
                <w:rStyle w:val="IndexLink"/>
                <w:rtl w:val="true"/>
              </w:rPr>
              <w:tab/>
            </w:r>
            <w:r>
              <w:rPr>
                <w:rStyle w:val="IndexLink"/>
              </w:rPr>
              <w:t>342</w:t>
            </w:r>
          </w:hyperlink>
        </w:p>
        <w:p>
          <w:pPr>
            <w:pStyle w:val="Contents5"/>
            <w:tabs>
              <w:tab w:val="clear" w:pos="7892"/>
              <w:tab w:val="right" w:pos="9026" w:leader="dot"/>
            </w:tabs>
            <w:rPr/>
          </w:pPr>
          <w:hyperlink w:anchor="__RefHeading___Toc1723398_417432637">
            <w:r>
              <w:rPr>
                <w:webHidden/>
                <w:rStyle w:val="IndexLink"/>
                <w:rtl w:val="true"/>
              </w:rPr>
              <w:t>الوضوء بماء المطر</w:t>
            </w:r>
            <w:r>
              <w:rPr>
                <w:rStyle w:val="IndexLink"/>
                <w:rtl w:val="true"/>
              </w:rPr>
              <w:tab/>
            </w:r>
            <w:r>
              <w:rPr>
                <w:rStyle w:val="IndexLink"/>
              </w:rPr>
              <w:t>345</w:t>
            </w:r>
          </w:hyperlink>
        </w:p>
        <w:p>
          <w:pPr>
            <w:pStyle w:val="Contents5"/>
            <w:tabs>
              <w:tab w:val="clear" w:pos="7892"/>
              <w:tab w:val="right" w:pos="9026" w:leader="dot"/>
            </w:tabs>
            <w:rPr/>
          </w:pPr>
          <w:hyperlink w:anchor="__RefHeading___Toc1723400_417432637">
            <w:r>
              <w:rPr>
                <w:webHidden/>
                <w:rStyle w:val="IndexLink"/>
                <w:rtl w:val="true"/>
              </w:rPr>
              <w:t>حکم ما شکّ فی کونه من الظاهر</w:t>
            </w:r>
            <w:r>
              <w:rPr>
                <w:rStyle w:val="IndexLink"/>
                <w:rtl w:val="true"/>
              </w:rPr>
              <w:tab/>
            </w:r>
            <w:r>
              <w:rPr>
                <w:rStyle w:val="IndexLink"/>
              </w:rPr>
              <w:t>346</w:t>
            </w:r>
          </w:hyperlink>
        </w:p>
        <w:p>
          <w:pPr>
            <w:pStyle w:val="Contents4"/>
            <w:tabs>
              <w:tab w:val="clear" w:pos="8176"/>
              <w:tab w:val="right" w:pos="9026" w:leader="dot"/>
            </w:tabs>
            <w:rPr/>
          </w:pPr>
          <w:hyperlink w:anchor="__RefHeading___Toc1723402_417432637">
            <w:r>
              <w:rPr>
                <w:webHidden/>
                <w:rStyle w:val="IndexLink"/>
                <w:rtl w:val="true"/>
              </w:rPr>
              <w:t>الثالث</w:t>
            </w:r>
            <w:r>
              <w:rPr>
                <w:rStyle w:val="IndexLink"/>
                <w:rtl w:val="true"/>
              </w:rPr>
              <w:t>:</w:t>
            </w:r>
            <w:r>
              <w:rPr>
                <w:rStyle w:val="IndexLink"/>
                <w:rtl w:val="true"/>
              </w:rPr>
              <w:t>مسح الرأس</w:t>
            </w:r>
            <w:r>
              <w:rPr>
                <w:rStyle w:val="IndexLink"/>
                <w:rtl w:val="true"/>
              </w:rPr>
              <w:tab/>
            </w:r>
            <w:r>
              <w:rPr>
                <w:rStyle w:val="IndexLink"/>
              </w:rPr>
              <w:t>348</w:t>
            </w:r>
          </w:hyperlink>
        </w:p>
        <w:p>
          <w:pPr>
            <w:pStyle w:val="Contents5"/>
            <w:tabs>
              <w:tab w:val="clear" w:pos="7892"/>
              <w:tab w:val="right" w:pos="9026" w:leader="dot"/>
            </w:tabs>
            <w:rPr/>
          </w:pPr>
          <w:hyperlink w:anchor="__RefHeading___Toc1723404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1723406_417432637">
            <w:r>
              <w:rPr>
                <w:webHidden/>
                <w:rStyle w:val="IndexLink"/>
                <w:rtl w:val="true"/>
              </w:rPr>
              <w:t>اعتبار المسح ببلّة الوضوء</w:t>
            </w:r>
            <w:r>
              <w:rPr>
                <w:rStyle w:val="IndexLink"/>
                <w:rtl w:val="true"/>
              </w:rPr>
              <w:tab/>
            </w:r>
            <w:r>
              <w:rPr>
                <w:rStyle w:val="IndexLink"/>
              </w:rPr>
              <w:t>348</w:t>
            </w:r>
          </w:hyperlink>
        </w:p>
        <w:p>
          <w:pPr>
            <w:pStyle w:val="Contents5"/>
            <w:tabs>
              <w:tab w:val="clear" w:pos="7892"/>
              <w:tab w:val="right" w:pos="9026" w:leader="dot"/>
            </w:tabs>
            <w:rPr/>
          </w:pPr>
          <w:hyperlink w:anchor="__RefHeading___Toc1723408_417432637">
            <w:r>
              <w:rPr>
                <w:webHidden/>
                <w:rStyle w:val="IndexLink"/>
                <w:rtl w:val="true"/>
              </w:rPr>
              <w:t>المسح علی الربع المقدّم من الرأس</w:t>
            </w:r>
            <w:r>
              <w:rPr>
                <w:rStyle w:val="IndexLink"/>
                <w:rtl w:val="true"/>
              </w:rPr>
              <w:tab/>
            </w:r>
            <w:r>
              <w:rPr>
                <w:rStyle w:val="IndexLink"/>
              </w:rPr>
              <w:t>353</w:t>
            </w:r>
          </w:hyperlink>
        </w:p>
        <w:p>
          <w:pPr>
            <w:pStyle w:val="Contents5"/>
            <w:tabs>
              <w:tab w:val="clear" w:pos="7892"/>
              <w:tab w:val="right" w:pos="9026" w:leader="dot"/>
            </w:tabs>
            <w:rPr/>
          </w:pPr>
          <w:hyperlink w:anchor="__RefHeading___Toc1723410_417432637">
            <w:r>
              <w:rPr>
                <w:webHidden/>
                <w:rStyle w:val="IndexLink"/>
                <w:rtl w:val="true"/>
              </w:rPr>
              <w:t>کفایة مسمّی المسح فی الرأس</w:t>
            </w:r>
            <w:r>
              <w:rPr>
                <w:rStyle w:val="IndexLink"/>
                <w:rtl w:val="true"/>
              </w:rPr>
              <w:tab/>
            </w:r>
            <w:r>
              <w:rPr>
                <w:rStyle w:val="IndexLink"/>
              </w:rPr>
              <w:t>356</w:t>
            </w:r>
          </w:hyperlink>
        </w:p>
        <w:p>
          <w:pPr>
            <w:pStyle w:val="Contents5"/>
            <w:tabs>
              <w:tab w:val="clear" w:pos="7892"/>
              <w:tab w:val="right" w:pos="9026" w:leader="dot"/>
            </w:tabs>
            <w:rPr/>
          </w:pPr>
          <w:hyperlink w:anchor="__RefHeading___Toc1723412_417432637">
            <w:r>
              <w:rPr>
                <w:webHidden/>
                <w:rStyle w:val="IndexLink"/>
                <w:rtl w:val="true"/>
              </w:rPr>
              <w:t>النکس فی المسح علی الرأس</w:t>
            </w:r>
            <w:r>
              <w:rPr>
                <w:rStyle w:val="IndexLink"/>
                <w:rtl w:val="true"/>
              </w:rPr>
              <w:tab/>
            </w:r>
            <w:r>
              <w:rPr>
                <w:rStyle w:val="IndexLink"/>
              </w:rPr>
              <w:t>362</w:t>
            </w:r>
          </w:hyperlink>
        </w:p>
        <w:p>
          <w:pPr>
            <w:pStyle w:val="Contents5"/>
            <w:tabs>
              <w:tab w:val="clear" w:pos="7892"/>
              <w:tab w:val="right" w:pos="9026" w:leader="dot"/>
            </w:tabs>
            <w:rPr/>
          </w:pPr>
          <w:hyperlink w:anchor="__RefHeading___Toc1723414_417432637">
            <w:r>
              <w:rPr>
                <w:webHidden/>
                <w:rStyle w:val="IndexLink"/>
                <w:rtl w:val="true"/>
              </w:rPr>
              <w:t>المسح علی شعر مقدّم الرأس</w:t>
            </w:r>
            <w:r>
              <w:rPr>
                <w:rStyle w:val="IndexLink"/>
                <w:rtl w:val="true"/>
              </w:rPr>
              <w:tab/>
            </w:r>
            <w:r>
              <w:rPr>
                <w:rStyle w:val="IndexLink"/>
              </w:rPr>
              <w:t>364</w:t>
            </w:r>
          </w:hyperlink>
        </w:p>
        <w:p>
          <w:pPr>
            <w:pStyle w:val="Contents5"/>
            <w:tabs>
              <w:tab w:val="clear" w:pos="7892"/>
              <w:tab w:val="right" w:pos="9026" w:leader="dot"/>
            </w:tabs>
            <w:rPr/>
          </w:pPr>
          <w:hyperlink w:anchor="__RefHeading___Toc1723416_417432637">
            <w:r>
              <w:rPr>
                <w:webHidden/>
                <w:rStyle w:val="IndexLink"/>
                <w:rtl w:val="true"/>
              </w:rPr>
              <w:t>المسح علی الشعر المتجاوز عن المقدار</w:t>
            </w:r>
            <w:r>
              <w:rPr>
                <w:rStyle w:val="IndexLink"/>
                <w:rtl w:val="true"/>
              </w:rPr>
              <w:tab/>
            </w:r>
            <w:r>
              <w:rPr>
                <w:rStyle w:val="IndexLink"/>
              </w:rPr>
              <w:t>366</w:t>
            </w:r>
          </w:hyperlink>
        </w:p>
        <w:p>
          <w:pPr>
            <w:pStyle w:val="Contents5"/>
            <w:tabs>
              <w:tab w:val="clear" w:pos="7892"/>
              <w:tab w:val="right" w:pos="9026" w:leader="dot"/>
            </w:tabs>
            <w:rPr/>
          </w:pPr>
          <w:hyperlink w:anchor="__RefHeading___Toc1723418_417432637">
            <w:r>
              <w:rPr>
                <w:webHidden/>
                <w:rStyle w:val="IndexLink"/>
                <w:rtl w:val="true"/>
              </w:rPr>
              <w:t>المسح علی المانع عند الاضطرار</w:t>
            </w:r>
            <w:r>
              <w:rPr>
                <w:rStyle w:val="IndexLink"/>
                <w:rtl w:val="true"/>
              </w:rPr>
              <w:tab/>
            </w:r>
            <w:r>
              <w:rPr>
                <w:rStyle w:val="IndexLink"/>
              </w:rPr>
              <w:t>368</w:t>
            </w:r>
          </w:hyperlink>
        </w:p>
        <w:p>
          <w:pPr>
            <w:pStyle w:val="Contents5"/>
            <w:tabs>
              <w:tab w:val="clear" w:pos="7892"/>
              <w:tab w:val="right" w:pos="9026" w:leader="dot"/>
            </w:tabs>
            <w:rPr/>
          </w:pPr>
          <w:hyperlink w:anchor="__RefHeading___Toc1723420_417432637">
            <w:r>
              <w:rPr>
                <w:webHidden/>
                <w:rStyle w:val="IndexLink"/>
                <w:rtl w:val="true"/>
              </w:rPr>
              <w:t>اعتبار المسح بباطن الکف</w:t>
            </w:r>
            <w:r>
              <w:rPr>
                <w:rStyle w:val="IndexLink"/>
                <w:rtl w:val="true"/>
              </w:rPr>
              <w:tab/>
            </w:r>
            <w:r>
              <w:rPr>
                <w:rStyle w:val="IndexLink"/>
              </w:rPr>
              <w:t>368</w:t>
            </w:r>
          </w:hyperlink>
        </w:p>
        <w:p>
          <w:pPr>
            <w:pStyle w:val="Contents5"/>
            <w:tabs>
              <w:tab w:val="clear" w:pos="7892"/>
              <w:tab w:val="right" w:pos="9026" w:leader="dot"/>
            </w:tabs>
            <w:rPr/>
          </w:pPr>
          <w:hyperlink w:anchor="__RefHeading___Toc1723422_417432637">
            <w:r>
              <w:rPr>
                <w:webHidden/>
                <w:rStyle w:val="IndexLink"/>
                <w:rtl w:val="true"/>
              </w:rPr>
              <w:t>جواز المسح طولاً أو عرضاً</w:t>
            </w:r>
            <w:r>
              <w:rPr>
                <w:rStyle w:val="IndexLink"/>
                <w:rtl w:val="true"/>
              </w:rPr>
              <w:tab/>
            </w:r>
            <w:r>
              <w:rPr>
                <w:rStyle w:val="IndexLink"/>
              </w:rPr>
              <w:t>372</w:t>
            </w:r>
          </w:hyperlink>
        </w:p>
        <w:p>
          <w:pPr>
            <w:pStyle w:val="Contents4"/>
            <w:tabs>
              <w:tab w:val="clear" w:pos="8176"/>
              <w:tab w:val="right" w:pos="9026" w:leader="dot"/>
            </w:tabs>
            <w:rPr/>
          </w:pPr>
          <w:hyperlink w:anchor="__RefHeading___Toc1723424_417432637">
            <w:r>
              <w:rPr>
                <w:webHidden/>
                <w:rStyle w:val="IndexLink"/>
                <w:rtl w:val="true"/>
              </w:rPr>
              <w:t>الرابع</w:t>
            </w:r>
            <w:r>
              <w:rPr>
                <w:rStyle w:val="IndexLink"/>
                <w:rtl w:val="true"/>
              </w:rPr>
              <w:t>:</w:t>
            </w:r>
            <w:r>
              <w:rPr>
                <w:rStyle w:val="IndexLink"/>
                <w:rtl w:val="true"/>
              </w:rPr>
              <w:t>مسح الرجلین من رءوس الأصابع إلی الکعبین</w:t>
            </w:r>
            <w:r>
              <w:rPr>
                <w:rStyle w:val="IndexLink"/>
                <w:rtl w:val="true"/>
              </w:rPr>
              <w:tab/>
            </w:r>
            <w:r>
              <w:rPr>
                <w:rStyle w:val="IndexLink"/>
              </w:rPr>
              <w:t>372</w:t>
            </w:r>
          </w:hyperlink>
        </w:p>
        <w:p>
          <w:pPr>
            <w:pStyle w:val="Contents5"/>
            <w:tabs>
              <w:tab w:val="clear" w:pos="7892"/>
              <w:tab w:val="right" w:pos="9026" w:leader="dot"/>
            </w:tabs>
            <w:rPr/>
          </w:pPr>
          <w:hyperlink w:anchor="__RefHeading___Toc1723426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723428_417432637">
            <w:r>
              <w:rPr>
                <w:webHidden/>
                <w:rStyle w:val="IndexLink"/>
                <w:rtl w:val="true"/>
              </w:rPr>
              <w:t>المراد من الکعبین</w:t>
            </w:r>
            <w:r>
              <w:rPr>
                <w:rStyle w:val="IndexLink"/>
                <w:rtl w:val="true"/>
              </w:rPr>
              <w:tab/>
            </w:r>
            <w:r>
              <w:rPr>
                <w:rStyle w:val="IndexLink"/>
              </w:rPr>
              <w:t>379</w:t>
            </w:r>
          </w:hyperlink>
        </w:p>
        <w:p>
          <w:pPr>
            <w:pStyle w:val="Contents5"/>
            <w:tabs>
              <w:tab w:val="clear" w:pos="7892"/>
              <w:tab w:val="right" w:pos="9026" w:leader="dot"/>
            </w:tabs>
            <w:rPr/>
          </w:pPr>
          <w:hyperlink w:anchor="__RefHeading___Toc1723430_417432637">
            <w:r>
              <w:rPr>
                <w:webHidden/>
                <w:rStyle w:val="IndexLink"/>
                <w:rtl w:val="true"/>
              </w:rPr>
              <w:t>کفایة مسمّی المسح عرضاً</w:t>
            </w:r>
            <w:r>
              <w:rPr>
                <w:rStyle w:val="IndexLink"/>
                <w:rtl w:val="true"/>
              </w:rPr>
              <w:tab/>
            </w:r>
            <w:r>
              <w:rPr>
                <w:rStyle w:val="IndexLink"/>
              </w:rPr>
              <w:t>384</w:t>
            </w:r>
          </w:hyperlink>
        </w:p>
        <w:p>
          <w:pPr>
            <w:pStyle w:val="Contents5"/>
            <w:tabs>
              <w:tab w:val="clear" w:pos="7892"/>
              <w:tab w:val="right" w:pos="9026" w:leader="dot"/>
            </w:tabs>
            <w:rPr/>
          </w:pPr>
          <w:hyperlink w:anchor="__RefHeading___Toc1723432_417432637">
            <w:r>
              <w:rPr>
                <w:webHidden/>
                <w:rStyle w:val="IndexLink"/>
                <w:rtl w:val="true"/>
              </w:rPr>
              <w:t>عدم اعتبار الاستیعاب فی مسح الرجلین</w:t>
            </w:r>
            <w:r>
              <w:rPr>
                <w:rStyle w:val="IndexLink"/>
                <w:rtl w:val="true"/>
              </w:rPr>
              <w:tab/>
            </w:r>
            <w:r>
              <w:rPr>
                <w:rStyle w:val="IndexLink"/>
              </w:rPr>
              <w:t>385</w:t>
            </w:r>
          </w:hyperlink>
        </w:p>
        <w:p>
          <w:pPr>
            <w:pStyle w:val="Contents5"/>
            <w:tabs>
              <w:tab w:val="clear" w:pos="7892"/>
              <w:tab w:val="right" w:pos="9026" w:leader="dot"/>
            </w:tabs>
            <w:rPr/>
          </w:pPr>
          <w:hyperlink w:anchor="__RefHeading___Toc1723434_417432637">
            <w:r>
              <w:rPr>
                <w:webHidden/>
                <w:rStyle w:val="IndexLink"/>
                <w:rtl w:val="true"/>
              </w:rPr>
              <w:t>الأحوط الابتداء فی المسح بالأصابع</w:t>
            </w:r>
            <w:r>
              <w:rPr>
                <w:rStyle w:val="IndexLink"/>
                <w:rtl w:val="true"/>
              </w:rPr>
              <w:tab/>
            </w:r>
            <w:r>
              <w:rPr>
                <w:rStyle w:val="IndexLink"/>
              </w:rPr>
              <w:t>389</w:t>
            </w:r>
          </w:hyperlink>
        </w:p>
        <w:p>
          <w:pPr>
            <w:pStyle w:val="Contents5"/>
            <w:tabs>
              <w:tab w:val="clear" w:pos="7892"/>
              <w:tab w:val="right" w:pos="9026" w:leader="dot"/>
            </w:tabs>
            <w:rPr/>
          </w:pPr>
          <w:hyperlink w:anchor="__RefHeading___Toc1723436_417432637">
            <w:r>
              <w:rPr>
                <w:webHidden/>
                <w:rStyle w:val="IndexLink"/>
                <w:rtl w:val="true"/>
              </w:rPr>
              <w:t>عدم اعتبار الترتیب بین مسح الرجلین</w:t>
            </w:r>
            <w:r>
              <w:rPr>
                <w:rStyle w:val="IndexLink"/>
                <w:rtl w:val="true"/>
              </w:rPr>
              <w:tab/>
            </w:r>
            <w:r>
              <w:rPr>
                <w:rStyle w:val="IndexLink"/>
              </w:rPr>
              <w:t>390</w:t>
            </w:r>
          </w:hyperlink>
        </w:p>
        <w:p>
          <w:pPr>
            <w:pStyle w:val="Contents5"/>
            <w:tabs>
              <w:tab w:val="clear" w:pos="7892"/>
              <w:tab w:val="right" w:pos="9026" w:leader="dot"/>
            </w:tabs>
            <w:rPr/>
          </w:pPr>
          <w:hyperlink w:anchor="__RefHeading___Toc1723438_417432637">
            <w:r>
              <w:rPr>
                <w:webHidden/>
                <w:rStyle w:val="IndexLink"/>
                <w:rtl w:val="true"/>
              </w:rPr>
              <w:t>مسح الیمنی بالیمنی و الیسری بالیسری</w:t>
            </w:r>
            <w:r>
              <w:rPr>
                <w:rStyle w:val="IndexLink"/>
                <w:rtl w:val="true"/>
              </w:rPr>
              <w:tab/>
            </w:r>
            <w:r>
              <w:rPr>
                <w:rStyle w:val="IndexLink"/>
              </w:rPr>
              <w:t>393</w:t>
            </w:r>
          </w:hyperlink>
        </w:p>
        <w:p>
          <w:pPr>
            <w:pStyle w:val="Contents5"/>
            <w:tabs>
              <w:tab w:val="clear" w:pos="7892"/>
              <w:tab w:val="right" w:pos="9026" w:leader="dot"/>
            </w:tabs>
            <w:rPr/>
          </w:pPr>
          <w:hyperlink w:anchor="__RefHeading___Toc1723440_417432637">
            <w:r>
              <w:rPr>
                <w:webHidden/>
                <w:rStyle w:val="IndexLink"/>
                <w:rtl w:val="true"/>
              </w:rPr>
              <w:t>إذا کان شعر علی القدمین</w:t>
            </w:r>
            <w:r>
              <w:rPr>
                <w:rStyle w:val="IndexLink"/>
                <w:rtl w:val="true"/>
              </w:rPr>
              <w:tab/>
            </w:r>
            <w:r>
              <w:rPr>
                <w:rStyle w:val="IndexLink"/>
              </w:rPr>
              <w:t>395</w:t>
            </w:r>
          </w:hyperlink>
        </w:p>
        <w:p>
          <w:pPr>
            <w:pStyle w:val="Contents5"/>
            <w:tabs>
              <w:tab w:val="clear" w:pos="7892"/>
              <w:tab w:val="right" w:pos="9026" w:leader="dot"/>
            </w:tabs>
            <w:rPr/>
          </w:pPr>
          <w:hyperlink w:anchor="__RefHeading___Toc1723442_417432637">
            <w:r>
              <w:rPr>
                <w:webHidden/>
                <w:rStyle w:val="IndexLink"/>
                <w:rtl w:val="true"/>
              </w:rPr>
              <w:t>تجب إزالة المانع</w:t>
            </w:r>
            <w:r>
              <w:rPr>
                <w:rStyle w:val="IndexLink"/>
                <w:rtl w:val="true"/>
              </w:rPr>
              <w:tab/>
            </w:r>
            <w:r>
              <w:rPr>
                <w:rStyle w:val="IndexLink"/>
              </w:rPr>
              <w:t>396</w:t>
            </w:r>
          </w:hyperlink>
        </w:p>
        <w:p>
          <w:pPr>
            <w:pStyle w:val="Contents5"/>
            <w:tabs>
              <w:tab w:val="clear" w:pos="7892"/>
              <w:tab w:val="right" w:pos="9026" w:leader="dot"/>
            </w:tabs>
            <w:rPr/>
          </w:pPr>
          <w:hyperlink w:anchor="__RefHeading___Toc1723444_417432637">
            <w:r>
              <w:rPr>
                <w:webHidden/>
                <w:rStyle w:val="IndexLink"/>
                <w:rtl w:val="true"/>
              </w:rPr>
              <w:t>من قطع بعض قدمه</w:t>
            </w:r>
            <w:r>
              <w:rPr>
                <w:rStyle w:val="IndexLink"/>
                <w:rtl w:val="true"/>
              </w:rPr>
              <w:tab/>
            </w:r>
            <w:r>
              <w:rPr>
                <w:rStyle w:val="IndexLink"/>
              </w:rPr>
              <w:t>397</w:t>
            </w:r>
          </w:hyperlink>
        </w:p>
        <w:p>
          <w:pPr>
            <w:pStyle w:val="Contents5"/>
            <w:tabs>
              <w:tab w:val="clear" w:pos="7892"/>
              <w:tab w:val="right" w:pos="9026" w:leader="dot"/>
            </w:tabs>
            <w:rPr/>
          </w:pPr>
          <w:hyperlink w:anchor="__RefHeading___Toc1723446_417432637">
            <w:r>
              <w:rPr>
                <w:webHidden/>
                <w:rStyle w:val="IndexLink"/>
                <w:rtl w:val="true"/>
              </w:rPr>
              <w:t>المسح بنداوة الوضوء</w:t>
            </w:r>
            <w:r>
              <w:rPr>
                <w:rStyle w:val="IndexLink"/>
                <w:rtl w:val="true"/>
              </w:rPr>
              <w:tab/>
            </w:r>
            <w:r>
              <w:rPr>
                <w:rStyle w:val="IndexLink"/>
              </w:rPr>
              <w:t>399</w:t>
            </w:r>
          </w:hyperlink>
        </w:p>
        <w:p>
          <w:pPr>
            <w:pStyle w:val="Contents5"/>
            <w:tabs>
              <w:tab w:val="clear" w:pos="7892"/>
              <w:tab w:val="right" w:pos="9026" w:leader="dot"/>
            </w:tabs>
            <w:rPr/>
          </w:pPr>
          <w:hyperlink w:anchor="__RefHeading___Toc1723448_417432637">
            <w:r>
              <w:rPr>
                <w:webHidden/>
                <w:rStyle w:val="IndexLink"/>
                <w:rtl w:val="true"/>
              </w:rPr>
              <w:t>لو جفّت الرطوبة أخذ من سائر الأعضاء</w:t>
            </w:r>
            <w:r>
              <w:rPr>
                <w:rStyle w:val="IndexLink"/>
                <w:rtl w:val="true"/>
              </w:rPr>
              <w:tab/>
            </w:r>
            <w:r>
              <w:rPr>
                <w:rStyle w:val="IndexLink"/>
              </w:rPr>
              <w:t>403</w:t>
            </w:r>
          </w:hyperlink>
        </w:p>
        <w:p>
          <w:pPr>
            <w:pStyle w:val="Contents5"/>
            <w:tabs>
              <w:tab w:val="clear" w:pos="7892"/>
              <w:tab w:val="right" w:pos="9026" w:leader="dot"/>
            </w:tabs>
            <w:rPr/>
          </w:pPr>
          <w:hyperlink w:anchor="__RefHeading___Toc1723450_417432637">
            <w:r>
              <w:rPr>
                <w:webHidden/>
                <w:rStyle w:val="IndexLink"/>
                <w:rtl w:val="true"/>
              </w:rPr>
              <w:t>الأحوط عدم الأخذ من مسترسل اللحیة</w:t>
            </w:r>
            <w:r>
              <w:rPr>
                <w:rStyle w:val="IndexLink"/>
                <w:rtl w:val="true"/>
              </w:rPr>
              <w:tab/>
            </w:r>
            <w:r>
              <w:rPr>
                <w:rStyle w:val="IndexLink"/>
              </w:rPr>
              <w:t>405</w:t>
            </w:r>
          </w:hyperlink>
        </w:p>
        <w:p>
          <w:pPr>
            <w:pStyle w:val="Contents5"/>
            <w:tabs>
              <w:tab w:val="clear" w:pos="7892"/>
              <w:tab w:val="right" w:pos="9026" w:leader="dot"/>
            </w:tabs>
            <w:rPr/>
          </w:pPr>
          <w:hyperlink w:anchor="__RefHeading___Toc1723452_417432637">
            <w:r>
              <w:rPr>
                <w:webHidden/>
                <w:rStyle w:val="IndexLink"/>
                <w:rtl w:val="true"/>
              </w:rPr>
              <w:t>اعتبار تأثّر الممسوح برطوبة الماسح</w:t>
            </w:r>
            <w:r>
              <w:rPr>
                <w:rStyle w:val="IndexLink"/>
                <w:rtl w:val="true"/>
              </w:rPr>
              <w:tab/>
            </w:r>
            <w:r>
              <w:rPr>
                <w:rStyle w:val="IndexLink"/>
              </w:rPr>
              <w:t>406</w:t>
            </w:r>
          </w:hyperlink>
        </w:p>
        <w:p>
          <w:pPr>
            <w:pStyle w:val="Contents5"/>
            <w:tabs>
              <w:tab w:val="clear" w:pos="7892"/>
              <w:tab w:val="right" w:pos="9026" w:leader="dot"/>
            </w:tabs>
            <w:rPr/>
          </w:pPr>
          <w:hyperlink w:anchor="__RefHeading___Toc1723454_417432637">
            <w:r>
              <w:rPr>
                <w:webHidden/>
                <w:rStyle w:val="IndexLink"/>
                <w:rtl w:val="true"/>
              </w:rPr>
              <w:t>وجوب إزالة المانع من وصول الرطوبة</w:t>
            </w:r>
            <w:r>
              <w:rPr>
                <w:rStyle w:val="IndexLink"/>
                <w:rtl w:val="true"/>
              </w:rPr>
              <w:tab/>
            </w:r>
            <w:r>
              <w:rPr>
                <w:rStyle w:val="IndexLink"/>
              </w:rPr>
              <w:t>407</w:t>
            </w:r>
          </w:hyperlink>
        </w:p>
        <w:p>
          <w:pPr>
            <w:pStyle w:val="Contents5"/>
            <w:tabs>
              <w:tab w:val="clear" w:pos="7892"/>
              <w:tab w:val="right" w:pos="9026" w:leader="dot"/>
            </w:tabs>
            <w:rPr/>
          </w:pPr>
          <w:hyperlink w:anchor="__RefHeading___Toc1723456_417432637">
            <w:r>
              <w:rPr>
                <w:webHidden/>
                <w:rStyle w:val="IndexLink"/>
                <w:rtl w:val="true"/>
              </w:rPr>
              <w:t>إذا تعذر المسح بالباطن یجزی المسح بالظاهر</w:t>
            </w:r>
            <w:r>
              <w:rPr>
                <w:rStyle w:val="IndexLink"/>
                <w:rtl w:val="true"/>
              </w:rPr>
              <w:tab/>
            </w:r>
            <w:r>
              <w:rPr>
                <w:rStyle w:val="IndexLink"/>
              </w:rPr>
              <w:t>407</w:t>
            </w:r>
          </w:hyperlink>
        </w:p>
        <w:p>
          <w:pPr>
            <w:pStyle w:val="Contents5"/>
            <w:tabs>
              <w:tab w:val="clear" w:pos="7892"/>
              <w:tab w:val="right" w:pos="9026" w:leader="dot"/>
            </w:tabs>
            <w:rPr/>
          </w:pPr>
          <w:hyperlink w:anchor="__RefHeading___Toc1723458_417432637">
            <w:r>
              <w:rPr>
                <w:webHidden/>
                <w:rStyle w:val="IndexLink"/>
                <w:rtl w:val="true"/>
              </w:rPr>
              <w:t>إذا کانت رطوبة الماسح کثیرة</w:t>
            </w:r>
            <w:r>
              <w:rPr>
                <w:rStyle w:val="IndexLink"/>
                <w:rtl w:val="true"/>
              </w:rPr>
              <w:tab/>
            </w:r>
            <w:r>
              <w:rPr>
                <w:rStyle w:val="IndexLink"/>
              </w:rPr>
              <w:t>410</w:t>
            </w:r>
          </w:hyperlink>
        </w:p>
        <w:p>
          <w:pPr>
            <w:pStyle w:val="Contents5"/>
            <w:tabs>
              <w:tab w:val="clear" w:pos="7892"/>
              <w:tab w:val="right" w:pos="9026" w:leader="dot"/>
            </w:tabs>
            <w:rPr/>
          </w:pPr>
          <w:hyperlink w:anchor="__RefHeading___Toc1723460_417432637">
            <w:r>
              <w:rPr>
                <w:webHidden/>
                <w:rStyle w:val="IndexLink"/>
                <w:rtl w:val="true"/>
              </w:rPr>
              <w:t>اعتبار إمرار الماسح علی الممسوح</w:t>
            </w:r>
            <w:r>
              <w:rPr>
                <w:rStyle w:val="IndexLink"/>
                <w:rtl w:val="true"/>
              </w:rPr>
              <w:tab/>
            </w:r>
            <w:r>
              <w:rPr>
                <w:rStyle w:val="IndexLink"/>
              </w:rPr>
              <w:t>411</w:t>
            </w:r>
          </w:hyperlink>
        </w:p>
        <w:p>
          <w:pPr>
            <w:pStyle w:val="Contents5"/>
            <w:tabs>
              <w:tab w:val="clear" w:pos="7892"/>
              <w:tab w:val="right" w:pos="9026" w:leader="dot"/>
            </w:tabs>
            <w:rPr/>
          </w:pPr>
          <w:hyperlink w:anchor="__RefHeading___Toc1723462_417432637">
            <w:r>
              <w:rPr>
                <w:webHidden/>
                <w:rStyle w:val="IndexLink"/>
                <w:rtl w:val="true"/>
              </w:rPr>
              <w:t>إذا لم یمکن حفظ الرطوبة لحرّ و غیره</w:t>
            </w:r>
            <w:r>
              <w:rPr>
                <w:rStyle w:val="IndexLink"/>
                <w:rtl w:val="true"/>
              </w:rPr>
              <w:tab/>
            </w:r>
            <w:r>
              <w:rPr>
                <w:rStyle w:val="IndexLink"/>
              </w:rPr>
              <w:t>412</w:t>
            </w:r>
          </w:hyperlink>
        </w:p>
        <w:p>
          <w:pPr>
            <w:pStyle w:val="Contents5"/>
            <w:tabs>
              <w:tab w:val="clear" w:pos="7892"/>
              <w:tab w:val="right" w:pos="9026" w:leader="dot"/>
            </w:tabs>
            <w:rPr/>
          </w:pPr>
          <w:hyperlink w:anchor="__RefHeading___Toc1723464_417432637">
            <w:r>
              <w:rPr>
                <w:webHidden/>
                <w:rStyle w:val="IndexLink"/>
                <w:rtl w:val="true"/>
              </w:rPr>
              <w:t>المسح علی الحائل</w:t>
            </w:r>
            <w:r>
              <w:rPr>
                <w:rStyle w:val="IndexLink"/>
                <w:rtl w:val="true"/>
              </w:rPr>
              <w:tab/>
            </w:r>
            <w:r>
              <w:rPr>
                <w:rStyle w:val="IndexLink"/>
              </w:rPr>
              <w:t>416</w:t>
            </w:r>
          </w:hyperlink>
        </w:p>
        <w:p>
          <w:pPr>
            <w:pStyle w:val="Contents5"/>
            <w:tabs>
              <w:tab w:val="clear" w:pos="7892"/>
              <w:tab w:val="right" w:pos="9026" w:leader="dot"/>
            </w:tabs>
            <w:rPr/>
          </w:pPr>
          <w:hyperlink w:anchor="__RefHeading___Toc1723466_417432637">
            <w:r>
              <w:rPr>
                <w:webHidden/>
                <w:rStyle w:val="IndexLink"/>
                <w:rtl w:val="true"/>
              </w:rPr>
              <w:t>فی الحائل المتعدد</w:t>
            </w:r>
            <w:r>
              <w:rPr>
                <w:rStyle w:val="IndexLink"/>
                <w:rtl w:val="true"/>
              </w:rPr>
              <w:tab/>
            </w:r>
            <w:r>
              <w:rPr>
                <w:rStyle w:val="IndexLink"/>
              </w:rPr>
              <w:t>419</w:t>
            </w:r>
          </w:hyperlink>
        </w:p>
        <w:p>
          <w:pPr>
            <w:pStyle w:val="Contents5"/>
            <w:tabs>
              <w:tab w:val="clear" w:pos="7892"/>
              <w:tab w:val="right" w:pos="9026" w:leader="dot"/>
            </w:tabs>
            <w:rPr/>
          </w:pPr>
          <w:hyperlink w:anchor="__RefHeading___Toc1723468_417432637">
            <w:r>
              <w:rPr>
                <w:webHidden/>
                <w:rStyle w:val="IndexLink"/>
                <w:rtl w:val="true"/>
              </w:rPr>
              <w:t>اعتبار الرطوبة المؤثرة فی الماسح</w:t>
            </w:r>
            <w:r>
              <w:rPr>
                <w:rStyle w:val="IndexLink"/>
                <w:rtl w:val="true"/>
              </w:rPr>
              <w:tab/>
            </w:r>
            <w:r>
              <w:rPr>
                <w:rStyle w:val="IndexLink"/>
              </w:rPr>
              <w:t>420</w:t>
            </w:r>
          </w:hyperlink>
        </w:p>
        <w:p>
          <w:pPr>
            <w:pStyle w:val="Contents5"/>
            <w:tabs>
              <w:tab w:val="clear" w:pos="7892"/>
              <w:tab w:val="right" w:pos="9026" w:leader="dot"/>
            </w:tabs>
            <w:rPr/>
          </w:pPr>
          <w:hyperlink w:anchor="__RefHeading___Toc1723470_417432637">
            <w:r>
              <w:rPr>
                <w:webHidden/>
                <w:rStyle w:val="IndexLink"/>
                <w:rtl w:val="true"/>
              </w:rPr>
              <w:t>مسوغات المسح علی الحائل و فروعها</w:t>
            </w:r>
            <w:r>
              <w:rPr>
                <w:rStyle w:val="IndexLink"/>
                <w:rtl w:val="true"/>
              </w:rPr>
              <w:tab/>
            </w:r>
            <w:r>
              <w:rPr>
                <w:rStyle w:val="IndexLink"/>
              </w:rPr>
              <w:t>420</w:t>
            </w:r>
          </w:hyperlink>
        </w:p>
        <w:p>
          <w:pPr>
            <w:pStyle w:val="Contents5"/>
            <w:tabs>
              <w:tab w:val="clear" w:pos="7892"/>
              <w:tab w:val="right" w:pos="9026" w:leader="dot"/>
            </w:tabs>
            <w:rPr/>
          </w:pPr>
          <w:hyperlink w:anchor="__RefHeading___Toc1723472_417432637">
            <w:r>
              <w:rPr>
                <w:webHidden/>
                <w:rStyle w:val="IndexLink"/>
                <w:rtl w:val="true"/>
              </w:rPr>
              <w:t>فی مشروعیة التقیة و وجوبها</w:t>
            </w:r>
            <w:r>
              <w:rPr>
                <w:rStyle w:val="IndexLink"/>
                <w:rtl w:val="true"/>
              </w:rPr>
              <w:tab/>
            </w:r>
            <w:r>
              <w:rPr>
                <w:rStyle w:val="IndexLink"/>
              </w:rPr>
              <w:t>432</w:t>
            </w:r>
          </w:hyperlink>
        </w:p>
        <w:p>
          <w:pPr>
            <w:pStyle w:val="Contents5"/>
            <w:tabs>
              <w:tab w:val="clear" w:pos="7892"/>
              <w:tab w:val="right" w:pos="9026" w:leader="dot"/>
            </w:tabs>
            <w:rPr/>
          </w:pPr>
          <w:hyperlink w:anchor="__RefHeading___Toc1723474_417432637">
            <w:r>
              <w:rPr>
                <w:webHidden/>
                <w:rStyle w:val="IndexLink"/>
                <w:rtl w:val="true"/>
              </w:rPr>
              <w:t>موارد الاستثناء من وجوب التقیة و مشروعیتها</w:t>
            </w:r>
            <w:r>
              <w:rPr>
                <w:rStyle w:val="IndexLink"/>
                <w:rtl w:val="true"/>
              </w:rPr>
              <w:tab/>
            </w:r>
            <w:r>
              <w:rPr>
                <w:rStyle w:val="IndexLink"/>
              </w:rPr>
              <w:t>437</w:t>
            </w:r>
          </w:hyperlink>
        </w:p>
        <w:p>
          <w:pPr>
            <w:pStyle w:val="Contents5"/>
            <w:tabs>
              <w:tab w:val="clear" w:pos="7892"/>
              <w:tab w:val="right" w:pos="9026" w:leader="dot"/>
            </w:tabs>
            <w:rPr/>
          </w:pPr>
          <w:hyperlink w:anchor="__RefHeading___Toc1723476_417432637">
            <w:r>
              <w:rPr>
                <w:webHidden/>
                <w:rStyle w:val="IndexLink"/>
                <w:rtl w:val="true"/>
              </w:rPr>
              <w:t>فی إجزاء ما أُتی به بنحو التقیّة</w:t>
            </w:r>
            <w:r>
              <w:rPr>
                <w:rStyle w:val="IndexLink"/>
                <w:rtl w:val="true"/>
              </w:rPr>
              <w:tab/>
            </w:r>
            <w:r>
              <w:rPr>
                <w:rStyle w:val="IndexLink"/>
              </w:rPr>
              <w:t>447</w:t>
            </w:r>
          </w:hyperlink>
        </w:p>
        <w:p>
          <w:pPr>
            <w:pStyle w:val="Contents5"/>
            <w:tabs>
              <w:tab w:val="clear" w:pos="7892"/>
              <w:tab w:val="right" w:pos="9026" w:leader="dot"/>
            </w:tabs>
            <w:rPr/>
          </w:pPr>
          <w:hyperlink w:anchor="__RefHeading___Toc1723478_417432637">
            <w:r>
              <w:rPr>
                <w:webHidden/>
                <w:rStyle w:val="IndexLink"/>
                <w:rtl w:val="true"/>
              </w:rPr>
              <w:t>استظهار الإجزاء عند الإخلال بالجزء أو غیره فی موارد التقیة</w:t>
            </w:r>
            <w:r>
              <w:rPr>
                <w:rStyle w:val="IndexLink"/>
                <w:rtl w:val="true"/>
              </w:rPr>
              <w:tab/>
            </w:r>
            <w:r>
              <w:rPr>
                <w:rStyle w:val="IndexLink"/>
              </w:rPr>
              <w:t>455</w:t>
            </w:r>
          </w:hyperlink>
        </w:p>
        <w:p>
          <w:pPr>
            <w:pStyle w:val="Contents5"/>
            <w:tabs>
              <w:tab w:val="clear" w:pos="7892"/>
              <w:tab w:val="right" w:pos="9026" w:leader="dot"/>
            </w:tabs>
            <w:rPr/>
          </w:pPr>
          <w:hyperlink w:anchor="__RefHeading___Toc1723480_417432637">
            <w:r>
              <w:rPr>
                <w:webHidden/>
                <w:rStyle w:val="IndexLink"/>
                <w:rtl w:val="true"/>
              </w:rPr>
              <w:t>فی ما یستدل به علی الإجزاء فی موارد التقیّة</w:t>
            </w:r>
            <w:r>
              <w:rPr>
                <w:rStyle w:val="IndexLink"/>
                <w:rtl w:val="true"/>
              </w:rPr>
              <w:tab/>
            </w:r>
            <w:r>
              <w:rPr>
                <w:rStyle w:val="IndexLink"/>
              </w:rPr>
              <w:t>459</w:t>
            </w:r>
          </w:hyperlink>
        </w:p>
        <w:p>
          <w:pPr>
            <w:pStyle w:val="Contents5"/>
            <w:tabs>
              <w:tab w:val="clear" w:pos="7892"/>
              <w:tab w:val="right" w:pos="9026" w:leader="dot"/>
            </w:tabs>
            <w:rPr/>
          </w:pPr>
          <w:hyperlink w:anchor="__RefHeading___Toc1723482_417432637">
            <w:r>
              <w:rPr>
                <w:webHidden/>
                <w:rStyle w:val="IndexLink"/>
                <w:rtl w:val="true"/>
              </w:rPr>
              <w:t>فروع فی غسل الأعضاء</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61_112289"/>
      <w:bookmarkStart w:id="1" w:name="pg12061_112289"/>
      <w:bookmarkEnd w:id="1"/>
    </w:p>
    <w:p>
      <w:pPr>
        <w:pStyle w:val="Heading2"/>
        <w:numPr>
          <w:ilvl w:val="1"/>
          <w:numId w:val="1"/>
        </w:numPr>
        <w:rPr/>
      </w:pPr>
      <w:bookmarkStart w:id="2" w:name="pg12061_112289"/>
      <w:bookmarkStart w:id="3" w:name="__RefHeading___Toc1723106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محمد‌کاظم‌بن‌عبدالعظیم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والتقلیدو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3108_417432637"/>
      <w:bookmarkStart w:id="6" w:name="_Toc2"/>
      <w:bookmarkEnd w:id="5"/>
      <w:r>
        <w:rPr>
          <w:rtl w:val="true"/>
        </w:rPr>
        <w:t>اشارة</w:t>
      </w:r>
      <w:bookmarkStart w:id="7" w:name="pg12061_112295"/>
      <w:bookmarkEnd w:id="6"/>
    </w:p>
    <w:p>
      <w:pPr>
        <w:pStyle w:val="Heading2"/>
        <w:numPr>
          <w:ilvl w:val="1"/>
          <w:numId w:val="1"/>
        </w:numPr>
        <w:rPr/>
      </w:pPr>
      <w:bookmarkStart w:id="8" w:name="__RefHeading___Toc1723110_417432637"/>
      <w:bookmarkStart w:id="9" w:name="_Toc3"/>
      <w:bookmarkEnd w:id="7"/>
      <w:bookmarkEnd w:id="8"/>
      <w:r>
        <w:rPr>
          <w:rtl w:val="true"/>
        </w:rPr>
        <w:t>ادامة کتاب الطهارة</w:t>
      </w:r>
      <w:bookmarkEnd w:id="9"/>
    </w:p>
    <w:p>
      <w:pPr>
        <w:pStyle w:val="Heading3"/>
        <w:numPr>
          <w:ilvl w:val="2"/>
          <w:numId w:val="1"/>
        </w:numPr>
        <w:rPr/>
      </w:pPr>
      <w:bookmarkStart w:id="10" w:name="__RefHeading___Toc1723112_417432637"/>
      <w:bookmarkStart w:id="11" w:name="_Toc4"/>
      <w:bookmarkEnd w:id="10"/>
      <w:r>
        <w:rPr>
          <w:rtl w:val="true"/>
        </w:rPr>
        <w:t>فصل فی أحکام التخلّی</w:t>
      </w:r>
      <w:bookmarkEnd w:id="11"/>
    </w:p>
    <w:p>
      <w:pPr>
        <w:pStyle w:val="Heading4"/>
        <w:numPr>
          <w:ilvl w:val="3"/>
          <w:numId w:val="1"/>
        </w:numPr>
        <w:rPr/>
      </w:pPr>
      <w:bookmarkStart w:id="12" w:name="__RefHeading___Toc1723114_417432637"/>
      <w:bookmarkStart w:id="13" w:name="_Toc5"/>
      <w:bookmarkEnd w:id="12"/>
      <w:r>
        <w:rPr>
          <w:rtl w:val="true"/>
        </w:rPr>
        <w:t>اشارة</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حال التخلی،بل فی سائر الأحوال ستر العورة عن الناظر المحترم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 حال التخلی،بل فی سائر الأحوال ستر العورة عن الناظر المحترم، سواء کان من المحارم 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أحکام التخلّی</w:t>
      </w:r>
    </w:p>
    <w:p>
      <w:pPr>
        <w:pStyle w:val="Heading4"/>
        <w:numPr>
          <w:ilvl w:val="3"/>
          <w:numId w:val="1"/>
        </w:numPr>
        <w:rPr/>
      </w:pPr>
      <w:bookmarkStart w:id="14" w:name="__RefHeading___Toc1723116_417432637"/>
      <w:bookmarkStart w:id="15" w:name="_Toc6"/>
      <w:bookmarkEnd w:id="14"/>
      <w:r>
        <w:rPr>
          <w:rtl w:val="true"/>
        </w:rPr>
        <w:t>وجوب ستر العورة و حرمة النظر إلیها</w:t>
      </w:r>
      <w:bookmarkEnd w:id="15"/>
    </w:p>
    <w:p>
      <w:pPr>
        <w:pStyle w:val="BookText"/>
        <w:rPr/>
      </w:pPr>
      <w:r>
        <w:rPr>
          <w:rFonts w:ascii="IRNazanin" w:hAnsi="IRNazanin" w:eastAsia="IRNazanin"/>
          <w:color w:val="111111"/>
          <w:sz w:val="28"/>
          <w:sz w:val="28"/>
          <w:szCs w:val="28"/>
          <w:rtl w:val="true"/>
          <w:lang w:bidi="fa-IR"/>
        </w:rPr>
        <w:t>وجوب ستر العورة و التحفّظ علیها بأن ینظر إلیها مما اتّفق علیه علماء الإسلام،بل ذکر أنّ وجوب سترها من ضرورة الدین فی الجملة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یشهد لوجوب الستر و التحفّظ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 ذٰلِکَ أَزْکیٰ لَهُمْ</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بتقریب أنّ الأمر بحفظ الفرج یعمّ حفظه عن کلّ ما یناسبه من الاستمتاعات به، و من الاستمتاعات به الاستمتاع بالنظر إلیه و لمسه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ذلک فلا حاجة فی استفادة وجوب التحفّظ علی الفرج و ستره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فی تفسیرها من مرسلة الصدوق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الصادق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 ذٰلِکَ أَزْکیٰ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کان فی کتاب اللّٰه 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حتّی یناقش فی الروایة بأنّها مرسلة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لا یخفی أنّ مع الغمض عن المرسلة یشکل استظهار وجوب ستر العورة و التحفّظ علیها من أن ینظر إلیه من الآیة المبارکة فإنّ ظاهر الأمر علی المکلّف بحفظ فرجه ترکه الاستمتاع به بمثل الوطی؛ و لذا ذکر فی سورة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لِفُرُوجِهِمْ حٰافِظُونَ إِلاّٰ عَلیٰ أَزْوٰاجِهِمْ</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کما أنّ ظاهر الأمر بالغضّ من البصر ترک النظر الاستمتاعی الجنسی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غایة الأمر إثبات وجوب ستر العورة حتّی عن المماثل بالآیة فی الجملة، کما إذا کان الشخص بحیث یمکن استمتاع مماثله بعورته و لو بالنظر إلیه بدعوی أن تخصیص وجوب حفظ الفرج بالوطء المحرم و نحوه و إن کان هو المتیقن من الأمر علی الإنسان بحفظ فرجه، إلّا أنّه بلا موجب،بل ظاهر الآیة یعم حفظه من استمتاع الغیر به و لو بالنظر إلیه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الشخص بحیث یستمتع بعورته بالنظر أو بغیره فوجوب سترها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الآیة غیر ظاهر حتی بملاحظة قوله سبحانه فی ذیلها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أَزْکیٰ لَهُمْ</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حیث إنّ التعبیر باسم التفضیل یوحی بأنّ الأمر بحفظ الفرج لا یراد منه الزنا و نحوه فإنّ التعبیر باسم التفضیل عن ترک الزنا و نحوه لا یناسب التعبیر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بإطلاق وجوب الستر بملاحظة ما ورد فی تفسیر القمی عن أبیه، عن ابن أبی عمیر،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آیة فی القرآن فی ذکر الفروج فهی من الزنا إلّا هذه الآیة فإنّها من النظر فلا یحلّ لرجل مؤمن أن ینظر إلی فرج أخیه و لا یحلّ للمرأة أن تنظر إلی فرج اختها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و یستفاد منها أنّ وجوب الستر یلازم حرمة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لوجوب الستر و حرمة النظر إلی عورة الغیر روایة حنّان بن سدیر عن أبیه و لا یبعد اعتبارها سنداً؛ لما ورد فی حقّ سدیر ما یظهر منه علو شأنه،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أبی و جدی و عمّی حمّاماً بالمدینة، فإذا رجل فی بیت المسلخ، فقال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القوم؟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من الاُزر؟ فإنّ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عورة المؤمن علی المؤمن حرام الحدیث </w:t>
      </w:r>
      <w:r>
        <w:rPr>
          <w:rStyle w:val="FootnoteAnchor"/>
          <w:rtl w:val="true"/>
        </w:rPr>
        <w:footnoteReference w:id="7"/>
      </w:r>
      <w:r>
        <w:rPr>
          <w:rFonts w:ascii="IRNazanin" w:hAnsi="IRNazanin" w:eastAsia="IRNazanin"/>
          <w:color w:val="111111"/>
          <w:sz w:val="28"/>
          <w:sz w:val="28"/>
          <w:szCs w:val="28"/>
          <w:rtl w:val="true"/>
          <w:lang w:bidi="fa-IR"/>
        </w:rPr>
        <w:t>فإنّ ظاهرها وجوب ستر العورة عن الناظر و حرمة نظر الغیر إلیها، و أنّ مقتضی حرمة النظر إلی عورة الغیر وجوب ستر الإنسان عورته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رفاعة بن موسی،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یؤمن باللّٰه و الیوم الآخر فلا یدخل الحمام إلّا بمئزر </w:t>
      </w:r>
      <w:r>
        <w:rPr>
          <w:rStyle w:val="FootnoteAnchor"/>
          <w:rtl w:val="true"/>
        </w:rPr>
        <w:footnoteReference w:id="8"/>
      </w:r>
      <w:r>
        <w:rPr>
          <w:rFonts w:ascii="IRNazanin" w:hAnsi="IRNazanin" w:eastAsia="IRNazanin"/>
          <w:color w:val="111111"/>
          <w:sz w:val="28"/>
          <w:sz w:val="28"/>
          <w:szCs w:val="28"/>
          <w:rtl w:val="true"/>
          <w:lang w:bidi="fa-IR"/>
        </w:rPr>
        <w:t>فإنّه فی قوّة القول بأنه علی المسلم ستر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عورته، فإنّ اختصاص الحمّام بالذکر لکون دخوله معرض التعرّی و وجود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عبید اللّٰه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یغتسل بغیر إزار حیث لا یراه أحد؟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فإنّ فرض عدم الناظر من السائل باعتبار أنّ عدم الجواز مع الناظر کان معلوماً له، إلی غیر ذلک من الروایات الظاهرة و إن لا یبعد سندها عن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عورة المؤمن علی المؤمن حرام؟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 أعنی سفلیه،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حیث تذهب إنما هو إذاعة سرّه </w:t>
      </w:r>
      <w:r>
        <w:rPr>
          <w:rStyle w:val="FootnoteAnchor"/>
          <w:rtl w:val="true"/>
        </w:rPr>
        <w:footnoteReference w:id="10"/>
      </w:r>
      <w:r>
        <w:rPr>
          <w:rFonts w:ascii="IRNazanin" w:hAnsi="IRNazanin" w:eastAsia="IRNazanin"/>
          <w:color w:val="111111"/>
          <w:sz w:val="28"/>
          <w:sz w:val="28"/>
          <w:szCs w:val="28"/>
          <w:rtl w:val="true"/>
          <w:lang w:bidi="fa-IR"/>
        </w:rPr>
        <w:t xml:space="preserve">، و قریب منها روایتی زید الشحام، </w:t>
      </w:r>
      <w:r>
        <w:rPr>
          <w:rStyle w:val="FootnoteAnchor"/>
          <w:rtl w:val="true"/>
        </w:rPr>
        <w:footnoteReference w:id="11"/>
      </w:r>
      <w:r>
        <w:rPr>
          <w:rFonts w:ascii="IRNazanin" w:hAnsi="IRNazanin" w:eastAsia="IRNazanin"/>
          <w:color w:val="111111"/>
          <w:sz w:val="28"/>
          <w:sz w:val="28"/>
          <w:szCs w:val="28"/>
          <w:rtl w:val="true"/>
          <w:lang w:bidi="fa-IR"/>
        </w:rPr>
        <w:t xml:space="preserve">و حذیفة بن منصور </w:t>
      </w:r>
      <w:r>
        <w:rPr>
          <w:rStyle w:val="FootnoteAnchor"/>
          <w:rtl w:val="true"/>
        </w:rPr>
        <w:footnoteReference w:id="12"/>
      </w:r>
      <w:r>
        <w:rPr>
          <w:rFonts w:ascii="IRNazanin" w:hAnsi="IRNazanin" w:eastAsia="IRNazanin"/>
          <w:color w:val="111111"/>
          <w:sz w:val="28"/>
          <w:sz w:val="28"/>
          <w:szCs w:val="28"/>
          <w:rtl w:val="true"/>
          <w:lang w:bidi="fa-IR"/>
        </w:rPr>
        <w:t>، و ظاهرهما عدم البأس بالنظر إلی عورة المؤمن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أ یتجرّد الرجل عند صبّ الماء تری عورته أو یصب علیه الماء، أو یری هو عورة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یکره ذلک من کلّ أحد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فإنّ ظاهرها کراهة کلّ من التعرّی و کشف العورة و النظر إلیها، و قد نقل الهمدانی قدس سره عن بعض متأخری المتأخرین أنّه لو لا الإجماع لأمکن القول بکراهة النظر دون التحریم </w:t>
      </w:r>
      <w:r>
        <w:rPr>
          <w:rStyle w:val="FootnoteAnchor"/>
          <w:rtl w:val="true"/>
        </w:rPr>
        <w:footnoteReference w:id="14"/>
      </w:r>
      <w:r>
        <w:rPr>
          <w:rFonts w:ascii="IRNazanin" w:hAnsi="IRNazanin" w:eastAsia="IRNazanin"/>
          <w:color w:val="111111"/>
          <w:sz w:val="28"/>
          <w:sz w:val="28"/>
          <w:szCs w:val="28"/>
          <w:rtl w:val="true"/>
          <w:lang w:bidi="fa-IR"/>
        </w:rPr>
        <w:t>، و لازم ذلک التزامه أیضاً بکراهة التعری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 کان أو امرأة حتّی عن المجنون و الطفل الممیّز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التعبیر بالکراهة لا ینافی التحریم فإنّ الکراهة لغة یعمّها، و أمّا الکراهة الاصطلاحیة فهذا اصطلاح حادث من الفقهاء، و ما تقدّم من تفسیر حرمة عورة المؤمن علی إذاعة سرّه، و علیه فلا ینافی أیضاً ما تقدّم فی روایة حنّان بن سدیر عن أبیه </w:t>
      </w:r>
      <w:r>
        <w:rPr>
          <w:rStyle w:val="FootnoteAnchor"/>
          <w:rtl w:val="true"/>
        </w:rPr>
        <w:footnoteReference w:id="15"/>
      </w:r>
      <w:r>
        <w:rPr>
          <w:rFonts w:ascii="IRNazanin" w:hAnsi="IRNazanin" w:eastAsia="IRNazanin"/>
          <w:color w:val="111111"/>
          <w:sz w:val="28"/>
          <w:sz w:val="28"/>
          <w:szCs w:val="28"/>
          <w:rtl w:val="true"/>
          <w:lang w:bidi="fa-IR"/>
        </w:rPr>
        <w:t>، فإنّ مقتضی الجمع بینهما بحسب المتفاهم العرفی عدم اختصاص حرمة عورة المؤمن بحسب الإرادة من الکلام المزبور بالعورة من جسده،بل یعمّ العورة من أفعاله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وجوب الستر و حرمة النظر بین المحارم و غیرهم لإطلاق ما تقدّم،بل مورد بعض الروایات کروایة حنان بن سدیر عن أبیه </w:t>
      </w:r>
      <w:r>
        <w:rPr>
          <w:rStyle w:val="FootnoteAnchor"/>
          <w:rtl w:val="true"/>
        </w:rPr>
        <w:footnoteReference w:id="16"/>
      </w:r>
      <w:r>
        <w:rPr>
          <w:rFonts w:ascii="IRNazanin" w:hAnsi="IRNazanin" w:eastAsia="IRNazanin"/>
          <w:color w:val="111111"/>
          <w:sz w:val="28"/>
          <w:sz w:val="28"/>
          <w:szCs w:val="28"/>
          <w:rtl w:val="true"/>
          <w:lang w:bidi="fa-IR"/>
        </w:rPr>
        <w:t>کان المحارم کما لا یخفی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ممّا دل علی وجوب ستر العورة و إن لا یعمّ بعضها وجوب سترها عن الطفل و المجنون کقوله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فإنّ نظرهما إلی عورته لا یکون محرّماً علیهما لتقتضی وجوب سترها علیه، و کذا الآیة المبارکة </w:t>
      </w:r>
      <w:r>
        <w:rPr>
          <w:rStyle w:val="FootnoteAnchor"/>
          <w:rtl w:val="true"/>
        </w:rPr>
        <w:footnoteReference w:id="18"/>
      </w:r>
      <w:r>
        <w:rPr>
          <w:rFonts w:ascii="IRNazanin" w:hAnsi="IRNazanin" w:eastAsia="IRNazanin"/>
          <w:color w:val="111111"/>
          <w:sz w:val="28"/>
          <w:sz w:val="28"/>
          <w:szCs w:val="28"/>
          <w:rtl w:val="true"/>
          <w:lang w:bidi="fa-IR"/>
        </w:rPr>
        <w:t xml:space="preserve">لما تقدم من أنّ غایة مدلولها وجوب حفظ الفرج عن النظرة الاستمتاعیّة للغیر إلّا أنّه یمکن استفادة الإطلاق من الأمر بدخول الحمام بالمئزر کصحیحة رفاعة </w:t>
      </w:r>
      <w:r>
        <w:rPr>
          <w:rStyle w:val="FootnoteAnchor"/>
          <w:rtl w:val="true"/>
        </w:rPr>
        <w:footnoteReference w:id="19"/>
      </w:r>
      <w:r>
        <w:rPr>
          <w:rFonts w:ascii="IRNazanin" w:hAnsi="IRNazanin" w:eastAsia="IRNazanin"/>
          <w:color w:val="111111"/>
          <w:sz w:val="28"/>
          <w:sz w:val="28"/>
          <w:szCs w:val="28"/>
          <w:rtl w:val="true"/>
          <w:lang w:bidi="fa-IR"/>
        </w:rPr>
        <w:t>، فإنّها تعمّ ما إذا لم یکن فی الحمّام غیر الطفل الممیّز أو المجنون فإنّ الانصراف فیها</w:t>
      </w:r>
    </w:p>
    <w:p>
      <w:pPr>
        <w:pStyle w:val="BookText"/>
        <w:rPr/>
      </w:pPr>
      <w:r>
        <w:rPr>
          <w:rFonts w:ascii="IRNazanin" w:hAnsi="IRNazanin" w:eastAsia="IRNazanin"/>
          <w:color w:val="111111"/>
          <w:sz w:val="28"/>
          <w:sz w:val="28"/>
          <w:szCs w:val="28"/>
          <w:rtl w:val="true"/>
          <w:lang w:bidi="fa-IR"/>
        </w:rPr>
        <w:t>کما أنّه یحرم علی الناظر أیضاً النظر إلی عورة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مجنوناً أو طفلاً ممیّزاً و العورة فی الرجل القبل و البیضتان و الدبر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إذا لم یکن فی الحمّام حتّی الطفل الممیّز کما إذا دخل الرجل و امرأته مع طفلهما غیر الممیّز الحمّام فإنّ فی ارتکاز المتشرّعة الطفل غیر الممیّز کالحیوان لا یشعر بالعورة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ما یشهد علی عدم جواز النظر إلی عورة المؤمن بل مقتضی وجوب الستر علی الشخص عدم جواز نظر الغیر إلیها، و فی صحیحة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لا یبعد صدق عورة المؤمن علی عورة الصبی الممیّز الذی أظهر إسلامه،بل المجنون کما تقدم فی تقریر وجوب الستر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لم یکن الظاهر من عورة الرجل و فرجه و سوأته ما ذکر فلا أقل من کون ما ذکر هو المتیقن ممّا دلّ علی وجوب سترها، فإنّ ما یقتضی الطبع البشری ستره و لو من مماثله فی جمیع الأحوال ما ذکر، و قد ورد الأمر بستر العورة و الفرج و السوأة من غیر تعرّض لتحدیده، و ظاهر ترک التعرّض الإیکال إلی ما هو المرتکز عند کلّ إنسان، و یشیر إلی ذلک ما ورد فی صلاة العراة من وضع الرجل یده علی سوأته و وضع المرأة یدها علی فرجها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أبی یحیی الواسطی، عن بعض أصحابه، عن أبی الحسن الماضی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 عورتان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و الدبر، و الدبر مستور بالألیتین، فإذا سترت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القضیب و البیضتین فقد سترت العورة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الکلینی 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الدبر فقد سترته الألیتان، و أمّا القبل فاستره بیدک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مرسلة الصدوق </w:t>
      </w:r>
      <w:r>
        <w:rPr>
          <w:rStyle w:val="FootnoteAnchor"/>
          <w:rtl w:val="true"/>
        </w:rPr>
        <w:footnoteReference w:id="23"/>
      </w:r>
      <w:r>
        <w:rPr>
          <w:rFonts w:ascii="IRNazanin" w:hAnsi="IRNazanin" w:eastAsia="IRNazanin"/>
          <w:color w:val="111111"/>
          <w:sz w:val="28"/>
          <w:sz w:val="28"/>
          <w:szCs w:val="28"/>
          <w:rtl w:val="true"/>
          <w:lang w:bidi="fa-IR"/>
        </w:rPr>
        <w:t xml:space="preserve">، و کذا روایة المیثمی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الفخذ لیس من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المحکی عن المحقّق الکرکی فی حاشیة الإرشاد، الأولی إلحاق العجان بذلک فی وجوب الستر </w:t>
      </w:r>
      <w:r>
        <w:rPr>
          <w:rStyle w:val="FootnoteAnchor"/>
          <w:rtl w:val="true"/>
        </w:rPr>
        <w:footnoteReference w:id="25"/>
      </w:r>
      <w:r>
        <w:rPr>
          <w:rFonts w:ascii="IRNazanin" w:hAnsi="IRNazanin" w:eastAsia="IRNazanin"/>
          <w:color w:val="111111"/>
          <w:sz w:val="28"/>
          <w:sz w:val="28"/>
          <w:szCs w:val="28"/>
          <w:rtl w:val="true"/>
          <w:lang w:bidi="fa-IR"/>
        </w:rPr>
        <w:t xml:space="preserve">، و عن القاضی أنّ العورة من السرة إلی الرکبة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فلا نعرف له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فقد یقال باستفادة ذلک من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عن الخصال فی حدیث الأربعمائة،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تعرّی أحدکم نظر إلیه الشیطان فطمع فیه فاستتروا، لیس للرجل أن یکشف ثیابه عن فخذه و یجلس بین قوم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مع الغمض عن المناقشة فی سند حدیث الأربعمائة أنّ الوارد فیها من کلا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الحکمین استحبابی، فإنّه یدلّ علی کراهة التعرّی و لو فیما لا یراه أحد، و أنّ الجلوس بین قوم کاشفاً ثیابه عن فخذیه أمر مکروه، فإنّ هذا یتّفق فی أیام الصیف حیث یجلس الرجل فی قوم و یرفع ذیل قمیصه الطویل ذیله عن ساقیه بحیث ینکشف بعض فخذیه؛ و لذا لو لم یکن هذا عند الجلوس بین قوم کما فی حال الاشتغال بالحصاد و نحوه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خبر بشیر النبّال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الحمّام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الحمّام؟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فأمر بإسخان الحمّام ثمّ دخل فاتّزر بإزار و غطّی رکبتیه و سرّته ثمّ أمر صاحب الحمّام فطلّی ما کان خارجاً من الإزار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عنّی ثمّ طلی هو ما تحته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فافعل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مع ضعف سنده من جهات فلا دلالة له علی شیء فإنّ الفعل لا یدلّ علی لزومه شرعاً،بل غایته الاستحباب و المطلوبیة خصوصاً مع روایة عبید اللّٰه الدابقی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یدخل فیبدأ فیطلی عانته و ما یلیها ثمّ یلفّ علی طرف إحلیله و یدعونی فأطلی سائر بدنه </w:t>
      </w:r>
      <w:r>
        <w:rPr>
          <w:rStyle w:val="FootnoteAnchor"/>
          <w:rtl w:val="true"/>
        </w:rPr>
        <w:footnoteReference w:id="2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رواه عبد اللّٰه بن جعفر فی قرب الإسناد عن الحسن بن ظریف، عن الحسین بن علوان، عن جعفر، عن أبیه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أمته فلا ینظرنّ إلی عورتها، و العورة ما بین السرّة و الرکبة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یقال سند الحدیث لا بأس به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ظریف وثّقه النجاشی </w:t>
      </w:r>
      <w:r>
        <w:rPr>
          <w:rStyle w:val="FootnoteAnchor"/>
          <w:rtl w:val="true"/>
        </w:rPr>
        <w:footnoteReference w:id="31"/>
      </w:r>
      <w:r>
        <w:rPr>
          <w:rFonts w:ascii="IRNazanin" w:hAnsi="IRNazanin" w:eastAsia="IRNazanin"/>
          <w:color w:val="111111"/>
          <w:sz w:val="28"/>
          <w:sz w:val="28"/>
          <w:szCs w:val="28"/>
          <w:rtl w:val="true"/>
          <w:lang w:bidi="fa-IR"/>
        </w:rPr>
        <w:t>، و کذا الحسین بن علوان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علوان الکلبی مولاهم کوفیّ عامیّ و أخوه الحسن یکنّی أبا محمد ثقة رویا عن أبی عبد اللّه علیه السلام و لیس للحسن کتاب و الحسن أخصّ بنا و أولی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 بأنّ التوثیق یرجع إلی الحسن، و یردّ أنّ المترجم هو الحسین بن علوان فالتوثیق 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ذکر لو لا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 عن أبی عبد اللّٰه علیه السلام ، و مع الإغماض عن السند فمدلولها کون العورة فی المرأة بالإضافة إلی الرجل فی مورد جواز النظر إلیها بملک الیمین أو کونها من المحارم ما بین السرة و الرکبة فلا یستفاد منها المراد من عورة الرجل أو عورة المرأة بالإضافة إلی مماثله، و لا بعد فی الالتزام بأنّ بدن المرأة کلّه أو إلّا الوجه و الیدین عورة بالإضافة إلی الرجل الأجنبی، و ما بین سرّتها و رکبتها عورة بالإضافة إلی غیر الأجنبی، و أمّا بالإضافة إلی مماثلها فالعورة هی القبل و الدبر،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بأس فی المقام للتعرّض لأمرین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فی تفسیر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یَغْضُضْنَ مِنْ أَبْصٰارِهِنَّ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الخ أنّه لا یجب علی المرأة ستر وجهها و یدیها، و أنّ المراد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المستثنی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هو الوجه و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عدم وجوب الستر علیها جواز النظر إلی وجهها و یدیها حیث إنّه فرّع فیما تقدّم علی وجوب الستر عدم جواز النظر کما فی صحیحة أبی بصیر الواردة فی تفسیر الآیة المبارکة کما تقدّم، و کذا فی معتبرة حنان بن سدیر عن أبیه </w:t>
      </w:r>
      <w:r>
        <w:rPr>
          <w:rStyle w:val="FootnoteAnchor"/>
          <w:rtl w:val="true"/>
        </w:rPr>
        <w:footnoteReference w:id="35"/>
      </w:r>
      <w:r>
        <w:rPr>
          <w:rFonts w:ascii="IRNazanin" w:hAnsi="IRNazanin" w:eastAsia="IRNazanin"/>
          <w:color w:val="111111"/>
          <w:sz w:val="28"/>
          <w:sz w:val="28"/>
          <w:szCs w:val="28"/>
          <w:rtl w:val="true"/>
          <w:lang w:bidi="fa-IR"/>
        </w:rPr>
        <w:t>و غیرها حیث فرع وجوب الستر علی حرمة النظر فیها، و مقتضی ذلک أن لا یحرم النظر مع عدم وجوب ستر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بأنّ وجوب الستر و إن یلازم حرمة النظر إلّا أنّ عدم وجوبه لا یلازم جواز النظر؛ و لذا أمر النساء فی الآیة بغضّ بصرهنّ عن الرجال مع أنّه لا یجب علی الرجال ستر غیر عورتهم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المنهی عنه من النظر فی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 أمر الرجال بغضّ بصرهم و کذا فی ناحیة أمر النساء بغضّ بصرهنّ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النظر الاستمتاعی و الالتذاذی، و عدم وجوب الستر لا یلازم جواز هذا النظر، و لکن یلازم عدم وجوب الستر النظر غیر الالتذاذی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استفادة أنّ عدم ستر المرأة و لو مع وجوبه علیها یلازم جواز النظر إلیها من مثل صحیحة عبّاد بن صهیب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بالنظر إلی رءوس أهل تهامة و الأعراب و أهل السواد و العلوج؛ لأنهم إذا نهوا لا ینتهون،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المجنونة و المغلوبة علی عقلها لا بأس بالنظر إلی شعرها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جسدها ما لم یتعمّد ذلک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ظاهر عدم التعمّد بقرینة المورد عدم النظر إلیها التذاذاً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جعفراً و سئل عما تظهر المرأة من زینتها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الکفّین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فی صحیحة الفضیل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الذراعین من المرأة، هما من الزینة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مادون الخمار من الزینة و ما دون السوارین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ظاهرهما کظاهر غیرهما أنّه لا یجب علی المرأة ستر وجهها و یدیها،بل یجب ستر ما سواهما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الآیة المبارکة أنّه کما یجب علی المرأة ستر بدنها کذلک یجب علیها إخفاء زینتها بمعنی عدم إظهارها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ظاهر الأمر بضرب خمرهنّ علی جیوبهنّ لزوم الستر علیهنّ؛ لأنّه یعمّ ما إذا لم یکن فیما یستره الخمار زینة، و ظاهر الزینة ما یکون علی مواضع من البدن یوجب جلب النظر إلی مواضعها و یحسن إراءتها، و کذلک یظهر من الروایات أیضاً أنّ المراد</w:t>
      </w:r>
    </w:p>
    <w:p>
      <w:pPr>
        <w:pStyle w:val="BookText"/>
        <w:rPr/>
      </w:pPr>
      <w:r>
        <w:rPr>
          <w:rFonts w:ascii="IRNazanin" w:hAnsi="IRNazanin" w:eastAsia="IRNazanin"/>
          <w:color w:val="111111"/>
          <w:sz w:val="28"/>
          <w:sz w:val="28"/>
          <w:szCs w:val="28"/>
          <w:rtl w:val="true"/>
          <w:lang w:bidi="fa-IR"/>
        </w:rPr>
        <w:t>و اللازم ستر لون البشرة دون الحجم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ستره أیضا و أمّا الشبح و هو ما یتراءی عند کون الساتر رقیقاً فستره لازم و فی الحقیقة یرجع إلی ستر اللون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الآیة یعمّ ستر مواضعها و نفس الزینة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معتبرة زرارة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الزینة الظاهرة الکحل و الخاتم</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 و الوجه فی التعبیر بالمعتبرة لکون القاسم بن عروة من المعاریف الذین لم یرد فیهم قدح و نحوها روایة أبی بصیر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لا یبعد ظهور الآیة المبارکة و کذا الروایات فی أنّه کما یجب علی المرأة ستر جسدها عن الأجانب، کذلک یجب علیها ستر الزینة التی علی مواضعها من جسدها إلّا ما ینفکّ عن یدها و وجهها عادة من الخاتم و الکحل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فیمکن الالتزام بأنّه یجب علی المرأة فی بعض الثیاب التی تلبسها زینة لأعضاء من جسدها سترها عن الأجانب و إن یحصل بها ستر جسدها کلبس بعض السراویل المتعارفة فی عصرنا الحاضر التی تلبسها المتبرجات حتی یحسن مرأی جسدها و نحوها، و الکلام فی کلّ من الأمرین و إن یحتاج إلی البسط و التنقیح إلّا أنّه موکول إلی کتاب النکاح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اللازم فی ستر العورة بشرتها بأن یقع النظر إلی الحائل الساتر لا إلی لون البشرة، سواء کان لونه أصلیّاً أو عرضیّاً کلون الحناء و نحوه،بل لو کان الثوب رقیقاً بحیث یقع النظر من خلاله إلی عین العورة، و إن لم یتمیّز لونها لا یتحقّق عنوان الستر، بخلاف ما إذا لم یقع النظر إلی عین العضو،بل إلی الثوب مثلاً، و لکن یری حجم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الحرمة بین عورة المسلم و 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الحرمة بین عورة المسلم و الکافر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باعتبار عدم خشونة الثوب و رطوبته کما هو الغالب فی بعض الإزار أو غالبه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رؤیة الحجم لا ینافی کون العورة مستورة و لا صدق عدم النظر إلی العورة، و هذا هو الفرق بین الحجم و الشبح الذی یجب ستره، و تقدّم أنّه یقع فیه النظر إلی نفس عین العورة من خلل الساتر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من ظاهر عبارة الماتن قدس سره أنّ اللازم ستر لون البشرة بحیث إذا وقف وراء الزجاج الملوّن و نحوه کفی، و لکنّ الوهم لا مجال له لصدق أنّه ینظر إلی عورته و أنّه عریان،بل لو وضع النورة و نحوها بحیث تعدّ النورة عرضاً للعورة لا جسماً حائلاً عن رؤیتها یشکل الحکم بکفایته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بعض الروایات من کفایة النورة فی الستر کروایة عبید اللّٰه الرافقی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 سترة</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روایة محمد بن عمر، عن بعض من حدثه حیث ورد فیها قول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النورة قد أطبقت العورة</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ظاهره وضع النورة علی العورة بالنحو المتعارف من تطیین العورة، و مع الإغماض عن ذلک فلضعف سنده لا یمکن الاعتماد علیه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أنّه یجب علی المسلم ستر عورته عن الناظر غیر المسلم، و یشهد له وجوب حفظ الفرج بمعنی ستره عن الناظر المذکور فی الآیة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المبارکة و لو بقرینة صحیحة أبی بصیر </w:t>
      </w:r>
      <w:r>
        <w:rPr>
          <w:rStyle w:val="FootnoteAnchor"/>
          <w:rtl w:val="true"/>
        </w:rPr>
        <w:footnoteReference w:id="44"/>
      </w:r>
      <w:r>
        <w:rPr>
          <w:rFonts w:ascii="IRNazanin" w:hAnsi="IRNazanin" w:eastAsia="IRNazanin"/>
          <w:color w:val="111111"/>
          <w:sz w:val="28"/>
          <w:sz w:val="28"/>
          <w:szCs w:val="28"/>
          <w:rtl w:val="true"/>
          <w:lang w:bidi="fa-IR"/>
        </w:rPr>
        <w:t>، و لو نوقش فی ذلک بقرینة ما فی ذیلها فیکفی فی الحکم صحیحة رفاعة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یدخل الحمّام إلّا بمئزر</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فإنّ إطلاقها یعمّ ما إذا لم یکن فی الحمّام غیر الکافر کما تقدّم فی وجوب الستر عن المجنون أو الصبیّ الممیّز، مع أنّ الستر عن الکافر أنسب إظهاراً لأدب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النظر إلی عورة الکافر فقد نسب إلی المشهور عدم جوازه، و فی الوسائل عقد باباً فی جواز النظر إلی عورة البهائم و من لیس بمسلم بغیر شهوة، و أورد فی الصحیح عن ابن أبی عمیر، عن غیر واحد،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عورة من لیس بمسلم مثل نظرک إلی عورة الحمار</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مرسلة الصدوق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کره النظر إلی عورة المسلم، فأمّا النظر إلی عورة من لیس بمسلم مثل النظر إلی عورة الحمار</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تنظیر النظر إلی عورة الکافر منزلة النظر إلی عورة الحمار دلالة علی اعتبار عدم الشهوة فی النظر، أضف إلی ذلک أنّ ظاهر أدلّة المنع هو تحریم النظر إلی عورة المؤمن أو نظر المؤمن إلی عورة أخیه، و لیس فیها إطلاق؛ و لذا ذهب جماعة إلی عدم حرمة النظر إلی عورة الکافر من غیر شهوة، و یظهر ذلک من الصدوق قدس سره حیث</w:t>
      </w:r>
      <w:bookmarkStart w:id="16" w:name="pg12061_112309"/>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الناظر المحترم من عدا الطفل غیر الممیّز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الناظر المحترم من عدا الطفل غیر الممیّز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الزوج و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المرسلة فی الفقیه مع التزامه بإیراده فیه ما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الأمر بغض البصر فی الآیة المبارکة عدم الفرق بین النظر إلی عورة المسلم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الأمر بغض البصر هو النظر الاستمتاعی الجنسی فلا یدلّ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أنّه لم یذکر فی الآیة ما یجب غضّ البصر عنه، و المتیقن منه هو النظر الاستمتاعی الجنسی، نعم یستفاد من وجوب حفظ الفرج حرمة نظر الغیر إلی عورة المسلم، و هذا لا یرتبط بالمقام</w:t>
      </w:r>
      <w:r>
        <w:rPr>
          <w:rFonts w:eastAsia="IRNazanin" w:cs="IRNazanin"/>
          <w:color w:val="111111"/>
          <w:sz w:val="28"/>
          <w:szCs w:val="28"/>
          <w:rtl w:val="true"/>
          <w:lang w:bidi="fa-IR"/>
        </w:rPr>
        <w:t>.</w:t>
      </w:r>
    </w:p>
    <w:p>
      <w:pPr>
        <w:pStyle w:val="Heading4"/>
        <w:numPr>
          <w:ilvl w:val="3"/>
          <w:numId w:val="1"/>
        </w:numPr>
        <w:rPr/>
      </w:pPr>
      <w:bookmarkStart w:id="17" w:name="__RefHeading___Toc1723118_417432637"/>
      <w:bookmarkStart w:id="18" w:name="_Toc7"/>
      <w:bookmarkEnd w:id="17"/>
      <w:r>
        <w:rPr>
          <w:rtl w:val="true"/>
        </w:rPr>
        <w:t>المراد من الناظر المحترم</w:t>
      </w:r>
      <w:bookmarkEnd w:id="18"/>
    </w:p>
    <w:p>
      <w:pPr>
        <w:pStyle w:val="BookText"/>
        <w:rPr/>
      </w:pPr>
      <w:r>
        <w:rPr>
          <w:rFonts w:ascii="IRNazanin" w:hAnsi="IRNazanin" w:eastAsia="IRNazanin"/>
          <w:color w:val="111111"/>
          <w:sz w:val="28"/>
          <w:sz w:val="28"/>
          <w:szCs w:val="28"/>
          <w:rtl w:val="true"/>
          <w:lang w:bidi="fa-IR"/>
        </w:rPr>
        <w:t>قد تقدّم أنّ الطفل غیر الممیّز لا یدخل ستر العورة عنه فی ما دلّ علی حفظ الفرج و وجوب ستر العورة عن الغیر، حیث إنّ ستر العورة عن الطفل غیر الممیّز کسترها عن البهائم خارج عن منصرف الآیة و الروایات مع ثبوت السیرة القطعیّة من المتشرعة علی عدم ستر عورتهم عن الطفل غیر الممیّز کعدم سترهم عن البهائم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النظر فی کلّ من الزوج و الزوجة و کذا فی المملوکة بالإضافة إلی مالکها، و المحلّلة بالإضافة إلی المحلّل له من اللوازم العادیّة للوطء الجائز، و قد ذکر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 xml:space="preserve">» </w:t>
      </w:r>
      <w:r>
        <w:rPr>
          <w:rStyle w:val="FootnoteAnchor"/>
          <w:rtl w:val="true"/>
        </w:rPr>
        <w:footnoteReference w:id="48"/>
      </w:r>
      <w:bookmarkStart w:id="19" w:name="pg12061_112310"/>
    </w:p>
    <w:p>
      <w:pPr>
        <w:pStyle w:val="BookText"/>
        <w:rPr/>
      </w:pPr>
      <w:bookmarkEnd w:id="19"/>
      <w:r>
        <w:rPr>
          <w:rFonts w:ascii="IRNazanin" w:hAnsi="IRNazanin" w:eastAsia="IRNazanin"/>
          <w:color w:val="111111"/>
          <w:sz w:val="28"/>
          <w:sz w:val="28"/>
          <w:szCs w:val="28"/>
          <w:rtl w:val="true"/>
          <w:lang w:bidi="fa-IR"/>
        </w:rPr>
        <w:t>و المملوکة بالنسبة إلی المالک و المحلّلة بالنسبة إلی المحلّل له، فیجوز نظر کلّ من الزوجین إلی عورة الآخر، و هکذا فی المملوکة و مالکها و المحلّلة و المحلّل له، و لا یجوز نظر المالکة إلی مملوکها أو مملوکتها 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للمالک النظر إلی عورة مملوکته إذا کانت مزوّجة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للمالک النظر إلی عورة مملوکته إذا کانت مزوّجة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لم یجُز وطء الأمة لحیض المرأة أو فی مدّة استبراء الأمة لجاز النظر؛ لما دلّ علی جواز الاستمتاع بالزوجة أو بالأمة بغیر الغشیان من سائر الاستمتاعات و منها النظر إلی عورتها بمجرد تمام الشراء، و فی معتبرة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اشتری أمة، هل یصیب منها دون الغشیان و لم یستبرئها؟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استوجبها و صارت من ماله، و إن ماتت کانت من ماله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عدم جواز النظر إلی عورة مملوکتها مقتضی صحیحة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تنظر المرأة إلی عورة أُختها </w:t>
      </w:r>
      <w:r>
        <w:rPr>
          <w:rStyle w:val="FootnoteAnchor"/>
          <w:rtl w:val="true"/>
        </w:rPr>
        <w:footnoteReference w:id="50"/>
      </w:r>
      <w:r>
        <w:rPr>
          <w:rFonts w:ascii="IRNazanin" w:hAnsi="IRNazanin" w:eastAsia="IRNazanin"/>
          <w:color w:val="111111"/>
          <w:sz w:val="28"/>
          <w:sz w:val="28"/>
          <w:szCs w:val="28"/>
          <w:rtl w:val="true"/>
          <w:lang w:bidi="fa-IR"/>
        </w:rPr>
        <w:t>، کما أنّ نظرها إلی بدن عبدها أو عورة عبدها کنظرها إلی جسد الأجنبی و عورته من الحُرّ فی دخوله فیما دلّ علی ستر العورة و حرمة النظر إلی عورة المؤمن</w:t>
      </w:r>
      <w:r>
        <w:rPr>
          <w:rFonts w:eastAsia="IRNazanin" w:cs="IRNazanin"/>
          <w:color w:val="111111"/>
          <w:sz w:val="28"/>
          <w:szCs w:val="28"/>
          <w:rtl w:val="true"/>
          <w:lang w:bidi="fa-IR"/>
        </w:rPr>
        <w:t>.</w:t>
      </w:r>
    </w:p>
    <w:p>
      <w:pPr>
        <w:pStyle w:val="Heading4"/>
        <w:numPr>
          <w:ilvl w:val="3"/>
          <w:numId w:val="1"/>
        </w:numPr>
        <w:rPr/>
      </w:pPr>
      <w:bookmarkStart w:id="20" w:name="__RefHeading___Toc1723120_417432637"/>
      <w:bookmarkStart w:id="21" w:name="_Toc8"/>
      <w:bookmarkEnd w:id="20"/>
      <w:r>
        <w:rPr>
          <w:rtl w:val="true"/>
        </w:rPr>
        <w:t>فروع ستر العورة و حرمة النظر إلیها</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کانت أمة الرجل مزوّجة فلا ینبغی التأمل فی عدم جواز النظر إلی عورتها،بل ادّعی علیه الإجماع، و فی موثّقة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یزوج جاریته، أ ینبغی أن تری عورته؟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أنا أتّقی</w:t>
      </w:r>
    </w:p>
    <w:p>
      <w:pPr>
        <w:pStyle w:val="BookText"/>
        <w:rPr/>
      </w:pPr>
      <w:r>
        <w:rPr>
          <w:rFonts w:ascii="IRNazanin" w:hAnsi="IRNazanin" w:eastAsia="IRNazanin"/>
          <w:color w:val="111111"/>
          <w:sz w:val="28"/>
          <w:sz w:val="28"/>
          <w:szCs w:val="28"/>
          <w:rtl w:val="true"/>
          <w:lang w:bidi="fa-IR"/>
        </w:rPr>
        <w:t>أو محلّلة أو فی العدّة، و کذا إذا کانت مشترکة بین مالکین لا یجوز لواحد منهما النظر إلی عورتها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من مملوکتی إذا زوّجتها</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قد تقدّمت روایة الحسین بن علوان، عن جعفر،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زوّج الرجل أمته فلا ینظرنّ إلی عورتها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کانت المملوکة محلّلة للغیر أو معتدّة فلا یبعد إلحاقهما بالمزوّجة فی عدم جواز نظر مولاها إلی عورتها، و لا نظرها إلی عورة المولی، و یساعده إطلاق بعض ما ورد فی الأمر بحفظ الفرج و عدم جواز النظر إلی عورة الغیر، و أمّا استفادة ذلک من تحریم الوطء فقد تقدّم أنّ حرمة الوطء لا یلازم حرمة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النهی عن دخول الحمّام بغیر مئزر الشامل لما إذا کان فی الحمّام مملوکته المزوّجة أو المحلّلة أو المعتدّة، و کذا مقتضی ما دلّ علی لزوم ستر العورة و حرمة النظر إلی عورة الغیر ثبوت الحکم فی کلّ مورد لم یقم علی عدم وجوب الستر و جواز النظر دلیل کما فی المحللة و المعتدة، نعم قد تقدّم ما یدلّ علی جواز النظر إلی عورة المملوکة مدّة استبرائها، و کذا لا یجوز النظر إلی مملوکته فیما إذا کان له فیها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 یحرم من الإماء عشر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یجمع بین الأُم و البنت، و لا بین الاُختین، و لا أمتک و هی حامل من غیرک حتّی تضع، و لا أمتک و لها زوج، و لا أمتک و هی عمّتک من الرضاعة، و لا أمتک و هی خالتک من الرضاعة، و لا أمتک و هی أُختک من الرضاعة، و لا أمتک و هی ابنة أخیک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ستر الفخذین و لا الألیتین و لا الشعر النابت أطراف العورة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ستر الفخذین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الألیتین و لا الشعر النابت أطراف العورة، نعم یستحبّ ستر ما بین السرّة إلی الرکبة،بل إلی نصف 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أفراد الساتر فیجوز بکلّ ما یستر و لو بیده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ید زوجته أو مملوکته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الستر فی الظلمة المانعة عن الرؤیة أو مع عدم حضور شخص أو کون الحاضر أعمی أو العلم بعدم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الرضاعة، و لا أمتک و هی فی عدّة و لا أمتک و لک فیها شریک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أنّ حرمة النظر لا ینحصر بما ذکر فی المتن من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المتیقن من العورة لو لم یکن ظاهرها القبل و الدبر و البیضتین للرجل، و الأولان للمرأة فوجوب ستر غیرها مدفوع بأصالة البراءة، و ذکر الماتن قدس سره أنّه یستحبّ ستر ما بین السرّة إلی الرکبة،بل إلی نصف الساق، و ذکر أنّ المستند لذلک خبر بشیر النبّال و هو مع ضعف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ستر السرّة و الرکبة لا ما بینهما و لا ستر ما بین السرّة إلی نصف الساق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المطلوب بستر العورة فی المقام أنّ لا یقع نظر الغیر إلیها،بل یقع علی الحائل، و هذا یحصل بسترها بأی ساتر و لو کان ذلک بیده أو ید زوجته أو مملوکته کما یتفق ذلک فی العراة، و یدلّ علی ذلک ما ورد فی صلاة العراة و أن یکون مقتضی ما ورد فی اشتراط الساتر فی الصلاة عدم إجزاء هذا الستر فی جواز الصلاة مع التمکّن من الثوب و عدم إجزاء الصلاة عریاناً کالطواف،بخلاف الستر اللازم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النظر إلی عورة الغیر من وراء الشیشة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النظر إلی عورة الغیر من وراء الشیشة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فی المرآة أو الماء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المقام فإنّه لعدم وقوع نظر الغیر إلی العورة، و هذا یحصل فیما إذا کان الشخص عاریاً فی الظلمة المانعة عن الرؤیة، و لا یکون لوجوبه موضوع فیما إذا لم یکن فی البین ناظر، کعدم حضور شخص أو کون الحاضر أعمی أو للعلم بعدم نظر الحاضر، حیث یستفاد من صحیحة حنّان بن سدیر </w:t>
      </w:r>
      <w:r>
        <w:rPr>
          <w:rStyle w:val="FootnoteAnchor"/>
          <w:rtl w:val="true"/>
        </w:rPr>
        <w:footnoteReference w:id="54"/>
      </w:r>
      <w:r>
        <w:rPr>
          <w:rFonts w:ascii="IRNazanin" w:hAnsi="IRNazanin" w:eastAsia="IRNazanin"/>
          <w:color w:val="111111"/>
          <w:sz w:val="28"/>
          <w:sz w:val="28"/>
          <w:szCs w:val="28"/>
          <w:rtl w:val="true"/>
          <w:lang w:bidi="fa-IR"/>
        </w:rPr>
        <w:t>عن أبیه أنّ وجوب الستر لحرمة نظر الغیر و التحفّظ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النظر من وراء الشیشة لا یمنع من صدق أنّه نظر إلی عورة المؤمن، فإنّ الرؤیة من وراء الشیشة لا یختلف عمّا إذا کان علی عینه منظرة ینظر إلی الشیء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الالتزام بحرمة النظر إلی عورة الغیر فی المرأة فی المرآة أو الماء الصافی یتوقف علی ثبوت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الملاک فی صدق رؤیة الشیء نفوذ شعاع العین و وقوعه علی ذلک الشیء ، و حیث إنّ الشعاع الخارج عن العین یقع علی المرآة و ینکسر ثمّ یقع علی ما یحاذی المرآة أو الماء الصافی فیصدق أنّه رأی العورة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أُنکر انکسار الشعاع و یلتزم بأن ما یراه فی المرآة أو الماء الصافی صورة العورة لا عینها،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یفهم عرفاً بعد النهی عن النظر إلی عورة الغیر الفرق بین وقوع النظر إلی عین عورة الغیر أو إلی صورتها المنطبعة منها فی المرآة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الوقوف فی مکان یعلم بوقوع نظره علی عورة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الوقوف فی مکان یعلم بوقوع نظره علی عورة الغیر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علیه التعدّی عنه أو غضّ النظر، و أمّا مع الشک أو الظن فی وقوع نظره فلا بأس، و لکنّ الأحوط أیضاً عدم الوقوف أو غضّ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الفهم العرفی کما ذکر فیختصّ عدم الفرق فی عدم الجواز بما إذا کانت صاحبة الصورة متمیّزة عند الناظر، کما فی النظر إلی المرآة و الماء الصافی، حیث یکون الناظر إلی تلک الصورة کأنّه یری ذی الصورة، و أمّا إذا لم یکن الأمر کذلک کما فی النظر إلی التصاویر المعمولة فی زماننا الحاضر حیث لا یتمیّز عیناً صاحب الصورة عند الناظر فیما إذا لم یعرفه، فحرمة هذا النظر لا یستفاد من حرمة النظر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أنّ وقوع النظر إلی عورة الغیر من غیر اختیار و قصد لا یدخل فی متعلّق النهی، کمن دخل الحمّام مثلاً فوقع نظره علی عورة مکشوفة فإنّه لیس من ارتکاب الحرام، فإنّ متعلّق النهی هو النظر القصدی کما فی سائر الأفعال المحرمة، و إذا علم أنّه بوقوفه فی مکان و فتح عینیه یقع نظره إلی عورة الغیر فهذا المقدار یکفی فی کون النظر قصدیاً فیکون النظر المزبور محرّماً، فاللازم أمّا التعدّی و ترک الوقوف أو غمض عینیه، فعدم جواز الوقوف فی الفرض لیس لکونه فی نفسه محرّماً حتّی یستشکل بعدم حرمة مقدّمة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الفرق بین صورة العلم بوقوع النظر و بین صورة الظن أو الشک فإنّ مع الظن بوقوع النظر أو الشکّ لا یعلم بحصول الحرام بالوقوف و فتح عینیه، و الأصل عدم حصوله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 فیشکل الأمر فی الدخول فی الحمّامات العمومیّة فی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وجود الناظر أو کونه محترماً فالأحوط التستّر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وجود الناظر أو کونه محترماً فالأحوط التستّر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البلاد،خصوصاً فی أیام الزحام کالجمعة أو أیام الزیارة ممّا یعلم عادة بوجود أشخاص لا یسترون عورتهم و یقع نظر الشخص علی عورة بعضهم لا محالة، إلّا أن یلتزم بجواز ذلک للسیرة القطعیة من المتشرّعة حتّی فی زمان الأئمة علیهم السلام من عدم الامتناع عن دخول الحمّامات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إنّه مع الشکّ فی وجود الناظر فعلاً أو تجدّده بعد ذلک،بل و کذا عند الشکّ فی کون الناظر محترماً أو غیره لا یجب علیه ستر عورته؛ للشک فی التکلیف بسترها فیکون وجوبه مورداً لأصالة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الموضوع لوجوب ستر العورة حضور الناظر المحترم فیختلف الحال فی الشکّ فی حرمة الناظر کما إذا شکّ فی أنّ الناظر صبیّ ممیّز أو غیر ممیّز، فإنّ استصحاب عدم التمییز فی الصبیّ یثبت عدم وجوب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أنّ الناظر زوجته أو مملوکته أم أجنبی فاستصحاب عدم کون الحاضر زوجته أو مملوکته مقتضاه وجوب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وجوب الستر من التعبیر فی الکلمات و إلّا فالأمر فی الآیة معلّق بحفظ الفرج عن النظر إلیه فیکفی فی وجوب الستر احتمال وجود الناظر أو تجدّده، فإنّه یصدق فی الفرض بترک الستر ترک حفظ الفرج لو اتّفق الناظر، کما یصدق ترک التحفّظ علی النفس فیما إذا ارتکب فعلاً کان یحتمل معه هلاک النفس</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صدق ترک الحفظ لا یتوقّف علی إحراز وقوع ما یحفظ عنه،بل یصدق مع احتمال وقوعه أیضاً، و علیه فالستر فی الفرض لیس باحتیاط بل واجب</w:t>
      </w:r>
      <w:r>
        <w:rPr>
          <w:rFonts w:eastAsia="IRNazanin" w:cs="IRNazanin"/>
          <w:color w:val="111111"/>
          <w:sz w:val="28"/>
          <w:szCs w:val="28"/>
          <w:rtl w:val="true"/>
          <w:lang w:bidi="fa-IR"/>
        </w:rPr>
        <w:t>.</w:t>
      </w:r>
      <w:bookmarkStart w:id="22" w:name="pg12061_112316"/>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عورة مکشوفة و شکّ فی أنّها عورة حیوان أو إنسان فالظاهر عدم وجوب الغضّ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 عورة مکشوفة و شکّ فی أنّها عورة حیوان أو إنسان فالظاهر عدم وجوب الغضّ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أنّها من إنسان و شکّ فی أنّها من صبیّ غیر ممیّز أو من بالغ أو ممیّز فالأحوط ترک النظر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شکّ فی أنّها من زوجته أو مملوکته أو أجنبیة فلا یجوز النظر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یجب الغضّ عنها؛ لأنّ جواز النظر معلّق علی عنوان خاصّ و هو الزوجیة أو المملوکیة فلا بدّ من إثباته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رأی عضواً من بدن إنسان لا یدری أنّه عورته أو غیرها من أعضائه جاز النظر و إن کان الأحوط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و الأُنثی النظر إلی دبر الخنثی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و الأُنثی النظر إلی دبر الخنثی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 کونها عورة إنسان و لا أقل من أصالة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بالنظر؛ لأنّ مقتضی استصحاب عدم التمییز فی صاحب العورة جواز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یحرم النظر إلی عورة الغیر إلّا إذا کان الغیر زوجته أو مملوکته، فاستصحاب عدم کون صاحبها زوجة أو مملوکة یثبت حرمة النظر إلیها فترک النظر واجب لا أنّه احتیاط؛ و لذا ذکر فی المتن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عدم کون العضو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یجوز النظر إلی بدن المماثل إذا لم یکن العضو عورة، و بالاستصحاب المزبور یحرز موضوع الجواز</w:t>
      </w:r>
      <w:r>
        <w:rPr>
          <w:rFonts w:eastAsia="IRNazanin" w:cs="IRNazanin"/>
          <w:color w:val="111111"/>
          <w:sz w:val="28"/>
          <w:szCs w:val="28"/>
          <w:rtl w:val="true"/>
          <w:lang w:bidi="fa-IR"/>
        </w:rPr>
        <w:t>.</w:t>
      </w:r>
    </w:p>
    <w:p>
      <w:pPr>
        <w:pStyle w:val="Heading4"/>
        <w:numPr>
          <w:ilvl w:val="3"/>
          <w:numId w:val="1"/>
        </w:numPr>
        <w:rPr/>
      </w:pPr>
      <w:bookmarkStart w:id="23" w:name="__RefHeading___Toc1723122_417432637"/>
      <w:bookmarkStart w:id="24" w:name="_Toc9"/>
      <w:bookmarkEnd w:id="23"/>
      <w:r>
        <w:rPr>
          <w:rtl w:val="true"/>
        </w:rPr>
        <w:t>حکم النظر إلی عورة الخنثی</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 کلّ من الرجل و المرأة بکون دبرها عورة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قُبلها فیمکن أن یقال بتجویزه لکلّ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مراده ما إذا کان المکشوف من الخنثی القضیب فقط فیجوز لکلّ من الرجل و المرأة النظر إلیه فیما إذا کان کلّ منهما من المحارم للخنثی، حیث یحتمل الرجل أنّ الخنثی أُنثی فالقضیب منها لیس بالعورة فیجوز له النظر إلی غیر العورة من محارمه، و کذلک المرأة تحتمل أنّها أُنثی فیجوز لها النظر إلی غیر العورة من محارمها، و لکنّ الأحوط علی کلّ منهما ترک النظر لعلم کلّ منهما إجمالاً بحرمة نظره إلی عورتها، و عورتها إما القضیب المزبور أو الفرج الآخر، و عدم انکشاف الفرج لا یقدح فی تنجیز العلم الإجمالی، لتمکن کلّ منهما من النظر إلیه و لو برفعهما الساتر عنه و لو قهراً و لو عند نومها مثلاً،بل یمکن أن یقال بعلم الرجل بحرمة نظره إلی کلّ من القضیب المزبور و الفرج الآخر تفصیلاً؛ لأنّ القضیب المزبور إما عورة المؤمن أو ما بین السرة و الرکبة من المحارم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فحرمة نظر الرجل إلیه محرز، و الشکّ فی حرمة نظره إلی غیره فیرجع فی غیره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یکونا محرمین لها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نظر کلّ من الرجل و المرأة إلی مماثل فرجه، فلا یجوز للرجل الأجنبی النظر إلی قضیب الخنثی؛ لعلمه بحرمة نظره إلیه تفصیلاً، و کذلک الأُنثیین إمّا لأنها عورة الرجل أو عضو من المرأة الأجنبیة فلا یجوز نظره إلیها علی کلّ تقدیر، و أمّا بالإضافة إلی سائر أعضاء بدنها، و منه الفرج غیر المماثل، فیجوز نظره إلیه؛ لاحتمال کون الخنثی رجلاً فلا یحرم النظر إلی غیر عورته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المرأة لا یجوز لها النظر إلی الفرج المماثل؛ لأنّه إمّا عورة المرأة أو</w:t>
      </w:r>
      <w:bookmarkStart w:id="25" w:name="pg12061_112318"/>
    </w:p>
    <w:p>
      <w:pPr>
        <w:pStyle w:val="BookText"/>
        <w:rPr/>
      </w:pPr>
      <w:bookmarkEnd w:id="25"/>
      <w:r>
        <w:rPr>
          <w:rFonts w:ascii="IRNazanin" w:hAnsi="IRNazanin" w:eastAsia="IRNazanin"/>
          <w:color w:val="111111"/>
          <w:sz w:val="28"/>
          <w:sz w:val="28"/>
          <w:szCs w:val="28"/>
          <w:rtl w:val="true"/>
          <w:lang w:bidi="fa-IR"/>
        </w:rPr>
        <w:t>للشکّ فی کونه عورة لکنّ الأحوط الترک،بل الأقوی وجوبه؛ لأنّه عورة علی کلّ 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 إلی النظر إلی عورة الغیر فالأحوط أن یکون فی المرآة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 إلی النظر إلی عورة الغیر کما فی مقام المعالجة فالأحوط أن یکون فی المرآة المقابلة لها إن اندفع الاضطرار بذلک، و إلّا فلا بأس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من بدن الرجل الأجنبی، و إمّا غیره من أعضاء بدن الخنثی و منه القضیب فیجوز نظرها إلیه؛ لاحتمال کونها امرأة فیجوز لها النظر إلی غیر عورتها، هذا لو قیل بأنّ بدن الرجل کلّه عورة بالإضافة إلی المرأة الأجنبیة، و أمّا إذا أنکرنا ذلک و قلنا بجواز نظر المرأة إلی بدن الأجنبی من غیر التذاذ فلا یجوز لها النظر لا إلی قضیب الخنثی و لا فرجها الآخر لعلمها إجمالاً بکون أحدهما عورة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قیل بکون الخنثی طبیعة ثالثة فهی ذکر و انثی فیکون کلّ من قبلیها من العورة، أو قیل بأنّ العورة عرفاً یصدق علی کلّ منهما و إن لم تکن الخنثی إلّا الرجل أو الأُنثی، فإنّ الخنثی بحسب نظر العرف إمّا رجل خلق فیه عورة الأُنثی أو امرأة خلق فی بدنها عورة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لما دلّ من المخلوق إمّا الذکر أو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إثباتها لا یخلو عن التأمّل و المناقشة کما لا یخفی، و علیه فما ذکر الماتن،بل الأقوی وجوبه؛ لأنّه عورة علی کلّ حال کما تری،بل لا یناسب مع احتمال الطبیعة الثالثة حیث إنّ علی ذلک الاحتمال أنّ تعلیل کون کلّ منهما عورة بأنّها طبیعة ثالثة لا أن یذکر أنّه عورة علی کلّ تقدیر</w:t>
      </w:r>
      <w:r>
        <w:rPr>
          <w:rFonts w:eastAsia="IRNazanin" w:cs="IRNazanin"/>
          <w:color w:val="111111"/>
          <w:sz w:val="28"/>
          <w:szCs w:val="28"/>
          <w:rtl w:val="true"/>
          <w:lang w:bidi="fa-IR"/>
        </w:rPr>
        <w:t>.</w:t>
      </w:r>
    </w:p>
    <w:p>
      <w:pPr>
        <w:pStyle w:val="Heading4"/>
        <w:numPr>
          <w:ilvl w:val="3"/>
          <w:numId w:val="1"/>
        </w:numPr>
        <w:rPr/>
      </w:pPr>
      <w:bookmarkStart w:id="26" w:name="__RefHeading___Toc1723124_417432637"/>
      <w:bookmarkStart w:id="27" w:name="_Toc10"/>
      <w:bookmarkEnd w:id="26"/>
      <w:r>
        <w:rPr>
          <w:rtl w:val="true"/>
        </w:rPr>
        <w:t>النظر إلی العورة عند الاضطرار</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المستفاد مما دلّ علی حرمة النظر إلی عورة الغیر بین 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 إلی عینها أو النظر إلی صورتها الواقعة فی المرآة و نحوها، و أنّه لا فرق بینهما فی الحرمة و عدم رضاء الشارع، و لکن لا یحتمل أن یکون النظر إلیها فی المرآة أو الماء الصافی و نحوهما آکد و أهم من حرمة النظر إلی عینها،بخلاف النظر إلی عینها فإنّه لو لم یکن جزم بأقوائیة حرمته و کونها أشد فلا أقل من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المقرّر فی باب التزاحم أنّه إذا دار أمر المکلّف بین رعایة التکلیف الأهمّ أو محتمل الأهمیة و بین رعایة التکلیف الآخر الذی لا یحتمل فیه الأقوائیة و الأهمّیّة یتعیّن رعایة الأوّل هکذا قیل فی وجه ما ذکر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الوجه علی تقدیر تمامه مقتضاه الفتوی بعدم جواز النظر إلی عینها لا أن یحتاط بترکه و اختیار النظر إلیها فی المرآة و نحوها، مع أنه لا یدخل المقام فی التزاحم بالإضافة إلی المعالج إلّا مع وجوب المعالجة علیه، کما إذا کان فی عورتها ما یوجب هلاکه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نظیر البواسیر فلا یتحقق فیه التزاحم،بل الموجب لجواز النظر انصراف ما دلّ علی حرمة النظر إلی عورة الغیر عن مثل النظر فی مقام المعالجة، و هذا الانصراف بالإضافة إلی النظر فی مثل المرآة ممّا لا ینبغی التأمل فیه، و بالإضافة إلی النظر إلی عین العورة کأنّه غیر محرز و یجری ذلک بالإضافة إلی نظر الطبیب إلی المرأة الأجنبیة فی مقام المعالجة، و اللّٰه سبحانه هو العالم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یقرب جواز النظر إلی فرج الرجل أو المرأة عند الاضطرار فی المرآة بروایة موسی بن محمد أخی أبی الحسن الثالث الواردة فی تمییز کون الخنثی امرأة أو رجلاً،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قوم عدول یأخذ کلّ واحد منهم مرآة و تقوم الخنثی خلفهم</w:t>
      </w:r>
      <w:bookmarkStart w:id="28" w:name="pg12061_112320"/>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حال التخلّی استقبال القبلة و استدبارها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 حال التخلّی استقبال القبلة و استدبارها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بمقادیم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عریانة فینظرون فی المرایا فیرون شبحاً فیحکمون علیه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 و قریب منها روایة المفید فی الإرشاد </w:t>
      </w:r>
      <w:r>
        <w:rPr>
          <w:rStyle w:val="FootnoteAnchor"/>
          <w:rtl w:val="true"/>
        </w:rPr>
        <w:footnoteReference w:id="56"/>
      </w:r>
      <w:r>
        <w:rPr>
          <w:rFonts w:ascii="IRNazanin" w:hAnsi="IRNazanin" w:eastAsia="IRNazanin"/>
          <w:color w:val="111111"/>
          <w:sz w:val="28"/>
          <w:sz w:val="28"/>
          <w:szCs w:val="28"/>
          <w:rtl w:val="true"/>
          <w:lang w:bidi="fa-IR"/>
        </w:rPr>
        <w:t>و الروایتان لضعف سندهما لا یمکن الاعتماد علیهما، و لکنّهما تصلحان للتأیید بعدم حرمة مثل النظر فی المرآة فی موارد الضرورة</w:t>
      </w:r>
      <w:r>
        <w:rPr>
          <w:rFonts w:eastAsia="IRNazanin" w:cs="IRNazanin"/>
          <w:color w:val="111111"/>
          <w:sz w:val="28"/>
          <w:szCs w:val="28"/>
          <w:rtl w:val="true"/>
          <w:lang w:bidi="fa-IR"/>
        </w:rPr>
        <w:t>.</w:t>
      </w:r>
    </w:p>
    <w:p>
      <w:pPr>
        <w:pStyle w:val="Heading4"/>
        <w:numPr>
          <w:ilvl w:val="3"/>
          <w:numId w:val="1"/>
        </w:numPr>
        <w:rPr/>
      </w:pPr>
      <w:bookmarkStart w:id="29" w:name="__RefHeading___Toc1723126_417432637"/>
      <w:bookmarkStart w:id="30" w:name="_Toc11"/>
      <w:bookmarkEnd w:id="29"/>
      <w:r>
        <w:rPr>
          <w:rtl w:val="true"/>
        </w:rPr>
        <w:t>حرمة استقبال القبلة و استدبارها</w:t>
      </w:r>
      <w:bookmarkEnd w:id="30"/>
    </w:p>
    <w:p>
      <w:pPr>
        <w:pStyle w:val="BookText"/>
        <w:rPr/>
      </w:pPr>
      <w:r>
        <w:rPr>
          <w:rFonts w:ascii="IRNazanin" w:hAnsi="IRNazanin" w:eastAsia="IRNazanin"/>
          <w:color w:val="111111"/>
          <w:sz w:val="28"/>
          <w:sz w:val="28"/>
          <w:szCs w:val="28"/>
          <w:rtl w:val="true"/>
          <w:lang w:bidi="fa-IR"/>
        </w:rPr>
        <w:t>المشهور حرمة استقبال القبلة و استدبارها حال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المختلف بعد نقل عبارة المقنعة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الکلام یعطی الکراهة فی الصحاری و الإباحة فی البنیان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ابن الجنید استحباب ترک استقبال القبلة فی الصحاری </w:t>
      </w:r>
      <w:r>
        <w:rPr>
          <w:rStyle w:val="FootnoteAnchor"/>
          <w:rtl w:val="true"/>
        </w:rPr>
        <w:footnoteReference w:id="59"/>
      </w:r>
      <w:r>
        <w:rPr>
          <w:rFonts w:ascii="IRNazanin" w:hAnsi="IRNazanin" w:eastAsia="IRNazanin"/>
          <w:color w:val="111111"/>
          <w:sz w:val="28"/>
          <w:sz w:val="28"/>
          <w:szCs w:val="28"/>
          <w:rtl w:val="true"/>
          <w:lang w:bidi="fa-IR"/>
        </w:rPr>
        <w:t>و لم یذکر الاستدبار و لا الحکم فی البنیان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الحدائق ذهب جملة من المتأخرین منهم السیّد صاحب المدارک إلی الکراهة مطلقاً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بروایة عیسی بن عبد اللّه الهاشمی،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إذا دخلت المخرج فلا تستقبل القبلة، و لا تستدبرها،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شرّقوا، أو غرّبوا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أبی عمیر عن عبد الحمید بن أبی العلاء أو غیره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الحسن بن علی علیه السلام ما حدّ الغائط؟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القبلة و لا تستدبرها و لا تستقبل الریح و لا تستدبرها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الکلینی قدس سره عن محمّد بن یحیی باسناده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 علیه السلام ما حدّ الغائط؟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القبلة، و لا تستدبرها، و لا تستقبل الریح، و لا تستدبرها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ظهور هذه الروایات فی عدم جواز استقبال القبلة و استدبارها عند البول و الغائط لا ینبغی التأمّل فیها، حیث إنّ حمل النهی عن استقبال الریح و استدبارها علی الاستحباب أو للتحفّظ عن إصابة النجاسة للثوب و البدن، لا یوجب رفع الید عن ظهور النهی عن استقبال القبلة و استدبارها فی التحریم؛ لما ذکرنا غیر مرّة أنّ السیاق لا یعدّ من القرائن إلّا فیما لا یحتمل بحسب الفهم العرفی الخصوصیة فی أحد الحکمین أو الأحکام المشتمل علیهما أو علیها الخطاب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لو قیل بأنّ ظاهر ما ورد فی روایة عیسی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شرقوا أو غربوا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محاذاة المشرق أو المغرب لا المیل إلی طرف الشرق أو 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الغرب، ویتعیّن حمل المحاذاة علی الاستحباب؛ لأن منصرف النهی عن استقبال القبلة عند التخلّی هی القبلة الاختیاریة فلا یوجب ذلک رفع الید عن ظهور النهی عن الاستقبال و الاستدبار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بأن ما ورد فی روایة محمد بن إسماعیل قرینة علی رفع الید عن ظهور هذه الروایات بحملها علی کراهة الاستقبال و الاستدبار أو استحباب الترک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الرضا علیه السلام و فی منزله کنیف مستقبل القبلة، و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حذاء القبلة، ثمّ ذکر فانحرف عنها إجلالاً للقبلة و تعظیماً لها، لم یقم من مقعده ذلک حتی یغفر له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بیان حکم الانحراف باللسان المزبور ینبئ عن کون الحکم غیر لزومی، و إلّا کان الأنسب الأمر بالانحراف عنها، نعم استظهار کون التخلّی مستقبلاً أو مستدبراً منها بدعوی أنّه لا یحتمل أن یکون فی بیت الإمام علیه السلام کنیف فی استقبال القبلة مع حرمة استقبالها عند التخلّی لا یمکن المساعدة علیه، فإنّ وجود الکنیف فی استقبال القبلة لا یلازم القعود فی التخلّی مستقبلاً لها، أو مستدبراً لها خصوصاً إذا کان المراد بالکنیف بیت الکنیف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أنّه لا موجب لحمل الروایة علی کون المنزل للغیر أو علی شرائه و هو بهذه الحالة أو عدم وسع البناء لجعل الکنیف علی کیفیّة أُخری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عدم جواز استقبال القبلة و استدبارها حال التخلّی من حیث المدرک لا یخلو عن ضعف سنداً و دلالة، و لکن لا یمکن مخالفة المشهور من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ممّا یکون عدم الجواز مرتکزاً فی أذهان المتشرعة، و یسبق إلی الذهن أنّه الموجب لفتوی المشهور قدیماً و حدیثاً بعدم الجواز مع ضعف الأخبار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أیضاً أنّ الارتکاز ناشئاً عن فتواهم، و فتواهم أیضاً لاعتبار بعض الأخبار عندهم کروایة عبد الحمید بن العلاء و غیره </w:t>
      </w:r>
      <w:r>
        <w:rPr>
          <w:rStyle w:val="FootnoteAnchor"/>
          <w:rtl w:val="true"/>
        </w:rPr>
        <w:footnoteReference w:id="66"/>
      </w:r>
      <w:r>
        <w:rPr>
          <w:rFonts w:ascii="IRNazanin" w:hAnsi="IRNazanin" w:eastAsia="IRNazanin"/>
          <w:color w:val="111111"/>
          <w:sz w:val="28"/>
          <w:sz w:val="28"/>
          <w:szCs w:val="28"/>
          <w:rtl w:val="true"/>
          <w:lang w:bidi="fa-IR"/>
        </w:rPr>
        <w:t xml:space="preserve">مرفوعاً حیث إنّ الراوی عنه ابن أبی عمیر حیث إنّه ممّن أجمعت العصابة علی تصحیح ما یصحّ عنهم، حیث إنّه من الستة الأخیرة من أصحاب أبی الحسن موسی و أبی الحسن الرضا علیهما السلام ، و قد ذکر الکشّی إجماع العصابة علی تصحیح ما یصحّ عنهم و انقادوا لهم بالفقه </w:t>
      </w:r>
      <w:r>
        <w:rPr>
          <w:rStyle w:val="FootnoteAnchor"/>
          <w:rtl w:val="true"/>
        </w:rPr>
        <w:footnoteReference w:id="67"/>
      </w:r>
      <w:r>
        <w:rPr>
          <w:rFonts w:ascii="IRNazanin" w:hAnsi="IRNazanin" w:eastAsia="IRNazanin"/>
          <w:color w:val="111111"/>
          <w:sz w:val="28"/>
          <w:sz w:val="28"/>
          <w:szCs w:val="28"/>
          <w:rtl w:val="true"/>
          <w:lang w:bidi="fa-IR"/>
        </w:rPr>
        <w:t>و ذکرنا أنّ ظاهر المحکیّ هو التسالم علی أنّ الروایة الصحیحة إلیهم لا تخرج عن الصحّة بالروایة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کونهم فقهاء مجمع علیه عند الصحابة فلا دلالة للکلام المزبور بالإضافة إلی الوسائط التی بینهم و بین الإمام علیه السلام و أن الروایة صحیحة حتّی إلی المعصوم علیه السلام ، و لو ادّعی ذلک فإمّا أن یکون المراد هو الإجماع علی أن هؤلاء لا یروون إلّا ما صحّ عن الإمام علیه السلام بنقل الثقات و العدول، فهذا خلاف المقطوع و الشاهد لذلک مثل الروایة فی المقام فإن ما وصل إلی ابن عمیر بواسطة عبد الحمید أبی العلاء مرفوعة، فکیف عیّن ابن أبی عمیر کون الواسطة بین عبد الحمید و الحسن بن علی علیه السلام من هو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فیما کان الواصل إلیه مرسلة مع أنّا بیّنا أنّ هؤلاء قد یروون عن راوٍ ضعیف عند الکلّ و عیّنا موارد الظفر فی الطبقات، و أمّا أن یکون المراد أنّهم یروون</w:t>
      </w:r>
    </w:p>
    <w:p>
      <w:pPr>
        <w:pStyle w:val="BookText"/>
        <w:rPr/>
      </w:pPr>
      <w:r>
        <w:rPr>
          <w:rFonts w:ascii="IRNazanin" w:hAnsi="IRNazanin" w:eastAsia="IRNazanin"/>
          <w:color w:val="111111"/>
          <w:sz w:val="28"/>
          <w:sz w:val="28"/>
          <w:szCs w:val="28"/>
          <w:rtl w:val="true"/>
          <w:lang w:bidi="fa-IR"/>
        </w:rPr>
        <w:t>و إن أمال عورته إلی غیرهما و الأحوط ترک الاستقبال و الاستدبار بعورته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مقادیم بدنه إلیهما، و لا فرق فی الحرمة بین الأبنیة و الصحاری، و القول بعدم الحرمة فی الأوّل ضعیف، و القبلة المنسوخة کبیت المقدس لا یلحقها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الصحیح عن الإمام و لو کانت صحّته للقرینة أو القرائن، و هذا یناسب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انقادوا لهم بالفقه، و لکن من الظاهر أنّ کون شیء قرینة علی صحّة الخبر عندهم لا یلازم کونها قرینة علی صحّته عندنا کما ذکرنا فی أخبار الفقیه، و أمّا أن یکون الإجماع علی حجّیّة الخبر الصحیح إلیهم و أنّه لا یعتبر ملاحظة السند إلی الإمام علیه السلام نظیر ما قیل من عدم ملاحظة السند فی المستحبّات، و هذا یدخل فی الإجماع المنقول علی حجّیّة قسم من الخبر، و لا اعتبار بنقل الإجماع فی إثبات الأحکام علی ما هو المقرّر فی بحث الأُصول، أو لأنّ بعض الأخبار الناهیة صادرة عنهم علیهم السلام و لو اطمئناناً؛ و لذا لا یمکن رفع الید عن لزوم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منصرف استقبال القبلة و استدبارها هو الاستقبال و الاستدبار بمقادیم البدن، و أنّ القبلة ظاهرها القبلة الاختیاریّة فالجلوس إلی ما بین المشرق و المغرب أو إلی القبلة المنسوخة کبیت المقدس خارج عن مدلول الأخبار، کما أنّ النهی فیها یعمّ الجلوس إلی القبلة أو إلی دبرها و إن أمال عورته إلی غیرهما، نعم المتیقّن من التسالم و الارتکاز علی تقدیره استقبالها و استدبارها بالمقادیم و العورة معاً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مرفوعة علی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حنیفة من عند أبی عبد اللّه علیه السلام و أبو الحسن موسی علیه السلام قائم و هو غلام فقال له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أین یضع الغریب ببلدکم،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أفنیة المساجد، و شطوط الأنهار، و مساقط الثمار و منازل</w:t>
      </w:r>
      <w:bookmarkStart w:id="31" w:name="pg12061_112325"/>
    </w:p>
    <w:p>
      <w:pPr>
        <w:pStyle w:val="BookText"/>
        <w:rPr/>
      </w:pPr>
      <w:bookmarkEnd w:id="31"/>
      <w:r>
        <w:rPr>
          <w:rFonts w:ascii="IRNazanin" w:hAnsi="IRNazanin" w:eastAsia="IRNazanin"/>
          <w:color w:val="111111"/>
          <w:sz w:val="28"/>
          <w:sz w:val="28"/>
          <w:szCs w:val="28"/>
          <w:rtl w:val="true"/>
          <w:lang w:bidi="fa-IR"/>
        </w:rPr>
        <w:t>و الأقوی عدم حرمتهما فی حال الاستبراء و الاستنجاء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الترک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النزال، و لا تستقبل القبلة بغائط، و لا بول، و ارفع ثوبک، وضع حیث شئت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 إنّ اللازم علی تقدیر تمام سندها الأخذ بکل من الطائفتین و الالتزام بعدم الجواز فی کلّ من الاستقبال بمقادیم البدن و إن أمال عورته إلی غیرهما، و الاستقبال بعورته عند التخلی و لو لم یکن مقادیم بدنه إلیها؛ لعدم التنافی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أنّ الجالس إلی القبلة مع کون عورته أیضاً إلی القبلة یرتکب حرامین و هذا فی نفسه بعید، کما أنّ الاستقبال بالغائط لا یکون إلّا بالجلوس إلی القبلة حیث إنّ مخرج الغائط لا یکون إلی القبلة، و هذا کالقرینة علی أنّ الاستقبال بالبول و الغائط یراد منه الجلوس إلی القبلة عند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فرق فی عدم جواز الاستقبال عند التخلّی بین الأبنیة و الصحاری و تخصیص عدم الجواز بالثانی بالأخذ بروایة محمد بن إسماعیل المتقدمة </w:t>
      </w:r>
      <w:r>
        <w:rPr>
          <w:rStyle w:val="FootnoteAnchor"/>
          <w:rtl w:val="true"/>
        </w:rPr>
        <w:footnoteReference w:id="69"/>
      </w:r>
      <w:r>
        <w:rPr>
          <w:rFonts w:ascii="IRNazanin" w:hAnsi="IRNazanin" w:eastAsia="IRNazanin"/>
          <w:color w:val="111111"/>
          <w:sz w:val="28"/>
          <w:sz w:val="28"/>
          <w:szCs w:val="28"/>
          <w:rtl w:val="true"/>
          <w:lang w:bidi="fa-IR"/>
        </w:rPr>
        <w:t>قد ذکرنا ما فیها من عدم الدلالة علی جواز الجلوس إلی القبلة فی خصوص البنیان، و إن کان التعبیر فیها یوحی بأنّ الحکم حتّی فی الصحاری بنحو الکراهة و سندها أیضاً لا بأس بها</w:t>
      </w:r>
      <w:r>
        <w:rPr>
          <w:rFonts w:eastAsia="IRNazanin" w:cs="IRNazanin"/>
          <w:color w:val="111111"/>
          <w:sz w:val="28"/>
          <w:szCs w:val="28"/>
          <w:rtl w:val="true"/>
          <w:lang w:bidi="fa-IR"/>
        </w:rPr>
        <w:t>.</w:t>
      </w:r>
    </w:p>
    <w:p>
      <w:pPr>
        <w:pStyle w:val="Heading4"/>
        <w:numPr>
          <w:ilvl w:val="3"/>
          <w:numId w:val="1"/>
        </w:numPr>
        <w:rPr/>
      </w:pPr>
      <w:bookmarkStart w:id="32" w:name="__RefHeading___Toc1723128_417432637"/>
      <w:bookmarkStart w:id="33" w:name="_Toc12"/>
      <w:bookmarkEnd w:id="32"/>
      <w:r>
        <w:rPr>
          <w:rtl w:val="true"/>
        </w:rPr>
        <w:t>الحکم حال الاستبراء و الاستنجاء</w:t>
      </w:r>
      <w:bookmarkEnd w:id="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المتقدمة شیء منها لا یعمّ حال الاستبراء و الاستنجاء،بل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الاستنجاء لا یزید علی تطهیر البدن من سائر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بأنّه یستفاد ذلک من مرسلة الصدوق قال سئل الصادق علیه السلام عن الرجل إذا أراد أن یستنجی کیف یقعد؟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یقعد للغائط</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روایة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یرید أن یستنجی کیف یقعد؟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یقعد للغائط،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علیه أن یغسل ما ظهر منه، و لیس علیه أن یغسل باطنه </w:t>
      </w:r>
      <w:r>
        <w:rPr>
          <w:rStyle w:val="FootnoteAnchor"/>
          <w:rtl w:val="true"/>
        </w:rPr>
        <w:footnoteReference w:id="71"/>
      </w:r>
      <w:r>
        <w:rPr>
          <w:rFonts w:ascii="IRNazanin" w:hAnsi="IRNazanin" w:eastAsia="IRNazanin"/>
          <w:color w:val="111111"/>
          <w:sz w:val="28"/>
          <w:sz w:val="28"/>
          <w:szCs w:val="28"/>
          <w:rtl w:val="true"/>
          <w:lang w:bidi="fa-IR"/>
        </w:rPr>
        <w:t>، هذا بالإضافة إلی الاستنجاء، و أمّا الاستبراء فإنّه یخرج معه البول قطرة أو قطرتین فیکون البول إلی القبلة، و لکن لا یخفی ما فی الاستدلال، فإنّ ظاهر المرسلة و روایة عمّار أنّ القعود فی الاستنجاء لا یختلف عن القعود للغائط فی الکیفیة نفسها،بمعنی أنّه لا یعتبر القعود للاستبراء أن یکون بنحو یتّسع موضع النجو بأن یفرج فخذیه و یسترخی کما نقل عن العامّة باستحبابه و عن بعضهم وجوبه، و لو لم یکن هذا ظاهراً و لو بقرینة ما فی ذیل روایة عمّار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علیه أن یغسل ما ظهر</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الخ، فلا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ضعف الروایتین سنداً، و عدم عمل المشهور بهما علی تقدیر کون ظهورهما ما ذکر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فی الاستبراء فمع أنّ خروج القطرة أو القطرتین لیس أمراً دائمیاً، أنّ</w:t>
      </w:r>
      <w:bookmarkStart w:id="34" w:name="pg12061_112327"/>
    </w:p>
    <w:p>
      <w:pPr>
        <w:pStyle w:val="BookText"/>
        <w:rPr/>
      </w:pPr>
      <w:bookmarkEnd w:id="34"/>
      <w:r>
        <w:rPr>
          <w:rFonts w:ascii="IRNazanin" w:hAnsi="IRNazanin" w:eastAsia="IRNazanin"/>
          <w:color w:val="111111"/>
          <w:sz w:val="28"/>
          <w:sz w:val="28"/>
          <w:szCs w:val="28"/>
          <w:rtl w:val="true"/>
          <w:lang w:bidi="fa-IR"/>
        </w:rPr>
        <w:t>و لو اضطر إلی أحد الأمرین تخیّر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الاستدبار</w:t>
      </w:r>
    </w:p>
    <w:p>
      <w:pPr>
        <w:pStyle w:val="BookText"/>
        <w:rPr/>
      </w:pPr>
      <w:r>
        <w:rPr>
          <w:rFonts w:ascii="IRNazanin" w:hAnsi="IRNazanin" w:eastAsia="IRNazanin"/>
          <w:color w:val="111111"/>
          <w:sz w:val="28"/>
          <w:sz w:val="28"/>
          <w:szCs w:val="28"/>
          <w:rtl w:val="true"/>
          <w:lang w:bidi="fa-IR"/>
        </w:rPr>
        <w:t>النهی لم یتعلّق بالاستقبال و الاستدبار عند ما خرج عن الإنسان البول،بل تعلّق بالنهی عن الاستقبال أو الاستدبار إذا دخل الغائط أو المخرج أو بال، و شیء من هذه العناوین لا یصدق علی خروج القطرة أو القطرتین بالاستبراء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فرق بین ترتّب الحکم فی الخطاب علی ما إذا بال و بین ترتّبه علی خروج البول، فإن الحکم المترتّب علی العنوان الثانی یترتّب علی خروج القطرة أیضاً، کبطلان الوضوء حیث استفید ممّا ورد فی البلل المشتبه قبل الاستبراء بطلان الوضوء و لو بخروج قطرة من البول بخلاف المقام کما لا یخفی</w:t>
      </w:r>
      <w:r>
        <w:rPr>
          <w:rFonts w:eastAsia="IRNazanin" w:cs="IRNazanin"/>
          <w:color w:val="111111"/>
          <w:sz w:val="28"/>
          <w:szCs w:val="28"/>
          <w:rtl w:val="true"/>
          <w:lang w:bidi="fa-IR"/>
        </w:rPr>
        <w:t>.</w:t>
      </w:r>
    </w:p>
    <w:p>
      <w:pPr>
        <w:pStyle w:val="Heading4"/>
        <w:numPr>
          <w:ilvl w:val="3"/>
          <w:numId w:val="1"/>
        </w:numPr>
        <w:rPr/>
      </w:pPr>
      <w:bookmarkStart w:id="35" w:name="__RefHeading___Toc1723130_417432637"/>
      <w:bookmarkStart w:id="36" w:name="_Toc13"/>
      <w:bookmarkEnd w:id="35"/>
      <w:r>
        <w:rPr>
          <w:rtl w:val="true"/>
        </w:rPr>
        <w:t>الاضطرار إلی الاستقبال أو الاستدبار</w:t>
      </w:r>
      <w:bookmarkEnd w:id="36"/>
    </w:p>
    <w:p>
      <w:pPr>
        <w:pStyle w:val="BookText"/>
        <w:rPr/>
      </w:pPr>
      <w:r>
        <w:rPr>
          <w:rFonts w:ascii="IRNazanin" w:hAnsi="IRNazanin" w:eastAsia="IRNazanin"/>
          <w:color w:val="111111"/>
          <w:sz w:val="28"/>
          <w:sz w:val="28"/>
          <w:szCs w:val="28"/>
          <w:rtl w:val="true"/>
          <w:lang w:bidi="fa-IR"/>
        </w:rPr>
        <w:t>قد یقال إذا اعتمدنا فی حرمة استقبال القبلة أو استدبارها علی الروایات الظاهرة فی حرمة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عند التخلّی، تکون حرمة استقبال القبلة و حرمة استدبارها من المتزاحمین مع اضطرار المکلّف إلی أحدهما، فیجری فی المقام حکم التزاحم بین التکلیفین، و بما أنّه لا یحتمل أن یکون الاستدبار أهمّ من حرمة الاستقبال و أنّ ترک الاستقبال أکثر إجلالاً للقبلة یتعیّن رعایة محتمل الأهمّیّة بترک الاستقبال، و لا بدّ من الالتزام بأنّ الاحتیاط بالاستدبار وجوبیّ، و هذا بخلاف ما إذا قلنا إنّ المدرک لحرمة استقبال القبلة و استدبارها عند التخلّی هو التسالم و الإجماع، فإنّه لا إجماع فی الفرض علی حرمة کلّ منهما،بل المحرّم إمّا خصوص استقبال القبلة أو الجامع بینهما أی أحدهما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المقام من دوران أمر التکلیف بین کونه تعینیّاً أو تخییریّاً، و مقتضی الأصل فی دوران الواجب أو المحرّم بین کونه تعیینیّاً أو تخییریّاً هو البراءة عن</w:t>
      </w:r>
    </w:p>
    <w:p>
      <w:pPr>
        <w:pStyle w:val="BookText"/>
        <w:rPr/>
      </w:pPr>
      <w:r>
        <w:rPr>
          <w:rFonts w:ascii="IRNazanin" w:hAnsi="IRNazanin" w:eastAsia="IRNazanin"/>
          <w:color w:val="111111"/>
          <w:sz w:val="28"/>
          <w:sz w:val="28"/>
          <w:szCs w:val="28"/>
          <w:rtl w:val="true"/>
          <w:lang w:bidi="fa-IR"/>
        </w:rPr>
        <w:t>و لو دار أمره بین أحدهما و ترک الستر مع وجود الناظر وجب الستر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التعیین فیکون الاحتیاط بترک استقبال القبلة استحبابیّاً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الاضطرار إلی أحدهما بمعنی عدم التمکن عقلاً من الجمع بترک الاستقبال و الاستدبار و لو بترک التخلّی فی الموضع المزبور، کما فی الإنسان المبتلی بالإسهال فالمقام یدخل فی باب التزاحم لو اعتمد فی حرمة کلّ منهما علی الأخبار، و لکن یکون ترک الاستقبال أظهر لا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الاضطرار بمعنی أنّ الإمساک ببوله أو غائطه یخاف منه المرض، أو یقع فی الحرج، ففی مثل ذلک یکون کلّ من حرمة الاستدبار و حرمة الاستقبال علی تقدیر ترک الآخر ضرریّاً أو حرجیّاً و مضطر إلی ترکه، فترتفع حرمة کلّ منهما علی تقدیر ترک الآخر، فیکون التحریم فیهما تخییریّاً و ترک الاستدبار احتیاطاً استحبابیّاً حتّی لو اعتمد فی ذلک علی الروایات، فإنّ نسبة کلّ من حرمة الاستدبار، و الاستدبار فی فرض ترک الآخر ضرری أو حرجی أو مضطر إلیه، و هذا لا یدخل فی باب التزاحم بین التکلیفین،بل فی باب تجامع الخطابین المتکلّفین للتکلیف مع خطاب أحد العناوین الرافعة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یختلف هذا الباب عن باب التزاحم بأنّ احتمال الأهمّیّة فی باب التزاحم مرجّح لعدم استقلال العقل برفع الید عن إطلاق خطاب تکلیفه،بخلاف باب التجامع فإنّ احتمالها لا أثر له؛ لأنّ نسبة خطاب العنوان رافع للتکلیف بالإضافة إلی التکلیفین علی حد سواء فافهم و تدبّر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فی وجه ذلک إنّ حرمة استقبال القبلة و استدبارها عند التخلّی مع وجوب الستر فی الفرض من المتزاحمین لو اعتمدنا فی حرمة استقبالها و استدبارها</w:t>
      </w:r>
      <w:bookmarkStart w:id="37" w:name="pg12061_112329"/>
    </w:p>
    <w:p>
      <w:pPr>
        <w:pStyle w:val="BookText"/>
        <w:rPr/>
      </w:pPr>
      <w:bookmarkEnd w:id="37"/>
      <w:r>
        <w:rPr>
          <w:rFonts w:ascii="IRNazanin" w:hAnsi="IRNazanin" w:eastAsia="IRNazanin"/>
          <w:color w:val="111111"/>
          <w:sz w:val="28"/>
          <w:sz w:val="28"/>
          <w:szCs w:val="28"/>
          <w:rtl w:val="true"/>
          <w:lang w:bidi="fa-IR"/>
        </w:rPr>
        <w:t>و لو اشتبهت القبلة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العمل بالظنّ، و لو تردّدت بین جهتین متقابلتین اختار الأُخریین و لو تردّد بین المتّصلتین فکالتردید بین الأربع التکلیف ساقط فیتخیّر بین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الروایات، و بما أنّ احتمال الأهمیّة موجود فی ناحیة وجوب الستر دون العکس فیتعیّن وجوب الستر، و لو اعتمدنا فی حرمة استقبالها و استدبارها علی التسالم و الإجماع فالأمر أیضاً کذلک فإنّه فی الفرض لا إجماع و لا تسالم علی حرمة الاستقبال و الاستدبار فیتعیّن رعایة الستر أخذاً بإطلاق ما دلّ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هذه المسألة بعینه کالمسألة السابقة من دخولها فی المتزاحمین، علی تقدیر الاعتماد فی حرمة الاستقبال و الاستدبار إلی الروایات، و کون الاضطرار بمعنی عدم التمکن عقلاً من الجمع بین التکلیفین فی الامتثال و لو بترک التخلّی فی الموضع المزبور، و لا یکون من ذلک التزاحم علی تقدیر کون ترک التخلّی موجباً للضرر أو الحرج کما لا یخفی</w:t>
      </w:r>
      <w:r>
        <w:rPr>
          <w:rFonts w:eastAsia="IRNazanin" w:cs="IRNazanin"/>
          <w:color w:val="111111"/>
          <w:sz w:val="28"/>
          <w:szCs w:val="28"/>
          <w:rtl w:val="true"/>
          <w:lang w:bidi="fa-IR"/>
        </w:rPr>
        <w:t>.</w:t>
      </w:r>
    </w:p>
    <w:p>
      <w:pPr>
        <w:pStyle w:val="Heading4"/>
        <w:numPr>
          <w:ilvl w:val="3"/>
          <w:numId w:val="1"/>
        </w:numPr>
        <w:rPr/>
      </w:pPr>
      <w:bookmarkStart w:id="38" w:name="__RefHeading___Toc1723132_417432637"/>
      <w:bookmarkStart w:id="39" w:name="_Toc14"/>
      <w:bookmarkEnd w:id="38"/>
      <w:r>
        <w:rPr>
          <w:rtl w:val="true"/>
        </w:rPr>
        <w:t>الحکم عند اشتباه جهة القبلة</w:t>
      </w:r>
      <w:bookmarkEnd w:id="39"/>
    </w:p>
    <w:p>
      <w:pPr>
        <w:pStyle w:val="BookText"/>
        <w:rPr/>
      </w:pPr>
      <w:r>
        <w:rPr>
          <w:rFonts w:ascii="IRNazanin" w:hAnsi="IRNazanin" w:eastAsia="IRNazanin"/>
          <w:color w:val="111111"/>
          <w:sz w:val="28"/>
          <w:sz w:val="28"/>
          <w:szCs w:val="28"/>
          <w:rtl w:val="true"/>
          <w:lang w:bidi="fa-IR"/>
        </w:rPr>
        <w:t>لو تمکّن من تأخیر التخلّی إلی موضع آخر لا یشتبه فیه القبلة بین الجهات الأربع من غیر ضرر أو حرج علیه تعیّن التأخیر أخذاً بإطلاق النهی عن استقبال القبلة و استدبارها بالغائط و البول، و ما دلّ علی أنّ حدّ الغائط أن لا تستقبل القبلة و لا تستدبرها فإنّ مع العلم الإجمالی بحرمة الاستقبال و الاستدبار إلی إحدی الجهات الأربعة المفروضة من کلّ جانب تعیّن التأخیر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یقال لا یجب هذا التأخیر إذا ظنّ القبلة فی جهة کما هو مقتضی إطلاق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التحرّی أبداً إذا لم یعلم أین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القبلة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ظاهر التعبیر بالإجزاء هو موارد وجوب الفعل إلی القبلة کوجوب الصلاة إلیها أو وجوب الذبح و النحر إلیها لا یمکن المساعدة علیه؛ فإن الإجزاء لم یسند إلی الفعل بل إلی نفس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یتمکّن من التأخیر إلی موضع لا یشتبه فیه القبلة و لو لکون التأخیر ضرریاً أو حرجیّاً، و لم یمکن التحری فإنه یتخیر فی التخلّی إلی إحدی الجهات؛ و ذلک فإنّ المورد من موارد الاضطرار إلی بعض أطراف العلم من غیر تعیین، و لا حکومة فی مثله لدلیل رفع الاضطرار و لا لنفی الضرر و الحرج، حیث إنّ الحرام الواقعیّ لم یضطر إلیه و لیس فی حرمته حرج أو ضرر،بل الاضطرار فی ترک الموافقة القطعیّة و الضرر أو الحرج فی تلک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علمنا أنّ الشارع إذا رخّص فی الحرام الواقعیّ بطرو الاضطرار أو الحرج أو الضرر یرخص فی ارتکاب المحتمل ما دام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التخلّی إلی کلّ جهة مع ترک التخلّی إلی سائر الجهات مضطر إلیه نظیر ما تقدم فی الاضطرار إلی الاستدبار أو الاستقبال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التخلّی إلی بعض الجهات حلال واقعاً فلا یصدق الاضطرار إلی الحرام فی المقام،بخلاف مسألة الاضطرار إلی الاستدبار أو الاستقبال، فإنّ مع حرمة کلّ منهما کما هو الفرض یکون الاضطرار إلی اختیار أحدهما اضطراراً إلی الحرام</w:t>
      </w:r>
      <w:r>
        <w:rPr>
          <w:rFonts w:eastAsia="IRNazanin" w:cs="IRNazanin"/>
          <w:color w:val="111111"/>
          <w:sz w:val="28"/>
          <w:szCs w:val="28"/>
          <w:rtl w:val="true"/>
          <w:lang w:bidi="fa-IR"/>
        </w:rPr>
        <w:t>.</w:t>
      </w:r>
      <w:bookmarkStart w:id="40" w:name="pg12061_112331"/>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إقعاد الطفل للتخلّی علی وجه یکون مستقبلاً أو مستدبراً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إقعاد الطفل للتخلّی علی وجه یکون مستقبلاً أو مستدبراً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منع الصبیّ و المجنون إذا استقبلا أو استدبرا عند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یکون الساقط فی المقام مع اشتباه القبلة فی الجهات الأربع هو لزوم الموافقة القطعیّة لا أصل التکلیف أی حرمة استقبال القبلة و استدبارها عند التخلّی کما توهمه عبارة الماتن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اشتبهت القبلة بین جهتین متقابلتین یتعیّن الجلوس إلی غیرهما، حیث إنّ الجلوس إلی کلّ منهما حرام؛ لأنّه إمّا تخلٍّ إلی استقبال القبلة أو إلی استدبارها، و لو اشتبهت فی جهتین متّصلتین فمع الاضطرار إلی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فی اختیار إحدی الجهتین، ثمّ فی الجلوس إلی تلک الجهة المختارة أو إلی دبرها بناءً علی أنّ الحکم فی الاستقبال أو الاستدبار مع الاضطرار إلی أحدهما هو التخییر، و أمّا بناءً علی تقدیم الاستدبار یتعیّن فی الجهة المختارة الاستدبار فما فی المتن من أنّ الحکم فی الجهتین المتّصلتین کاشتباه القبلة فی الجهات الأربع مبنیّ علی ما اختاره من أنّ مع الاضطرار إلی الاستقبال أو الاستدبار الحکم التخییر</w:t>
      </w:r>
      <w:r>
        <w:rPr>
          <w:rFonts w:eastAsia="IRNazanin" w:cs="IRNazanin"/>
          <w:color w:val="111111"/>
          <w:sz w:val="28"/>
          <w:szCs w:val="28"/>
          <w:rtl w:val="true"/>
          <w:lang w:bidi="fa-IR"/>
        </w:rPr>
        <w:t>.</w:t>
      </w:r>
    </w:p>
    <w:p>
      <w:pPr>
        <w:pStyle w:val="Heading4"/>
        <w:numPr>
          <w:ilvl w:val="3"/>
          <w:numId w:val="1"/>
        </w:numPr>
        <w:rPr/>
      </w:pPr>
      <w:bookmarkStart w:id="41" w:name="__RefHeading___Toc1723134_417432637"/>
      <w:bookmarkStart w:id="42" w:name="_Toc15"/>
      <w:bookmarkEnd w:id="41"/>
      <w:r>
        <w:rPr>
          <w:rtl w:val="true"/>
        </w:rPr>
        <w:t>عدم جواز التسبیب إلی التخلّی فی استقبال القبلة و استدبارها</w:t>
      </w:r>
      <w:bookmarkEnd w:id="4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خطاب تحریم الفعل حرمة ذلک الفعل بالمباشرة و بالتسبیب فإنّه إذا نهی الشارع عن أکل المتنجّس أو شربه یکون المتفاهم عرفاً عدم الفرق بین أکله و تأکیله، و لکن هذا یختصّ بما إذا کان الغیر بالغاً عاقلاً و إن کان لجهله معذوراً، و أمّا إذا لم یکن تحریم علیه کما فی المجنون و الصبی فلا یفهم من خطاب تحریم الفعل حرمة التسبیب بالإضافة إلیهما، نعم إذا أحرز عدم رضا الشارع حتّی بصدور عمل عن المجنون و الصبیّ، کما یستفاد ذلک من وجوب منعهما عن العمل کشرب</w:t>
      </w:r>
      <w:bookmarkStart w:id="43" w:name="pg12061_112332"/>
    </w:p>
    <w:p>
      <w:pPr>
        <w:pStyle w:val="BookText"/>
        <w:rPr/>
      </w:pPr>
      <w:bookmarkEnd w:id="43"/>
      <w:r>
        <w:rPr>
          <w:rFonts w:ascii="IRNazanin" w:hAnsi="IRNazanin" w:eastAsia="IRNazanin"/>
          <w:color w:val="111111"/>
          <w:sz w:val="28"/>
          <w:sz w:val="28"/>
          <w:szCs w:val="28"/>
          <w:rtl w:val="true"/>
          <w:lang w:bidi="fa-IR"/>
        </w:rPr>
        <w:t>و یجب ردع البالغ العاقل العالم بالحکم و الموضوع من باب النهی عن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یجب إرشاده إن کان من جهة جهله بالحکم، و لا یجب ردعه إن کان من جهة الجهل بالموضوع،</w:t>
      </w:r>
    </w:p>
    <w:p>
      <w:pPr>
        <w:pStyle w:val="BookText"/>
        <w:rPr/>
      </w:pPr>
      <w:r>
        <w:rPr>
          <w:rFonts w:ascii="IRNazanin" w:hAnsi="IRNazanin" w:eastAsia="IRNazanin"/>
          <w:color w:val="111111"/>
          <w:sz w:val="28"/>
          <w:sz w:val="28"/>
          <w:szCs w:val="28"/>
          <w:rtl w:val="true"/>
          <w:lang w:bidi="fa-IR"/>
        </w:rPr>
        <w:t>الخمر و السرقة، فلا یجوز التسبیب إلی صدور الفعل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یظهر دلیل علی کون استقبال القبلة و استدبارها عند التخلّی کذلک؛ و لذا لا یجب منعهما عن قعودهما عند التخلّی عن الاستقبال و الاستدبار، و لو شکّ فی حرمة التسبیب فمقتضی الأصل عدم حرمته، و هذا بخلاف التسبیب بالإضافة إلی المکلّف، و لو سأل الأعمی شخصاً عن موضع الخلوة فلا یجوز له إقعاده فی استقبال القبلة أو استدبارها؛ لما ذکرنا من استفادة ذلک من خطاب النهی عن استقبالها و استدبارها عند التخلّی و لو بمعونة الفهم العرفی</w:t>
      </w:r>
      <w:r>
        <w:rPr>
          <w:rFonts w:eastAsia="IRNazanin" w:cs="IRNazanin"/>
          <w:color w:val="111111"/>
          <w:sz w:val="28"/>
          <w:szCs w:val="28"/>
          <w:rtl w:val="true"/>
          <w:lang w:bidi="fa-IR"/>
        </w:rPr>
        <w:t>.</w:t>
      </w:r>
    </w:p>
    <w:p>
      <w:pPr>
        <w:pStyle w:val="Heading4"/>
        <w:numPr>
          <w:ilvl w:val="3"/>
          <w:numId w:val="1"/>
        </w:numPr>
        <w:rPr/>
      </w:pPr>
      <w:bookmarkStart w:id="44" w:name="__RefHeading___Toc1723136_417432637"/>
      <w:bookmarkStart w:id="45" w:name="_Toc16"/>
      <w:bookmarkEnd w:id="44"/>
      <w:r>
        <w:rPr>
          <w:rtl w:val="true"/>
        </w:rPr>
        <w:t>ردع المتخلّی إلی القبلة أو مستدبرها</w:t>
      </w:r>
      <w:bookmarkEnd w:id="45"/>
    </w:p>
    <w:p>
      <w:pPr>
        <w:pStyle w:val="BookText"/>
        <w:rPr/>
      </w:pPr>
      <w:r>
        <w:rPr>
          <w:rFonts w:ascii="IRNazanin" w:hAnsi="IRNazanin" w:eastAsia="IRNazanin"/>
          <w:color w:val="111111"/>
          <w:sz w:val="28"/>
          <w:sz w:val="28"/>
          <w:szCs w:val="28"/>
          <w:rtl w:val="true"/>
          <w:lang w:bidi="fa-IR"/>
        </w:rPr>
        <w:t>إذا کان الاستدبار أو الاستقبال یصدر عن المکلف عصیاناً،بأن کان عالماً بالحکم أو الموضوع یجب ردعه عن فعله من باب النهی عن المنکر، فیعتبر فی وجوبه ما یعتبر فی وجوب النهی عن المنکر من احتمال التأثیر، و لو نهاه الغیر عن عمله فلم یرتدع و احتمل المکلف ارتداعه بردعه یجب علیه النهی، علی ما ذکر فی باب وجوب الأمر بالمعروف و النهی عن المنکر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جاهلاً بحرمة الاستقبال و الاستدبار یجب إعلامه بحرمتهما حتّی فی ما إذا علم أنّه لا یرتدع عن عمله بإعلامه، فإن وجوب تبلیغ الأحکام إیصالا إلی الأنام و حفظاً لانطماسها و اندراسها نفسی غیر مشروط باحتمال عمل الآخر بها، و لکن یمکن أن یقال إنّ الواجب من التبلیغ إلی الأنام و من التحفّظ لأحکام الشریعة</w:t>
      </w:r>
      <w:bookmarkStart w:id="46" w:name="pg12061_112333"/>
    </w:p>
    <w:p>
      <w:pPr>
        <w:pStyle w:val="BookText"/>
        <w:rPr/>
      </w:pPr>
      <w:bookmarkEnd w:id="46"/>
      <w:r>
        <w:rPr>
          <w:rFonts w:ascii="IRNazanin" w:hAnsi="IRNazanin" w:eastAsia="IRNazanin"/>
          <w:color w:val="111111"/>
          <w:sz w:val="28"/>
          <w:sz w:val="28"/>
          <w:szCs w:val="28"/>
          <w:rtl w:val="true"/>
          <w:lang w:bidi="fa-IR"/>
        </w:rPr>
        <w:t>و لو سئل عن القبلة فالظاهر عدم وجوب البیان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إیقاعه فی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الاندراس و الانطماس ما هو المتعارف من تبلیغها فی المجامع و التحفّظ بها بالدراسة و الضبط المألوف، و أمّا إرشاد کلّ جاهل فوجوبه مشروط بسؤال الجاهل أو کون إرشاده داخلاً فی عنوان النهی عن المنکر، کما إذا کان جاهلاً بالحکم تقصیراً و یحتمل ارتداعه بالإرشاد، فإنّ وجوب الإعلام فی الأوّل یستفاد من وجوب التعلم علی الجاهل، و الثانی من وجوب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یجب ردعه إذا کان استقباله أو استدباره من جهة الجهل بالموضوع، کما إذا ظنّ القبلة فی جهة و قعد عند التخلّی إلی غیر تلک الجهة مستقبلاً أو مستدبراً، فإنّ مع ترخیص الشارع و لو ظاهراً فی ارتکابه لا دلیل علی أنه یجب علی الغیر الإعلام بخطإ ظنّه، و أنّ الجهة التی قعد إلیها قبل القبلة أو دبرها، و هکذا فی موارد الجهل بسائر الموضوعات إلّا إذا علم اهتمام الشارع بعدم وقوع الفعل أصلاً حتّی ما إذا کان المرتکب معذوراً فی ارتکابه لاعتقاده علی خلاف الواقع، کمن یرید قتل الغیر أو إیراده فی الضرر باعتقاد أنّه مهدور الدم و عدم حرمة ماله و أمثال ذلک</w:t>
      </w:r>
      <w:r>
        <w:rPr>
          <w:rFonts w:eastAsia="IRNazanin" w:cs="IRNazanin"/>
          <w:color w:val="111111"/>
          <w:sz w:val="28"/>
          <w:szCs w:val="28"/>
          <w:rtl w:val="true"/>
          <w:lang w:bidi="fa-IR"/>
        </w:rPr>
        <w:t>.</w:t>
      </w:r>
    </w:p>
    <w:p>
      <w:pPr>
        <w:pStyle w:val="Heading4"/>
        <w:numPr>
          <w:ilvl w:val="3"/>
          <w:numId w:val="1"/>
        </w:numPr>
        <w:rPr/>
      </w:pPr>
      <w:bookmarkStart w:id="47" w:name="__RefHeading___Toc1723138_417432637"/>
      <w:bookmarkStart w:id="48" w:name="_Toc17"/>
      <w:bookmarkEnd w:id="47"/>
      <w:r>
        <w:rPr>
          <w:rtl w:val="true"/>
        </w:rPr>
        <w:t>عدم وجوب الإرشاد إلی القبلة</w:t>
      </w:r>
      <w:bookmarkEnd w:id="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دلیل علی وجوب الإرشاد إلی الموضوع إلّا فی مورد طلب أداء الشهادة فی الدعاوی،بل مطلق حقوق الناس علی ما ذکر فی بحث الشهادات و فی حقوق اللّٰه علی وجه، و هذا إذا کان الموضوع الخارجی ممّا علم أهمّیته عند الشارع، بحیث تجب الممانعة عن صدور المنهی عنه و إن کان الفاعل معذوراً من جهة غفلته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ترک الاستقبال و الاستدبار بمجرد المیل إلی أحد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ترک الاستقبال و الاستدبار بمجرد المیل إلی أحد الطرفین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یجب التشریق أو التغریب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فیمن یتواتر بوله أو غائطه مراعاة ترک الاستقبال و الاستدبار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فیمن یتواتر بوله أو غائطه مراعاة ترک الاستقبال و الاستدبار بقدر الإمکان و إن کان الأقوی عدم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کقتل المؤمن و الجنایة علیه فیجب الإرشاد علی ما تقدّم، نعم لا یجوز إیقاع السائل علی خلاف الواقع کأن أجاب بنحو أوجب ذلک جلوسه إلی قبل القبلة أو دبرها، فإن هذا من التسبیب إلی الحرام، نظیر من قدّم طعاماً نجساً للجاهل لیأکله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المنهی عنه عند التخلّی فی الروایات و کذا فی کلمات الأصحاب استقبال القبلة و استدبارها، و ظاهر القبلة کما تقدم القبلة الاختیاریة، و ترک استقبالها و استدبارها یحصل بمجرد الانحراف عنه، و أمّا مواجهة المشرق أو المغرب فلم یتمّ دلیل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فی روایة عیسی بن عبد اللّه الهاشمی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شرّقوا أو غرّبوا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و لکن ظاهرها مع الغمض عن سندها بعد النهی عن استقبال القبلة أو استدبارها هو المیل إلی المشرق أو المغرب و لا أقل من احتمال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عدم حرمة استقبال القبلة و استدبارها عند الاستبراء أنّ المنهی عنه لیس الاستقبال و الاستدبار عند خروج البول أو الغائط،بل المنهی عنه هو الاستقبال و الاستدبار عند التبوّل و التغوّط کما هو ظاهر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دخلتم الغائط، أو إذا دخلتم المخرج، و أین یضع الغریب، و ما حدّ الغائط </w:t>
      </w:r>
      <w:r>
        <w:rPr>
          <w:rStyle w:val="FootnoteAnchor"/>
          <w:rtl w:val="true"/>
        </w:rPr>
        <w:footnoteReference w:id="75"/>
      </w:r>
      <w:r>
        <w:rPr>
          <w:rFonts w:ascii="IRNazanin" w:hAnsi="IRNazanin" w:eastAsia="IRNazanin"/>
          <w:color w:val="111111"/>
          <w:sz w:val="28"/>
          <w:sz w:val="28"/>
          <w:szCs w:val="28"/>
          <w:rtl w:val="true"/>
          <w:lang w:bidi="fa-IR"/>
        </w:rPr>
        <w:t>، و لو فرض الإطلاق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 القبلة بین الأربع لا یجوز أن یدور ببوله إلی جمیع الأطراف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 القبلة بین الأربع لا یجوز أن یدور ببوله إلی جمیع الأطراف، نعم إذا اختار فی مرّة أحدها لا یجب علیه الاستمرار علیه بعدها،بل له أن یختار فی کلّ مرّة جهة أُخری إلی تمام الأربع، و إن کان الأحوط ترک ما یوجب القطع بأحد الأمرین و لو تدریجاً خصوصاً إذا کان قاصداً ذلک من الأوّل،بل لا یترک فی هذه الصورة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من ترک الاستقبال و الاستدبار ما لا یکون فیه حرج علی المکلّف، و هذا هو المراد من قول الماتن قدس سره من المراعاة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قدس سره فی هذه المسألة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اضطر المکلّف إلی التخلّی و اشتبهت القبلة بین الجهات الأربع فلا یجوز له المخالفة القطعیة فی التخلی مرّةً بأن یدور ببوله إلی جمیع الأطراف، فإنّ مع الإدارة یعلم بارتکاب الحرام و هو استقبال القبلة و استدبارها بالبول، و الاضطرار إلی بعض أطراف العلم من غیر تعیین لا یوجب سقوط الحرمة، و إنّما یوجب الترخیص الظاهری فی ارتکاب ما یدفع به اضطراره؛ و لذا لا یلزم الموافقة القطعیّة للتکلیف المعلوم بالإجمال، و أمّا عدم جواز المخالفة القطعیّة فلا موجب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المخالفة القطعیّة فی الوقائع المتعدّدة بأن یختار فی التخلّی فی کلّ مرّة جهة غیر الجهة التی اختارها لدفع اضطراره فی المرة السابقة، و أن یحصل له العلم إجمالا باستقباله القبلة أو استدبارها فی تخلّیه فی بعض المرّات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نظره قدس سره فی جواز ذلک إلی أنّ کلّ واحد من أفراد التخلّی إلی استقبال القبلة و استدبارها محرّم بحرمة مستقلّة، و المفروض أنّ کلّ حرمة لا یجب علی المکلّف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موافقتها القطعیّة،بل یکفی موافقته الاحتمالیّة و إن یوجب ذلک العلم الإجمالی بالمخالفة للتکلیف فی بعض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یکون ما نحن فیه نظیر ما ارتکب المکلّف من المشتبهات بالشبهة البدویّة مدة مع علمه إجمالا بعد الارتکاب بأنّ بعضها کانت مورد التکلیف واقعاً، کمن یأکل الطعام من المطاعم مدّة و یحصل له العلم بأنّ بعض الطعام کان متنجساً بمثل بعرة الفأرة و نحوها، و لو حصل هذا العلم للمکلف قبل الارتکاب ففی تنجیز هذا العلم الإجمالی کلام، فکان ظاهر الماتن قدس سره عدم وجوب الاحتیاط فی أطراف هذا العلم، و لکن ذکر أنّه لو کان قاصداً التخلّی إلی جمیع الجهات فی المرّات من الأوّل فالأحوط ترک ما یوجب القطع من الاستدبار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المتعیّن أن یلتزم بوجوب الاحتیاط فیما إذا علم باستمراره علی التخلّی فی ذلک المکان المشتبه بحیث لو اختار فی کلّ مرّة جهة غیر الجهة السابقة یرتکب استقبال القبلة أو استدبارها عند تخلّیه، فإنّ قصد ما ذکر کما هو ظاهر کلامه لا یؤثّر فی شیء فإنّه من قصد المباح علی فرضه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فقد یقال بأنّ جواز الاستمرار فی الاختیار أو عدم جواز اختیار جهة فی کلّ مرّة غیر الجهة السابقة یبتنی علی کون العلم الإجمالی منجّزاً فی الأطراف التدریجیّة کتخیّره التکلیف فیما إذا کانت أطرافه دفعیة أم لا، و بما أنّ الصحیح عدم الفرق فی تنجیز العلم الإجمالی بین الأطراف التدریجیّة و الدفعیّة علی ما تقرّر فی بحث الأُصول فلا یجوز فی المقام الاستمرار فی التخییر فی الجهات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هذا الابتناء فإنّه لا یجوز البقاء علی الاستمرار فی التخییر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المقام و لو قلنا بعدم تنجیز العلم فی التدریجیات؛ و ذلک فإنّ الوجه المذکور لعدم تنجیز العلم فی التدریجیّات عدم التعارض فی الأصل النافی فی الطرف الموجود فعلا؛ لأنّ سائر الأطراف غیر موجودة فعلاً لتکون مجری الأصل النافی بالفعل و یکون شمول خطاب الأصل لجمیع الأطراف غیر ممکن و لبعضها دون بعض من غیر معیّن، و هذا الوجه غیر جار فی المقام؛ لأنّ ما یدفع به الاضطرار فعلاً لیس مشمولاً لخطاب الأصل النافی،بل الأصل النافی فیه قد سقط بالمعارضة مع الأصل النافی الجاری فی الجلوس فی هذا التخلّی إلی سائر الجهات، غایة الأمر علمنا بترخیص الشارع فی دفع الاضطرار ببعض الأطراف من فحوی إذنه فی ارتکاب الحرام الواقعی بطرو الاضطرار علیه، فإنّه یرخّص فی ارتکاب ما یدفع به الاضطرار من أطراف العلم لا محالة، و لکن الإذن المستفاد بالفحوی لا یجری فی دفع الاضطرار إلّا باختیار الجهة التی اختارها سابقاً، لا بسائر الجهات کلّ مرّة بما یوجب القطع باستقبال القبلة و استدبارها، فإنّ جواز دفع الاضطرار کذلک لا دلیل علی جوازه فتدبّر جیداً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بعکس ما ذکرنا و إنّه و لو التزمنا بأنّ العلم الإجمالی فی التدریجیات کالعلم الإجمالی فی الدفعیات فی تنجیز التکلیف، یکون مقتضی القاعدة فی المقام هو التخییر فی الجهات فی کلّ مرّة، و ذلک فإنّ العلم الإجمالی بالتکلیف فی التدریجیات فی المقام مقرون بالعلم الإجمالی بالتکلیف فی أطراف دفعیّة، و إذا استمرّ المکلّف علی الاختیار فی الجهات فی کلّ مرّة، فإنّه کما یعلم بمخالفة التکلیف فی بعض هذه المرّات کذلک یعلم بموافقة التکلیف فی غیرها من سائر المرّات،بخلاف ما إذا استمر علی الجهة التی اختارها أولاً، فإنّه یمکن أن تکون تلک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القبلة أو دبرها فقد خالف التکلیف فی تمام الوقائع المتتالیة، و لم یثبت أولویّة هذا علی الأوّل لو لم نقل بأولویّة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 لما تقرّر فی مباحث العلم الإجمالی بالتکلیف من أنّ الحاکم بلزوم الموافقة القطعیة للتکلیف المعلوم بالإجمال هو العقل، و العقل لا یحکم بلزومها فیما إذا استلزمت الموافقة القطعیّة لتکلیف العلم بالمخالفة بالإضافة إلی التکلیف الآخر،بل تجویز المخالفة القطعیّة من المولی الحکیم ینافی التکلیف الواصل منه بخلاف اقتصاره علی الموافقة الاحتمالیة للتکلیف الواصل، فإنّ هذا الاقتصار واقع فی موارد وصول التکلیف بالعلم التفصیلی، کما فی موارد جریان قاعدتی الفراغ و التجاوز و غیرهما فکیف بالواصل بالعلم الإجمالی؟</w:t>
      </w:r>
    </w:p>
    <w:p>
      <w:pPr>
        <w:pStyle w:val="BookText"/>
        <w:rPr/>
      </w:pPr>
      <w:r>
        <w:rPr>
          <w:rFonts w:ascii="IRNazanin" w:hAnsi="IRNazanin" w:eastAsia="IRNazanin"/>
          <w:color w:val="111111"/>
          <w:sz w:val="28"/>
          <w:sz w:val="28"/>
          <w:szCs w:val="28"/>
          <w:rtl w:val="true"/>
          <w:lang w:bidi="fa-IR"/>
        </w:rPr>
        <w:t>و قد یقال بأنّه لا فرق بین التخلّی مرّات و التخلی مرّة واحدة، و إذا جاز فی التخلّی بمرّات اختیار أیّ جهة من الجهات فی کلّ مرّة جاز أن یدور ببوله فی المرّة الواحدة أیضاً، و ذلک کما أنّ التخلّی فی المرّة الثانیة استقبال القبلة و استدبارها محرّم بحرمة استقلالاً کذلک کلّ جزء من أجزاء التبوّل الواحد إلی القبلة أو دبرها حرمته مستقلّة، و فی کلّ جزء من أجزاء التخلّی الواحد مضطرّ إلی استقبال إحدی الجهات و استدبارها کما هو الحال فی التخلّی بالمرّات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جاز اختیار أیّ جهة فی التخلّی بمرّات جاز فی أجزاء التخلّی الواحد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 التدریجیّات تختلف فقد یکون التدریج بین متعلّق التکلیف الفعلی بمعنی أنّ متعلّق التکلیف سواءً کان أمراً فعلیّاً أو أمراً بعده،فالتکلیف المعلّق به فعلیّ علی کلّ تقدیر، ففی مثله لا ینبغی التأمّل فی تنجیز العلم</w:t>
      </w:r>
      <w:bookmarkStart w:id="49" w:name="pg12061_112339"/>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ببقاء شیء من البول فی المجری یخرج بالاستبراء،فالاحتیاط بترک الاستقبال أو الاستدبار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ببقاء شیء من البول فی المجری یخرج بالاستبراء، فالاحتیاط بترک الاستقبال أو الاستدبار فی حاله أشدّ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التخلّی فی ملک الغیر من غیر 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التخلّی فی ملک الغیر من غیر 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الوقف الخاصّ،بل فی الطریق الغیر النافذ بدون إذن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الإجمالی کمن علم بأنّه نذر صوم الغد أو بعد الغد، فإنّ وجوب الوفاء بالنذر یتعلّق علی الناذر من حین نذره، و قد یکون التدریج فی نفس التکلیف بمعنی أنّه لو کان متعلّق النذر الفعل الاستقبالی فالتکلیف المتعلّق به یکون فعلیّاً فی الاستقبال، و مثل ذلک محلّ الکلام فی تنجیز العلم الإجمالی و فی التخلّی بالمرّات لا یکون التکلیف فعلیّاً بالإضافة إلی التخلّی فی الاستقبال لعدم القدرة علیه فعلاً بخلاف أجزاء التخلّی فی المرّة الواحدة فإنّ کلّ جزء منه إلی القبلة أو دبرها متعلّق النهی الفعلی</w:t>
      </w:r>
      <w:r>
        <w:rPr>
          <w:rFonts w:eastAsia="IRNazanin" w:cs="IRNazanin"/>
          <w:color w:val="111111"/>
          <w:sz w:val="28"/>
          <w:szCs w:val="28"/>
          <w:rtl w:val="true"/>
          <w:lang w:bidi="fa-IR"/>
        </w:rPr>
        <w:t>.</w:t>
      </w:r>
    </w:p>
    <w:p>
      <w:pPr>
        <w:pStyle w:val="Heading4"/>
        <w:numPr>
          <w:ilvl w:val="3"/>
          <w:numId w:val="1"/>
        </w:numPr>
        <w:rPr/>
      </w:pPr>
      <w:bookmarkStart w:id="50" w:name="__RefHeading___Toc1723140_417432637"/>
      <w:bookmarkStart w:id="51" w:name="_Toc18"/>
      <w:bookmarkEnd w:id="50"/>
      <w:r>
        <w:rPr>
          <w:rtl w:val="true"/>
        </w:rPr>
        <w:t>حرمة التخلّی فی ملک الغیر</w:t>
      </w:r>
      <w:bookmarkEnd w:id="51"/>
    </w:p>
    <w:p>
      <w:pPr>
        <w:pStyle w:val="BookText"/>
        <w:rPr/>
      </w:pPr>
      <w:r>
        <w:rPr>
          <w:rFonts w:ascii="IRNazanin" w:hAnsi="IRNazanin" w:eastAsia="IRNazanin"/>
          <w:color w:val="111111"/>
          <w:sz w:val="28"/>
          <w:sz w:val="28"/>
          <w:szCs w:val="28"/>
          <w:rtl w:val="true"/>
          <w:lang w:bidi="fa-IR"/>
        </w:rPr>
        <w:t>قد ذکر فیما تقدّم أنّ ترک الاستبراء مستقبلاً إلی القبلة أو مستدبراً لها احتیاط استحبابی و لم یفرض فیها العلم بخروج القطرة أو القطرات بالاستبراء، و ذکر فی هذه المسألة العلم ببقاء شیء من البول فی المجری بحیث یخرج بالاستبراء و أن الاحتیاط استحباباً أشدّ فی الفرض، و قد تقدّم أنّ خروج قطرة بول عن الإنسان أو قطرات مستقبلاً القبلة لا یوجب دخوله فی أخبار الباب ما لم یصدق علیه التبوّل و التغوّط، علی ما ذکرنا فی العناوین الواردة فی تلک الأخبار، و لو بال إلی غیر القبلة و دبرها، و لکن استبرأ إلی أحدهما فلا یقال إنّه بال إلی القبلة أو دبرها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التخلی فی ملک الغیر من غیر إذنه من التصرّف فی مال الغیر أو ملکه من غیر رضاه و مقتضی احترام مال الغیر و الظلم أی التعدّی علی الغیر عدم جوازه،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یبعد أن یقیّد ذلک بغیر الأراضی الوسیعة ممّا یکون مقتضی السیرة التخلّی فیها و لو من غیر إحراز رضا أصحابها، و الأمر فی الوقف الخاص کذلک لکون العین الموقوفة ملکاً للموجودین من الموقوف علیهم، و لو أُرید من الوقف الخاصّ الوقف علی العنوان الذی لا یدخل المتخلّی فیه، یکون تخلّیه تصرّفاً فی الوقف علی خلاف ما رسمه واقفه، و رضی الموقوف علیه أی من یدخل فی العنوان المزبور،بل إذن متولّی الوقف لا یجوّزه إلّا إذا کان الإذن له من مصلحة الوقف التی یراعیها المتولّی، أو یحسب المتخلّی تابعاً لمن یدخل فی العنوان الموقوف علیه، ککونه ضیفاً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الطریق غیر النافذ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ملکاً لأرباب الدور و المنازل و البنایات من أطرافه کما هو المتعارف من تملک جماعة الأرض الواسعة بالشراء و نحوه، و یقتسمونها فیما بینهم و یجعلون لبنایاتهم طریقاً، و هذا المتروک ملک لهم لا یجوز التصرّف فیه من غیر 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الموات تحیی ببناء الدور و المنازل و غیرها و یترک للبنایات طریقاً و یکون لأربابها حقّ الاستطراق و المرور و جعل مجری المیاه و یحسب الطریق حریماً لبنایاتهم، و هذا لا موجب لدخوله فی ملکهم غایة الأمر لا یجوز للغیر التصرّف فیه بما ینافی حقوقهم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طریق غیر نافذ أنّه من القسم الأول أو الثانی یجری علیه حکم القسم الثانی؛ لأصالة عدم کونه ملکاً، إلّا أن یدّعی أرباب البنایات أنّه ملک، فإنّها من دعوی الملک بلا معارض بل یشکل فی المشکوک البناء علی أنّه من القسم الثانی</w:t>
      </w:r>
    </w:p>
    <w:p>
      <w:pPr>
        <w:pStyle w:val="BookText"/>
        <w:rPr/>
      </w:pPr>
      <w:r>
        <w:rPr>
          <w:rFonts w:ascii="IRNazanin" w:hAnsi="IRNazanin" w:eastAsia="IRNazanin"/>
          <w:color w:val="111111"/>
          <w:sz w:val="28"/>
          <w:sz w:val="28"/>
          <w:szCs w:val="28"/>
          <w:rtl w:val="true"/>
          <w:lang w:bidi="fa-IR"/>
        </w:rPr>
        <w:t>و کذا یحرم علی قبور المؤمنین إذا کان هتکاً 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بمقادیم البدن الصدر و البطن و الرکبتان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بمقادیم البدن الصدر و البطن و الرکبتان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یعدّ أرباب البنایات من ذی الید علی الطریق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التخلّی فی الطرق النافذة غیر جائز فیما کان التخلی مزاحمة للمارة فإنّ تلک الطرق و إن لا یکون ملکاً لأرباب البنایات فی جانبیها إلّا أنّ حقّ المرور و الاستطراق للمارّة یتعلّق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حرمة المؤمن میّتاً کحرمته حیّاً فلا یجوز هتکه فراجع ما ورد فی الجنایة علی المیت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یذکر قدس سره فی المقام دخول الوجه فی مقادیم البدن و قد ورد النهی عن استقبال القبلة و استدبارها عند التخلّی فی أخبار الباب، و الظاهر عدم توقّف صدق استقبالها أو استدبارها علی مواجهة القبلة أو استدبارها بالوجه، و لو کان مقادیم بدنه إلی القبلة أو دبرها یصدق أنّه یبول أو یتغوّط إلی القبلة أو إلی دبرها، و دخول الوجه فی الاستقبال المعتبر فی الصلاة لدلالة الروایات،بل مقتضی ظاهر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فَوَلُّوا وُجُوهَکُمْ شَطْرَهُ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الصدر و البطن فلأنّه لا یصدق استقبال القبلة و استدبارها بدون مواجهة القبلة بالصدر أو مواجهة دبرها به، و البطن یلازم الصدر فی الاستقبال و الاستدبار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الرکبتان فلا یتوقّف صدق استقبال القبلة بمواجهتها بالرکبتین لا فی باب الصلاة و لا فی المقام لجواز الجلوس عند التشهّد، و بین السجدتین من الرکعة متربّعاً</w:t>
      </w:r>
      <w:bookmarkStart w:id="52" w:name="pg12061_112342"/>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التخلّی فی مثل المدارس التی لا یعلم کیفیة وقفها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التخلّی فی مثل المدارس التی لا یعلم کیفیة وقفها من اختصاصها بالطلاّب أو بخصوص الساکنین منهم فیها أو من هذه الجهة أعمّ من الطلاب و 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الرکبتین تکون نحو المشرق و المغرب، و کذلک ما هو العادة فی الجلوس للتخلّی تکون الرکبتان بمواجهة السماء، و لو جلس متربّعاً تکونان نحو المشرق و المغرب، و لعلّ مراد الماتن قدس سره من الرکبتان شیء یسیر منهما ممّا لا یبعد إجزاء مماسّته الأرض فی السجود، و تمام الکلام فی بحث السجود</w:t>
      </w:r>
      <w:r>
        <w:rPr>
          <w:rFonts w:eastAsia="IRNazanin" w:cs="IRNazanin"/>
          <w:color w:val="111111"/>
          <w:sz w:val="28"/>
          <w:szCs w:val="28"/>
          <w:rtl w:val="true"/>
          <w:lang w:bidi="fa-IR"/>
        </w:rPr>
        <w:t>.</w:t>
      </w:r>
    </w:p>
    <w:p>
      <w:pPr>
        <w:pStyle w:val="Heading4"/>
        <w:numPr>
          <w:ilvl w:val="3"/>
          <w:numId w:val="1"/>
        </w:numPr>
        <w:rPr/>
      </w:pPr>
      <w:bookmarkStart w:id="53" w:name="__RefHeading___Toc1723142_417432637"/>
      <w:bookmarkStart w:id="54" w:name="_Toc19"/>
      <w:bookmarkEnd w:id="53"/>
      <w:r>
        <w:rPr>
          <w:rtl w:val="true"/>
        </w:rPr>
        <w:t>حکم التخلّی فی مثل المدارس</w:t>
      </w:r>
      <w:bookmarkEnd w:id="54"/>
    </w:p>
    <w:p>
      <w:pPr>
        <w:pStyle w:val="BookText"/>
        <w:rPr/>
      </w:pPr>
      <w:r>
        <w:rPr>
          <w:rFonts w:ascii="IRNazanin" w:hAnsi="IRNazanin" w:eastAsia="IRNazanin"/>
          <w:color w:val="111111"/>
          <w:sz w:val="28"/>
          <w:sz w:val="28"/>
          <w:szCs w:val="28"/>
          <w:rtl w:val="true"/>
          <w:lang w:bidi="fa-IR"/>
        </w:rPr>
        <w:t>قد یقال إنّه یستفاد من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علی حسب ما یوقفها أهلها </w:t>
      </w:r>
      <w:r>
        <w:rPr>
          <w:rStyle w:val="FootnoteAnchor"/>
          <w:rtl w:val="true"/>
        </w:rPr>
        <w:footnoteReference w:id="77"/>
      </w:r>
      <w:r>
        <w:rPr>
          <w:rFonts w:ascii="IRNazanin" w:hAnsi="IRNazanin" w:eastAsia="IRNazanin"/>
          <w:color w:val="111111"/>
          <w:sz w:val="28"/>
          <w:sz w:val="28"/>
          <w:szCs w:val="28"/>
          <w:rtl w:val="true"/>
          <w:lang w:bidi="fa-IR"/>
        </w:rPr>
        <w:t>، عدم جواز التصرّف فی الوقف بما لا یدخل فیما رسمه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احرز بوجه معتبر أنّ الوقف و لو فی جهة منه عموم کبعض المدارس الموقوفة للطلاب، حیث إنّ التصرّف الانتفاعی فیها بالسکنی و إن یختصّ بالطلاب إلّا أنّه یکون الانتفاع بمراحیضها یعمّ غیرهم بحسب وقف واقفیها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یحرز أنّ الوقف من هذه الجهة أو من غیرها عامّ أو خاصّ فلا یجوز لمن لا یدخل فی العنوان الخاصّ التصرّف فیها بالتخلّی أو بغیره؛ لأصالة عدم عموم الوقف، و أنّه لم یوقفها علی العنوان العامّ و لا تعارض بأصالة عدم وقفه علی العنوان الخاصّ؛ لعدم الأثر لهذا الأصل، فإنّ من یدخل فی العنوان الخاصّ یجوز له التصرّف علی کلّ تقدیر، و إن ارید بأصالة عدم وقفها علی الخاص إثبات وقفها علی العامّ یکون من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إذن المتولی إذا لم یعلم کونه علی خلاف الواقع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کفایة جریان العادة أیضاً بذلک، و کذا الحال فی غیر التخلّی من التصرّفات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المقام کلام و هو أنّه إذا کان الوقف تملیکاً للأشخاص و نحوه فقد تقدّم عدم جواز التصرّف بلا استیذان منهم أخذاً بما دلّ علی عدم جواز التصرّف فی مال الغیر أو ملکه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الوقف علی العنوان و کان وقفاً انتفاعیاً کما فی وقف المدارس و الحسینیات و نحوهما فالثابت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علی حسب ما یوقفها أهلها </w:t>
      </w:r>
      <w:r>
        <w:rPr>
          <w:rStyle w:val="FootnoteAnchor"/>
          <w:rtl w:val="true"/>
        </w:rPr>
        <w:footnoteReference w:id="78"/>
      </w:r>
      <w:r>
        <w:rPr>
          <w:rFonts w:ascii="IRNazanin" w:hAnsi="IRNazanin" w:eastAsia="IRNazanin"/>
          <w:color w:val="111111"/>
          <w:sz w:val="28"/>
          <w:sz w:val="28"/>
          <w:szCs w:val="28"/>
          <w:rtl w:val="true"/>
          <w:lang w:bidi="fa-IR"/>
        </w:rPr>
        <w:t>، عدم جواز انتفاع غیر الداخل فی العنوان فیما یعدّ الانتفاع المزبور مزاحمة لأهل الوقف، و یشهد لذلک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علی حسب ما یوقفها أهلها </w:t>
      </w:r>
      <w:r>
        <w:rPr>
          <w:rStyle w:val="FootnoteAnchor"/>
          <w:rtl w:val="true"/>
        </w:rPr>
        <w:footnoteReference w:id="79"/>
      </w:r>
      <w:r>
        <w:rPr>
          <w:rFonts w:ascii="IRNazanin" w:hAnsi="IRNazanin" w:eastAsia="IRNazanin"/>
          <w:color w:val="111111"/>
          <w:sz w:val="28"/>
          <w:sz w:val="28"/>
          <w:szCs w:val="28"/>
          <w:rtl w:val="true"/>
          <w:lang w:bidi="fa-IR"/>
        </w:rPr>
        <w:t>، یعمّ الوقف مثل المساجد و القناطر و نحوهما مع أنّه یجوز الانتفاع بها بما لا یحسب مزاحمة للمصلّین و المارّة فتدبّر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المتولّی للوقف یحسب من ذی الید علیه، فیعتبر إذنه إخبار بعموم الوقف، و کذلک فیما إذا جرت العادة علی التخلّی من غیر الداخل فی العنوان الخاصّ فإنّ جریان العادة توجب کون العین الموقوفة و لو فی بعض جهاتها بید من یدخل فی العنوان العام، و مع عدم العلم بوقفها علی الخاصّ تکون یدهم أمارة علی کون وقفها علی العموم</w:t>
      </w:r>
      <w:r>
        <w:rPr>
          <w:rFonts w:eastAsia="IRNazanin" w:cs="IRNazanin"/>
          <w:color w:val="111111"/>
          <w:sz w:val="28"/>
          <w:szCs w:val="28"/>
          <w:rtl w:val="true"/>
          <w:lang w:bidi="fa-IR"/>
        </w:rPr>
        <w:t>.</w:t>
      </w:r>
      <w:bookmarkStart w:id="55" w:name="pg12061_112345"/>
    </w:p>
    <w:p>
      <w:pPr>
        <w:pStyle w:val="Heading3"/>
        <w:numPr>
          <w:ilvl w:val="2"/>
          <w:numId w:val="1"/>
        </w:numPr>
        <w:rPr/>
      </w:pPr>
      <w:bookmarkStart w:id="56" w:name="__RefHeading___Toc1723144_417432637"/>
      <w:bookmarkStart w:id="57" w:name="_Toc20"/>
      <w:bookmarkEnd w:id="55"/>
      <w:bookmarkEnd w:id="56"/>
      <w:r>
        <w:rPr>
          <w:rtl w:val="true"/>
        </w:rPr>
        <w:t>فصل فی الاستنجاء</w:t>
      </w:r>
      <w:bookmarkEnd w:id="57"/>
    </w:p>
    <w:p>
      <w:pPr>
        <w:pStyle w:val="Heading4"/>
        <w:numPr>
          <w:ilvl w:val="3"/>
          <w:numId w:val="1"/>
        </w:numPr>
        <w:rPr/>
      </w:pPr>
      <w:bookmarkStart w:id="58" w:name="__RefHeading___Toc1723146_417432637"/>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یجب غسل مخرج البول بالماء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p>
    <w:p>
      <w:pPr>
        <w:pStyle w:val="BookText"/>
        <w:rPr/>
      </w:pPr>
      <w:r>
        <w:rPr>
          <w:rFonts w:ascii="IRNazanin" w:hAnsi="IRNazanin" w:eastAsia="IRNazanin"/>
          <w:color w:val="111111"/>
          <w:sz w:val="28"/>
          <w:sz w:val="28"/>
          <w:szCs w:val="28"/>
          <w:rtl w:val="true"/>
          <w:lang w:bidi="fa-IR"/>
        </w:rPr>
        <w:t>فصل فی الاستنجاء</w:t>
      </w:r>
    </w:p>
    <w:p>
      <w:pPr>
        <w:pStyle w:val="Heading4"/>
        <w:numPr>
          <w:ilvl w:val="3"/>
          <w:numId w:val="1"/>
        </w:numPr>
        <w:rPr/>
      </w:pPr>
      <w:bookmarkStart w:id="60" w:name="__RefHeading___Toc1723148_417432637"/>
      <w:bookmarkStart w:id="61" w:name="_Toc22"/>
      <w:bookmarkEnd w:id="60"/>
      <w:r>
        <w:rPr>
          <w:rtl w:val="true"/>
        </w:rPr>
        <w:t>غسل مخرج البول بالماء</w:t>
      </w:r>
      <w:bookmarkEnd w:id="61"/>
    </w:p>
    <w:p>
      <w:pPr>
        <w:pStyle w:val="BookText"/>
        <w:rPr/>
      </w:pPr>
      <w:r>
        <w:rPr>
          <w:rFonts w:ascii="IRNazanin" w:hAnsi="IRNazanin" w:eastAsia="IRNazanin"/>
          <w:color w:val="111111"/>
          <w:sz w:val="28"/>
          <w:sz w:val="28"/>
          <w:szCs w:val="28"/>
          <w:rtl w:val="true"/>
          <w:lang w:bidi="fa-IR"/>
        </w:rPr>
        <w:t>یقع الکلام فی هذا الفصل فی الاستنجاء من البول و فی الاستنجاء من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الاستنجاء من البول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یطهر مخرج البول بغیر الماء من التمسّح کمخرج الغائط و لا یعرف فی ذلک خلاف بین أصحابنا، و یدلّ علی ذلک جملة من الروایات کصحیحة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إلّا بطهور، و یجزیک من الاستنجاء ثلاثة أحجار بذلک جرت السنّة، و أمّا البول فلا بد من غسله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بال فی موضع لیس فیه ماء فمسح ذکره بحجر و قد عرق ذکره و فخذاه؟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فخذیه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البین بعض الروایات یقال بظهورها فی کفایة المسح فی مخرج البول کما فی مخرج الغائط کصحیحة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یسأل أبا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ربّما بلت فلا أقدر علی الماء، و یشتدّ ذلک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تمسّحت، فامسح ذکرک بریقک، فإن وجدت شیئاً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ذاک </w:t>
      </w:r>
      <w:r>
        <w:rPr>
          <w:rStyle w:val="FootnoteAnchor"/>
          <w:rtl w:val="true"/>
        </w:rPr>
        <w:footnoteReference w:id="82"/>
      </w:r>
      <w:r>
        <w:rPr>
          <w:rFonts w:ascii="IRNazanin" w:hAnsi="IRNazanin" w:eastAsia="IRNazanin"/>
          <w:color w:val="111111"/>
          <w:sz w:val="28"/>
          <w:sz w:val="28"/>
          <w:szCs w:val="28"/>
          <w:rtl w:val="true"/>
          <w:lang w:bidi="fa-IR"/>
        </w:rPr>
        <w:t>، حیث قیل إنّ ظاهرها طهارة مخرج البول بالتمسّح، و خبر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موسی علیه السلام إنی أبول ثمّ أتمسّح بالأحجار، فیجیء منّی البلل ما یفسد سراویلی؟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وجه ظهورها أنّه إذا لم یتطهّر مخرج البول بالتمسّح بالأحجار لکان البلل الخارج من المخرج مفسداً لسراویله حتّی ما لو لم یکن 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یبول و لا یکون عنده الماء، فیمسح ذکره بالحائط؟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یابس ذکیّ</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عدم دلالة الثالثة علی طهارة المخرج بالتمسّح بل مدلولها أنّ الشیء الیابس لا یکون منجّساً و إلّا کان مقتضی العموم فیها طهارة کلّ متنجس بالیبس حتّی الثوب و سائر البدن و لا یلتزم أحد به حتّی من المخالفین فضلاً عن الأصحاب، و أمّا الروایتین الأُولیین فمدلولهما أنّ المخرج بعد التمسح لا یکون منجّساً لما یلاقیه من الریق أو البلل لا أنّه یطهر بالتمسح</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أنّه لا دلالة لروایة حنّان </w:t>
      </w:r>
      <w:r>
        <w:rPr>
          <w:rStyle w:val="FootnoteAnchor"/>
          <w:rtl w:val="true"/>
        </w:rPr>
        <w:footnoteReference w:id="85"/>
      </w:r>
      <w:r>
        <w:rPr>
          <w:rFonts w:ascii="IRNazanin" w:hAnsi="IRNazanin" w:eastAsia="IRNazanin"/>
          <w:color w:val="111111"/>
          <w:sz w:val="28"/>
          <w:sz w:val="28"/>
          <w:szCs w:val="28"/>
          <w:rtl w:val="true"/>
          <w:lang w:bidi="fa-IR"/>
        </w:rPr>
        <w:t>علی وضع الریق فی الموضع المتنجّس من المخرج، و لو فرض دلالتها علی طهارة المخرج فلا بدّ من حملها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التقیة فی مقام المعارضة مع الطائفة الأُولی؛ لأنّ طهارة مخرج البول بالتمسّح منسوب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ینبغی التأمّل فی عدم طهارة مخرج البول إلّا بالماء مع الثانیة یُحتمل المراد منها عدم البأس بالوضوء و أنّه لا 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یکفی فی طهارة المخرج صبّ الماء علیه مرّة واحدة أو یعتبر الصبّ بمرّتین کما فی تنجّس سائر المواضع من البدن بالبول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اعتبار المرّتین بمثل حسنة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البول یصیب الجسد؟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علیه الماء مرّتین</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انصرافها عن مخرج البول فإنّ الإصابة ظاهرها وصول البول إلی العضو لا تلوث العضو بخروجه منه، یدفعها عدم احتمال الفرق بحسب الفهم العرفی، و بتعبیر آخر إذا ورد الأمر بغسل البدن من إصابة الدم فلا یفرق بحسب الفهم العرفی بین إصابة الدم من الخارج أو خروج الدم من البدن، و کذا إذا ورد الأمر بغسل البدن من إصابة البول أو المنی و الغائط،بل لا ظهور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فیما ذکر، کما یقال عن الرجل یصیبه الجرح أو القرح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فی البین قرینة علی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تلوّث البدن من غیر الخروج عن العضو کما فی صحیحة داود بن فرقد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أحدهم قطرة بول قرضوا لحومهم بالمقاریض، و قد وسّع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علیکم بأوسع ما بین السماء و الأرض و جعل لکم الماء طهوراً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نعم لو ورد فی تلوّث المخرج طهارته بالغسل مرّة یرفع الید عن إطلاق الأمر بغسل البدن عن البول بمرّتین کما رفع الید عن الأمر بالغسل یقیناً بالإضافة إلی موضع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بدلالة بعض الروایات علی کفایة الغسل بالإضافة إلی مخرج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بن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انقطعت درّة البول فصبّ الماء</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حیث إنّ ظاهرها کفایة صبّ الماء فی تطهیر المخرج و لو کان مرّة، و فیه أنّ الروایة فی مقام بیان عدم وجوب الاستبراء تکلیفاً و لا شرطاً فی تطهیر المخرج و لیس فی مقام بیان حکم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الذی افترضه اللّٰه علی العباد لمن جاء من الغائط، أو 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 و یتوضّأ مرّتین مرّتین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فإنّ ظاهرها کفایة مسمّی الغسل فی تطهیر المخرج، و لا یعتبر فیه تعدّد الغسل خصوصاً بملاحظة التعرّض فی الوضوء للتعدّد مع استحبابه فیه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الروایة فی مقام بیان موضع الوضوء المعتبر فی الصلاة، و أنّه بعد الاستنجاء کما هو ظاهر السؤال، و لیس فی مقام بیان الاستنجاء حتّی یتمسّک بإطلاقها؛ و لذا لم یتعرّض فیها لکیفیّة إذهاب الغائط و أنّه یعتبر فیه ثلاثة أحجار و نحوها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نشیط بن صالح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کم یجزئ من الماء فی الاستنجاء من البول؟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 علی الحشفة من البلل</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مرسلته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یجزئ من البول أن یغسله بمثله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لا یبعد اعتبار الخبر الأوّل سنداً، فإنّ الهیثم بن أبی مسروق قریب الأمر کما فی النجاشی </w:t>
      </w:r>
      <w:r>
        <w:rPr>
          <w:rStyle w:val="FootnoteAnchor"/>
          <w:rtl w:val="true"/>
        </w:rPr>
        <w:footnoteReference w:id="92"/>
      </w:r>
      <w:r>
        <w:rPr>
          <w:rFonts w:ascii="IRNazanin" w:hAnsi="IRNazanin" w:eastAsia="IRNazanin"/>
          <w:color w:val="111111"/>
          <w:sz w:val="28"/>
          <w:sz w:val="28"/>
          <w:szCs w:val="28"/>
          <w:rtl w:val="true"/>
          <w:lang w:bidi="fa-IR"/>
        </w:rPr>
        <w:t xml:space="preserve">و عن حمدویه أنّ لأبی مسروق ابن یقال له الهیثم سمعت أصحابی یذکرونهما فاضلان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بها علی کفایة المرّة أنّه ربّما یتخلّف علی رأس الحشفة البلل أی القطرة الصغیرة من البول، و لو صبّت قطرتان من الماء علی رأس الحشفة دفعة تسقط قطرة البول بوصول القطرة الأُولی من الماء إلیها، و بوصول القطرة الثانیة من البول تسقط القطرة الأُولی من الماء، فیحصل جریان الماء علی رأس الحشفة المحقّق لعنوان الغسل مرة،بخلاف ما إذا صبّت القطرتان علی رأس الحشفة تدریجاً و بمرّتین، فإنّ القطرة الأُولی إن لم تمتزج بقطرة البول بأن سقطت قطرة البول بوصول قطرة الماء تتخلّف تلک القطرة علی رأس الحشفة من غیر أن تجری علیه فلا یتحقّق الغسل، و إذا وصلت إلیها القطرة الثانیة تسقط القطرة الأُولی و تتخلّف القطرة الثانیة علی رأس الحشفة فلا یحصل الغسل حتّی مرّة واحدة، و إن امتزجت القطرة الأُولی من الماء بقطرة البول یصیر المجموع مضافاً فالغسل بالمضاف لا یعدّ غسلاً فضلاً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 لا یتحقق الغسل بأن یبقی المضاف فی الموضع من غیر أن یجری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 الاستدلال بأنّه لم یظهر أنّ المراد من البلل القطرة المتخلّفة من البول علی رأس الحشفة عند صبّ الماء،بل المراد الرطوبة الباقیة علی رأس الحشفة التی تتّسع عادة بالقطرة الخارجة فی آخر التبول لمکث تلک القطرة علی رأس الحشفة آناً ثمّ تسقط، فالمراد أنّه إذا صبّ علی المخرج مثل تلک القطرة من الماء بحیث تسقط و یتّسع موضع رطوبة البول یتحقّق أدنی الغسل، و إذا صبّ علیه مثل تلک القطرة ثانیاً یتحقّق غسل المخرج بمرّتین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مرسلة نشیط حیث ورد فیها یجزئ من البول أن یغسله بمثله </w:t>
      </w:r>
      <w:r>
        <w:rPr>
          <w:rStyle w:val="FootnoteAnchor"/>
          <w:rtl w:val="true"/>
        </w:rPr>
        <w:footnoteReference w:id="94"/>
      </w:r>
      <w:r>
        <w:rPr>
          <w:rFonts w:ascii="IRNazanin" w:hAnsi="IRNazanin" w:eastAsia="IRNazanin"/>
          <w:color w:val="111111"/>
          <w:sz w:val="28"/>
          <w:sz w:val="28"/>
          <w:szCs w:val="28"/>
          <w:rtl w:val="true"/>
          <w:lang w:bidi="fa-IR"/>
        </w:rPr>
        <w:t>، و علی ذلک فالروایة غایتها مطلقة من حیث صبّ القطرتین دفعة أو بمرّتین فیرفع الید عن إطلاقها بما دلّ علی لزوم التعدّد فی غسل الجسد من نجاسة البول، و لو فرض أنّ النسبة بینه و بین هذه الروایة العموم من وجه فالمرجع الأصل العملی، و مقتضی الاستصحاب فی بقاء المخرج علی نجاسته رعایة تعدّد الغسل، نعم من ینکر الاستصحاب فی الشبهة الحکمیّة یکون المرجع أصالة الطهارة و مقتضاها عدم اعتبار التعدّد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الإنصاف أنّ الروایة واردة فی تطهیر خصوص مخرج البول فموضوع الحکم فیها أخص ممّا ورد فی تطهیر الجسد من نجاسة البول، و مع أخصیّة الموضوع لا یلاحظ الحکم فی أخذ النسبة بین الروایتین،بل یلتزم بالإطلاق فیما ورد فی الموضوع الخاص کما تقرّر فی بحث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ذکرنا یظهر الحال فی موثّقة یونس بن یعقوب </w:t>
      </w:r>
      <w:r>
        <w:rPr>
          <w:rStyle w:val="FootnoteAnchor"/>
          <w:rtl w:val="true"/>
        </w:rPr>
        <w:footnoteReference w:id="95"/>
      </w:r>
      <w:r>
        <w:rPr>
          <w:rFonts w:ascii="IRNazanin" w:hAnsi="IRNazanin" w:eastAsia="IRNazanin"/>
          <w:color w:val="111111"/>
          <w:sz w:val="28"/>
          <w:sz w:val="28"/>
          <w:szCs w:val="28"/>
          <w:rtl w:val="true"/>
          <w:lang w:bidi="fa-IR"/>
        </w:rPr>
        <w:t>و أنّه لو تمّ أمر الإطلاق فیها فیؤخذ به و یرفع الید بها عمّا دلّ علی اعتبار التعدّد فی غسل الجسد من نجاسة البول، و کذلک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البول فلا بدّ من غسله </w:t>
      </w:r>
      <w:r>
        <w:rPr>
          <w:rStyle w:val="FootnoteAnchor"/>
          <w:rtl w:val="true"/>
        </w:rPr>
        <w:footnoteReference w:id="96"/>
      </w:r>
      <w:r>
        <w:rPr>
          <w:rFonts w:ascii="IRNazanin" w:hAnsi="IRNazanin" w:eastAsia="IRNazanin"/>
          <w:color w:val="111111"/>
          <w:sz w:val="28"/>
          <w:sz w:val="28"/>
          <w:szCs w:val="28"/>
          <w:rtl w:val="true"/>
          <w:lang w:bidi="fa-IR"/>
        </w:rPr>
        <w:t>، حیث قیل إنّ مقتضی إطلاق الغسل فی مخرج البول مقتضاه الاکتفاء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أنّها فی مقام التفرقة بین تطهیر مخرج البول و الغائط، و أنّه لا یجزئ فی الأوّل التمسّح یمکن منعها بأنّ التفرقة تستفاد من بیان المطهر لمخرج البول، و أنّ المطهّر له الغسل أی الطبیعی منه، اللهمّ إلّا أنّ یقال إن التطهیر بالماء بغسل المخرجین کان مفروغاً عنه فی الصحیحة و مدلولها إجزاء المسح بالأحجار، و أنّ الأحجار مطهّرة أیضاً بالتمسّح بها و لکنّها بالإضافة إلی مخرج الغائط دون البول، و الغسل المعتبر فی التطهیر من البول و أنّه یکون بالمرّتین غیر منظور إلیه فی هذه الصحیحة، کما أنّ غسل موضع الغائط و أنّ المعتبر الطبیعی منه خارج عن مدلولها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ابن المغیرة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للاستنجاء 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لا،ینقی ما ثمّة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فلا یمکن الاستدلال بها علی کفایة الغسل مرّة فی تطهیر مخرج البول؛ لأنّ الاستنجاء المسئول فیها عن حدّه هو تطهیر موضع النجو أی الغائط کما هو ظاهر الاستنجاء،بل فیها قرینة قطعیّة علی إرادة ذلک حیث ورد فی</w:t>
      </w:r>
    </w:p>
    <w:p>
      <w:pPr>
        <w:pStyle w:val="BookText"/>
        <w:rPr/>
      </w:pPr>
      <w:r>
        <w:rPr>
          <w:rFonts w:ascii="IRNazanin" w:hAnsi="IRNazanin" w:eastAsia="IRNazanin"/>
          <w:color w:val="111111"/>
          <w:sz w:val="28"/>
          <w:sz w:val="28"/>
          <w:szCs w:val="28"/>
          <w:rtl w:val="true"/>
          <w:lang w:bidi="fa-IR"/>
        </w:rPr>
        <w:t>و الأفضل 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غسلاً و لا یجزئ غیر الماء</w:t>
      </w:r>
    </w:p>
    <w:p>
      <w:pPr>
        <w:pStyle w:val="BookText"/>
        <w:rPr/>
      </w:pPr>
      <w:r>
        <w:rPr>
          <w:rFonts w:ascii="IRNazanin" w:hAnsi="IRNazanin" w:eastAsia="IRNazanin"/>
          <w:color w:val="111111"/>
          <w:sz w:val="28"/>
          <w:sz w:val="28"/>
          <w:szCs w:val="28"/>
          <w:rtl w:val="true"/>
          <w:lang w:bidi="fa-IR"/>
        </w:rPr>
        <w:t>ذیلها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ینقی ما ثمّة و یبقی الریح؟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المتحصّل و إن لم یکن الحکم باعتبار المرّتین و لکنّ الأحوط رعایتهما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مضمرة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یستنجی من البول ثلاث مرّات و من الغائط بالمدر و الخرق</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و ربّما یقال إنّ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أبی جعفر علیه السلام کما عن المنتقی </w:t>
      </w:r>
      <w:r>
        <w:rPr>
          <w:rStyle w:val="FootnoteAnchor"/>
          <w:rtl w:val="true"/>
        </w:rPr>
        <w:footnoteReference w:id="100"/>
      </w:r>
      <w:r>
        <w:rPr>
          <w:rFonts w:ascii="IRNazanin" w:hAnsi="IRNazanin" w:eastAsia="IRNazanin"/>
          <w:color w:val="111111"/>
          <w:sz w:val="28"/>
          <w:sz w:val="28"/>
          <w:szCs w:val="28"/>
          <w:rtl w:val="true"/>
          <w:lang w:bidi="fa-IR"/>
        </w:rPr>
        <w:t>، و ربّما احتمل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جعفر علیه السلام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صلی الله علیه و آله و لکن لم یظهر الوجه لشیء منهما فإنّ الظاهر کون زرارة راویاً کما هو مقتضی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و زرارة صاحب الباقر و الصادق علیهما السلام و لیس شأن مثله إلّا الروایة عن المعصوم علیه السلام ، و لکن تعیینه فی الباقر علیه السلام من 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تقدیر تدلّ الصحیحة علی کون الغسل ثلاث مرات أفضل؛ لأنّ استمراره علیه السلام أو استمرار النبی صلی الله علیه و آله علیه مقتضاه أفضلیّته، و أمّا احتمال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زرارة، و أنّه یحکی استمراره علی الاستنجاء کما ذکر لحریز و إن کان خلاف الظاهر إلّا أنّه علی تقدیره أیضاً تستفاد الأفضلیة لبعد استمرار زرارة علی ذلک بلا سماع عن الإمام علیه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یعتبر فی الصبّ بما یسمّی غسلاً فی المتنجّسات بأن یجری الماء علی الموضع القذر من المخرج، فإنّه ذکر سلام اللّٰه علیه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و لا فرق بین الذکر و الأُنثی و الخنثی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بین المخرج الطبیعی و غیره معتاداً أو غیر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البول فلا بدّ من غسله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فی موثّقة یونس بن یعقوب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ذکره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الحدیث و ذکر الصبّ فی جملة من الروایات باعتبار أنّ الصبّ یحقّق الغسل فی ما لا یقبل العصر، و ظهور الغسل و انصرافه إلی کونه بالماء و ورد عدم إجزاء غیر الماء فی البول مما 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الفرق بین الذکر و الأُنثی و الخنثی بناءً علی اعتبار التعدّد فی غسل المخرج، فإنّ المخرج بناءً علیه کسائر الجسد فی إصابة البول و أنّه یطهر بغسله بالمرّتین، و أمّا إذا قیل بالاکتفاء فی المخرج بالغسل مرّة فاحتمال الفرق بین الذکر و غیره موجود، حیث إنّ البولَ فی النساء یتعدّی إلی قرب مخرج الغائط فالتعدّی من الروایات الظاهرة فی تطهیر الذکر من مخرج البول إلی تطهیر المخرج من الأُنثی لیس بذلک الوضوح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یدّعی أنّ غایة ما ذکر لزوم استیعاب الغسل مرّة فی النساء تمام ما یصل إلیه البول فی تبوّلهنّ، و التفرقة بغیر ذلک بأن یعتبر التعدّد فی غسلهن یحتاج إلی التنبیه علیه، و إلّا یکون المقام مثل سائر ما ورد فی غیر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قوله عن الرجل یصلّی و یصیر فی ثوبه دماً الخ </w:t>
      </w:r>
      <w:r>
        <w:rPr>
          <w:rStyle w:val="FootnoteAnchor"/>
          <w:rtl w:val="true"/>
        </w:rPr>
        <w:footnoteReference w:id="103"/>
      </w:r>
      <w:r>
        <w:rPr>
          <w:rFonts w:ascii="IRNazanin" w:hAnsi="IRNazanin" w:eastAsia="IRNazanin"/>
          <w:color w:val="111111"/>
          <w:sz w:val="28"/>
          <w:sz w:val="28"/>
          <w:szCs w:val="28"/>
          <w:rtl w:val="true"/>
          <w:lang w:bidi="fa-IR"/>
        </w:rPr>
        <w:t xml:space="preserve">و عن الرجل یکون به الدمامیل </w:t>
      </w:r>
      <w:r>
        <w:rPr>
          <w:rStyle w:val="FootnoteAnchor"/>
          <w:rtl w:val="true"/>
        </w:rPr>
        <w:footnoteReference w:id="104"/>
      </w:r>
      <w:r>
        <w:rPr>
          <w:rFonts w:ascii="IRNazanin" w:hAnsi="IRNazanin" w:eastAsia="IRNazanin"/>
          <w:color w:val="111111"/>
          <w:sz w:val="28"/>
          <w:sz w:val="28"/>
          <w:szCs w:val="28"/>
          <w:rtl w:val="true"/>
          <w:lang w:bidi="fa-IR"/>
        </w:rPr>
        <w:t>، و هکذا هذا مع أنّ صحیحة زرارة الواردة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البول فلا بدّ من غسله</w:t>
      </w:r>
      <w:r>
        <w:rPr>
          <w:rFonts w:eastAsia="IRNazanin" w:cs="IRNazanin"/>
          <w:color w:val="111111"/>
          <w:sz w:val="28"/>
          <w:szCs w:val="28"/>
          <w:rtl w:val="true"/>
          <w:lang w:bidi="fa-IR"/>
        </w:rPr>
        <w:t xml:space="preserve">» </w:t>
      </w:r>
      <w:r>
        <w:rPr>
          <w:rStyle w:val="FootnoteAnchor"/>
          <w:rtl w:val="true"/>
        </w:rPr>
        <w:footnoteReference w:id="105"/>
      </w:r>
      <w:bookmarkStart w:id="62" w:name="pg12061_112354"/>
    </w:p>
    <w:p>
      <w:pPr>
        <w:pStyle w:val="BookText"/>
        <w:rPr/>
      </w:pPr>
      <w:bookmarkEnd w:id="62"/>
      <w:r>
        <w:rPr>
          <w:rFonts w:ascii="IRNazanin" w:hAnsi="IRNazanin" w:eastAsia="IRNazanin"/>
          <w:color w:val="111111"/>
          <w:sz w:val="28"/>
          <w:sz w:val="28"/>
          <w:szCs w:val="28"/>
          <w:rtl w:val="true"/>
          <w:lang w:bidi="fa-IR"/>
        </w:rPr>
        <w:t>و فی مخرج الغائط مخیّر بین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المسح بالأحجار أو الخرق إن لم یتعدّ عن المخرج علی وجه لا یصدق علیه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 النساء کما یعمهنّ الاستنجاء بالأحجار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التفرقة بین المخرج الطبیعی و غیره معتاداً أو غیره، فإنّه علی تقدیر اعتبار التعدّد فی الغسل یکون عدم الفرق مقتضی إطلاق ما ورد فی غسل الجسد من نجاسة البول بمرتین، و أمّا علی تقدیر الاکتفاء بالمرّة فالروایات کلّها واردة فی المخرج الطبیعی و یرجع فی غیره إلی إطلاق ما ذکر فتکون التفرقة هو المتعیّن</w:t>
      </w:r>
      <w:r>
        <w:rPr>
          <w:rFonts w:eastAsia="IRNazanin" w:cs="IRNazanin"/>
          <w:color w:val="111111"/>
          <w:sz w:val="28"/>
          <w:szCs w:val="28"/>
          <w:rtl w:val="true"/>
          <w:lang w:bidi="fa-IR"/>
        </w:rPr>
        <w:t>.</w:t>
      </w:r>
    </w:p>
    <w:p>
      <w:pPr>
        <w:pStyle w:val="Heading4"/>
        <w:numPr>
          <w:ilvl w:val="3"/>
          <w:numId w:val="1"/>
        </w:numPr>
        <w:rPr/>
      </w:pPr>
      <w:bookmarkStart w:id="63" w:name="__RefHeading___Toc1723150_417432637"/>
      <w:bookmarkStart w:id="64" w:name="_Toc23"/>
      <w:bookmarkEnd w:id="63"/>
      <w:r>
        <w:rPr>
          <w:rtl w:val="true"/>
        </w:rPr>
        <w:t>غسل مخرج الغائط</w:t>
      </w:r>
      <w:bookmarkEnd w:id="64"/>
    </w:p>
    <w:p>
      <w:pPr>
        <w:pStyle w:val="BookText"/>
        <w:rPr/>
      </w:pPr>
      <w:r>
        <w:rPr>
          <w:rFonts w:ascii="IRNazanin" w:hAnsi="IRNazanin" w:eastAsia="IRNazanin"/>
          <w:color w:val="111111"/>
          <w:sz w:val="28"/>
          <w:sz w:val="28"/>
          <w:szCs w:val="28"/>
          <w:rtl w:val="true"/>
          <w:lang w:bidi="fa-IR"/>
        </w:rPr>
        <w:t>أما إجزاء الغسل بالماء فی مخرج الغائط فلا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صحیحة إبراهیم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 فی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 علی الشرج، و لا یدخل فیه الأنملة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عمّار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علیه أن یغسل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علیه أن یغسل باطنها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الأُولی منهما لو لا ظهورهما کفایة غسل ظاهر المقعدة و لو بالمرّة الواحدة المزیلة منها العین کما یأتی</w:t>
      </w:r>
      <w:r>
        <w:rPr>
          <w:rFonts w:eastAsia="IRNazanin" w:cs="IRNazanin"/>
          <w:color w:val="111111"/>
          <w:sz w:val="28"/>
          <w:szCs w:val="28"/>
          <w:rtl w:val="true"/>
          <w:lang w:bidi="fa-IR"/>
        </w:rPr>
        <w:t>.</w:t>
      </w:r>
      <w:bookmarkStart w:id="65" w:name="pg12061_112355"/>
    </w:p>
    <w:p>
      <w:pPr>
        <w:pStyle w:val="BookText"/>
        <w:rPr/>
      </w:pPr>
      <w:bookmarkEnd w:id="6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723152_417432637"/>
      <w:bookmarkStart w:id="67" w:name="_Toc24"/>
      <w:bookmarkEnd w:id="66"/>
      <w:r>
        <w:rPr>
          <w:rtl w:val="true"/>
        </w:rPr>
        <w:t>الاستنجاء بغیر الماء</w:t>
      </w:r>
      <w:bookmarkEnd w:id="67"/>
    </w:p>
    <w:p>
      <w:pPr>
        <w:pStyle w:val="BookText"/>
        <w:rPr/>
      </w:pPr>
      <w:r>
        <w:rPr>
          <w:rFonts w:ascii="IRNazanin" w:hAnsi="IRNazanin" w:eastAsia="IRNazanin"/>
          <w:color w:val="111111"/>
          <w:sz w:val="28"/>
          <w:sz w:val="28"/>
          <w:szCs w:val="28"/>
          <w:rtl w:val="true"/>
          <w:lang w:bidi="fa-IR"/>
        </w:rPr>
        <w:t>و أما إجزاء المسح بالأحجار فقد ورد فی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أثر الغائط بثلاثة</w:t>
      </w:r>
    </w:p>
    <w:p>
      <w:pPr>
        <w:pStyle w:val="BookText"/>
        <w:rPr/>
      </w:pPr>
      <w:r>
        <w:rPr>
          <w:rFonts w:ascii="IRNazanin" w:hAnsi="IRNazanin" w:eastAsia="IRNazanin"/>
          <w:color w:val="111111"/>
          <w:sz w:val="28"/>
          <w:sz w:val="28"/>
          <w:szCs w:val="28"/>
          <w:rtl w:val="true"/>
          <w:lang w:bidi="fa-IR"/>
        </w:rPr>
        <w:t>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صحیحته الأُخری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 و یجزیک من الاستنجاء ثلاثة أحجار،بذلک جرت السنّة من رسول اللّٰه صلی الله علیه و آله و أمّا البول فلا بدّ من غسله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برید بن معاویة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من الغائط المسح بالأحجار و لا یجزئ من البول إلّا الماء</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المسح بالخرق فقد ورد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یستنجی من البول ثلاث مرات، و من الغائط بالمدر و الخرق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صحیحته الأُخری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 السلام یتمسّح من الغائط بالکرسف و لا یغسل</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یقع الکلام فی أنّ التمسح من الغائط یختصّ بالأحجار و الخرق أو یعمّ 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قالع للنجاسة، و الکلام فی ذلک یأتی عند تعرّض الماتن له، کما یقع الکلام فی أنّ الاستنجاء بالأحجار أو غیرها یختصّ بما إذا لم یتعدّ الغائط أطراف المخرج بما هو خارج عن المتعارف و إلّا تعیّن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تلوّث أطراف المخرج بمقدار المتعارف بحیث لو تمسّح الدبر زال القذر من أطرافه فهذه الصورة داخلة فی الأخبار الدالّة علی جواز الاستنجاء بالأحجار و الخرق، و فی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أثر الغائط بثلاثة أحجار أن یمسح العجان و لا یغسله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فإنّ العجان هو الدبر، و التعبیر بالصحیحة مع وقوع علی بن حدید فی سنده لوقوع حریز فی سنده، و للشیخ إلی جمیع کتبه و روایاته 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تعدّی الغائط من أطراف المخرج کما إذا وصل ببعض الألیة کما قد یتّفق ذلک فی موارد الابتلاء بالإسهال أو الاستنجاء قائماً فلا دلیل علی کون التمسّح موجباً لطهارة ما وصل إلیه و لو لم یکن عدم صدق الاستنجاء محرزاً علی مسح ذلک فلا أقلّ من عدم إحراز الصدق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تعدّی الغائط إلی الأطراف إذا لم یخرج عن المتعارف کما ذکر فهذا داخل فی الاستنجاء بالأحجار، و لا یصغی لما نسب الجمهور إلی علی علیه السلام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تبعرون بعراً و أنتم الیوم تثلطون ثلطاً فاتبعوا الماء الأحجار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ظاهرها</w:t>
      </w:r>
    </w:p>
    <w:p>
      <w:pPr>
        <w:pStyle w:val="BookText"/>
        <w:rPr/>
      </w:pPr>
      <w:r>
        <w:rPr>
          <w:rFonts w:ascii="IRNazanin" w:hAnsi="IRNazanin" w:eastAsia="IRNazanin"/>
          <w:color w:val="111111"/>
          <w:sz w:val="28"/>
          <w:sz w:val="28"/>
          <w:szCs w:val="28"/>
          <w:rtl w:val="true"/>
          <w:lang w:bidi="fa-IR"/>
        </w:rPr>
        <w:t>و إلّا تعیّن الماء، و إذا تعدّی علی وجه الانفصال، کما إذا وقع نقطة من الغائط علی فخذه من غیر اتّصال بالمخرج یتخیّر فی المخرج بین الأمرین، ویتعیّن الماء فیما وقع علی الفخذ و الغسل أفضل من المسح بالأحجار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السابق کان الرجیع الخارج عن المخرج کالبعر و لم یکن یتلوّث أطراف الدبر، و أمّا الیوم فصار الرجیع غیر یابس؛ لتناول الأنواع المختلفة من الطعام؛ و لذا یغسل الدبر، فإنّ الروایات الواردة عن المعصومین علیهم السلام لبیان إجزاء التمسّح لمخرج الغائط فی زمانهم،بل لو کان التغوّط کخروج البعر فلا یحتاج لا إلی الغسل و لا إلی المسح لعدم تلوّث ظاهر المخرج، و أما البواطن فلا یجب الغسل و لا المسح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الماتن أنّ مع تعدّی النجاسة بما هو المتعارف یمسح بثلاثة أحجار أو خرق، و مع تعدّیه بما هو غیر المتعارف فإن کان التعدی بنحو الاتّصال بما علی أطراف المخرج فلا بدّ من الاستنجاء بالماء، نعم لو کان المتعدّی منفصلاً عمّا علی أطراف المخرج، کما إذا وقعت نقطة من الغائط علی فخذه یتخیّر فی المخرج، و لکن یتعیّن غسل تلک النقطة بالماء و کان عدم التزامه بالاکتفاء بالمسح فی صورة التعدّی بنحو الاتّصال فی المخرج و غسل المقدار المتعدی هو عدم إمکان غسل الأطراف بلا غسل المخرج عادة، کما إذا کان التعدّی من جمیع أطراف المخرج، و إلّا فلا موجب لرفع الید عمّا دلّ علی مطهّریة الأحجار و الخرق للمخرج بأطرافه، و أن یتعیّن الغسل فیما تعدی من جانب إلی ما لا یصدق علی مسحه الاستنجاء أی التمسح للمخرج</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الاستنجاء بالماء أفضل من الاستنجاء من الأحجار کأنّه ممّا لا خلاف فیه، و یمکن استفادة ذلک من صحیحة زرارة حیث ذکر سلام اللّٰه علیه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w:t>
      </w:r>
    </w:p>
    <w:p>
      <w:pPr>
        <w:pStyle w:val="BookText"/>
        <w:rPr/>
      </w:pPr>
      <w:r>
        <w:rPr>
          <w:rFonts w:ascii="IRNazanin" w:hAnsi="IRNazanin" w:eastAsia="IRNazanin"/>
          <w:color w:val="111111"/>
          <w:sz w:val="28"/>
          <w:sz w:val="28"/>
          <w:szCs w:val="28"/>
          <w:rtl w:val="true"/>
          <w:lang w:bidi="fa-IR"/>
        </w:rPr>
        <w:t>و الجمع بینهما أکمل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فی الغسل تعدّد،بل الحدّ النقاء و إن حصل بغسلة</w:t>
      </w:r>
    </w:p>
    <w:p>
      <w:pPr>
        <w:pStyle w:val="BookText"/>
        <w:rPr/>
      </w:pPr>
      <w:r>
        <w:rPr>
          <w:rFonts w:ascii="Amiri" w:hAnsi="Amiri" w:eastAsia="Amiri" w:cs="Amiri"/>
          <w:color w:val="111111"/>
          <w:sz w:val="28"/>
          <w:sz w:val="28"/>
          <w:szCs w:val="28"/>
          <w:rtl w:val="true"/>
          <w:lang w:bidi="ar-SA"/>
        </w:rPr>
        <w:t xml:space="preserve">من الاستنجاء ثلاثة أحجار </w:t>
      </w:r>
      <w:r>
        <w:rPr>
          <w:rStyle w:val="FootnoteAnchor"/>
          <w:rtl w:val="true"/>
        </w:rPr>
        <w:footnoteReference w:id="115"/>
      </w:r>
      <w:r>
        <w:rPr>
          <w:rFonts w:ascii="IRNazanin" w:hAnsi="IRNazanin" w:eastAsia="IRNazanin"/>
          <w:color w:val="111111"/>
          <w:sz w:val="28"/>
          <w:sz w:val="28"/>
          <w:szCs w:val="28"/>
          <w:rtl w:val="true"/>
          <w:lang w:bidi="fa-IR"/>
        </w:rPr>
        <w:t>حیث إنّ الإجزاء ظاهره الإتیان بالمرتبة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هشام بن الحکم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إنّ اللّٰه قد أحسن إلیکم الثناء، فما ذا تصنعون؟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نستنجی بالماء</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صحیحة جمیل بن دراج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یستنجون بالکرسف و الأحجار ثمّ أحدث الوضوء و هو خلق کریم فأمر به رسول اللّٰه صلی الله علیه و آله و صنعه فأنزل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بالأکمل هو أفضلیة الجمع بینهما حتّی عن الاقتصار بالاستنجاء بالماء، و قد یذکر لذلک مرفوعة أحمد بن محمد بن عیسی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الاستنجاء بثلاثة أحجار أبکار و یتبع بالماء</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فیما حکی الجماعة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اتبعوا الماء الأحجار </w:t>
      </w:r>
      <w:r>
        <w:rPr>
          <w:rStyle w:val="FootnoteAnchor"/>
          <w:rtl w:val="true"/>
        </w:rPr>
        <w:footnoteReference w:id="119"/>
      </w:r>
      <w:r>
        <w:rPr>
          <w:rFonts w:ascii="IRNazanin" w:hAnsi="IRNazanin" w:eastAsia="IRNazanin"/>
          <w:color w:val="111111"/>
          <w:sz w:val="28"/>
          <w:sz w:val="28"/>
          <w:szCs w:val="28"/>
          <w:rtl w:val="true"/>
          <w:lang w:bidi="fa-IR"/>
        </w:rPr>
        <w:t>، و لکن لضعف سندهما لا یمکن الاعتماد بشیء منهما و التسامح فی أدلّة السنن بمعنی عدم اعتبار ملاحظة السند فیها ممّا لا أساس 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المعتبر فی غسل مخرج الغائط بالماء کغسل سائر المتنجّسات بالعین،</w:t>
      </w:r>
      <w:bookmarkStart w:id="68" w:name="pg12061_112359"/>
    </w:p>
    <w:p>
      <w:pPr>
        <w:pStyle w:val="BookText"/>
        <w:rPr/>
      </w:pPr>
      <w:bookmarkEnd w:id="68"/>
      <w:r>
        <w:rPr>
          <w:rFonts w:ascii="IRNazanin" w:hAnsi="IRNazanin" w:eastAsia="IRNazanin"/>
          <w:color w:val="111111"/>
          <w:sz w:val="28"/>
          <w:sz w:val="28"/>
          <w:szCs w:val="28"/>
          <w:rtl w:val="true"/>
          <w:lang w:bidi="fa-IR"/>
        </w:rPr>
        <w:t>و فی المسح لا بدّ من ثلاث و إن حصل النقاء بالأقلّ، و إن لم یحصل بالثلاث فإلی النقاء، فالواجب فی المسح أکثر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النقاء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إزالة العین کما هو ظاهر صحیحة إبراهیم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 فی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ظهر منه علی الشرج و لا یدخل فیه الأنملة</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علیه أن یغسل ظاهرها </w:t>
      </w:r>
      <w:r>
        <w:rPr>
          <w:rStyle w:val="FootnoteAnchor"/>
          <w:rtl w:val="true"/>
        </w:rPr>
        <w:footnoteReference w:id="121"/>
      </w:r>
      <w:r>
        <w:rPr>
          <w:rFonts w:ascii="IRNazanin" w:hAnsi="IRNazanin" w:eastAsia="IRNazanin"/>
          <w:color w:val="111111"/>
          <w:sz w:val="28"/>
          <w:sz w:val="28"/>
          <w:szCs w:val="28"/>
          <w:rtl w:val="true"/>
          <w:lang w:bidi="fa-IR"/>
        </w:rPr>
        <w:t>، و مقتضی إطلاقهما و عدم تقیید الغسل فیهما بالمرّتین یفید أنّ المعتبر طبیعی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ابن المغیرة عن أبی الحسن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للاستنجاء 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لا،ینقی ما ثمّة،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ینقی ما ثمّة و یبقی الریح؟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الریح لا ینظر إلیها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اختصاصها بالتمسّح یدفعها عدم القرینة علی الاختصاص لو لم نقل بأنّ نفی الحدّ یوجب اختصاصها بالغسل؛ لثبوت التحدید فی التمسّح بکونه بثلاثة أحجار و نحوها</w:t>
      </w:r>
      <w:r>
        <w:rPr>
          <w:rFonts w:eastAsia="IRNazanin" w:cs="IRNazanin"/>
          <w:color w:val="111111"/>
          <w:sz w:val="28"/>
          <w:szCs w:val="28"/>
          <w:rtl w:val="true"/>
          <w:lang w:bidi="fa-IR"/>
        </w:rPr>
        <w:t>.</w:t>
      </w:r>
    </w:p>
    <w:p>
      <w:pPr>
        <w:pStyle w:val="Heading4"/>
        <w:numPr>
          <w:ilvl w:val="3"/>
          <w:numId w:val="1"/>
        </w:numPr>
        <w:rPr/>
      </w:pPr>
      <w:bookmarkStart w:id="69" w:name="__RefHeading___Toc1723154_417432637"/>
      <w:bookmarkStart w:id="70" w:name="_Toc25"/>
      <w:bookmarkEnd w:id="69"/>
      <w:r>
        <w:rPr>
          <w:rtl w:val="true"/>
        </w:rPr>
        <w:t>ما یعتبر فی الاستنجاء بالماء أو بغیره</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التأمّل فی أنّه إذا لم تزل عین النجاسة عن المخرج و أطرافه المتعارف تعدّی الغائط إلیها بالتمسّح بثلاثة أحجار یتعیّن المسح إلی زوالها، فإنّه لا یحتمل طهارة المحل مع بقائه علی تلوّثه بعین النجاسة، و إنّما الکلام فی المقام فیما إذا حصل النقاء بالأقلّ من ثلاثة فهل یکتفی بالأقلّ أو یبقی علی نجاسته إلی أن یتمّ التمسّح بثلاثة أحجار؟ و کذلک یقع الکلام فی أنّ الثلاثة معتبرة فی التمسّح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بالأحجار أو یجری الاعتبار فی الخرق و سائر ما یقلع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ورد التحدید بثلاثة أحجار فی صحیحتی زرارة </w:t>
      </w:r>
      <w:r>
        <w:rPr>
          <w:rStyle w:val="FootnoteAnchor"/>
          <w:rtl w:val="true"/>
        </w:rPr>
        <w:footnoteReference w:id="123"/>
      </w:r>
      <w:r>
        <w:rPr>
          <w:rFonts w:ascii="IRNazanin" w:hAnsi="IRNazanin" w:eastAsia="IRNazanin"/>
          <w:color w:val="111111"/>
          <w:sz w:val="28"/>
          <w:sz w:val="28"/>
          <w:szCs w:val="28"/>
          <w:rtl w:val="true"/>
          <w:lang w:bidi="fa-IR"/>
        </w:rPr>
        <w:t>و غیرها ممّا تقدم ذکرها، و ظاهر التحدید اعتبارها حتّی فی ما إذا زالت العین قبل إکمالها، و لکن فی البین روایات یستظهر منها أنّ المعیار فی طهارة الموضع زوال العین و لو حصل بالأقلّ لکفی منها موثقة یونس بن یعقوب حیث ذکر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حیث لم یقیّد إذهاب الغائط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عدم کون الموثّقة فی مقام بیان کیفیة تطهیر المخرجین،بل فی بیان موضع الوضوء الواجب کما هو ظاهر السؤال فیها بملاحظة الجواب، و مفادها عدم اعتبار الاستبراء قبل الوضوء لا تکلیفاً و لا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فی الجواب عن الاستظهار من أنّ المراد بإذهاب الغائط إذهابه بالماء بقرینة ذکر غسل الذکر، و إنّما عدل عن غسل الدبر إلی التعبیر بإذهاب الغائط للاستهجان فی التعبیر بالدبر لا یمکن المساعدة علیه، فإنّ التعرّض لذکر غسل الذکر لا یکون قرینة علی فرض غسل الدبر، فضلاً عن ذکر الوضوء للصلاة إلّا أن یکون المراد بالوضوء معناه اللغوی الشامل للوضوء من الخبث، و هذا و إن کان محتملاً إلّا أنّ الوضوء خصوصاً مع تقییده بما فرض اللّٰه ظاهره ما ذکر فی الکتاب المجید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العدول عن التعبیر بغسل الدبر إلی إذهاب الغائط للاستهجان فی التعبیر بالثانی کما تری، فإنّه وقع التعبیر فی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یمسح العجان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یغسله </w:t>
      </w:r>
      <w:r>
        <w:rPr>
          <w:rStyle w:val="FootnoteAnchor"/>
          <w:rtl w:val="true"/>
        </w:rPr>
        <w:footnoteReference w:id="125"/>
      </w:r>
      <w:r>
        <w:rPr>
          <w:rFonts w:ascii="IRNazanin" w:hAnsi="IRNazanin" w:eastAsia="IRNazanin"/>
          <w:color w:val="111111"/>
          <w:sz w:val="28"/>
          <w:sz w:val="28"/>
          <w:szCs w:val="28"/>
          <w:rtl w:val="true"/>
          <w:lang w:bidi="fa-IR"/>
        </w:rPr>
        <w:t>، و العجان کما تقدّم هو الدبر فیمکن أن یعبّر عنه بما لا یستهجن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ابن المغیرة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للاستنجاء 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ینقی ما ثمّة،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ینقی ما ثمّة و یبقی الریح؟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الریح لا ینظر إلیها </w:t>
      </w:r>
      <w:r>
        <w:rPr>
          <w:rStyle w:val="FootnoteAnchor"/>
          <w:rtl w:val="true"/>
        </w:rPr>
        <w:footnoteReference w:id="126"/>
      </w:r>
      <w:r>
        <w:rPr>
          <w:rFonts w:ascii="IRNazanin" w:hAnsi="IRNazanin" w:eastAsia="IRNazanin"/>
          <w:color w:val="111111"/>
          <w:sz w:val="28"/>
          <w:sz w:val="28"/>
          <w:szCs w:val="28"/>
          <w:rtl w:val="true"/>
          <w:lang w:bidi="fa-IR"/>
        </w:rPr>
        <w:t>، و ظاهرها نفی التحدید فی تطهیر موضع الغائط من المخرج و أنّ المعیار نقاؤه یعنی زوال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ظهورها أیضاً فی صورة غسل الموضع لا مسحه؛ لأنّ بقاء الریح یعلم باستشمام الید اللامسة للمحلّ، و هذا یکون فی الاستنجاء بالماء کما تری، فإنّ بقاء الریح و إن یعلم غالباً بمزاولة الید المحلّ، و لکن مزاولتها المحلّ یفرض بعد الاستنجاء سواء کان الاستنجاء بالماء أو بالتمسح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اختصاصها بصورة الغسل؛ لأنّ مع التمسح تبقی الأجزاء الصغار من الغائط حول المخرج کما یعلم ذلک بمسح الید الملوثة بالوحل أو غیره بالأحجار أو الخرق، و کان علی السائل أن یسأل عن بقاء تلک الأجزاء لا علی بقاء الریح کما تری؛ فإنّ الأجزاء الصغار التی یراها العرف أثراً یکنّی فی العرف عنها ببقاء الریح أیضاً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فی الجواب عن هذه بل ما قبلها علی تقدیم تمام الإطلاق فیها أنّه یرفع الید عن إطلاقهما بمثل صحیحة زرارة الواردة فی التمسّح بالأحجار </w:t>
      </w:r>
      <w:r>
        <w:rPr>
          <w:rStyle w:val="FootnoteAnchor"/>
          <w:rtl w:val="true"/>
        </w:rPr>
        <w:footnoteReference w:id="127"/>
      </w:r>
      <w:r>
        <w:rPr>
          <w:rFonts w:ascii="IRNazanin" w:hAnsi="IRNazanin" w:eastAsia="IRNazanin"/>
          <w:color w:val="111111"/>
          <w:sz w:val="28"/>
          <w:sz w:val="28"/>
          <w:szCs w:val="28"/>
          <w:rtl w:val="true"/>
          <w:lang w:bidi="fa-IR"/>
        </w:rPr>
        <w:t>، حیث إنّ ظاهرها أنّه یتعیّن فی صورة التمسّح بالأحجار کونها ثلاثة، و یبقی التمسّح بغیرها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کالخرق و الکرسف،بل الاستنجاء بالماء فی إطلاق الروایتین و أنّه لا حدّ فی ذلک إلّا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روایة برید بن معاویة عن أبی جعفر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 من الغائط المسح بالأحجار، و لا یجزئ من البول إلّا الماء</w:t>
      </w:r>
      <w:r>
        <w:rPr>
          <w:rFonts w:eastAsia="IRNazanin" w:cs="IRNazanin"/>
          <w:color w:val="111111"/>
          <w:sz w:val="28"/>
          <w:szCs w:val="28"/>
          <w:rtl w:val="true"/>
          <w:lang w:bidi="fa-IR"/>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فإنّه مع التسلیم بکونها مطلقة یرفع الید عن إطلاقها بما دلّ علی اعتبار کون الأحجار ثلاثة،بل یمکن دعوی أنّ اللام فیها للجنس، و ظاهر اللام الداخلة علی الجمع فیما إذا لم یکن للعهد و لم یمکن حملها علی الاستغراق هو جنس الجمع، و حملها علی جنس الفرد یحتاج إلی قرینة کما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مضمرة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یستنجی من البول ثلاث مرّات، و من الغائط بالمدر و الخِرَق </w:t>
      </w:r>
      <w:r>
        <w:rPr>
          <w:rStyle w:val="FootnoteAnchor"/>
          <w:rtl w:val="true"/>
        </w:rPr>
        <w:footnoteReference w:id="130"/>
      </w:r>
      <w:r>
        <w:rPr>
          <w:rFonts w:ascii="IRNazanin" w:hAnsi="IRNazanin" w:eastAsia="IRNazanin"/>
          <w:color w:val="111111"/>
          <w:sz w:val="28"/>
          <w:sz w:val="28"/>
          <w:szCs w:val="28"/>
          <w:rtl w:val="true"/>
          <w:lang w:bidi="fa-IR"/>
        </w:rPr>
        <w:t>، فغایتها أن زرارة یحکی فعل الإمام علیه السلام بخبره علیه السلام و لعلّ الإمام علیه السلام کان فی خبره فی مقام الترغیب إلی الاستنجاء بغیر الماء بالإضافة إلی مخرج الغائط أو بیان جوازه فاقتصر علیه السلام فی إخباره بأنّه یستنجی بالمدر و الخرق</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المتحصّل ممّا ذکرنا أنّه یرفع الید عن الإطلاق فی مثل صحیحة ابن المغیرة </w:t>
      </w:r>
      <w:r>
        <w:rPr>
          <w:rStyle w:val="FootnoteAnchor"/>
          <w:rtl w:val="true"/>
        </w:rPr>
        <w:footnoteReference w:id="131"/>
      </w:r>
      <w:r>
        <w:rPr>
          <w:rFonts w:ascii="IRNazanin" w:hAnsi="IRNazanin" w:eastAsia="IRNazanin"/>
          <w:color w:val="111111"/>
          <w:sz w:val="28"/>
          <w:sz w:val="28"/>
          <w:szCs w:val="28"/>
          <w:rtl w:val="true"/>
          <w:lang w:bidi="fa-IR"/>
        </w:rPr>
        <w:t>فیما إذا کان الاستنجاء بالأحجار بمثل صحیحة زرارة الدالة علی اعتبار التمسّح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بثلاثة أحجار </w:t>
      </w:r>
      <w:r>
        <w:rPr>
          <w:rStyle w:val="FootnoteAnchor"/>
          <w:rtl w:val="true"/>
        </w:rPr>
        <w:footnoteReference w:id="132"/>
      </w:r>
      <w:r>
        <w:rPr>
          <w:rFonts w:ascii="IRNazanin" w:hAnsi="IRNazanin" w:eastAsia="IRNazanin"/>
          <w:color w:val="111111"/>
          <w:sz w:val="28"/>
          <w:sz w:val="28"/>
          <w:szCs w:val="28"/>
          <w:rtl w:val="true"/>
          <w:lang w:bidi="fa-IR"/>
        </w:rPr>
        <w:t>و لکن نوقش فی دلالتها علی التحدید بالثلاثة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حصل النقاء بالمسح بحجر حیث لا یختلف الحال بالتمسّح بالحجر الثانی و الثالث فلا یحتمل دخل المسح بهما فی حصول الطهارة للمخرج حیث لا یترتّب علی المسح بهما أی أثر فیکون اعتبار المسح بهما فی طهارة المخرج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اعتبار شیء فی طهارة المتنجّس لا یتوقّف علی ترتّب الأثر الخارجی له کما فی اعتبار الغسلة الثانیة فی غسل المتنجّس بالبول خصوصاً فیما إذا کان المتنجّس به کالجسد ممّا لا یعصر و أطال الصبّ فی المرّة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عبّر فی الصحیحة بجریان السنّة فی الاستنجاء بثلاثة أحجار </w:t>
      </w:r>
      <w:r>
        <w:rPr>
          <w:rStyle w:val="FootnoteAnchor"/>
          <w:rtl w:val="true"/>
        </w:rPr>
        <w:footnoteReference w:id="133"/>
      </w:r>
      <w:r>
        <w:rPr>
          <w:rFonts w:ascii="IRNazanin" w:hAnsi="IRNazanin" w:eastAsia="IRNazanin"/>
          <w:color w:val="111111"/>
          <w:sz w:val="28"/>
          <w:sz w:val="28"/>
          <w:szCs w:val="28"/>
          <w:rtl w:val="true"/>
          <w:lang w:bidi="fa-IR"/>
        </w:rPr>
        <w:t>، و السنّة یناسب الاستحباب لا الشرطیة، و فیه أنّ المراد بالسنّة من رسول اللّٰه فی مقابل ما فرض اللّٰه فی کتابه ما ثبت اعتباره بتشریع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التقیید بالثلاث فی الصحیحة لکونه وارداً مورد الغالب لعدم حصول النقاء غالباً قبل المسح ثلاث مرّات لا یوجب رفع الید عن الإطلاق فی اعتبار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دعوی کون الغالب حصول النقاء بثلاثة أحجار لا بالحجرین أو أربعة لا تخلو عن الجزاف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رفع الید عن خصوصیّة الحجر کذلک یرفع الید عن خصوصیة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ذو الجهات الثلاث من الحجر، و بثلاثة أجزاء من الخرقة الواحدة و إن کان الأحوط ثلاثة منفصلات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الأوّل للدلیل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الوارد فی صحیحة زرارة </w:t>
      </w:r>
      <w:r>
        <w:rPr>
          <w:rStyle w:val="FootnoteAnchor"/>
          <w:rtl w:val="true"/>
        </w:rPr>
        <w:footnoteReference w:id="134"/>
      </w:r>
      <w:r>
        <w:rPr>
          <w:rFonts w:ascii="IRNazanin" w:hAnsi="IRNazanin" w:eastAsia="IRNazanin"/>
          <w:color w:val="111111"/>
          <w:sz w:val="28"/>
          <w:sz w:val="28"/>
          <w:szCs w:val="28"/>
          <w:rtl w:val="true"/>
          <w:lang w:bidi="fa-IR"/>
        </w:rPr>
        <w:t>و غیرها المسح بثلاثة أحجار، و الحجر الواحد من ذی الجهات لا یکون ثلاثة أحجار، و لکن یقال إنّ المتفاهم العرفی من المسح بثلاثة أحجار المسح ثلاث مرّات و لو بحجر واحد نظیر ما إذا أمر أن یضرب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أسواط حیث یصدق الامتثال، کما هو المتفاهم العرفی بالضرب بسوط واحد ثلاث مرّات، غایة الأمر بما أنّه لا یکفی تکرار المسح بجهة واحدة من الحجر؛ لتنجس الجهة الماسحة بالمسح أولاً یعتبر المسح بالجهة الأُخری منه، و کذا الحال بثلاثة أجزاء من الخرقة الواحدة بناءً علی اعتبار العدد فی غیر الحجر من سائر القالع، و لکن لا یخفی ما فی التنظیر فإنّ السوط فی المثال مفعول مطلق و مصدر لساط أی ضرب بالسوط،بخلاف المسح بثلاثة أحجار فإنّ الأحجار ذکرت آلة للمسح فیکون العدد فی الأول للفعل، و فی الثانیة للآلة، و یکشف عن ذلک عدم دخول الباء فی العدد فی المثال بخلاف المسح بثلاثة أحجار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لا دلیل علی إجزاء المسح بحجر واحد و إن کان له جهات فالأحوط ترکه، إلّا إذا کان بحیث یصدق علیه أنّه أحجار ثلاثة متلاصقة بعضها ببعض، إذ لیس عندنا العلم بتمام الملاک،بخلاف مثال الأمر بالضرب بالسوط، فإنّه و إن قیل بعدم الفرق فی الفهم العرفی بین قوله اضربه بثلاثة أسواط أو اضربه ثلاثة أسواط، فإنه یجزی الضرب بتکرار الضرب بسوط ثلاثاً، فإنّ عدم الفرق فیه للعلم بتمام الملاک کما لا یخفی، و مع احتمال عدم تمام الملاک مقتضی الظهور</w:t>
      </w:r>
    </w:p>
    <w:p>
      <w:pPr>
        <w:pStyle w:val="BookText"/>
        <w:rPr/>
      </w:pPr>
      <w:r>
        <w:rPr>
          <w:rFonts w:ascii="IRNazanin" w:hAnsi="IRNazanin" w:eastAsia="IRNazanin"/>
          <w:color w:val="111111"/>
          <w:sz w:val="28"/>
          <w:sz w:val="28"/>
          <w:szCs w:val="28"/>
          <w:rtl w:val="true"/>
          <w:lang w:bidi="fa-IR"/>
        </w:rPr>
        <w:t>و یکفی کلّ قالع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یلتزم بکفایة حجر ذی جهات ثلاث،بدعوی عدم احتمال الخصوصیّة لانفصال الحجر بأن یکون الحجر مع کسره و مسح المخرج بکلّ من تلک الجهات مطهراً و لا یکون المسح بها مع عدم کسره مطهّراً، و یبادر إلی الذهن أنّ ذکر ثلاثة فی الصحیحة </w:t>
      </w:r>
      <w:r>
        <w:rPr>
          <w:rStyle w:val="FootnoteAnchor"/>
          <w:rtl w:val="true"/>
        </w:rPr>
        <w:footnoteReference w:id="135"/>
      </w:r>
      <w:r>
        <w:rPr>
          <w:rFonts w:ascii="IRNazanin" w:hAnsi="IRNazanin" w:eastAsia="IRNazanin"/>
          <w:color w:val="111111"/>
          <w:sz w:val="28"/>
          <w:sz w:val="28"/>
          <w:szCs w:val="28"/>
          <w:rtl w:val="true"/>
          <w:lang w:bidi="fa-IR"/>
        </w:rPr>
        <w:t>و غیرها لملاحظة أن لا تتلوث الید بالمسح بالحجر الواحد بجهاته، و علیه فالمسح بثلاثة أحجار دون جهات الحجر الواحد مجرّد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تقدّم اعتبار الثلاث فی الأحجار و لو مع حصول النقاء بالواحد أو الاثنین، و ذکرنا أنّ ذلک لعدم العلم بتمام ملاک الطهارة، و هذا یجری فی اتّصال أجزاء الحجر الواحد حیث یلتزم باعتبار المسح بالثلاثة، و أنّ الحجر من ذی الجهات لو انکسر یکفی فی طهارة الموضع المسح بها،بخلاف ما لم ینکسر لعدم علمنا بالملاک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الالتزام بإجزاء ذی الجهات فی المدر و الخرق حیث قد تقدّم أنّ معیار الطهارة فی المسح بها حصول النقاء، و التحدید بالثلاثة یختصّ بالمسح بالأحجار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مقامین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الطهارة بالمسح تختصّ بما کان المسح بخصوص ما ورد فی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الخرق و المدر و الکرسف و الحجر، أو أنّه یعمّ کلّ جسم خارجی قالع للنجاسة کأوراق الشجر؟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الالتزام بالعموم فی المقام الأوّل فهل تحصل الطهارة بالمسح بشیء من أعضاء بدنه کمسح الموضع بالأصابع أو یختص حصول الطهارة بالمسح بالأجسام الخارجیة؟</w:t>
      </w:r>
    </w:p>
    <w:p>
      <w:pPr>
        <w:pStyle w:val="BookText"/>
        <w:rPr/>
      </w:pPr>
      <w:r>
        <w:rPr>
          <w:rFonts w:ascii="IRNazanin" w:hAnsi="IRNazanin" w:eastAsia="IRNazanin"/>
          <w:color w:val="111111"/>
          <w:sz w:val="28"/>
          <w:sz w:val="28"/>
          <w:szCs w:val="28"/>
          <w:rtl w:val="true"/>
          <w:lang w:bidi="fa-IR"/>
        </w:rPr>
        <w:t>و ظاهر عبارة الماتن الالتزام بالعموم فی کلّ من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علی الحکم فی المقام الأوّل بدعوی الإجماع المحکیّ عن الخلاف و الغنیة </w:t>
      </w:r>
      <w:r>
        <w:rPr>
          <w:rStyle w:val="FootnoteAnchor"/>
          <w:rtl w:val="true"/>
        </w:rPr>
        <w:footnoteReference w:id="136"/>
      </w:r>
      <w:r>
        <w:rPr>
          <w:rFonts w:ascii="IRNazanin" w:hAnsi="IRNazanin" w:eastAsia="IRNazanin"/>
          <w:color w:val="111111"/>
          <w:sz w:val="28"/>
          <w:sz w:val="28"/>
          <w:szCs w:val="28"/>
          <w:rtl w:val="true"/>
          <w:lang w:bidi="fa-IR"/>
        </w:rPr>
        <w:t xml:space="preserve">، و بما ورد من النهی عن الاستنجاء بالعظم و الروث معلّلاً بأنّهما من طعام الجنّ </w:t>
      </w:r>
      <w:r>
        <w:rPr>
          <w:rStyle w:val="FootnoteAnchor"/>
          <w:rtl w:val="true"/>
        </w:rPr>
        <w:footnoteReference w:id="137"/>
      </w:r>
      <w:r>
        <w:rPr>
          <w:rFonts w:ascii="IRNazanin" w:hAnsi="IRNazanin" w:eastAsia="IRNazanin"/>
          <w:color w:val="111111"/>
          <w:sz w:val="28"/>
          <w:sz w:val="28"/>
          <w:szCs w:val="28"/>
          <w:rtl w:val="true"/>
          <w:lang w:bidi="fa-IR"/>
        </w:rPr>
        <w:t>، فإنّه لو کانت الطهارة مختصّة بالمسح بما ورد فی النصوص لکان تعلیل النهی عن الاستنجاء بهما بعدم کونها طهوراً أنسب، مع أنّ التعلیل المزبور یوحی بما أنّهما من طعام الجن و عدم الاستهانة بطعامهم کان وجهاً لعدم اعتبار الطهارة فی المسح بهما؛ و لذا یقال بعدم جواز الاستنجاء بسائر المحترمات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تعلیل عدم الشیء بالمانع یصحّ فیما إذا کان المقتضی له موجوداً و التعلیل لعدم جواز الاستنجاء بالعظم و الروث من قبیل التعلیل بالمانع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الوجهان ممّا لا یمکن المساعدة علیه، فإنّ الإجماع علی تقدیره فی المقام مدرکیّ و لا أقل من احتمال کونه مدرکیاً، و أنّ المستند فی حکمهم بالعموم،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الثانی أو ما یأتی من الوجهین الآخرین و معه لو کان الإجماع محرزاً لنا بالوجدان لم یکن له اعتبار فضلاً عن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الروایة فهی غیر صالحة للاعتماد علیها، فإنّ فی سندها علی بن خالد، عن أحمد بن عبدوس، عن الحسن بن علی بن فضال، عن المفضل بن صالح، عن لیث المرادی، و المفضل بن صالح ضعیف و علیّ بن خالد و أحمد بن عبدوس الخلنجی لم یثبت لهما توثیق،بل فی متن الروایة ما لا یخفی، فإنّ الجنّ لا یکون لهم طعام و لو کان الجنّ بمعنی آخر فلا بأس بتنجیس ذلک الطعام، و لعلّه لذلک عبّر فی الوسائل بکراهة الاستنجاء بالعظم و الروث </w:t>
      </w:r>
      <w:r>
        <w:rPr>
          <w:rStyle w:val="FootnoteAnchor"/>
          <w:rtl w:val="true"/>
        </w:rPr>
        <w:footnoteReference w:id="138"/>
      </w:r>
      <w:r>
        <w:rPr>
          <w:rFonts w:ascii="IRNazanin" w:hAnsi="IRNazanin" w:eastAsia="IRNazanin"/>
          <w:color w:val="111111"/>
          <w:sz w:val="28"/>
          <w:sz w:val="28"/>
          <w:szCs w:val="28"/>
          <w:rtl w:val="true"/>
          <w:lang w:bidi="fa-IR"/>
        </w:rPr>
        <w:t>، و لکنّ المعنی الآخر للجنّ أو الکراهة ممّا یأباهما ما فی ذیلها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مما اشترطوا علی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أیضاً بکفایة القالع بموثّقة یونس بن یعقوب المتقدمة حیث قال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 ثمّ یتوضّأ مرّتین مرّتین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فإنّ مقتضی الإطلاق فی الأمر بإذهاب الغائط و عدم تقییده بالأشیاء الخاصّة هو إجزاء المسح و الإذهاب بکل قالع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قد تقدّم أنّ الروایة لا إطلاق لها؛ لأنّها وردت فی بیان موضع الوضوء الواجب للصلاة و أنّه بعد الاستنجاء بالبول و الغائط، و أمّا ما یعتبر فی الاستنجاء منهما فلیست ناظرة إلیه، مع أنّ هذه الروایة حتّی علی تقدیر الإطلاق لا تفید فی المقام</w:t>
      </w:r>
    </w:p>
    <w:p>
      <w:pPr>
        <w:pStyle w:val="BookText"/>
        <w:rPr/>
      </w:pPr>
      <w:r>
        <w:rPr>
          <w:rFonts w:ascii="IRNazanin" w:hAnsi="IRNazanin" w:eastAsia="IRNazanin"/>
          <w:color w:val="111111"/>
          <w:sz w:val="28"/>
          <w:sz w:val="28"/>
          <w:szCs w:val="28"/>
          <w:rtl w:val="true"/>
          <w:lang w:bidi="fa-IR"/>
        </w:rPr>
        <w:t>و یعتبر فیه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هو المسح بأعضاء البدن کالأصابع، فإنّ الوضوء الواجب لا یحتمل أن یکون موضعه بعد مسح الموضع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یستدل علی کفایة کلّ قالع بصحیحة ابن المغیرة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للاستنجاء 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ینقی ما ثمّة</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ذیلها فی الوسائل استدل به بعض العلماء علی جواز الاستنجاء بکلّ جسم طاهر مزیل للنجاسة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الاستدلال ظهورها فی أنّ الموضوع لطهارة موضع النجو نقاؤه عن عین النجاسة سواء کان بالمسح بالخرقة أو بغیرها من الأجسام حتّی المسح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هذا الاستدلال بأنّ المراد بالنقاء فیها النقاء بالغسل بالماء، حیث إنّ فی غیره تبقی الأجزاء الصغار من النجو فی الموضع، فکان الأنسب أن یسأل السائل عن بقاء تلک الأجزاء مع أنّه سأل عن بقاء الریح بعد النقاء، فهذا السؤال قرینة علی فرض الغسل و لکن لا یخفی ما فیه، فإنّ السؤال عن بقاء الریح کنایة عن بقاء تلک الأجزاء أو شیء من رطوبتها کما فی صورة المسح بالخرقة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هذا الوجه لا بأس به و مقتضاه الالتزام بجواز المسح فی المقام الثانی أیضاً و أنّه یطهر الموضع بالمسح و لو بالأصابع، و اللّٰه العالم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یحصل بالمسح بالحجر المتنجّس مثلاً رطوبة للحجر بحیث یلاقی الموضع بتلک الرطوبة فاعتبار الطهارة فی الجسم القالع مشکل، و دعوی الارتکاز بأن الفاقد للشیء لا یعطیه تعرضنا لذلک سابقاً و ذکرنا أنّ الارتکاز یتمّ فی المائعات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رطوبة مسریة دون غیره و منه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لو کان القالع متنجّساً بحیث یلاقی مع تنجّسه الموضع رطباً فلا یطهر الموضع بذلک المسح بل یتعین غسله، فإنّ الأخبار المتقدّمة کلّها ناظرة إلی تطهیر الموضع من خروج الغائط خاصة، و أمّا إذا لم یوجب ذلک کما فی المفروض فإخراجه عن إطلاقها بدعوی القرینة الارتکازیة مشکل جدّاً، و دعوی استفادة ذلک من صحیحة زرارة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أی استعمال طهور و ذلک بقرینة ما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یجزئ من الاستنجاء ثلاثة أحجار، و أمّا البول فلا بدّ من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الطهور و لو کان ظاهراً فی الطهارة الحدثیة فی غیر المقام، و لکنه فی المقام بقرینة الذیل بمعنی ما یتطهر به فتدخل الأحجار فی الطهور بهذا المعنی، و قد تقدّم أنّ اعتبار للطاهر فی نفسه المطهر لغیره لا یمکن المساعدة علیها؛ لما تقدّم سابقاً، من أنّ اعتبار الطاهر فی نفسه فی معنی الطهور غیر ثابت، و إنّما یلتزم به فی مثل الماء ممّا یکون فیه الارتکاز العرفی الناشئ من الخطابات الشرعیة من أن الموجب للتنجس لا یکون مطهراً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بالإضافة إلی الطهارة، و أمّا عدم اعتبار البکارة فلأن عدم الفرق بین کون الحجر أو غیره بکراً أو غیر بکر مقتضی الإطلاق فی مثل صحیحة ابن المغیرة المتقدّمة </w:t>
      </w:r>
      <w:r>
        <w:rPr>
          <w:rStyle w:val="FootnoteAnchor"/>
          <w:rtl w:val="true"/>
        </w:rPr>
        <w:footnoteReference w:id="144"/>
      </w:r>
      <w:r>
        <w:rPr>
          <w:rFonts w:ascii="IRNazanin" w:hAnsi="IRNazanin" w:eastAsia="IRNazanin"/>
          <w:color w:val="111111"/>
          <w:sz w:val="28"/>
          <w:sz w:val="28"/>
          <w:szCs w:val="28"/>
          <w:rtl w:val="true"/>
          <w:lang w:bidi="fa-IR"/>
        </w:rPr>
        <w:t xml:space="preserve">،بل صحیحة زرارة الدالة علی إجزاء المسح بثلاثة أحجار </w:t>
      </w:r>
      <w:r>
        <w:rPr>
          <w:rStyle w:val="FootnoteAnchor"/>
          <w:rtl w:val="true"/>
        </w:rPr>
        <w:footnoteReference w:id="145"/>
      </w:r>
      <w:r>
        <w:rPr>
          <w:rFonts w:ascii="IRNazanin" w:hAnsi="IRNazanin" w:eastAsia="IRNazanin"/>
          <w:color w:val="111111"/>
          <w:sz w:val="28"/>
          <w:sz w:val="28"/>
          <w:szCs w:val="28"/>
          <w:rtl w:val="true"/>
          <w:lang w:bidi="fa-IR"/>
        </w:rPr>
        <w:t>نعم ورد فی</w:t>
      </w:r>
    </w:p>
    <w:p>
      <w:pPr>
        <w:pStyle w:val="BookText"/>
        <w:rPr/>
      </w:pPr>
      <w:r>
        <w:rPr>
          <w:rFonts w:ascii="IRNazanin" w:hAnsi="IRNazanin" w:eastAsia="IRNazanin"/>
          <w:color w:val="111111"/>
          <w:sz w:val="28"/>
          <w:sz w:val="28"/>
          <w:szCs w:val="28"/>
          <w:rtl w:val="true"/>
          <w:lang w:bidi="fa-IR"/>
        </w:rPr>
        <w:t>و لا یشترط البکارة فلا یجزی النجس، و یجزی المتنجّس بعد غسله، و لو مسح بالنّجس أو المتنجس لم یطهر بعد ذلک إلّا بالماء، إلّا إذا لم یکن لاقی البشرة بل لاقی عین النجاسة، و یجب فی الغسل بالماء إزالة العین و الأثر بمعنی الأجزاء الصغار التی لا 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اللون و الرائحة، و فی المسح یکفی إزالة العین و لا یضر بقاء الأثر بالمعنی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 فی الاستنجاء بثلاثة أحجار أبکار و یتبع بالماء</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لکنّها لإرسالها و رفعها و عدم عمل المشهور بها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قدس سره بین الاستنجاء بالماء و الاستنجاء بغیره من الجسم القالع، فاعتبر فی طهارة الموضع بالغسل بالماء زوال العین و أثرها، و المراد بالأثر الأجزاء الصغار التی لا تری و لا تتمیّز أعیانها بالبصر، و لکن یُحسّ بقاؤها بلمس الید من وجدان اللزوجة، و لکن الأثر أی ما یری بصورة اللون ممّا لا یزول بالغسل العادی من غیر أن تلمس العین و کذا الرائحة، فلا یعتبر زوالهما، و قد بیّنا أنّ المزیل للعین من الغسل یتحقّق و لو مع بقاء اللون و الرائحة، کما ورد فی غسل الحائض ثوبها ممّا أصابه من الدم أو غیره، هذا بالإضافة إلی الاستنجاء بالغسل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الاستنجاء بالجسم القالع فلا یعتبر فیه زوال الأثر بمعنی الأجزاء الصغار التی لا تتمیّز أعیانها بالبصر و لکن یُحسّ بقاؤها باللمس، فإنّ بقاء هذه الأجزاء فی المسح بالحجر أمر عادی،بل لا تزول عادةً بالمسح به إلّا بالمسح بحیث یذهب الجلد، فما دلّ علی إجزاء المسح بثلاثة أحجار أو غیرها مقتضاه الحکم بطهارة ذلک الأثر تبعاً للحکم بطهارة المحلّ، نظیر الحکم بطهارة باطن الرجل بالمشی علی</w:t>
      </w:r>
      <w:bookmarkStart w:id="71" w:name="pg12061_112371"/>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الاستنجاء بالمحترمات و لا بالعظم و الروث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الاستنجاء بالمحترمات و لا بالعظم و الروث، و لو استنجی بها عصی و لکن یطهر المحلّ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أو مسحها بالأجزاء المتخلفة من النجاسة علی الرجل غیر الممیزة یحکم بطهارتها تبعاً لطهارة الرجل، و نظیر ذلک أیضاً ما التزم القائل بنجاسة الغسالة من أنّ الأجزاء المتخلفة من الغسالة عادة علی الشیء محکومة بالطهارة تبعاً لطهارة المغسول</w:t>
      </w:r>
      <w:r>
        <w:rPr>
          <w:rFonts w:eastAsia="IRNazanin" w:cs="IRNazanin"/>
          <w:color w:val="111111"/>
          <w:sz w:val="28"/>
          <w:szCs w:val="28"/>
          <w:rtl w:val="true"/>
          <w:lang w:bidi="fa-IR"/>
        </w:rPr>
        <w:t>.</w:t>
      </w:r>
    </w:p>
    <w:p>
      <w:pPr>
        <w:pStyle w:val="Heading4"/>
        <w:numPr>
          <w:ilvl w:val="3"/>
          <w:numId w:val="1"/>
        </w:numPr>
        <w:rPr/>
      </w:pPr>
      <w:bookmarkStart w:id="72" w:name="__RefHeading___Toc1723156_417432637"/>
      <w:bookmarkStart w:id="73" w:name="_Toc26"/>
      <w:bookmarkEnd w:id="72"/>
      <w:r>
        <w:rPr>
          <w:rtl w:val="true"/>
        </w:rPr>
        <w:t>الاستنجاء بالعظم و الروث و سائر المحترمات</w:t>
      </w:r>
      <w:bookmarkEnd w:id="73"/>
    </w:p>
    <w:p>
      <w:pPr>
        <w:pStyle w:val="BookText"/>
        <w:rPr/>
      </w:pPr>
      <w:r>
        <w:rPr>
          <w:rFonts w:ascii="IRNazanin" w:hAnsi="IRNazanin" w:eastAsia="IRNazanin"/>
          <w:color w:val="111111"/>
          <w:sz w:val="28"/>
          <w:sz w:val="28"/>
          <w:szCs w:val="28"/>
          <w:rtl w:val="true"/>
          <w:lang w:bidi="fa-IR"/>
        </w:rPr>
        <w:t>و لعلّ الحکم بطهارة المحلّ علی تقدیر الاستنجاء راجع إلی المحترمات لا إلی الروث و العظم، کما هو مقتضی إفراد الضمیر و عدم کون العظم و الروث من المحترمات حتّی فی عرف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فما ذکر قدس سره من حصول الطهارة علی تقدیر الاستنجاء بالإضافة إلی المحترمات صحیح، فمن استنجی بقرطاس ثمّ ظهر أنّه کان مکتوباً فیه اسم الجلالة أو آیه أو حدیث فلا بأس بالالتزام بحصول الطهارة، فإنّ عدم جواز الاستنجاء بها لکون الاستنجاء هتکاً لحرمة القرآن أو الحدیث إلی غیر ذلک، و لا منافاة بین عدم الجواز تکلیفاً و حصول الوضع أخذاً بما دلّ علی طهارة الموضع بالنقاء علی ما هو المقرّر فی محلّه من أنّ النهی عن معاملة تکلیفاً لا یقتضی تقیید إطلاق ما دلّ علی الوضع، یعنی صحتها علی تقدیر إیجادها کغسل المتنجّس بالماء المغصوب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العظم و الروث فظاهر کلمات المشهور عدم حصول الطهارة بهما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کلمات جماعة ما یقتضی أنّ النهی فیهما کالنهی فی المحترمات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تکلیفی؛ و لذا یقال إنّه علی تقدیر الاعتماد علی الإجماع فی مسألة المسح بالروث و العظم فلا بد من الالتزام برعایة عدم الجواز تکلیفاً و عدم الجواز وضعاً؛ لأنّ اتفاق العلماء علی أنّ أحد الحکمین ثابت فیهما یوجب القطع بثبوت أحد الحکمین فی الشریعة المقدّسة و مقتضاه رعایة احتمال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لا یمکن التمسّک بإطلاق موثّقة یونس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ذکره و یذهب الغائط</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 فإن الأمر بإذهاب الغائط لا یعم الإذهاب بهما إمّا لحرمته أو عدم کونه مطهّراً، و مع عدم الإطلاق یراعی المعلوم بالإجمال فی احتمال الحرمة و الوضع و لکن لا یخفی أنّ إطلاق صحیحة ابن المغیرة </w:t>
      </w:r>
      <w:r>
        <w:rPr>
          <w:rStyle w:val="FootnoteAnchor"/>
          <w:rtl w:val="true"/>
        </w:rPr>
        <w:footnoteReference w:id="148"/>
      </w:r>
      <w:r>
        <w:rPr>
          <w:rFonts w:ascii="IRNazanin" w:hAnsi="IRNazanin" w:eastAsia="IRNazanin"/>
          <w:color w:val="111111"/>
          <w:sz w:val="28"/>
          <w:sz w:val="28"/>
          <w:szCs w:val="28"/>
          <w:rtl w:val="true"/>
          <w:lang w:bidi="fa-IR"/>
        </w:rPr>
        <w:t>الواردة فی أنّ حدّ الاستنجاء نقاء الموضع بأیّ مزیل یعیّن المعلوم بالإجمال فی ناحیة الحرمة تکلیفاً، مع أنّ ثبوت أحد الحکمین مع اختلاف المجمعین و نفی بعض الوضع بالالتزام بالتکلیف، و نفی البعض الآخر مع الالتزام بالوضع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أنّه یعتبر أن یکون الاتّفاق علی عدم حکم ثالث للاستنجاء بهما بأن یلتزم کلّ من الطائفتین أنّه علی تقدیر عدم ما التزم به واقعاً، فالواقع ما یلتزم به الآخر، و أمّا مع عدم هذا الاتفاق فلا یفید الإجماع المزبور شیئاً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اعتمد فی عدم جواز المسح بهما علی خبر لیث المرادیّ </w:t>
      </w:r>
      <w:r>
        <w:rPr>
          <w:rStyle w:val="FootnoteAnchor"/>
          <w:rtl w:val="true"/>
        </w:rPr>
        <w:footnoteReference w:id="149"/>
      </w:r>
      <w:r>
        <w:rPr>
          <w:rFonts w:ascii="IRNazanin" w:hAnsi="IRNazanin" w:eastAsia="IRNazanin"/>
          <w:color w:val="111111"/>
          <w:sz w:val="28"/>
          <w:sz w:val="28"/>
          <w:szCs w:val="28"/>
          <w:rtl w:val="true"/>
          <w:lang w:bidi="fa-IR"/>
        </w:rPr>
        <w:t>فقد تقدّم أنّ النهی فیه یناسب التکلیف، فإنّ النهی عن المعاملة و إن کان ظاهره الإرشاد إلی</w:t>
      </w:r>
      <w:bookmarkStart w:id="74" w:name="pg12061_112373"/>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إذا بقیت الرطوبة فی المحلّ یشکل الحکم بالطهارة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إذا بقیت الرطوبة فی المحلّ یشکل الحکم بالطهارة فلیس حالها حال الأجزاء الصغار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إلّا أنّه فیما لم یکن فی البین قرینة علی أنه للتکلیف، و ما ورد فی ذیله من اشتراط الجنّ علی النبی صلی الله علیه و آله قرینة علیه حیث إنّ التطهیر بهما مخالفة و نقض للشرط المزبور کما لا یخفی، و لو أُغمض عن ذلک فلا أقل من کون التعلیل موجباً لإجمال النهی</w:t>
      </w:r>
      <w:r>
        <w:rPr>
          <w:rFonts w:eastAsia="IRNazanin" w:cs="IRNazanin"/>
          <w:color w:val="111111"/>
          <w:sz w:val="28"/>
          <w:szCs w:val="28"/>
          <w:rtl w:val="true"/>
          <w:lang w:bidi="fa-IR"/>
        </w:rPr>
        <w:t>.</w:t>
      </w:r>
    </w:p>
    <w:p>
      <w:pPr>
        <w:pStyle w:val="Heading4"/>
        <w:numPr>
          <w:ilvl w:val="3"/>
          <w:numId w:val="1"/>
        </w:numPr>
        <w:rPr/>
      </w:pPr>
      <w:bookmarkStart w:id="75" w:name="__RefHeading___Toc1723158_417432637"/>
      <w:bookmarkStart w:id="76" w:name="_Toc27"/>
      <w:bookmarkEnd w:id="75"/>
      <w:r>
        <w:rPr>
          <w:rtl w:val="true"/>
        </w:rPr>
        <w:t>فروع الاستنجاء</w:t>
      </w:r>
      <w:bookmarkEnd w:id="76"/>
    </w:p>
    <w:p>
      <w:pPr>
        <w:pStyle w:val="BookText"/>
        <w:rPr/>
      </w:pPr>
      <w:r>
        <w:rPr>
          <w:rFonts w:ascii="IRNazanin" w:hAnsi="IRNazanin" w:eastAsia="IRNazanin"/>
          <w:color w:val="111111"/>
          <w:sz w:val="28"/>
          <w:sz w:val="28"/>
          <w:szCs w:val="28"/>
          <w:rtl w:val="true"/>
          <w:lang w:bidi="fa-IR"/>
        </w:rPr>
        <w:t>المراد بقاء الرطوبة المسریة بحیث لو مسح المخرج بحجر رابع مثلاً لسرت الرطوبة إلی الحجر، و فی مثل ذلک لا یحکم بطهارة المحلّ لعدم حصول النقاء، حیث إنّ الرطوبة المسریة من الغائط أو من توابعه عرفاً فالاستنجاء هو إزالته عن الموضع،بل لو شکّ فی صدق الاستنجاء بدون إزالتها لکان ما دلّ علی أنّ الثوب أو البدن إذا أصابه القذر لا یصلّی فیه حتّی یغسل مقتضاه رعایة إزالتها، حیث إنّ الثابت من رفع الید عن الإطلاق المزبور صورة الاستنجاء الموجب للنقاء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استصحاب بقاء تلک الرطوبة علی نجاستها أو مقتضی ما فی ذیل روایة قاعدة الطهارة من لزوم إحراز طهارة الشیء بعد إحراز قذارته، و قد تقدّم أنّ الاستنجاء مع تحقّقه یوجب طهارة الموضع و ما تخلف علیه من الأجزاء الصغار التی لا تتمیّز کما ذکرنا نظیره فی طهارة باطن الرجل الذی ذکر فی الروایات، أنّ الأرض تطهّرها </w:t>
      </w:r>
      <w:r>
        <w:rPr>
          <w:rStyle w:val="FootnoteAnchor"/>
          <w:rtl w:val="true"/>
        </w:rPr>
        <w:footnoteReference w:id="150"/>
      </w:r>
      <w:r>
        <w:rPr>
          <w:rFonts w:ascii="IRNazanin" w:hAnsi="IRNazanin" w:eastAsia="IRNazanin"/>
          <w:color w:val="111111"/>
          <w:sz w:val="28"/>
          <w:sz w:val="28"/>
          <w:szCs w:val="28"/>
          <w:rtl w:val="true"/>
          <w:lang w:bidi="fa-IR"/>
        </w:rPr>
        <w:t>، و ظاهر صحیحه زرارة جریان السنة فی کلّ من مسح الموضع من الغائط بثلاثة أحجار و مسح الرجلین و عدم لزوم غسلهما،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یعتبر أن لا یکون فی ما یمسح به رطوبة مسریة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الاستنجاء بالمسحات یعتبر أن لا یکون فی ما یمسح به رطوبة مسریة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یجزی مثل الطین و الوصلة المرطوبة، نعم لا تضرّ النداوة التی لا تسری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أثر الغائط بثلاثة أحجار أن یمسح العجان و لا یغسله، و یجوز أن یمسح رجلیه و لا یغسلهما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مضافا إلی ما ورد فی صحیحته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 و یجزیک من الاستنجاء ثلاثة أحجار بذلک جرت السنة من رسول اللّٰه صلی الله علیه و آله ، و أمّا البول فإنّه لا بدّ من غسله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فإنّ ظاهرها أیضاً حصول الطهارة التی لا تکون الصلاة بدونها بالمسح بثلاثة أحجار فی مخرج الغائط، و أمّا مخرج البول فلا بدّ من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احتمال عدم کون الاستنجاء بالأحجار و نحوها مطهّراً،بل یوجب العفو فی الصلاة وهم محض</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مع الرطوبة المسریة له یتنجّس الموضع به، و لیس فی البین ما یدلّ علی کون الاستنجاء مطهراً من ذلک المتنجس،بل لو قیل بعدم تنجّس المحلّ بها؛ لأنّ المتنجّس لا یتنجّس ثانیاً، أیضاً لا یطهر المخرج بعد ذلک إلّا بالغسل فإنّ تعدد التنجس مع الاختلاف فی الأثر لا بأس به، و مع الإغماض عنه فظاهر الروایات کون الاستنجاء مطهّراً للمخرج و أطرافه من التنجس بخروج الغائط، و لا یعمّ ما إذا أصابه نجاسة أُخری بالرطوبة المسریة و إن لم تکن موجبة لتنجّسه ثانیاً، و یترتب علی ذلک أنه لو شرع فی الاستنجاء بالماء و قبل أن یتمّ الغسل المزیل للعین ندم و أراد الاستنجاء بالأحجار، فلا یجوز،بل یتعیّن الاستنجاء بالماء و لا یقاس بإصابة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مع الغائط نجاسة أُخری کالدم أو وصل إلی المحلّ نجاسة من خارج یتعین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مع الغائط نجاسة أُخری کالدم أو وصل إلی المحلّ نجاسة من خارج یتعین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ذلک یبنی علی العدم فیتخیر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المتنجّس بالاستنجاء المحلّ فإن هذا أمر عادیّ للاستنجاء یدخل فی مدلول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مدلول الأخبار طهارة الموضع من التنجّس الناشئ من خروج الغائط و ما هو لازم الاستنجاء بالحجر و نحوه عادة، و أمّا إذا خرج مع الغائط الدم و أصاب من حواشی المخرج أو أصاب نجاسة خارجیة کقطرة البول التی طفرت إلی المخرج فشیء من ذلک غیر منظور فی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لما یقال من أنّ النجاسة الحاصلة بإصابة الغائط مرتفعة قطعاً بمقتضی أدلة الاستنجاء، و النجاسة الحاصلة من غیر الغائط مشکوکة فالأصل عدم حدوثها، فیکون استصحاب النجاسة بعد الاستنجاء من الاستصحاب فی القسم الثالث من الکلّیّ فلا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بعدم تنجّس المتنجّس ثانیاً یکون استصحاب النجاسة بعد الاستنجاء من القسم الثانی فیما لو احتمل إصابة نجاسة أُخری قبل إصابة الغائط، و من القسم الأول فیما لو احتمل طروّها بعد خروج الغائط؛ و ذلک لأنّ النجاسة الحاصلة بالغائط، سواء قیل بتکرّر النجاسة أو بعدم تکرّرها، لا ترتفع بغیر الماء فی صورة إصابة المخرج غیر الغائط أیضاً فیجری استصحاب شخص تلک النجاسة فیما إذا احتمل خروج نجاسة أُخری بعد خروج الغائط، و کلّیّ النجاسة من القسم الثانی فیما إذا احتمل إصابته قبل الغائط،بل شخص تلک النجاسة أیضاً بناءً علی تکرّرها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الوجه فی الحکم بالتخییر جریان الأصل الموضوعی فی ناحیة ما أصاب</w:t>
      </w:r>
      <w:bookmarkStart w:id="77" w:name="pg12061_112376"/>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بیت الخلاء ثمّ شکّ فی أنه استنجی أم لا 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بیت الخلاء ثمّ شکّ فی أنه استنجی أم لا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و إن کان من عادته،بل و کذا لو دخل فی الصلاة ثمّ شکّ، نعم لو شکّ فی ذلک بعد تمام الصلاة صحّت و لکن علیه الاستنجاء للصلوات الآتیة لکن لا یبعد جریان قاعدة التجاوز فی صورة الاعتیاد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فإنّ الشارع قد حکم بطهارة المخرج بالأحجار و نحوها فیما إذا أصابه الغائط و لم تُصبه نجاسة أُخری قبله أو یعده، و إصابة الغائط المخرج محرزة بالوجدان، و الأصل عدم إصابته غیر الغائط فیترتّب علی ذلک ارتفاع نجاسته علی ما أوضحنا ذلک فی البحث عن الاستصحاب فی أقسام الکلی و هذا معنی البناء علی العدم</w:t>
      </w:r>
      <w:r>
        <w:rPr>
          <w:rFonts w:eastAsia="IRNazanin" w:cs="IRNazanin"/>
          <w:color w:val="111111"/>
          <w:sz w:val="28"/>
          <w:szCs w:val="28"/>
          <w:rtl w:val="true"/>
          <w:lang w:bidi="fa-IR"/>
        </w:rPr>
        <w:t>.</w:t>
      </w:r>
    </w:p>
    <w:p>
      <w:pPr>
        <w:pStyle w:val="Heading4"/>
        <w:numPr>
          <w:ilvl w:val="3"/>
          <w:numId w:val="1"/>
        </w:numPr>
        <w:rPr/>
      </w:pPr>
      <w:bookmarkStart w:id="78" w:name="__RefHeading___Toc1723160_417432637"/>
      <w:bookmarkStart w:id="79" w:name="_Toc28"/>
      <w:bookmarkEnd w:id="78"/>
      <w:r>
        <w:rPr>
          <w:rtl w:val="true"/>
        </w:rPr>
        <w:t>الشکّ فی الاستنجاء</w:t>
      </w:r>
      <w:bookmarkEnd w:id="79"/>
    </w:p>
    <w:p>
      <w:pPr>
        <w:pStyle w:val="BookText"/>
        <w:rPr/>
      </w:pPr>
      <w:r>
        <w:rPr>
          <w:rFonts w:ascii="IRNazanin" w:hAnsi="IRNazanin" w:eastAsia="IRNazanin"/>
          <w:color w:val="111111"/>
          <w:sz w:val="28"/>
          <w:sz w:val="28"/>
          <w:szCs w:val="28"/>
          <w:rtl w:val="true"/>
          <w:lang w:bidi="fa-IR"/>
        </w:rPr>
        <w:t>أخذاً باستصحاب عدم الاستنجاء فیترتّب علیه بقاء الموضع علی تنجّسه، بلا فرق بین کون عادته علی الاستنجاء قبل الخروج من بیت الخلاء أو عدمه، و بلا فرق بین أن یکون شکّه فی الاستنجاء قبل الدخول فی الصلاة أو کان شکّه فی أثنائها، و لیعلم أنّ المفروض فی المقام هو الشکّ فی الاستنجاء، و لو کانت عادته بحیث توجب الاطمینان له بأنّه قد استنجی فلا کلام؛ لاعتبار الوثوق و الاطمینان فی الموضوعات أیضاً، إلّا فی موارد الدعاوی و نحوها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احتمل فی مورد الشکّ فی الاستنجاء بجریان قاعدة التجاوز، فیما إذا کان من عادته الاستنجاء قبل الخروج من الخلاء أو فیما إذا دخل فی الصلاة و لو لم یکن من عادته الاستنجاء قبل الخروج منه،بدعوی جریان قاعدة التجاوز؛ لتجاوز المحل العادی له فی فرض العادة به قبل الخروج من الخلاء، و تجاوز محلة الشرعی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فیها، فإنّ قاعدة الفراغ و التجاوز یختصّ جریانهما بموردین، بمعنی أن الدلیل علی اعتبارهما لا یعمّ غیر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أُحرز أصل العمل و شکّ بعد الفراغ من أصل العمل فی صحّته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تجاوز المحل الشرعی للشیء بأن دخل فیما یترتّب علیه بحیث لو أتی بالمشکوک بعده بطل، و علیه فلا مورد لقاعدة الفراغ و التجاوز فی الاستنجاء؛ لعدم إحراز أصل وجوده فی الفرض، و عدم المحلّ الشرعی له فإنّ الصلاة مشروطة بوقوع الاستنجاء قبلها، و أمّا الاستنجاء فلا یعتبر فیه وقوعه قبل الصلاة فإنّه لو أتی به فی أی وقت حتّی أثناء الصلاة فالاستنجاء صحیح، و الصلاة تکون باطلة لعدم الطهارة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یقال إنّه إذا شکّ فی الاستنجاء أثناء الصلاة، و قطع صلاته بحصول الشک من غیر الإتیان بالمبطل من الانحراف عن القبلة و کشف العورة و استنجی، بحیث لم یعدّ عملاً کثیراً و أتی ببقیة الصلاة صحّت صلاته، أمّا الأجزاء المأتی بها قبل الشکّ لجریان قاعدة الفراغ فیها حیث یحتمل وقوعها مع الاستنجاء، و أمّا الأجزاء الباقیة فلإحراز الاستنجاء بالإضافة إلیها بالوجدان، و أمّا الآنات المتخلّلة بین الأجزاء قبل الشکّ و الأجزاء بعد الاستنجاء فلا یعلم اعتبار الطهارة الخبثیة فیها لو لم نقل بأنّه یستفاد من صحیحة زرارة الواردة فی من رأی النجاسة أثناء صلاته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تقدّم عند التکلّم فی صحیحة زرارة أنّ مدلولها عدم اعتبار الطهارة</w:t>
      </w:r>
    </w:p>
    <w:p>
      <w:pPr>
        <w:pStyle w:val="BookText"/>
        <w:rPr/>
      </w:pPr>
      <w:r>
        <w:rPr>
          <w:rFonts w:ascii="IRNazanin" w:hAnsi="IRNazanin" w:eastAsia="IRNazanin"/>
          <w:color w:val="111111"/>
          <w:sz w:val="28"/>
          <w:sz w:val="28"/>
          <w:szCs w:val="28"/>
          <w:rtl w:val="true"/>
          <w:lang w:bidi="fa-IR"/>
        </w:rPr>
        <w:t>الخبثیة فی الآنات المتخلّلة فیما إذا احتمل طرو تلک النجاسة أثناء الصلاة، و فی ما نحن فیه نجاسة البدن علی تقدیرها حاصلة قبل الصلاة جزماً فلا یدخل الفرض فی مدلولها، و ذکرنا أنّ ما یدل علی اشتراط الصلاة أو غیرها بشیء ظاهرها اعتبار ذلک الشیء حتّی فی الآنات المتخلّلة بین أجزائها،بل ربّما یقال إنّه لو لم یعتبر الطهارة فی الآنات المتخلّلة حتّی فی الفرض فالاستنجاء أثناء الصلاة لغو محض لا یترتب علیه صحة الصلاة؛ فإنّ المکلّف لو کان احتمال استنجائه قبل الخروج من الخلاء مصادفاً للواقع فصلاته صحیحة بلا حاجة إلی الاستنجاء أثناء الصلاة، و إن لم یکن مصادفاً للواقع فصلاته باطلة لوقوع الأجزاء السابقة من الصلاة مع نجاسة البدن نسیاناً، و لکن یکفی فی عدم لغویّة العمل ترتّب انقطاع الأصل الجاری لولاه مثلاً إذا علم بنجاسة أحد طرفی الثوب و لاقی أحد طرفیه الماء القلیل یحکم بطهارة ذلک الماء لقاعدة الطهارة أو لاستصحاب عدم ملاقاته النجاسة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غسل من الثوب المزبور طرفه الآخر و أُلقی بعد غسله فی الماء الذی لاقی الطرف غیر المغسول أوّلاً یحکم بنجاسة ذلک الماء؛ لأنّه لاقی الموضع من الثوب الذی کان متنجّساً، و مقتضی الاستصحاب بقاء ذلک الموضع علی نجاسته فلا یبقی لأصالة الطهارة أو لاستصحاب عدم ملاقاته النجاسة مجال، مع أنّا نعلم أنّ إلقاء الطرف المغسول لا أثر له فی تنجس الماء واقعاً، فإنّ الطرف الأوّل من الثوب لو کان نجساً فالماء متنجّس من الأوّل، و إن کان طاهراً فالماء باقٍ علی طهارته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الدلک بالید فی مخرج البول عند 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الدلک بالید فی مخرج البول عند الاستنجاء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خروج مثل المذی بنی علی عدمه، لکن الأحوط الدلک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یتنجس بملاقاة الطرف المغسول، و ذکرنا فی الجواب عن الشبهة العبائیة أنّه یکفی فی جریان الأصل و العمل علی طبقه ارتفاع الموضوع لأصل آخر و لو لم یکن للعمل المزبور تأثیر بالإضافة إلی الحکم الواقعی و الاستنجاء أثناء الصلاة من هذا القبیل، حیث و إن لم یکن له تأثیر فی الحکم الواقعی إلّا أنّه یوجب انقطاع استصحاب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شکّ فی الاستنجاء بعد الفراغ من صلاته فالصلاة المزبورة محکومة بالصحّة لاحتمال وقوعها مع الاستنجاء، و لکن قاعدة الفراغ فی الصلاة مفادها تمامیّة تلک الصلاة لا وقوع الاستنجاء خارجاً بعد التخلّی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قاعدة الفراغ تصحّح الصلاة المفروغ عنها بحصول تقیّدها بالاستنجاء و لکن لا تثبت نفس الاستنجاء بعد التخلّی؛ و لذا یکون علیه الاستنجاء للصلوات الآتیة، و یأتی مزید بیان لذلک فی مسألة الشکّ فی التوضؤ بعد الفراغ من الصلاة و نذکر أنّه لو کان جازماً بغفلته عن حاله حال الصلاة یشکل عند جماعة جریان القاعدة فی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اعتبار الدلک فی غسل مخرج البول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لعدم لزوجة للبول حتّی تحتاج إزالته إلی الدلک، نعم إذا شکّ فی خروج ما یمنع عن وصول الماء إلی الموضع المتنجّس من المخرج قبل البول فلا بدّ من دلکه لإحراز وصول الماء إلی البشرة المحقّق لغسلها، و لا یکفی استصحاب عدم المانع عن وصول الماء إلیها حیث إنّ ترتب وصول الماء إلیها علی عدم المانع عقلی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مسح مخرج الغائط بالأرض ثلاث مرّات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مسح مخرج الغائط بالأرض ثلاث مرّات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زوال العین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أصالة عدم المانع مع إحراز المقتضی للشیء أصل عقلائیّ لم یردع عنه الشرع أو جریان السیرة المتشرّعة باحتمال عدم المانع من وصول الماء فی غسل البدن و غیره و لا یحتمل انقطاعها و عدم اتصالها إلی زمان المعصومین علیهم السلام لا یمکن المساعدة علیها، فإنّه لم یثبت سیرة من العقلاء علی 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المانع إلّا من الوثوق بعدمه، أو لعدم احتماله و لو للغفلة، و کذلک لم تثبت سیرة المتشرّعة فضلاً عن استمرارها إلّا مع الاطمینان أو عدم الاحتمال و لو للغفلة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مقتضی استصحاب عدم وصول الماء إلی البشرة بقاء الموضع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مسح المخرج بالأرض أو غیرها من القالع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یدی بالحائط، و بتعبیر آخر لا یعتبر فی طهارة المخرج إمرار الجسم القالع علی المخرج بل یکفی إمراره علی الجسم القالع لصدق المسح بالقالع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مسح الشیء بالشیء جعل الأول ممسوحاً و الثانی ماسحاً، إلّا مع القرینة علی الخلاف کما فی مسح الید بالحائط؛ و لذا یعتبر فی الوضوء إمرار بلّة الید علی ظاهر الرجل، و کذا فی الرأس حیث إنّ الباء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بمعنی جعل بعض الرأس ممسوحاً لا بمعنی جعل الرأس ماسحاً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الاستنجاء بما یشکّ فی کونه عظماً أو روثاً أو من المحترمات و یطهر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الاستنجاء بما یشکّ فی کونه عظماً أو روثاً أو من المحترمات و یطهر المحلّ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 فی کون مائع ماءً مطلقاً أو مضافاً لم یکفِ فی الطهارة،بل لا بدّ من العلم بکونه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ما ذکر و لم نقل بأنّ الأمر بالعکس فیحتاج اعتبار الثانی ماسحاً إلی القرینة، فمقتضی مناسبة الحکم و الموضوع فی المقام حیث إنّها إزالة أثر الغائط من غیر غسل أن یفهم الفرق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ما قیل بإطلاق الروایات حیث إنّ الوارد فی الصحیحة الأُولی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من الاستنجاء ثلاثة أحجار</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و مقتضی إطلاقها کونها ماسحة أو ممسوحة، و کذلک صحیحته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فی أثر الغائط بثلاثة أحجار أن یمسح العجان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فإنّ مقتضاها مسح العجان أعمّ من أن یکون الموضع ماسحاً أو ممسوحاً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موثّقة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التمسّح بالأحجار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علی علیه السلام یمسح بثلاثة أحجار</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فحکایة فعل و لا نظر لها إلّا علی عدم اعتبار الغسل و جواز المسح المزبور لا عدم جواز غیر ذلک المسح، و لکنّ الإنصاف ظهور الصحیحة الثانیة فی کون العجان ممسوحاً لا ینبغی التأمل فیه فالوجه فی عدم الفرق ما تقدّم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قلنا بأنّ العظم و الروث و سائر المحترمات من الجسم القالع یطهر الموضع بمسحه بها، و إنّما یحرم المسح تکلیفاً ففی مورد الشکّ فی کون جسم عظماً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روثاً و من سائر المحترمات یرجع إلی أصالة الحلّ، و لو قیل بعدم حصول الطهارة للموضع بالمسح بهما بل بسائر المحترمات، فإنّ جری الاستصحاب فی الأعدام الأزلیّة یمکن الحکم بحصول الطهارة؛ لأنّ الجسم المزبور لم یکن عظماً أو روثاً و لو قبل وجوده فیحتمل عدم کونه عظماً أو روثاً بعد وجوده أیضاً، فیثبت النقاء بالمسح به؛ لأنّ الشارع قد حکم بالنقاء بالمسح بکلّ جسم ینفی عنه عنوان العظم و الروث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المقام نعتی أی بمفاد السالبة بانتفاء المحمول؛ لأنّ هذا الموجود کان سابقاً غیر روث کالعلف و نحوه فیصح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الموجود لم یکن فی بعض زمانه روثاً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تعدد الوجود فی موارد الاستحالة حتّی عرفاً و أنّ الوجود المستحال إلیه وجود آخر قد تبدّل إلیه الموجود الأوّل، و علیه فالاستصحاب بمفاد السالبة بانتفاء الموضوع، و لکنّ إحراز السالبة بانتفاء المحمول باستصحابها لا یکون من المثبت علی ما أوضحناه فی بحث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الاستصحاب النعتی یمکن فی بعض المحترمات کالورق حیث کان و لم یکن مکتوباً فیه اسم الجلالة و نحوه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فمع الاستصحاب بنحو العدم الأزلی أو النعتی لا تصل النوبة إلی استصحاب نجاسة الموضع و لا لقاعدة الحلیة فی المسح بالمشکوک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إذا شک أنّ ما یغسل به ثوبه المتنجس أو بدنه أو غیره ماءً أو مضافاً، فإنّ استصحاب عدم کونه مضافاً لا یثبت کونه ماءً و المطهّر من الخبث و الحدث هو الماء</w:t>
      </w:r>
      <w:r>
        <w:rPr>
          <w:rFonts w:eastAsia="IRNazanin" w:cs="IRNazanin"/>
          <w:color w:val="111111"/>
          <w:sz w:val="28"/>
          <w:szCs w:val="28"/>
          <w:rtl w:val="true"/>
          <w:lang w:bidi="fa-IR"/>
        </w:rPr>
        <w:t>.</w:t>
      </w:r>
      <w:bookmarkStart w:id="80" w:name="pg12061_112383"/>
    </w:p>
    <w:p>
      <w:pPr>
        <w:pStyle w:val="Heading3"/>
        <w:numPr>
          <w:ilvl w:val="2"/>
          <w:numId w:val="1"/>
        </w:numPr>
        <w:rPr/>
      </w:pPr>
      <w:bookmarkStart w:id="81" w:name="__RefHeading___Toc1723162_417432637"/>
      <w:bookmarkStart w:id="82" w:name="_Toc29"/>
      <w:bookmarkEnd w:id="80"/>
      <w:bookmarkEnd w:id="81"/>
      <w:r>
        <w:rPr>
          <w:rtl w:val="true"/>
        </w:rPr>
        <w:t>فصل فی الاستبراء</w:t>
      </w:r>
      <w:bookmarkEnd w:id="82"/>
    </w:p>
    <w:p>
      <w:pPr>
        <w:pStyle w:val="Heading4"/>
        <w:numPr>
          <w:ilvl w:val="3"/>
          <w:numId w:val="1"/>
        </w:numPr>
        <w:rPr/>
      </w:pPr>
      <w:bookmarkStart w:id="83" w:name="__RefHeading___Toc1723164_417432637"/>
      <w:bookmarkStart w:id="84" w:name="_Toc30"/>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الأولی فی کیفیاته أن یصبر حتی تنقطع دریرة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یبدأ بمخرج الغائط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الاستبراء</w:t>
      </w:r>
    </w:p>
    <w:p>
      <w:pPr>
        <w:pStyle w:val="BookText"/>
        <w:rPr/>
      </w:pPr>
      <w:r>
        <w:rPr>
          <w:rFonts w:ascii="IRNazanin" w:hAnsi="IRNazanin" w:eastAsia="IRNazanin"/>
          <w:color w:val="111111"/>
          <w:sz w:val="28"/>
          <w:sz w:val="28"/>
          <w:szCs w:val="28"/>
          <w:rtl w:val="true"/>
          <w:lang w:bidi="fa-IR"/>
        </w:rPr>
        <w:t>الصبر إلی أن تنقطع دریرة البول متعیّن؛ لأنّ الاستبراء لا یتحقّق إلّا بعد انقطاعه فإنّه بمعنی إخراج ما یحتمل تخلُّفه فی المجری من قطرة أو قطرات البول، کما هو ظاهر الاستبراء من البول عند المتشرّعة و یشیر إلیه ما فی معتبرة عبد الملک بن عمرو عن أبی عبد اللّه علیه السلام فی الرجل یبول ثمّ یستنجی ثمّ یجد بعد ذلک بللاً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فخرط ما بین المقعدة و الاُنثیین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الخ، حیث إنّ تفریع الإمام علیه السلام الخرط علی البول یناسب ما فی الأذهان من کون الاستبراء بعد انقطاع دریرة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الصبر إلی انقطاعها لا یدخل فی الأولی فی عبارة الماتن،بل الأولی راجع إلی کیفیّة الاستبراء لا إلی مورده</w:t>
      </w:r>
      <w:r>
        <w:rPr>
          <w:rFonts w:eastAsia="IRNazanin" w:cs="IRNazanin"/>
          <w:color w:val="111111"/>
          <w:sz w:val="28"/>
          <w:szCs w:val="28"/>
          <w:rtl w:val="true"/>
          <w:lang w:bidi="fa-IR"/>
        </w:rPr>
        <w:t>.</w:t>
      </w:r>
    </w:p>
    <w:p>
      <w:pPr>
        <w:pStyle w:val="Heading4"/>
        <w:numPr>
          <w:ilvl w:val="3"/>
          <w:numId w:val="1"/>
        </w:numPr>
        <w:rPr/>
      </w:pPr>
      <w:bookmarkStart w:id="85" w:name="__RefHeading___Toc1723166_417432637"/>
      <w:bookmarkStart w:id="86" w:name="_Toc31"/>
      <w:bookmarkEnd w:id="85"/>
      <w:r>
        <w:rPr>
          <w:rtl w:val="true"/>
        </w:rPr>
        <w:t>کیفیّة الاستبراء</w:t>
      </w:r>
      <w:bookmarkEnd w:id="86"/>
    </w:p>
    <w:p>
      <w:pPr>
        <w:pStyle w:val="BookText"/>
        <w:rPr/>
      </w:pPr>
      <w:r>
        <w:rPr>
          <w:rFonts w:ascii="IRNazanin" w:hAnsi="IRNazanin" w:eastAsia="IRNazanin"/>
          <w:color w:val="111111"/>
          <w:sz w:val="28"/>
          <w:sz w:val="28"/>
          <w:szCs w:val="28"/>
          <w:rtl w:val="true"/>
          <w:lang w:bidi="fa-IR"/>
        </w:rPr>
        <w:t>قد ورد فی بعض الروایات تقدیم استنجاء مخرج الغائط علی الاستنجاء بالبول و لکن تقدیمه علی الاستبراء من البول لم یرد فی روایة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بأنّ تقدیمه علیه أیضاً لئلا تتلوّث الید أو موضع الاستبراء بنجاسة</w:t>
      </w:r>
    </w:p>
    <w:p>
      <w:pPr>
        <w:pStyle w:val="BookText"/>
        <w:rPr/>
      </w:pPr>
      <w:r>
        <w:rPr>
          <w:rFonts w:ascii="IRNazanin" w:hAnsi="IRNazanin" w:eastAsia="IRNazanin"/>
          <w:color w:val="111111"/>
          <w:sz w:val="28"/>
          <w:sz w:val="28"/>
          <w:szCs w:val="28"/>
          <w:rtl w:val="true"/>
          <w:lang w:bidi="fa-IR"/>
        </w:rPr>
        <w:t>ثمّ یضع إصبعه الوسطی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المخرج لا یقتضی الأولویّة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دعوی أنّ ما یدلّ علی تقدیم الاستنجاء من الغائط علی الاستنجاء و بالبول یقتضی تقدیمه علی الاستبراء من البول؛ لأنّ الاستبراء بالبول من شئون الاستنجاء من البول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الأولویّة الشرعیّة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وضع الإصبع الوسطی علی مخرج الغائط فقد ورد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 فلیضع إصبعه الوسطی فی أصل العجان ثمّ یسلّها ثلاثاً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و الروایة موجودة فی النسخة المسمّاة فعلاً بالأشعثیات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أنّ النسخة المزبورة هی بعینها کتب إسماعیل بن موسی بن جعفر علیه السلام التی یرویها عن أبیه موسی بن جعفر عن آبائه علیه و علیهم السلام، و وصلت تلک الکتب إلی محمّد بن الأشعث الکوفیّ قراءة عن موسی بن اسماعیل بن موسی بن جعفر علیه السلام و لکن کون النسخة المسمّاة بعینها تلک الکتب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هذه الروایة عن محمّد بن محمّد بن الأشعث السیّد فضل الراوندی فی نوادره، عن عبد الواحد بن إسماعیل بن الرویانی، عن محمّد بن الحسن التمیمی، عن سهل بن أحمد بن سهل الدیباجی، راوی النسخة عن محمّد بن محمّد بن الأشعث، و لکن فی السند تأمّل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الاستبراء بالید الیسری فقد ورد فی بعض الروایات التی لا یبعد</w:t>
      </w:r>
    </w:p>
    <w:p>
      <w:pPr>
        <w:pStyle w:val="BookText"/>
        <w:rPr/>
      </w:pPr>
      <w:r>
        <w:rPr>
          <w:rFonts w:ascii="IRNazanin" w:hAnsi="IRNazanin" w:eastAsia="IRNazanin"/>
          <w:color w:val="111111"/>
          <w:sz w:val="28"/>
          <w:sz w:val="28"/>
          <w:szCs w:val="28"/>
          <w:rtl w:val="true"/>
          <w:lang w:bidi="fa-IR"/>
        </w:rPr>
        <w:t>من الید الیسری علی مخرج الغائط و یمسح إلی أصل الذکر ثلاث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اعتبارها ما ظاهره کراهة الاستنجاء بالیمین علی ما یأتی نقلها و تأییدها بغیرها، إلّا أنّ کون الاستبراء أیضاً بالیمنی کالاستنجاء بها فلم نجد له غیر مرسلة الصدوق التی رواها مقطوعاً،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الرجل فلا یمسّ ذکره بیمینه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ما رواه العامّة عن عائشة کانت ید رسول اللّٰه الیمنی لطعامه و طهوره و یده الیُسری للاستنجاء </w:t>
      </w:r>
      <w:r>
        <w:rPr>
          <w:rStyle w:val="FootnoteAnchor"/>
          <w:rtl w:val="true"/>
        </w:rPr>
        <w:footnoteReference w:id="161"/>
      </w:r>
      <w:r>
        <w:rPr>
          <w:rFonts w:ascii="IRNazanin" w:hAnsi="IRNazanin" w:eastAsia="IRNazanin"/>
          <w:color w:val="111111"/>
          <w:sz w:val="28"/>
          <w:sz w:val="28"/>
          <w:szCs w:val="28"/>
          <w:rtl w:val="true"/>
          <w:lang w:bidi="fa-IR"/>
        </w:rPr>
        <w:t xml:space="preserve">، و کان النبی صلی الله علیه و آله استحبّ أن یجعل الیُمنی لما علا من الأُمور و الیسری لما دنا </w:t>
      </w:r>
      <w:r>
        <w:rPr>
          <w:rStyle w:val="FootnoteAnchor"/>
          <w:rtl w:val="true"/>
        </w:rPr>
        <w:footnoteReference w:id="162"/>
      </w:r>
      <w:r>
        <w:rPr>
          <w:rFonts w:ascii="IRNazanin" w:hAnsi="IRNazanin" w:eastAsia="IRNazanin"/>
          <w:color w:val="111111"/>
          <w:sz w:val="28"/>
          <w:sz w:val="28"/>
          <w:szCs w:val="28"/>
          <w:rtl w:val="true"/>
          <w:lang w:bidi="fa-IR"/>
        </w:rPr>
        <w:t>، و لکن إثبات استحباب وضع الإصبع الوسطی و من الید الیسری فی الاستبراء بمثل ما ذکر مبنی علی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الأصحاب فی بیان الاستبراء مختلفة، و قد نسب </w:t>
      </w:r>
      <w:r>
        <w:rPr>
          <w:rStyle w:val="FootnoteAnchor"/>
          <w:rtl w:val="true"/>
        </w:rPr>
        <w:footnoteReference w:id="163"/>
      </w:r>
      <w:r>
        <w:rPr>
          <w:rFonts w:ascii="IRNazanin" w:hAnsi="IRNazanin" w:eastAsia="IRNazanin"/>
          <w:color w:val="111111"/>
          <w:sz w:val="28"/>
          <w:sz w:val="28"/>
          <w:szCs w:val="28"/>
          <w:rtl w:val="true"/>
          <w:lang w:bidi="fa-IR"/>
        </w:rPr>
        <w:t>إلی المشهور ما ذکره الماتن قدس سره من أنّه یمسح من مخرج الغائط إلی أصل الذکر ثلاث مرّات، و یمسح القضیب ثلاث مرات و یعصر الحشفة و ینترها ثلاثاً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جماعة </w:t>
      </w:r>
      <w:r>
        <w:rPr>
          <w:rStyle w:val="FootnoteAnchor"/>
          <w:rtl w:val="true"/>
        </w:rPr>
        <w:footnoteReference w:id="164"/>
      </w:r>
      <w:r>
        <w:rPr>
          <w:rFonts w:ascii="IRNazanin" w:hAnsi="IRNazanin" w:eastAsia="IRNazanin"/>
          <w:color w:val="111111"/>
          <w:sz w:val="28"/>
          <w:sz w:val="28"/>
          <w:szCs w:val="28"/>
          <w:rtl w:val="true"/>
          <w:lang w:bidi="fa-IR"/>
        </w:rPr>
        <w:t xml:space="preserve">کفایة الستّ بأن یمسح من مخرج الغائط إلی أصل القضیب ثلاثاً ثمّ ینتر القضیب ثلاثاً، و المنسوب </w:t>
      </w:r>
      <w:r>
        <w:rPr>
          <w:rStyle w:val="FootnoteAnchor"/>
          <w:rtl w:val="true"/>
        </w:rPr>
        <w:footnoteReference w:id="165"/>
      </w:r>
      <w:r>
        <w:rPr>
          <w:rFonts w:ascii="IRNazanin" w:hAnsi="IRNazanin" w:eastAsia="IRNazanin"/>
          <w:color w:val="111111"/>
          <w:sz w:val="28"/>
          <w:sz w:val="28"/>
          <w:szCs w:val="28"/>
          <w:rtl w:val="true"/>
          <w:lang w:bidi="fa-IR"/>
        </w:rPr>
        <w:t>إلی السید و ابن الجنید اعتبار المسح ثلاث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مرات،بأن ینتر الذکر من أصله إلی طرفه ثلاثاً، و لعلّ مرادهما من أصل القضیب هی العروق التی یقوم علیها القضیب و الحشفة داخلة فی المغیّا فیتّحد مع ما ذکره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یمسح بإصبعه الوسطی تحت انثییه إلی أصل القضیب مرّتین أو ثلاثاً ثمّ یضع مسبحته تحت القضیب و إبهامه فوقه و یمرّهما علیه باعتماد قویّ من أصله إلی رأس الحشفة مرّة أو مرّتین أو ثلاثاً لیخرج ما فیه من بقیّة البول </w:t>
      </w:r>
      <w:r>
        <w:rPr>
          <w:rStyle w:val="FootnoteAnchor"/>
          <w:rtl w:val="true"/>
        </w:rPr>
        <w:footnoteReference w:id="166"/>
      </w:r>
      <w:r>
        <w:rPr>
          <w:rFonts w:ascii="IRNazanin" w:hAnsi="IRNazanin" w:eastAsia="IRNazanin"/>
          <w:color w:val="111111"/>
          <w:sz w:val="28"/>
          <w:sz w:val="28"/>
          <w:szCs w:val="28"/>
          <w:rtl w:val="true"/>
          <w:lang w:bidi="fa-IR"/>
        </w:rPr>
        <w:t>، و ظاهره أنّ اللازم فی الاستبراء مسح ما بین مخرج النجو و الأُنثیین مرّة ثمّ مسح القضیب مرّة أُخری، حیث إنّ التخییر بین الأقل و الأکثر غیر معهود و لا أقلّ فی مثل المقام، إلّا أن یحمل کلامه علی الوثوق بعدم بقاء شیء من البول فی المخرج فإن حصل بواحد فهو، و إلّا یکرّره ثانیاً أو ثالثاً و لکن مع التفریق بین مسحات ما بین مخرج الغائط إلی أصل القضیب و بین مسحات القضیب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بدّ من ملاحظة الروایات حتّی یستظهر منها ما هو المعتبر فی الاستبراء و فی معتبرة عبد الملک بن عمرو عن أبی عبد اللّه علیه السلام فی الرجل یبول ثمّ یستنجی ثمّ یجد بعد ذلک بللاً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فخرط ما بین المقعدة و الأُنثیین ثلاث مرّات و غمز ما بینهما ثمّ استنجی فإن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القضیب و رجوع ضمیر التثنیة إلی الأُنثیین و ترک التعبیر بالذکر أو القضیب رعایة لعفّة التعبیر، و المراد بغمزه مسحه بنحو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الجواهر </w:t>
      </w:r>
      <w:r>
        <w:rPr>
          <w:rStyle w:val="FootnoteAnchor"/>
          <w:rtl w:val="true"/>
        </w:rPr>
        <w:footnoteReference w:id="168"/>
      </w:r>
      <w:r>
        <w:rPr>
          <w:rFonts w:ascii="IRNazanin" w:hAnsi="IRNazanin" w:eastAsia="IRNazanin"/>
          <w:color w:val="111111"/>
          <w:sz w:val="28"/>
          <w:sz w:val="28"/>
          <w:szCs w:val="28"/>
          <w:rtl w:val="true"/>
          <w:lang w:bidi="fa-IR"/>
        </w:rPr>
        <w:t>أنّ ظاهرها عصر ما بین المقعدة و أصل القضیب فلا بدّ من طرحها؛ إذ لم یقل أحد باعتبار العصر المزبور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فلم یذکر فی الروایة عصر الحشفة إلّا أن یراد بما بینهما تمام القضیب من أصله إلی منتهاه، نعم لا یمکن استظهار الترتیب بین مسحات ما بین المقعدة و أصل الذکر و مسحات أو مسح الذکر، و فی مصحّحة حفص بن البختری عن أبی عبد اللّه علیه السلام فی الرجل یبول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 ثلاثاً ثمّ إن سال حتّی یبلغ السوق فلا یبالی</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و هذه الروایة لم یذکر فیها مسح ما بین مخرج النجو إلی أصل القضیب، إلّا أن یقال إنّ الضمیر فی ینتره یرجع إلی البول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و نتر البول جذبه و إخراجه عن المجری، و من الظاهر أنّ جذب البول الباقی فی المجری ثلاثاً یقتضی مسح ما بین المقعدة و أصل القضیب أیضاً فی المسحات الثلاث، و باعتبار المسحات الثلاث حتّی فی القضیب أی الحشفة یفید إطلاق معتبرة عبد الملک لو قیل بإطلاقها و عدم ظهورها فی نتره ثلاثاً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بال و لم یکن معه 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یعصر أصل ذکره إلی طرفه ثلاث عصرات و ینتر طرفه فإن خرج بعد ذلک شیء فلیس من البول و لکنّه من الحبائل</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یضع سبّابته فوق الذکر و إبهامه تحته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من أصل الذکر فیها هی العروق التی یقوم القضیب علیها فیتّحد مضمونها مع معتبرة عبد الملک بن عمرو </w:t>
      </w:r>
      <w:r>
        <w:rPr>
          <w:rStyle w:val="FootnoteAnchor"/>
          <w:rtl w:val="true"/>
        </w:rPr>
        <w:footnoteReference w:id="172"/>
      </w:r>
      <w:r>
        <w:rPr>
          <w:rFonts w:ascii="IRNazanin" w:hAnsi="IRNazanin" w:eastAsia="IRNazanin"/>
          <w:color w:val="111111"/>
          <w:sz w:val="28"/>
          <w:sz w:val="28"/>
          <w:szCs w:val="28"/>
          <w:rtl w:val="true"/>
          <w:lang w:bidi="fa-IR"/>
        </w:rPr>
        <w:t xml:space="preserve">مع زیادة مدلولها بعصر رأس الحشفة المقید بکونه ثلاثاً بمصحّحة حفص بن البختری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 من أنّه یؤخذ بکلّ من الروایات و یلتزم بحصول الاستبراء بما فی کلّ منها لا یمکن المساعدة علیه؛ لدخالة کلّ من مسح ما بین المقعدة و أصل القضیب و مسح القضیب و نتر رأس الحشفة فی جذب البول الباقی فی المجری؛ نعم لا دلالة فی الروایات علی الترتیب الذی ذکره الماتن و لو مسح من مخرج الغائط إلی رأس الحشفة مع نترها ثلاث مرّات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عدم اعتبار عصر الحشفة و نترها ثلاث مرّات؛ لأنّ ظاهر مصحّحة حفص بن البختری أنّ المنتور ثلاثاً هو البول، و نتر البول ثلاثاً لا یلازم جذب البول و خروجه بعصرها ثلاثاً،بل یکفی فی صدقه مسح ما بین المقعدة إلی طرف القضیب ثلاثاً کما ذکرنا ذلک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یعصر أصل ذکره إلی طرفه ثلاث عصرات و ینتر طرفه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قدس سره من وضع السبّابة فوق الذکر و الإبهام تحته لم یرد فی روایة،بل المذکور فی بعض الکلمات کالمحکی عن المقنعة و المعتبر و روض الجنان و کشف</w:t>
      </w:r>
      <w:bookmarkStart w:id="87" w:name="pg12061_112389"/>
    </w:p>
    <w:p>
      <w:pPr>
        <w:pStyle w:val="BookText"/>
        <w:rPr/>
      </w:pPr>
      <w:bookmarkEnd w:id="87"/>
      <w:r>
        <w:rPr>
          <w:rFonts w:ascii="IRNazanin" w:hAnsi="IRNazanin" w:eastAsia="IRNazanin"/>
          <w:color w:val="111111"/>
          <w:sz w:val="28"/>
          <w:sz w:val="28"/>
          <w:szCs w:val="28"/>
          <w:rtl w:val="true"/>
          <w:lang w:bidi="fa-IR"/>
        </w:rPr>
        <w:t>و یمسح بقوّة إلی رأسه ثلاث مرّات، ثمّ یعصر رأسه ثلاث مرّات و یکفی سائر الکیفیات مع مراعاة ثلاث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 الحکم بطهارة الرطوبة المشتبهة و عدم ناقضیتها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اللثام </w:t>
      </w:r>
      <w:r>
        <w:rPr>
          <w:rStyle w:val="FootnoteAnchor"/>
          <w:rtl w:val="true"/>
        </w:rPr>
        <w:footnoteReference w:id="175"/>
      </w:r>
      <w:r>
        <w:rPr>
          <w:rFonts w:ascii="IRNazanin" w:hAnsi="IRNazanin" w:eastAsia="IRNazanin"/>
          <w:color w:val="111111"/>
          <w:sz w:val="28"/>
          <w:sz w:val="28"/>
          <w:szCs w:val="28"/>
          <w:rtl w:val="true"/>
          <w:lang w:bidi="fa-IR"/>
        </w:rPr>
        <w:t>عکس ما ذکر مع أنّ الوضع کما ذکر خلاف المتعارف، و العادة جاریة فی مسح الذکر بوضع الإبهام فوق الذکر و السبّابة أو سائر الأصابع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فلا یعتبر المسح بخصوصه فی نفس القضیب بحسب الروایات فضلاً عن کونه بتلک الکیفیة،بل الوارد فیها عصره و غمزه، نعم یعتبر فی رأس الذکر النتر أی جذب البول إلی الخارج و هو لا یصدق مع مجرّد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بما فی مصحّحة حفص بن البختری من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 ثلاثاً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یعنی البول، و المراد بالنتر جذبه إلی الخارج، و ما ورد فی سائر الروایات بیان لطریق الجذب؛ و لأن الغرض من الاستبراء خروج ما تخلّف فی المجری عند البول و إذا علم حصول ذلک بشیء کفی و إن لم یکن من قبیل مسح الذکر علی ما یأتی</w:t>
      </w:r>
      <w:r>
        <w:rPr>
          <w:rFonts w:eastAsia="IRNazanin" w:cs="IRNazanin"/>
          <w:color w:val="111111"/>
          <w:sz w:val="28"/>
          <w:szCs w:val="28"/>
          <w:rtl w:val="true"/>
          <w:lang w:bidi="fa-IR"/>
        </w:rPr>
        <w:t>.</w:t>
      </w:r>
    </w:p>
    <w:p>
      <w:pPr>
        <w:pStyle w:val="Heading4"/>
        <w:numPr>
          <w:ilvl w:val="3"/>
          <w:numId w:val="1"/>
        </w:numPr>
        <w:rPr/>
      </w:pPr>
      <w:bookmarkStart w:id="88" w:name="__RefHeading___Toc1723168_417432637"/>
      <w:bookmarkStart w:id="89" w:name="_Toc32"/>
      <w:bookmarkEnd w:id="88"/>
      <w:r>
        <w:rPr>
          <w:rtl w:val="true"/>
        </w:rPr>
        <w:t>فائدة الاستبراء</w:t>
      </w:r>
      <w:bookmarkEnd w:id="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مقتضی الأصل فی البلل المشتبه بعد البول و الوضوء قبل الاستبراء طهارة البلل المزبور و بقاء الوضوء؛ لأصالة عدم کون البلل المزبور بولاً و لا أقل من أصالة عدم خروج البول و أصالة الطهارة فی البلل المزبور، و لکنّ الشارع قد حکم للبلل المزبور بالبول فیترتّب علیه بطلان الوضوء و النجاسة، و هذا یکون من تقدیم الغلبة فی مورد علی الأصل فیه حیث إنّ الغالب علی البلل الخارج بعد البول و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الاستبراء تخلّف بعض قطراته فی المجری؛ و لذا یجد الإنسان الفرق بین الاستبراء من غیر تبول و الاستبراء بعد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فیما إذا أُحرز خروج البلل قبل أن یستبرأ من المجری فإنّ هذا البلل محکوم بالناقضیة و النجاسة کما هو ظاهر الروایات المتقدمة، و أمّا إذا رأی فی ثوبه بللاً و احتمل کونه من غیر المجری فلا یحکم للبلل المزبور بکونه بولاً و إن لم یستبرئ للأصل المشار إلیه فی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سابقاً أنّ صحیحة حنّان بن سدیر ناظرة إلی ذلک حیث سأل رجل أبا عبد اللّه علیه السلام إنّی ربما بلت فلا أقدر علی الماء و یشتدّ ذلک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و تمسّحت فامسح ذکرک بریقک فإن وجدت شیئاً فقل هذا من ذاک</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بناءً علی أنّ المراد بالتمسح إزالة رطوبة البول من رأس الحشفة کما هو ظاهرها لا الأعم منه و من الاستبراء کما احتملنا أخیراً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صحیحة محمّد بن مسلم وجوب الوضوء بعد خروج البلل بعد البول من غیر تقیید بکونه قبل الاستبراء قال أبو جعفر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و هو جنب قبل أن یبول ثمّ یجد بللاً فقد انتقض غسله و إن کان بال ثمّ اغتسل ثمّ وجد بللاً فلیس ینقض غسله و لکن علیه الوضوء؛ لأن البول لم یدع شیئاً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و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بال قبل أن یغتسل فلا یعید غسله و لکن یتوضّأ و یستنجی</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کما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إطلاق صحیحة عبد اللّه بن أبی یعفور عدم الاعتناء بالبلل المزبور حتّی ما إذا کان قبل الاستبراء، قال سألت أبا عبد اللّه علیه السلام عن رجل بال ثمّ توضّأ ثمّ قام إلی الصلاة ثمّ وجد بللاً؟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یتوضّأ إنّما ذلک من الحبائل</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المتقدّمة شاهدة للجمع بینهما بحمل الاُولی علی صورة عدم الاستبراء من البول، و الثانیة علی صورة الاستبراء و حمل تلک الروایات علی طهارة البلل فقط بدعوی عدم ظهورها فی عدم الناقضیّة لا یمکن المساعدة علیه، فإنّ الحکم بأنّ البلل ناقض و لکنّه طاهر غیر ممکن لارتکاز الأذهان بأنّ الناقض إذا کان بولاً فهو نجس لا محالة، و کذا العکس و لذا ورد الأمر بالوضوء فی موثّقة سماعة مع الأمر بالاستنجاء فلا بد من فرض کون البلل المزبور فیها قبل الاستبراء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عدم إمکان التبعیض یظهر أنّ ما فی مکاتبة محمّد بن عیسی قال کتب إلیه رجل هل یجب الوضوء ممّا خرج من الذکر بعد الاستبراء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یحمل علی صورة العلم بکونه بولاً أو أنّ الوضوء بعد خروج البلل و لو بعد الاستبراء مستحبّ، و مع الإغماض الحمل علی الاستحباب للجمع العرفی بینها و بین الأخبار المتقدمة الدالة علی عدم البأس بالبلل بعد الاستبراء، و هذا بناءً علی أنّ المکتوب إلیه هو الإمام علیه السلام کما هو لیس ببعید، ثمّ إنّ الاستبراء المزبور لیس من شرط الاستنجاء و لا بواجب تکلیفی، فإنّ الروایات المشار إلیها أنّ المترتب علیه الحکم بطهارة البلل الخارج و الناقضیّة، و أمّا اشتراط الاستنجاء أو وجوبه فشیء منهما</w:t>
      </w:r>
      <w:bookmarkStart w:id="90" w:name="pg12061_112392"/>
    </w:p>
    <w:p>
      <w:pPr>
        <w:pStyle w:val="BookText"/>
        <w:rPr/>
      </w:pPr>
      <w:bookmarkEnd w:id="90"/>
      <w:r>
        <w:rPr>
          <w:rFonts w:ascii="IRNazanin" w:hAnsi="IRNazanin" w:eastAsia="IRNazanin"/>
          <w:color w:val="111111"/>
          <w:sz w:val="28"/>
          <w:sz w:val="28"/>
          <w:szCs w:val="28"/>
          <w:rtl w:val="true"/>
          <w:lang w:bidi="fa-IR"/>
        </w:rPr>
        <w:t>و یلحق به فی الفائدة المذکورة طول المدّة علی وجه یقطع بعدم بقاء شیء فی المجری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احتمل أنّ الخارج نزل من الأعلی و لا یکفی الظنّ بعدم البقاء و مع الاستبراء لا یضرّ احتماله و 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المرأة 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یستفاد منها، و مقتضی صحیحة جمیل بن دراج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انقطعت درة البول فصبّ الماء</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نفی الشرطیّة و الوجوب،بل الالتزام باستحباب الاستبراء نفسیّاً أیضاً غیر مستفاد من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الروایات المتقدّمة أنّ مع الاستبراء کما ذکر لا بأس بالبلل الخارج و إن احتمل أنّه من البول المتخلّف فی المجری و لم یخرج بالاستبراء و قد خرج فعلاً، و أمّا فی صورة ترک الاستبراء فلا بد من کون مثل طول المدّة بحیث یقطع بأنّ البلل الخارج لیس من المتخلف فی المجری یقیناً،بل لو کان بولاً واقعاً قد نزل من المثانة جدیداً، و الروایات المتقدّمة مدلولها هو الحکم بالبولیّة للبلل فیما إذا احتمل أنّه من المتخلّف فی المجری حیث إنّ مع الاستبراء یخرج ذلک المتخلّف لا أنّه لا ینزل البول من المثانة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فاحتمال خروج البول بعد ذلک یعنی بعد نقاء المجری بالاستبراء أو بغیره باق تحت الأصل الذی ذکرناه سابقاً</w:t>
      </w:r>
      <w:r>
        <w:rPr>
          <w:rFonts w:eastAsia="IRNazanin" w:cs="IRNazanin"/>
          <w:color w:val="111111"/>
          <w:sz w:val="28"/>
          <w:szCs w:val="28"/>
          <w:rtl w:val="true"/>
          <w:lang w:bidi="fa-IR"/>
        </w:rPr>
        <w:t>.</w:t>
      </w:r>
    </w:p>
    <w:p>
      <w:pPr>
        <w:pStyle w:val="Heading4"/>
        <w:numPr>
          <w:ilvl w:val="3"/>
          <w:numId w:val="1"/>
        </w:numPr>
        <w:rPr/>
      </w:pPr>
      <w:bookmarkStart w:id="91" w:name="__RefHeading___Toc1723170_417432637"/>
      <w:bookmarkStart w:id="92" w:name="_Toc33"/>
      <w:bookmarkEnd w:id="91"/>
      <w:r>
        <w:rPr>
          <w:rtl w:val="true"/>
        </w:rPr>
        <w:t>استبراء المرأة</w:t>
      </w:r>
      <w:bookmarkEnd w:id="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الأصل فی البلل الخارج بعد البول فیما إذا احتمل أنّه من الرطوبة المتکوّنة فی المجری المعبر عنها بالحبائل، و أنّ الروایات الواردة فی الاستبراء تقدیم الغالب علی الأصل، و لکن تلک الروایات واردة فی استبراء الرجل المختلف</w:t>
      </w:r>
      <w:bookmarkStart w:id="93" w:name="pg12061_112393"/>
    </w:p>
    <w:p>
      <w:pPr>
        <w:pStyle w:val="BookText"/>
        <w:rPr/>
      </w:pPr>
      <w:bookmarkEnd w:id="93"/>
      <w:r>
        <w:rPr>
          <w:rFonts w:ascii="IRNazanin" w:hAnsi="IRNazanin" w:eastAsia="IRNazanin"/>
          <w:color w:val="111111"/>
          <w:sz w:val="28"/>
          <w:sz w:val="28"/>
          <w:szCs w:val="28"/>
          <w:rtl w:val="true"/>
          <w:lang w:bidi="fa-IR"/>
        </w:rPr>
        <w:t>نعم الأولی أن تصبر قلیلاً و تتنحنح و تعصر فرجها عرضاً، و علی أی حال الرطوبة الخارجة منها محکومة بالطهارة و عدم الناقضیة ما لم تعلم کونها بولاً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ذکره یصنع ما ذکر فیما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 ذکره یصنع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بوله عن مجری بول المرأة، و الاستبراء الوارد فی بول الرجل لا یستفاد منه غیر حکم البلل الخارج بعد بول الرجل فیؤخذ فی البلل الخارج من المرأة بمقتضی الأصل، و ما ذکر فی المتن من أنّها تصبر قلیلاً و تتنحنح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داخل فی الاحتیاط المستحبّ کما هو الحال فی جمیع موارد الاحتیاط مع جریان الأُصول النافیة فیها کما لا یخفی</w:t>
      </w:r>
      <w:r>
        <w:rPr>
          <w:rFonts w:eastAsia="IRNazanin" w:cs="IRNazanin"/>
          <w:color w:val="111111"/>
          <w:sz w:val="28"/>
          <w:szCs w:val="28"/>
          <w:rtl w:val="true"/>
          <w:lang w:bidi="fa-IR"/>
        </w:rPr>
        <w:t>.</w:t>
      </w:r>
    </w:p>
    <w:p>
      <w:pPr>
        <w:pStyle w:val="Heading4"/>
        <w:numPr>
          <w:ilvl w:val="3"/>
          <w:numId w:val="1"/>
        </w:numPr>
        <w:rPr/>
      </w:pPr>
      <w:bookmarkStart w:id="94" w:name="__RefHeading___Toc1723172_417432637"/>
      <w:bookmarkStart w:id="95" w:name="_Toc34"/>
      <w:bookmarkEnd w:id="94"/>
      <w:r>
        <w:rPr>
          <w:rtl w:val="true"/>
        </w:rPr>
        <w:t>فروع الاستبراء</w:t>
      </w:r>
      <w:bookmarkEnd w:id="95"/>
    </w:p>
    <w:p>
      <w:pPr>
        <w:pStyle w:val="BookText"/>
        <w:rPr/>
      </w:pPr>
      <w:r>
        <w:rPr>
          <w:rFonts w:ascii="IRNazanin" w:hAnsi="IRNazanin" w:eastAsia="IRNazanin"/>
          <w:color w:val="111111"/>
          <w:sz w:val="28"/>
          <w:sz w:val="28"/>
          <w:szCs w:val="28"/>
          <w:rtl w:val="true"/>
          <w:lang w:bidi="fa-IR"/>
        </w:rPr>
        <w:t>یمکن أن یذکر فی وجه الاستبراء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الروایات المتقدّمة تقدیم الغلبة علی الأصل فی الرطوبة الخارجة بعد انقطاع دریرة البول بمعنی أنّه إذا لم یستبرئ الرجل مع احتماله أنّ الخارج من المجری من البول المتخلّف فیه یحکم علی ذلک الخارج بالنجاسة و الناقضیة، و بما أنّه لا یحتمل التخلّف من مقطوع الذکر إلّا فی المقدار الباقی فی المجری فیعتبر استبراء ذلک المقدار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بإطلاق مصحّحة حفص بن البختری المتقدّمة حیث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ینتره ثلاثاً</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و ذکرنا أنّ الظاهر رجوع ضمیر المفعول إلی البول یعنی یجذب البول ثلاثاً و مقتضی عدم تقییده بقید اعتبار الجذب حتّی من مقطوع الذکر و لا أقل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ترک الاستبراء یحکم علی الرطوبة المشتبهة بالنجاسة و الناقضیّة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ترک الاستبراء یحکم علی الرطوبة المشتبهة بالنجاسة و الناقضیّة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اعتبار القید بمناسبة الحکم و الموضوع المشار إلیه فی الوجه الأوّل، و لکن إثبات الحکم فی مقطوع تمام الذکر لا یخلو عن الإشکال لانصراف الصحیحة و عدم ثبوت الغالب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 فی الحدائق أنّ حکمهم بنجاسة البلل المشتبه فی المقام ینافی ما ذکروه فیما إذا اشتبه ماء طاهر بمائع نجس، کما إذا علم بأنّ أحد المائعین ماء طاهر و الآخر بول، و لاقی الثوب أو غیره أحدهما فإنّهم بنوا علی طهارة الثوب أو غیره الملاقی لأحدهما، مع أنّ المسألتین من باب واحد </w:t>
      </w:r>
      <w:r>
        <w:rPr>
          <w:rStyle w:val="FootnoteAnchor"/>
          <w:rtl w:val="true"/>
        </w:rPr>
        <w:footnoteReference w:id="184"/>
      </w:r>
      <w:r>
        <w:rPr>
          <w:rFonts w:ascii="IRNazanin" w:hAnsi="IRNazanin" w:eastAsia="IRNazanin"/>
          <w:color w:val="111111"/>
          <w:sz w:val="28"/>
          <w:sz w:val="28"/>
          <w:szCs w:val="28"/>
          <w:rtl w:val="true"/>
          <w:lang w:bidi="fa-IR"/>
        </w:rPr>
        <w:t>؛ و لذا توقّف عن الحکم بنجاسة البلل الخارج قبل الاستبراء بدعوی أنّه لا یستفاد من الأخبار المتقدّمة إلّا کونه ناقضاً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تعرّض الشیخ قدس سره للجواب عنه بأنّ حکمهم بنجاسة البلل قبل الاستبراء لتقدیم الشارع الغلبة علی الأصل </w:t>
      </w:r>
      <w:r>
        <w:rPr>
          <w:rStyle w:val="FootnoteAnchor"/>
          <w:rtl w:val="true"/>
        </w:rPr>
        <w:footnoteReference w:id="185"/>
      </w:r>
      <w:r>
        <w:rPr>
          <w:rFonts w:ascii="IRNazanin" w:hAnsi="IRNazanin" w:eastAsia="IRNazanin"/>
          <w:color w:val="111111"/>
          <w:sz w:val="28"/>
          <w:sz w:val="28"/>
          <w:szCs w:val="28"/>
          <w:rtl w:val="true"/>
          <w:lang w:bidi="fa-IR"/>
        </w:rPr>
        <w:t>، حیث إنّ الغالب تخلّف البول فی المجری و أنّ أمر الشارع بالوضوء بعد البلل قبل الاستبراء مفاده الحکم بکونه بولاً فیترتب علیه الناقضیة و النجاسة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المناقشة فی الجواب بأنّ الحکم علی البلل بکونه ناقضاً حکم ظاهری و لو کان فی الواقع من الحبائل فالوضوء السابق باقٍ واقعاً و هو طاهر، و إذا کان مفادها الحکم الظاهری فیمکن الحکم بنحو التفکیک بین الناقضیّة و النجاسة، فمفاد</w:t>
      </w:r>
    </w:p>
    <w:p>
      <w:pPr>
        <w:pStyle w:val="BookText"/>
        <w:rPr/>
      </w:pPr>
      <w:r>
        <w:rPr>
          <w:rFonts w:ascii="IRNazanin" w:hAnsi="IRNazanin" w:eastAsia="IRNazanin"/>
          <w:color w:val="111111"/>
          <w:sz w:val="28"/>
          <w:sz w:val="28"/>
          <w:szCs w:val="28"/>
          <w:rtl w:val="true"/>
          <w:lang w:bidi="fa-IR"/>
        </w:rPr>
        <w:t>و إن کان ترکه من الاضطرار و عدم التمکن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علی ما یدّعیه فی الحدائق </w:t>
      </w:r>
      <w:r>
        <w:rPr>
          <w:rStyle w:val="FootnoteAnchor"/>
          <w:rtl w:val="true"/>
        </w:rPr>
        <w:footnoteReference w:id="186"/>
      </w:r>
      <w:r>
        <w:rPr>
          <w:rFonts w:ascii="IRNazanin" w:hAnsi="IRNazanin" w:eastAsia="IRNazanin"/>
          <w:color w:val="111111"/>
          <w:sz w:val="28"/>
          <w:sz w:val="28"/>
          <w:szCs w:val="28"/>
          <w:rtl w:val="true"/>
          <w:lang w:bidi="fa-IR"/>
        </w:rPr>
        <w:t xml:space="preserve">هو الحکم بالناقضیة لا أن البلل المزبور بول لیترتّب علیه النجاسة أیضاً، و لکن مضافاً إلی ظهور الأخبار فی الحکم علی البلل بالبول و عدم احتمال التفکیک حتّی فی الحکم الظاهری ممّا ورد فی موثقة سماعة شاهد للحکم بالناقضیّة و النجاسة، حیث ورد فیها الأمر بالوضوء و الاستنجاء بعد البلل </w:t>
      </w:r>
      <w:r>
        <w:rPr>
          <w:rStyle w:val="FootnoteAnchor"/>
          <w:rtl w:val="true"/>
        </w:rPr>
        <w:footnoteReference w:id="187"/>
      </w:r>
      <w:r>
        <w:rPr>
          <w:rFonts w:ascii="IRNazanin" w:hAnsi="IRNazanin" w:eastAsia="IRNazanin"/>
          <w:color w:val="111111"/>
          <w:sz w:val="28"/>
          <w:sz w:val="28"/>
          <w:szCs w:val="28"/>
          <w:rtl w:val="true"/>
          <w:lang w:bidi="fa-IR"/>
        </w:rPr>
        <w:t>، و لا یصحّ الأمر بالاستنجاء یعنی تطهیر مخرج البول إلّا مع الحکم بنجاسة البلل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الأخبار المتقدّمة أنّه لو لم یستبرئ بعد البول فالبلل الخارج محکوم علیه بکونه ناقضاً و نجساً من غیر فرق بین أن یکون ترک الاستبراء بالاختیار أو بالاضطرار کما إذا لم یکن له ید یستبرئ بها أو کانت مشدودة لکسر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نفی الاضطرار </w:t>
      </w:r>
      <w:r>
        <w:rPr>
          <w:rStyle w:val="FootnoteAnchor"/>
          <w:rtl w:val="true"/>
        </w:rPr>
        <w:footnoteReference w:id="188"/>
      </w:r>
      <w:r>
        <w:rPr>
          <w:rFonts w:ascii="IRNazanin" w:hAnsi="IRNazanin" w:eastAsia="IRNazanin"/>
          <w:color w:val="111111"/>
          <w:sz w:val="28"/>
          <w:sz w:val="28"/>
          <w:szCs w:val="28"/>
          <w:rtl w:val="true"/>
          <w:lang w:bidi="fa-IR"/>
        </w:rPr>
        <w:t>یقیّد الإطلاق بصورة غیر الاضطرار کما هو الحال فی موارد سائر الأحکام من التکلیف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بخطاب نفیه ما دلّ علی أنّ ما یضطر إلیه ابن آدم ترتفع حرمته و یکون جائزاً فی حقّه فلا مجری له فی المقام قطعاً لعدم وجوب الاستبراء لیقال بارتفاع وجوبه عند الاضطرار إلی ترکه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أُرید ما ورد فی حدیث الرفع </w:t>
      </w:r>
      <w:r>
        <w:rPr>
          <w:rStyle w:val="FootnoteAnchor"/>
          <w:rtl w:val="true"/>
        </w:rPr>
        <w:footnoteReference w:id="189"/>
      </w:r>
      <w:r>
        <w:rPr>
          <w:rFonts w:ascii="IRNazanin" w:hAnsi="IRNazanin" w:eastAsia="IRNazanin"/>
          <w:color w:val="111111"/>
          <w:sz w:val="28"/>
          <w:sz w:val="28"/>
          <w:szCs w:val="28"/>
          <w:rtl w:val="true"/>
          <w:lang w:bidi="fa-IR"/>
        </w:rPr>
        <w:t>من عدّ الاضطرار إلی الفعل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 من العناوین الرافعة للآثار المترتّبة علی الفعل أو الترک و التکلیف المتعلّق بهما فلا مجری له أیضاً فی المقام؛ لأنّ مفاده علی ما ذکرنا فی بحث الأُصول أنّ الموارد التی یترتّب علی الفعل أو الترک الإرادی تکلیف أو أثر و یکون رفعهما امتنانیاً یکون الاضطرار إلیهما کالإکراه علیهما رافعاً لذلک التکلیف أو الوضع، و أمّا الأثر المترتّب علی عنوان قد یحصل بالفعل الإرادی کما إذا أُکره علی التبول أو اضطر إلیه فلا دلالة فی حدیث الرفع علی عدم انتقاض وضوئه؛ و ذلک فإنّ انتقاض الوضوء أثر لخروج البول و خروجه یکون بعضاً أو غالباً إرادیاً، و المقام کذلک فإنّ الانتقاص مترتّب علی خروج البلل قبل الاستبراء بعد البول و لو لم یکن خروج البلل أو حتی البول إرادیاً کما إذا بال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الأثر فی المقام لخروج البلل و لا یعمّه حدیث الرفع لا للاستبراء و ترکه؛ و لذا لو لم یخرج بلل فالوضوء السابق باقٍ استبرأ أم لم یستبرئ</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فمفاد حدیث الرفع نفی الأثر الذی کان لما صدر لو لا الاضطرار و الإکراه، لا نفی عنوان الترک بإثبات عنوان الفعل و لا نفی عنوان الفعل بإثبات الترک،فضلاً عن إثباته أنّ الموجود بعد الترک الاضطراری وجد بعد الفعل فی الأول و بعد الترک فی الثانی، فمن اضطرّ إلی ترک الحجّ أو أُکره علیه فلا یمکن دعوی أنّه قد حجّ بمقتضی دلیل نفی الإکراه أو الاضطرار فلا یجب علیه الحج فی السنة الآتیة و لو مع بقاء استطاعته و هکذا</w:t>
      </w:r>
      <w:r>
        <w:rPr>
          <w:rFonts w:eastAsia="IRNazanin" w:cs="IRNazanin"/>
          <w:color w:val="111111"/>
          <w:sz w:val="28"/>
          <w:szCs w:val="28"/>
          <w:rtl w:val="true"/>
          <w:lang w:bidi="fa-IR"/>
        </w:rPr>
        <w:t>.</w:t>
      </w:r>
      <w:bookmarkStart w:id="96" w:name="pg12061_112397"/>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المباشرة فی الاستبراء فیکفی فی ترتّب الفائدة إن باشره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المباشرة فی الاستبراء فیکفی فی ترتّب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باشره غیره، کزوجته أو مملوکته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رطوبة من شخص، و شکّ شخص آخر فی کونها بولاً أو غیره فالظاهر لحوق الحکم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رطوبة من شخص، و شکّ شخص آخر فی کونها بولاً أو غیره فالظاهر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الحکم أیضاً من الطهارة إن کان بعد استبرائه، و النجاسة إن کان قبله، و إن کان نفسه غافلاً بأن کان نائماً فلا یلزم أن یکون من خرجت منه هو الشاکّ، و کذا إذا خرجت من الطفل و شکّ ولیّه فی کونها بولاً فمع عدم استبرائه یحکم علیه بالنجاسة</w:t>
      </w:r>
      <w:r>
        <w:rPr>
          <w:rFonts w:eastAsia="IRNazanin" w:cs="IRNazanin"/>
          <w:color w:val="111111"/>
          <w:sz w:val="28"/>
          <w:szCs w:val="28"/>
          <w:rtl w:val="true"/>
          <w:lang w:bidi="fa-IR"/>
        </w:rPr>
        <w:t>.</w:t>
      </w:r>
    </w:p>
    <w:p>
      <w:pPr>
        <w:pStyle w:val="Heading4"/>
        <w:numPr>
          <w:ilvl w:val="3"/>
          <w:numId w:val="1"/>
        </w:numPr>
        <w:rPr/>
      </w:pPr>
      <w:bookmarkStart w:id="97" w:name="__RefHeading___Toc1723174_417432637"/>
      <w:bookmarkStart w:id="98" w:name="_Toc35"/>
      <w:bookmarkEnd w:id="97"/>
      <w:r>
        <w:rPr>
          <w:rtl w:val="true"/>
        </w:rPr>
        <w:t>عدم اعتبار المباشرة فی الاستبراء</w:t>
      </w:r>
      <w:bookmarkEnd w:id="98"/>
    </w:p>
    <w:p>
      <w:pPr>
        <w:pStyle w:val="BookText"/>
        <w:rPr/>
      </w:pPr>
      <w:r>
        <w:rPr>
          <w:rFonts w:ascii="IRNazanin" w:hAnsi="IRNazanin" w:eastAsia="IRNazanin"/>
          <w:color w:val="111111"/>
          <w:sz w:val="28"/>
          <w:sz w:val="28"/>
          <w:szCs w:val="28"/>
          <w:rtl w:val="true"/>
          <w:lang w:bidi="fa-IR"/>
        </w:rPr>
        <w:t>فإنّ الروایات المتقدمة تعمّ ما إذا وقع الاستبراء منه بالمباشرة أو بالتسبیب حیث إنّ الاستبراء کحلق الرأس و غیره ممّا ینسب إلی الشخص و لو کان بمباشرة الغیر، و التمثیل بالزوجة و المملوکة لوقوع الاستبراء بنحو الحلال، و إلّا فیترتّب علیه الأثر المتقدم و لو وقع بنحو التسبیب المحرّم،بل لا یعتبر فی ترتّب الأثر التسبیب أیضاً، و لو استبرأته الزوجة أو المملوکة و لو بلا تسبیب منه ترتّب علیه الأثر کما هو ظاهر الماتن أیضاً، حیث إنّ مناسبة الحکم و الموضوع مقتضاه أنّ الحکم بطهارة البلل و عدم ناقضیته مترتّب علی استبراء المخرج، و الاستناد لا دخل له فی هذا الحکم</w:t>
      </w:r>
      <w:r>
        <w:rPr>
          <w:rFonts w:eastAsia="IRNazanin" w:cs="IRNazanin"/>
          <w:color w:val="111111"/>
          <w:sz w:val="28"/>
          <w:szCs w:val="28"/>
          <w:rtl w:val="true"/>
          <w:lang w:bidi="fa-IR"/>
        </w:rPr>
        <w:t>.</w:t>
      </w:r>
    </w:p>
    <w:p>
      <w:pPr>
        <w:pStyle w:val="Heading4"/>
        <w:numPr>
          <w:ilvl w:val="3"/>
          <w:numId w:val="1"/>
        </w:numPr>
        <w:rPr/>
      </w:pPr>
      <w:bookmarkStart w:id="99" w:name="__RefHeading___Toc1723176_417432637"/>
      <w:bookmarkStart w:id="100" w:name="_Toc36"/>
      <w:bookmarkEnd w:id="99"/>
      <w:r>
        <w:rPr>
          <w:rtl w:val="true"/>
        </w:rPr>
        <w:t>الشکّ فی الاستبراء و الرطوبة</w:t>
      </w:r>
      <w:bookmarkEnd w:id="10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یبادر إلی الذهن بأنّ الحکم علی البلل قبل الاستبراء بأنّه بول و بعده لیس ببول حکم ظاهری، و هذا الحکم الظاهری ثابت کما هو مفاد الأخبار المتقدّمة فی حقّ صاحب البلل حتّی یعلم خلافه و ثبوته فی حقّ غیره من الشاکّ فیه، کما إذا أصاب ثوب الغیر من ذلک البلل لا یستفاد منها خصوصاً فیما إذا لم یکن من صاحبه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الاستبراء یبنی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الاستبراء یبنی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مضت مدّة بل و لو کان من عادته، نعم لو علم أنّه استبرأ و شکّ بعد ذلک فی أنّه کان علی الوجه الصحیح أم لا،بنی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کما إذا کان حال خروجه نائماً أو معتقداً بالخلاف فیکون الحکم فی حقّ غیر صاحبه الأخذ بمقتضی أصالة الطهارة،بل أصالة عدم کونه 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خلاف ذلک، و أنّ ظاهر الأخبار المتقدّمة عدم دخل شک صاحب البلل فی الحکم المزبور؛ لأنّ مفادها بمناسبة الحکم و الموضوع أنّ الشارع اعتبر غلبة تخلّف شیء من البول فی المجری أمارة علی البلل الخارج بعد البول و قبل الاستبراء، کما أنّه اعتبر الاستبراء أمارة بعدم کون الخارج بعده بولاً، و بما أنّ اعتبار أی أمارة لا تعمّ العالم بالواقع، و المعتقد بأنّ الواقع علی خلافها فاعتبر الجهل بحال البلل واقعاً سواء کان من صاحب البلل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لیس مفاد أخبار الاستبراء مجرّد تشریع أصل عملی لصاحب البلل الشاکّ لیقال إنّ مفادها لا یعمّ غیره، و لو کان شاکاً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الحال فیما إذا بال الطفل و خرج قبل استبرائه بلل فإنّه یحکم علی البلل المزبور بالنجاسة کما یحکم علیه بعد الاستبراء بالطهارة و عدم کونه بولاً، و اللّٰه سبحانه هو العالم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مقتضی الاستصحاب عدم الاستبراء و لا مجال للقول بجریان قاعدة التجاوز فی الاستبراء؛ لأنّ الاستبراء لا محل له شرعاً،بل یصح الاستبراء بعد البول یعنی مترتّب علیه ما تقدّم من الفائدة و لو وقع فی زمان الشک فیه و تجاوز المحل العادی کمن کان من عادته الاستبراء قبل الاستنجاء لا أثر له، و التزم الماتن قدس سره بعدم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من لم یستبرئ فی خروج الرطوبة و عدمه بنی علی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من لم یستبرئ فی خروج الرطوبة و عدمه بنی علی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ظانّاً بالخروج کما إذا رأی فی ثوبه رطوبة و شک فی أنّها خرجت منه أو وقعت علیه من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الخارج منه مذی لکن شکّ فی أنّه هل خرج معه بول أم لا لا یحکم علیه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الخارج منه مذی لکن شکّ فی أنّه هل خرج معه بول أم لا؟ لا یحکم علیه بالنجاسة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یصدق علیه الرطوبة المشتبهة،بأن یکون</w:t>
      </w:r>
    </w:p>
    <w:p>
      <w:pPr>
        <w:pStyle w:val="BookText"/>
        <w:rPr/>
      </w:pPr>
      <w:r>
        <w:rPr>
          <w:rFonts w:ascii="IRNazanin" w:hAnsi="IRNazanin" w:eastAsia="IRNazanin"/>
          <w:color w:val="111111"/>
          <w:sz w:val="28"/>
          <w:sz w:val="28"/>
          <w:szCs w:val="28"/>
          <w:rtl w:val="true"/>
          <w:lang w:bidi="fa-IR"/>
        </w:rPr>
        <w:t>الاعتبار بتجاوز المحل العادی فی المقام مع أنّه فی مسألة الشکّ فی الاستنجاء نفی البعد عن الحکم بالاستنجاء ممّن کان من عادته الاستنجاء قبل الخروج عن الخلاء، نعم إذا أحرز الاستبراء و شکّ بعد ذلک فی صحّته بأن احتمل أنّه مسح القضیب قبل مسح ما بین المخرج و أصل القضیب فلا یعتنی بالشک أخذاً بالعموم فی قوله علیه السلام فی موثّقة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فأمضه کما هو</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 المستفاد من صحیحة حنّان بن سدیر المتقدّمة </w:t>
      </w:r>
      <w:r>
        <w:rPr>
          <w:rStyle w:val="FootnoteAnchor"/>
          <w:rtl w:val="true"/>
        </w:rPr>
        <w:footnoteReference w:id="191"/>
      </w:r>
      <w:r>
        <w:rPr>
          <w:rFonts w:ascii="IRNazanin" w:hAnsi="IRNazanin" w:eastAsia="IRNazanin"/>
          <w:color w:val="111111"/>
          <w:sz w:val="28"/>
          <w:sz w:val="28"/>
          <w:szCs w:val="28"/>
          <w:rtl w:val="true"/>
          <w:lang w:bidi="fa-IR"/>
        </w:rPr>
        <w:t>أنّ الرطوبة إذا احتمل کونها خارجیة لم تخرج من المجری یحکم علیها بالطهارة حتّی مع الظنّ بخروجها عن المجری، حیث إنّ مجرد الظنّ ما لم یصل إلی الوثوق و الاطمینان داخل فی إطلاق الصحیحة و الأخبار المتقدّمة الدالّة علی الحکم علی البلل بالبولیّة ظاهرها ما إذا أُحرز خروج البلل المزبور عن المجری و لا أقل من حملها علیه بدلالة صحیحة حنّان فتدبّر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یری البلل فعلاً أنّه مذی کما إذا کان له لزوجة و یحتمل خروج البول</w:t>
      </w:r>
    </w:p>
    <w:p>
      <w:pPr>
        <w:pStyle w:val="BookText"/>
        <w:rPr/>
      </w:pPr>
      <w:r>
        <w:rPr>
          <w:rFonts w:ascii="IRNazanin" w:hAnsi="IRNazanin" w:eastAsia="IRNazanin"/>
          <w:color w:val="111111"/>
          <w:sz w:val="28"/>
          <w:sz w:val="28"/>
          <w:szCs w:val="28"/>
          <w:rtl w:val="true"/>
          <w:lang w:bidi="fa-IR"/>
        </w:rPr>
        <w:t>الشک فی أنّ هذا الموجود هل هو بتمامه مذی أو مرکّب منه و من البول؟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و لم یستبرئ ثمّ خرجت منه رطوبة مشتبهة بین البول و المنی یحکم علیها بأنّها 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و لم یستبرئ ثمّ خرجت منه رطوبة مشتبهة بین البول و المنی یحکم علیها بأنّها بول فلا یجب علیه الغسل،بخلاف ما إذا خرجت منه بعد الاستبراء فإنّه یجب علیه الاحتیاط بالجمع بین الوضوء و الغسل عملاً بالعلم الإجمالی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ذلک بعد أن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 أیضاً، و إن یبس أو استهلک فی المذی بعد خروجه أو قبله، فإنّ الشک فی هذا الفرض یکون فی أصل خروج البول بخلاف ما إذا کان لمقدار من البلل الخارج لزوجة بأن یعلم أنّ ذلک المقدار مذی و لم یکن البعض الآخر کذلک، و تردد فی ذلک البعض أنّه مذی أو بول فإنّه یجری علیه حکم البلل المشتبه حیث إنّ الشکّ فی صفة ذلک البعض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قدس سره أنّه لو توضأ المکلف بعد البول و قبل الاستبراء ثمّ خرج منه بلل مردّد بین البول و المنی بأن لا یحتمل طهارة البلل المزبور یحکم علی البلل المزبور بأنّه بول فیتوضّأ لصلاته و لا یجب علیه الجمع بین الوضوء و الغسل، و کأنّه قد أخذ فی الفرض بالأخبار المتقدّمة الواردة فی خروج البلل قبل الاستبراء بالخرطات، و أنّ مقتضاها الحکم ببولیة البلل فی الفرض</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أورد علی ذلک بأنّ الفرض خارج عن مدلولها حیث إنّ تلک الأخبار ناظرة إلی صورة احتمال کون البلل مائعاً طاهراً؛ و لذا ذکر فیها أنّه إذا کان بعد الاستبراء فمن الحبائل أو أنّه لا یبالی و إن بلغ السوق أو أفسد سراویله </w:t>
      </w:r>
      <w:r>
        <w:rPr>
          <w:rStyle w:val="FootnoteAnchor"/>
          <w:rtl w:val="true"/>
        </w:rPr>
        <w:footnoteReference w:id="192"/>
      </w:r>
      <w:r>
        <w:rPr>
          <w:rFonts w:ascii="IRNazanin" w:hAnsi="IRNazanin" w:eastAsia="IRNazanin"/>
          <w:color w:val="111111"/>
          <w:sz w:val="28"/>
          <w:sz w:val="28"/>
          <w:szCs w:val="28"/>
          <w:rtl w:val="true"/>
          <w:lang w:bidi="fa-IR"/>
        </w:rPr>
        <w:t>، و لو کان مدلولها أنّه قبل الاستبراء بول و بعده یتعین المحتمل الآخر، فلازمه أن یحکم بالبلل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المزبور فیما کان بعد الاستبراء بکونه منیّاً مع أنّه لم یلتزم الماتن و لا غیره بذلک کما یأتی فی التعلیقة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ذیل الإیراد اللهمّ إلّا أن یقال إنّ الفرض أیضاً داخل فی الأخبار المتقدمة فإنّ مدلولها أنّ البلل بعد البول و قبل الاستبراء بالخرطات بول؛ لما تقدّم من تخلف شیء من البول فی المجری عادة؛ و لذا حکم علی البلل بأنّه بول، و أمّا بالإضافة إلی البلل الخارج بعد الاستبراء فلا تعبّد فیها بالإضافة إلیه،بل یرجع فیه إلی مقتضی الأصل، و ما ورد فی بعضها بأنّه من الحبائل أو لا یبالی به </w:t>
      </w:r>
      <w:r>
        <w:rPr>
          <w:rStyle w:val="FootnoteAnchor"/>
          <w:rtl w:val="true"/>
        </w:rPr>
        <w:footnoteReference w:id="193"/>
      </w:r>
      <w:r>
        <w:rPr>
          <w:rFonts w:ascii="IRNazanin" w:hAnsi="IRNazanin" w:eastAsia="IRNazanin"/>
          <w:color w:val="111111"/>
          <w:sz w:val="28"/>
          <w:sz w:val="28"/>
          <w:szCs w:val="28"/>
          <w:rtl w:val="true"/>
          <w:lang w:bidi="fa-IR"/>
        </w:rPr>
        <w:t>ذکر لمقتضی الأصل عند تردّد البلل بین البول و الطاهر، و لکن ناقش فی هذا لاستدراک أنّه خلاف ظهور تلک الأخبار فی أنّ الاستبراء بالخرطات بنفسه موضوع للحکم بطهارة البلل الخارج بعده، و علیه فالفرض داخل فی موارد تنجیز العلم الإجمالی بالحدث الأکبر أو الأصغر لا فی مدلول الأخبار المتقدّمة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المتقدّمة الأمر فیها کما ذکره من کونها ناظرة إلی البلل المردّد بین البول و غیره من احتمال البلل الطاهر، و أمّا بالإضافة إلی صحیحة محمّد بن مسلم و موثّقة سماعة فالإطلاق ثابت حیث ذکر علیه السلام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و هو جنب قبل أن یبول ثمّ یجد بللاً فقد انتقض غسله، و إن کان بال ثمّ اغتسل ثمّ وجد بللاً فلیس ینقض غسله و لکن علیه الوضوء؛ لأنّ البول لم یدع شیئاً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بال قبل أن یغتسل فلا یعید غسله و لکن یتوضّأ و یستنجی</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فإنّ مقتضاهما الحکم علی البلل الخارج بعد البول بالبولیّة و إن احتمل کونه منیّاً قد نزل من موضعه إلی المجری بعد البول، و لا ینافی هذا الاحتمال التعلیل الوارد فی الصحیحة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البول أمارة تخلّف شیء منه فی المجری و أنّه الخارج بعد ذلک، غایة الأمر تحمل الروایتین علی صورة الخروج قبل الاستبراء بالخرطات، حیث إنّ المستفاد من سائر الروایات بحسب المتفاهم العرفی أنّ الاستبراء أمارة تنقیة المجری من المتخلّف فیه من البول، و أمّا الحکم الوارد فیها بطهارة البلل الخارج بعد الاستبراء بالخرطات فلا یجری فی الفرض؛ لأنّ الحکم المزبور حکم ظاهری أو لأنّ الاستبراء بالخرطات أمارة علیه، و الحکم الظاهری أو اعتبار الأمارة لا یمکن إلّا مع احتمال المصادفة، و هذا الاحتمال مفقود فی الفرض للعلم الإجمالی بکون الخارج بولاً أو منیّاً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یمکن أن یقال إنّ الاستبراء بالخرطات لیس کالاستبراء من المنیّ بالبول فإنّ نقاء المجری من المنیّ المتخلّف فیه بالبول قطعیّ،بخلاف الاستبراء بالخرطات فإنّ نقاء المحلّ به لیس بأمر قطعیّ،بل من المحتمل أن یبقی معه شیء من المتخلّف فی المجری، و علیه فمقتضی صحیحة محمّد بن مسلم و موثّقة سماعة </w:t>
      </w:r>
      <w:r>
        <w:rPr>
          <w:rStyle w:val="FootnoteAnchor"/>
          <w:rtl w:val="true"/>
        </w:rPr>
        <w:footnoteReference w:id="196"/>
      </w:r>
      <w:r>
        <w:rPr>
          <w:rFonts w:ascii="IRNazanin" w:hAnsi="IRNazanin" w:eastAsia="IRNazanin"/>
          <w:color w:val="111111"/>
          <w:sz w:val="28"/>
          <w:sz w:val="28"/>
          <w:szCs w:val="28"/>
          <w:rtl w:val="true"/>
          <w:lang w:bidi="fa-IR"/>
        </w:rPr>
        <w:t>أنّ البلل الخارج بعد استبراء الجنب بالبول لیس بمنیّ،بل بول بلا فرق بین أن یستبرئ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بالخرطات أم لا فیرفع الید عن إطلاقهما فی ما إذا استبرأ بالخرطات، و احتمل الطهارة فی البلل الخارج بعده، حیث إنّ فی الروایات المتقدّمة أنّه بعد الاستبراء طاهر، و أمّا إذا لم یحتمل الطهارة فیه کما فی الفرض فیؤخذ بإطلاقهما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فالبلل المردّد بین البول و المنی محکوم علیه بالبولیّة بلا فرق بین الاستبراء بالخرطات و عدمه، و ذکرنا فی بحث الأُصول أنه یمکن استفادة ذلک من آیة الوضوء </w:t>
      </w:r>
      <w:r>
        <w:rPr>
          <w:rStyle w:val="FootnoteAnchor"/>
          <w:rtl w:val="true"/>
        </w:rPr>
        <w:footnoteReference w:id="197"/>
      </w:r>
      <w:r>
        <w:rPr>
          <w:rFonts w:ascii="IRNazanin" w:hAnsi="IRNazanin" w:eastAsia="IRNazanin"/>
          <w:color w:val="111111"/>
          <w:sz w:val="28"/>
          <w:sz w:val="28"/>
          <w:szCs w:val="28"/>
          <w:rtl w:val="true"/>
          <w:lang w:bidi="fa-IR"/>
        </w:rPr>
        <w:t>أیضاً، فإنّ مفادها أنّ کلّ مکلّف إذا قام إلی الصلاة فعلیه أن یتوضّأ إلّا إذا کان جنباً فإنّ علی الجنب أن یغتسل، و هذا الاستثناء امّا بقرینة أنّ الآیة فی مقام الطهارة المعتبرة فی الصلاة و أنّ الطهارة من کل مکلف هو الوضوء إلّا الجنب فإنّ طهارته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لما ورد من أنّهُ لا یشرع مع غسل الجنابة وضوء لا من قبل الغسل و لا من بعده </w:t>
      </w:r>
      <w:r>
        <w:rPr>
          <w:rStyle w:val="FootnoteAnchor"/>
          <w:rtl w:val="true"/>
        </w:rPr>
        <w:footnoteReference w:id="198"/>
      </w:r>
      <w:r>
        <w:rPr>
          <w:rFonts w:ascii="IRNazanin" w:hAnsi="IRNazanin" w:eastAsia="IRNazanin"/>
          <w:color w:val="111111"/>
          <w:sz w:val="28"/>
          <w:sz w:val="28"/>
          <w:szCs w:val="28"/>
          <w:rtl w:val="true"/>
          <w:lang w:bidi="fa-IR"/>
        </w:rPr>
        <w:t xml:space="preserve">، و أیضاً إنّ المراد من کلّ مکلف غیر المتطهّر المعبّر عنه بالحدث للروایات الدالّة علی أنّ من توضّأ یصلی ما لم یحدث </w:t>
      </w:r>
      <w:r>
        <w:rPr>
          <w:rStyle w:val="FootnoteAnchor"/>
          <w:rtl w:val="true"/>
        </w:rPr>
        <w:footnoteReference w:id="199"/>
      </w:r>
      <w:r>
        <w:rPr>
          <w:rFonts w:ascii="IRNazanin" w:hAnsi="IRNazanin" w:eastAsia="IRNazanin"/>
          <w:color w:val="111111"/>
          <w:sz w:val="28"/>
          <w:sz w:val="28"/>
          <w:szCs w:val="28"/>
          <w:rtl w:val="true"/>
          <w:lang w:bidi="fa-IR"/>
        </w:rPr>
        <w:t>منه نواقضه و لم یصدر منه موجب الغسل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فمفاد الآیة المبارکة أنّ کلّ محدث لم یکن جنباً یتوضّأ لصلاته و یتفرّع علی ذلک فی المقام أنّ من خرج منه البلل المردّد بین البول و المنیّ غیر متطهّر وجداناً و الأصل عدم کونه جنباً فیجب علیه الوضوء لصلاته، و لا یجری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فی عدم کون البلل المزبور بولاً أی حدثاً أصغر؛ و ذلک لأنّ البول غیر موضوع لوجوب الوضوء بل الموضوع له الحدث کان به أو بغیره و منه البلل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مفاد الآیة المبارکة المکلّف الصادر عنه ناقض الوضوء لو لم یکن جنباً یتوضّأ و لو کان جنباً یغتسل و یستشهد لذلک،بموثّقة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النوم،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النوم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یغلب علی السمع و لا یسمع الصوت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بد من حمل ذکر النوم علی المثال امّا لناقض الوضوء بمعناه الخاصّ أو بمعناه العامّ أی الحدث و لا قرینة علی أنّ المراد التمثیل بالناقض الخاصّ،بل یلزم عدم تضمن الآیة لحکم الجنب الذی لم یصدر منه ناقض الوضوء،بخلاف ما إذا حمل علی التمثیل بالناقض بمعناه العامّ أی الحدث و اختیاره للمثال لزعم الجماعة أنّ النوم لیس بنفسه ناقضاً و لا حدثاً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لو کان مفاد الآیة کما ذکر یختصّ جریان أصالة عدم الجنابة بصورة إحراز ناقض الوضوء و لا یجری فی البلل المردّد بین البول و المنیّ بعد الوضوء کما هو الفرض،بخلاف ما ذکرنا فإنّ أصالة عدم الجنابة یعیّن ارتفاع الحدث بالبلل المردّد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خرجت منه قبل أن یتوضّأ فلا یبعد جواز الاکتفاء بالوضوء؛ لأن الحدث الأصغر معلوم، و وجود موجب الغسل غیر معلوم فمقتضی الاستصحاب وجوب الوضوء و عدم وجوب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المکلّف إذا لم یکن علی وضوء ثمّ صدر منه موجب الجنابة 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الأکبر مضاداً بالحدث الأصغر فلا یجتمعان، فغیر المتوضئ إذا صدر منه موجب الجنابة یتبدّل حدثه الأصغر إلی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 الجنابة موجباً لکون المکلّف ذا حدثین الأصغر و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صدور موجب الجنابة مؤکّداً للحدث السابق و موجباً لاشتداده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یتردّد الحدث المعلوم للمکلّف بعد خروج البلل بین الأصغر و الأکبر فیستصحب بقاؤه بعد الوضوء، و مقتضی استصحابه الاغتسال أیضاً لا لأن استصحاب بقاء الحدث یعیّن الحدث الأکبر،بل لانقطاع الاستصحاب فی ناحیة الکلی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لا تصل النوبة إلی استصحاب کلّیّ الحدث فیما أُحرز حصول ما جعله الشارع رافعاً له و قد ذکر أنّ دلالة الآیة </w:t>
      </w:r>
      <w:r>
        <w:rPr>
          <w:rStyle w:val="FootnoteAnchor"/>
          <w:rtl w:val="true"/>
        </w:rPr>
        <w:footnoteReference w:id="201"/>
      </w:r>
      <w:r>
        <w:rPr>
          <w:rFonts w:ascii="IRNazanin" w:hAnsi="IRNazanin" w:eastAsia="IRNazanin"/>
          <w:color w:val="111111"/>
          <w:sz w:val="28"/>
          <w:sz w:val="28"/>
          <w:szCs w:val="28"/>
          <w:rtl w:val="true"/>
          <w:lang w:bidi="fa-IR"/>
        </w:rPr>
        <w:t xml:space="preserve">بضمیمة الروایات </w:t>
      </w:r>
      <w:r>
        <w:rPr>
          <w:rStyle w:val="FootnoteAnchor"/>
          <w:rtl w:val="true"/>
        </w:rPr>
        <w:footnoteReference w:id="202"/>
      </w:r>
      <w:r>
        <w:rPr>
          <w:rFonts w:ascii="IRNazanin" w:hAnsi="IRNazanin" w:eastAsia="IRNazanin"/>
          <w:color w:val="111111"/>
          <w:sz w:val="28"/>
          <w:sz w:val="28"/>
          <w:szCs w:val="28"/>
          <w:rtl w:val="true"/>
          <w:lang w:bidi="fa-IR"/>
        </w:rPr>
        <w:t>علی أنّ من صدر منه من نواقض الوضوء و لم یکن جنباً طهارته هو الوضوء، سواء أُرید من نواقض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معناه الخاص أو معناه العام، حیث إنّ المکلّف المفروض قد صدر منه من نواقض الوضوء بمعناه الخاصّ یقیناً من قبل و لم یکن منه موجب الجنابة بالأصل فیکون وضوؤه رافعاً لحدثه، و هذا یجری بناءً علی إمکان کون المکلف علی حدثین أو اشتداد الأول بالثانی، فلو بنی علی جریان الاستصحاب فی القسم الثالث من الکلّیّ یثبت فی المقام ارتفاعه بالوضوء بإحراز الرافع له بضم الوجدان إلی الأصل، و کذا لو قیل بأنّه یمکن کون المکلّف علی حدثین أو اشتداد الأوّل بالثانی إلّا أنّه مع کونه علی حدثین أو الاشتداد لا یرتفع حدثه الأصغر و الأوّل إلّا بالاغتسال فلا موضوع فی المقام لاستصحاب حدثه الأصغر و الأول؛ لثبوت الرافع لهما بالوضوء علی ما هو مفاد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لأصالة عدم خروج المنیّ أو عدم کون المکلّف بعد خروج البلل المردّد بین البول و المنیّ جنباً حتّی یترتّب أنّ الرافع للحدث فی الفرض هو الوضوء،بلا فرق بین کون المکلّف قبل خروج البلل متطهّراً من الحدث کما إذا کان خروج البلل المزبور بعد الوضوء، أو غیر متطهّر کما إذا کان الخروج قبل الوضوء و لکن کان المخرج متطهّراً عند خروج البلل حیث إنّ استصحاب عدم خروج المنیّ أو عدم کونه بالخروج جنباً معارض بأصالة عدم إصابة البول المخرج حتی یتعیّن غسله بمرّتین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ناحیة کلّ من احتمال کون البلل المزبور منیّاً أو بولاً أصلان عرضیان و أصلان طولیان، فإنّ أصالة عدم خروج المنیّ و أصالة عدم إصابة البول المخرج أصلان عرضیان متعارضان کما ذکر للزوم المخالفة القطعیة من جریانهما، و أمّا عدم جنابة صاحب البلل و المراد الجنابة الحدثیة الداخلة فی الحکم الوضعی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تنجس المخرج فالأصلان طولیان غیر متعارضین؛ لأن الأصل الجاری فی ناحیة عدم الجنابة نافٍ، و الأصل الجاری فی ناحیة تنجس المخرج مثبت؛ لأنّ الأصل بقاء المخرج علی نجاسته بعد غسله مرّة فیجریان معاً فیترتّب علی جریانهما ارتفاع الحدث بالوضوء و لزوم غسل المخرج مرّتین و لا یتوهم بأنّ الأصل عدم إصابة البول المخرج یعارض الأصل العرضی و الطولی فی طرف احتمال الجنابة؛ لأنّ المعارضة کذلک یختصّ بما إذا لم یکن فی الطرف المعارض أصل طولیّ أیضاً و لکنه مثبت للتکلیف، و تمام الکلام فی بحث الأُصول</w:t>
      </w:r>
      <w:r>
        <w:rPr>
          <w:rFonts w:eastAsia="IRNazanin" w:cs="IRNazanin"/>
          <w:color w:val="111111"/>
          <w:sz w:val="28"/>
          <w:szCs w:val="28"/>
          <w:rtl w:val="true"/>
          <w:lang w:bidi="fa-IR"/>
        </w:rPr>
        <w:t>.</w:t>
      </w:r>
      <w:bookmarkStart w:id="101" w:name="pg12061_112409"/>
    </w:p>
    <w:p>
      <w:pPr>
        <w:pStyle w:val="Heading3"/>
        <w:numPr>
          <w:ilvl w:val="2"/>
          <w:numId w:val="1"/>
        </w:numPr>
        <w:rPr/>
      </w:pPr>
      <w:bookmarkStart w:id="102" w:name="__RefHeading___Toc1723178_417432637"/>
      <w:bookmarkStart w:id="103" w:name="_Toc37"/>
      <w:bookmarkEnd w:id="101"/>
      <w:bookmarkEnd w:id="102"/>
      <w:r>
        <w:rPr>
          <w:rtl w:val="true"/>
        </w:rPr>
        <w:t>فصل فی مستحبّات التخلّی و مکروهاته</w:t>
      </w:r>
      <w:bookmarkEnd w:id="103"/>
    </w:p>
    <w:p>
      <w:pPr>
        <w:pStyle w:val="Heading4"/>
        <w:numPr>
          <w:ilvl w:val="3"/>
          <w:numId w:val="1"/>
        </w:numPr>
        <w:rPr/>
      </w:pPr>
      <w:bookmarkStart w:id="104" w:name="__RefHeading___Toc1723180_417432637"/>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یطلب خلوة أو یبعد حتّی لا یری شخصه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مستحبات التخلی و مکروهاته</w:t>
      </w:r>
    </w:p>
    <w:p>
      <w:pPr>
        <w:pStyle w:val="BookText"/>
        <w:rPr/>
      </w:pPr>
      <w:r>
        <w:rPr>
          <w:rFonts w:ascii="IRNazanin" w:hAnsi="IRNazanin" w:eastAsia="IRNazanin"/>
          <w:color w:val="111111"/>
          <w:sz w:val="28"/>
          <w:sz w:val="28"/>
          <w:szCs w:val="28"/>
          <w:rtl w:val="true"/>
          <w:lang w:bidi="fa-IR"/>
        </w:rPr>
        <w:t>ذکر فی کلمات الأصحاب جملة من الأفعال و یعدّ أنها من مستحبّات التخلّی، و جملة أُخری و یعد أنها من مکروهاته، و لکنّ إثبات الاستحباب الشرعی فی تمام القسم الأوّل و الکراهة الشرعیّة فی القسم الثانی لا یتمّ حتّی علی الالتزام بالتسامح فی أدلة السنن بلا فرق بین الاستحباب و الکراهة، مع أنّ ما ذکروا وجهاً للتسامح المزبور لا دلالة لها علی ثبوت الاستحباب و المطلوبیة لنفس الفعل فضلاً عن دلالتها علی استحباب ترک الفعل أو کراهته،بل مدلولها ترتّب الثواب الموعود علی الإتیان بنحو الانقیاد و الرجاء فلا بد من ملاحظة أن أیّ فعل منها یمکن إقامة الدلیل علی استحبابه أو کراهته من غیر انضمام قاعدة التسامح</w:t>
      </w:r>
      <w:r>
        <w:rPr>
          <w:rFonts w:eastAsia="IRNazanin" w:cs="IRNazanin"/>
          <w:color w:val="111111"/>
          <w:sz w:val="28"/>
          <w:szCs w:val="28"/>
          <w:rtl w:val="true"/>
          <w:lang w:bidi="fa-IR"/>
        </w:rPr>
        <w:t>.</w:t>
      </w:r>
    </w:p>
    <w:p>
      <w:pPr>
        <w:pStyle w:val="Heading4"/>
        <w:numPr>
          <w:ilvl w:val="3"/>
          <w:numId w:val="1"/>
        </w:numPr>
        <w:rPr/>
      </w:pPr>
      <w:bookmarkStart w:id="106" w:name="__RefHeading___Toc1723182_417432637"/>
      <w:bookmarkStart w:id="107" w:name="_Toc39"/>
      <w:bookmarkEnd w:id="106"/>
      <w:r>
        <w:rPr>
          <w:rtl w:val="true"/>
        </w:rPr>
        <w:t>مستحبّات التخلّی</w:t>
      </w:r>
      <w:bookmarkEnd w:id="107"/>
    </w:p>
    <w:p>
      <w:pPr>
        <w:pStyle w:val="BookText"/>
        <w:rPr/>
      </w:pPr>
      <w:r>
        <w:rPr>
          <w:rFonts w:ascii="IRNazanin" w:hAnsi="IRNazanin" w:eastAsia="IRNazanin"/>
          <w:color w:val="111111"/>
          <w:sz w:val="28"/>
          <w:sz w:val="28"/>
          <w:szCs w:val="28"/>
          <w:rtl w:val="true"/>
          <w:lang w:bidi="fa-IR"/>
        </w:rPr>
        <w:t>و ما ذکر من استحباب أن یطلب خلوة أو یبعد حتّی لا یری شخصه فقد 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رواه الفقیه بإسناده عن سلیمان بن داود المنقری، عن حماد بن عیسی،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أردت قضاء حاجتک فابعد المذهب فی الأرض</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فی السند قاسم بن محمد الکاسولا و لیس بمرضی و إن لا یبعد کونه من</w:t>
      </w:r>
    </w:p>
    <w:p>
      <w:pPr>
        <w:pStyle w:val="BookText"/>
        <w:rPr/>
      </w:pPr>
      <w:r>
        <w:rPr>
          <w:rFonts w:ascii="Amiri" w:hAnsi="Amiri" w:eastAsia="Amiri" w:cs="Amiri"/>
          <w:color w:val="111111"/>
          <w:sz w:val="28"/>
          <w:sz w:val="28"/>
          <w:szCs w:val="28"/>
          <w:rtl w:val="true"/>
          <w:lang w:bidi="ar-SA"/>
        </w:rPr>
        <w:t>و أن یطلب مکاناً مرتفعاً للبول أو موضعاً رخواً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المعاریف، إلّا أنّ المعروفیّة لا تفید مع ثبوت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رواه الطبرسی عن أبی عبد اللّه فی مدح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یره أحد من الناس علی بول و لا غائط و لا اغتسال لشدّة تستّره و تحفّظه فی أمره فبذلک أوتی الحکمة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فیما رواه الشهید الثانی فی شرح النفلیّة عن النبیّ صلی الله علیه و آله أنّه لم یرَ علی بول و لا غائط </w:t>
      </w:r>
      <w:r>
        <w:rPr>
          <w:rStyle w:val="FootnoteAnchor"/>
          <w:rtl w:val="true"/>
        </w:rPr>
        <w:footnoteReference w:id="205"/>
      </w:r>
      <w:r>
        <w:rPr>
          <w:rFonts w:ascii="IRNazanin" w:hAnsi="IRNazanin" w:eastAsia="IRNazanin"/>
          <w:color w:val="111111"/>
          <w:sz w:val="28"/>
          <w:sz w:val="28"/>
          <w:szCs w:val="28"/>
          <w:rtl w:val="true"/>
          <w:lang w:bidi="fa-IR"/>
        </w:rPr>
        <w:t xml:space="preserve">، و فیه أیضاً قال علیه السلام و من أتی الغائط فلیستتر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کشف الغمّة عن جنید بن عبد اللّه أو جندب بن عبد اللّه أنّه ورد علی أمیر المؤمنین علیه السلام یوم النهروان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الأزد معک طهور،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فناولته الإداوة فمضی حتّی لم أره و أقبل و قد تطهّر </w:t>
      </w:r>
      <w:r>
        <w:rPr>
          <w:rStyle w:val="FootnoteAnchor"/>
          <w:rtl w:val="true"/>
        </w:rPr>
        <w:footnoteReference w:id="207"/>
      </w:r>
      <w:r>
        <w:rPr>
          <w:rFonts w:ascii="IRNazanin" w:hAnsi="IRNazanin" w:eastAsia="IRNazanin"/>
          <w:color w:val="111111"/>
          <w:sz w:val="28"/>
          <w:sz w:val="28"/>
          <w:szCs w:val="28"/>
          <w:rtl w:val="true"/>
          <w:lang w:bidi="fa-IR"/>
        </w:rPr>
        <w:t>، الحدیث، و لیس ما ذکر ممّا یمکن الحکم بالاستحباب بالاعتماد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التباعد عن الناس أو التستر یناسب الوقار المطلوب من المؤمن کما تری، فإنّ التحفّظ علی العورة و سترها أمر لازم شرعاً، و أمّا غیره فلا یرتبط بالوقار و إلّا جری المناسبة للوقار فی مثل الأکل و لو من بعض الأشخاص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الاستدلال علی اختیار الموضع المرتفع لبوله أو الکثیر التراب له بمعتبرة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فقه الرجل أن</w:t>
      </w:r>
    </w:p>
    <w:p>
      <w:pPr>
        <w:pStyle w:val="BookText"/>
        <w:rPr/>
      </w:pPr>
      <w:r>
        <w:rPr>
          <w:rFonts w:ascii="IRNazanin" w:hAnsi="IRNazanin" w:eastAsia="IRNazanin"/>
          <w:color w:val="111111"/>
          <w:sz w:val="28"/>
          <w:sz w:val="28"/>
          <w:szCs w:val="28"/>
          <w:rtl w:val="true"/>
          <w:lang w:bidi="fa-IR"/>
        </w:rPr>
        <w:t>و أن یقدّم رجله 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فی بیت الخلاء و رجله الیمنی عند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یرتاد موضعاً لبوله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الارتیاد طلب الموضع السهل لبوله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یبعد اعتبارها سنداً لا لکون علی بن إسماعیل الواقع فی السند هو غیر ابن السندی و أحمد بن محمد بن الحسن بن الولید من المعاریف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أشدّ الناس توقّیاً للبول کان إذا أراد البول یعمد إلی مکان مرتفع من الأرض أو إلی مکان من الأمکنة فیه التراب الکثیر کراهیّة أن ینضح علیه البول</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ذلک جماعة فی المقام، و ذکر بعض عکس ذلک فی دخول المساجد،و المحکیّ عن المدارک أنّ تقدیم الیسری عند الدخول فی بیت الخلاء و تقدیم الیمنی عند الخروج منها استحبابه مشهور بین الأصحاب، بل عن الغنیة الإجماع علیه </w:t>
      </w:r>
      <w:r>
        <w:rPr>
          <w:rStyle w:val="FootnoteAnchor"/>
          <w:rtl w:val="true"/>
        </w:rPr>
        <w:footnoteReference w:id="210"/>
      </w:r>
      <w:r>
        <w:rPr>
          <w:rFonts w:ascii="IRNazanin" w:hAnsi="IRNazanin" w:eastAsia="IRNazanin"/>
          <w:color w:val="111111"/>
          <w:sz w:val="28"/>
          <w:sz w:val="28"/>
          <w:szCs w:val="28"/>
          <w:rtl w:val="true"/>
          <w:lang w:bidi="fa-IR"/>
        </w:rPr>
        <w:t>، و ذکر الهمدانی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المقدار یکفی فی ثبوت الاستحباب بناءً علی التسامح فی أدلّة السنن کما هو المختار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فی مصباح المتهجد أیضاً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 مفاد أخبار من بلغ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 عند التکلم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و أن یستر رأسه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یتقنّع و یجزی عن ستر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الثواب الموعود علی عمل علی طبق ما بلغ عن النبی صلی الله علیه و آله یؤتی للعامل حتّی لو لم یکن صدقاً فی الواقع، و هذا أجنبی عن الحکم باستحباب ذلک العمل بأن لا یعتبر فی ثبوت الاستحباب ما یعتبر فی ثبوت غیره من التکالیف و الإلزامات، أو یکون للبلوغ موضوعیّة فی استحباب الفعل و مطلوبیّته شرعاً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ما ذکر من ثبوت الاستحباب ففتوی الجماعة باستحباب العمل إنّما یفید الحکم بالاستحباب عندنا فیما إذا أُحرز أنّه کان عندهم ما ظاهره ترتّب الثواب علی العمل الفلانی و أمّا إذا أُحرز أو احتمل أنّ فتواهم باستحبابه و التزامهم بالثواب علیه؛ لاستظهارهم ذلک من ملاحظة ما ورد فی أصحاب الیمین و من النهی عن الاستنجاء بالیمین و الأکل بالیسری، حیث استفادوا أنّ کلّ الأفعال الشریفة ینبغی صدورها عن المکلّف بیمناه و مقابلها یسراه فلا یفید ذلک فی صدق البلوغ عن النبیّ الثواب علی العمل مع عدم تمامیّة الاستفادة عندنا، و إلّا لکفی فی الحکم بالاستحباب فتوی فقیه بلا حاجة إلی فتوی الجماعة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مورد أخبار من بلغ ما إذا کان بلوغ الثواب لعمل بدعوی الحسّ و لا یعمّ بل و لا یصدق فی دعوی الحدس</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 فی کلمات غیر واحد من الأصحاب من المندوبات تغطیة الرأس عند التخلّی، و عن المعتبر و الذکری دعوی الاتّفاق </w:t>
      </w:r>
      <w:r>
        <w:rPr>
          <w:rStyle w:val="FootnoteAnchor"/>
          <w:rtl w:val="true"/>
        </w:rPr>
        <w:footnoteReference w:id="214"/>
      </w:r>
      <w:r>
        <w:rPr>
          <w:rFonts w:ascii="IRNazanin" w:hAnsi="IRNazanin" w:eastAsia="IRNazanin"/>
          <w:color w:val="111111"/>
          <w:sz w:val="28"/>
          <w:sz w:val="28"/>
          <w:szCs w:val="28"/>
          <w:rtl w:val="true"/>
          <w:lang w:bidi="fa-IR"/>
        </w:rPr>
        <w:t xml:space="preserve">علیه، و عن المفید فی المقنعة أنّ تغطیة الرأس إن کان مکشوفاً عند التخلّی من سنن المرسلین </w:t>
      </w:r>
      <w:r>
        <w:rPr>
          <w:rStyle w:val="FootnoteAnchor"/>
          <w:rtl w:val="true"/>
        </w:rPr>
        <w:footnoteReference w:id="215"/>
      </w:r>
      <w:r>
        <w:rPr>
          <w:rFonts w:ascii="IRNazanin" w:hAnsi="IRNazanin" w:eastAsia="IRNazanin"/>
          <w:color w:val="111111"/>
          <w:sz w:val="28"/>
          <w:sz w:val="28"/>
          <w:szCs w:val="28"/>
          <w:rtl w:val="true"/>
          <w:lang w:bidi="fa-IR"/>
        </w:rPr>
        <w:t>، و ورد فی بعض</w:t>
      </w:r>
    </w:p>
    <w:p>
      <w:pPr>
        <w:pStyle w:val="BookText"/>
        <w:rPr/>
      </w:pPr>
      <w:r>
        <w:rPr>
          <w:rFonts w:ascii="IRNazanin" w:hAnsi="IRNazanin" w:eastAsia="IRNazanin"/>
          <w:color w:val="111111"/>
          <w:sz w:val="28"/>
          <w:sz w:val="28"/>
          <w:szCs w:val="28"/>
          <w:rtl w:val="true"/>
          <w:lang w:bidi="fa-IR"/>
        </w:rPr>
        <w:t>و أن یسمّی عند کشف العورة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التقنّع و حملوا ذلک علی أنّ التقنّع من أفضل أفراد تغطیة الرأس حیث إنّ تغطیته تحصل بغیره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مرسلة علی بن أسباط أو رجل عنه، عمّن رواه عن أبی عبد اللّه علیه السلام أنّه إذا دخل الکنیف یقنّع رأسه و یقول سرّاً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w:t>
      </w:r>
      <w:r>
        <w:rPr>
          <w:rStyle w:val="FootnoteAnchor"/>
          <w:rtl w:val="true"/>
        </w:rPr>
        <w:footnoteReference w:id="21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المجالس و الأخبار بالإسناد عن أبی ذر، عن رسول اللّٰه صلی الله علیه و آله فی وصیته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 استحی من اللّٰه فإنی و الذی نفسی بیده لأظلّ حین أذهب إلی الغائط متقنّعاً بثوبی استحیاءً من الملکین اللذین معی </w:t>
      </w:r>
      <w:r>
        <w:rPr>
          <w:rStyle w:val="FootnoteAnchor"/>
          <w:rtl w:val="true"/>
        </w:rPr>
        <w:footnoteReference w:id="21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الحکم بالاستحباب اعتماداً علی ما ذکر مبنی علی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تغطیة الرأس و التقنّع لا یبتنی علی ما ذکر فإنّ فتوی المشهور باستحبابهما جابر لضعف السند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فتواهم بالاستحباب اعتماداً علیها؛ لالتزام جلّهم بالتسامح فی أدلّة السنن، و علیه فلا یبقی مجال لدعوی الانجبار، و اللّٰه سبحانه هو العالم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بالمرسل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انکشف أحدکم لبول أو لغیر ذلک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فإنّ الشیطان یغضّ بصره عنه حتّی یفرغ</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و بما رواه الشیخ قدس سره عن محمد بن علی بن محبوب، عن محمد بن الحسین،</w:t>
      </w:r>
    </w:p>
    <w:p>
      <w:pPr>
        <w:pStyle w:val="BookText"/>
        <w:rPr/>
      </w:pPr>
      <w:r>
        <w:rPr>
          <w:rFonts w:ascii="IRNazanin" w:hAnsi="IRNazanin" w:eastAsia="IRNazanin"/>
          <w:color w:val="111111"/>
          <w:sz w:val="28"/>
          <w:sz w:val="28"/>
          <w:szCs w:val="28"/>
          <w:rtl w:val="true"/>
          <w:lang w:bidi="fa-IR"/>
        </w:rPr>
        <w:t>و أن یتکئ فی حال الجلوس علی رجله 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یفرّج رجله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عن أبیه، عن آبائه علیهم السلام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فی الوسائل عن الشیخ باسناده عن محمّد بن علی بن محبوب، عن الحسن بن علی، عن أبیه، عن آبائه، عن جعفر علیهم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 أجد فی روایات محمّد بن الحسین بن أبی الخطاب المماثل لهذا السند، و لا یبعد أن یکون المراد بالحسن بن علی هو أبو محمد علیه السلام و حمله علی الحسن بن علی بن فضال لا تساعده نسخة التهذیب و لا نسخة الوسائل، و یبعده عدم مثل ذلک فی روایات 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أیضاً بالمرسل المروی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الصادق علیه السلام إذا دخل الخلاء یقنّع رأسه و 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لا إله إلّا اللّٰه </w:t>
      </w:r>
      <w:r>
        <w:rPr>
          <w:rStyle w:val="FootnoteAnchor"/>
          <w:rtl w:val="true"/>
        </w:rPr>
        <w:footnoteReference w:id="221"/>
      </w:r>
      <w:r>
        <w:rPr>
          <w:rFonts w:ascii="IRNazanin" w:hAnsi="IRNazanin" w:eastAsia="IRNazanin"/>
          <w:color w:val="111111"/>
          <w:sz w:val="28"/>
          <w:sz w:val="28"/>
          <w:szCs w:val="28"/>
          <w:rtl w:val="true"/>
          <w:lang w:bidi="fa-IR"/>
        </w:rPr>
        <w:t>الخ، و بخبر أبی أُسامة عن أبی عبد اللّه علیه السلام فی حدیث أنّه سئل ما السنّة فی دخول الخلاء؟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اللّٰه و یتعوّذ باللّٰه من الشیطان الرجیم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و إن کان ظاهرهما مطلوبیّة ذکر اللّٰه سبحانه، و لکن لا یدلاّن علی المطلوبیّة عند الانکشاف،بل عند الدخول فی الخلاء کما لا یخفی،بخلاف المرسلة و ما بعدها فإنّ التعلیل فیها یعطی الاختصاص بما عند الکشف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الیسری ذکره جملة من الأصحاب رضوان</w:t>
      </w:r>
    </w:p>
    <w:p>
      <w:pPr>
        <w:pStyle w:val="BookText"/>
        <w:rPr/>
      </w:pPr>
      <w:r>
        <w:rPr>
          <w:rFonts w:ascii="IRNazanin" w:hAnsi="IRNazanin" w:eastAsia="IRNazanin"/>
          <w:color w:val="111111"/>
          <w:sz w:val="28"/>
          <w:sz w:val="28"/>
          <w:szCs w:val="28"/>
          <w:rtl w:val="true"/>
          <w:lang w:bidi="fa-IR"/>
        </w:rPr>
        <w:t>و أن یستبرئ بالکیفیّة التی مرّت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علیهم و لم أقف فیه علی نصّ، و أسنده فی الذکری إلی روایة عن النبی صلی الله علیه و آله و قال العلاّمة فی النهایة؛ لأنّه علیه السلام علّم أصحابه الاتکاء علی الیسار و هما أعلم بما قالا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فی بنی مدلج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سراقة بن مالک جشعم من عند النبی صلی الله علیه و آله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أن نتوکّأ علی الیسری و ننصب الیمنی </w:t>
      </w:r>
      <w:r>
        <w:rPr>
          <w:rStyle w:val="FootnoteAnchor"/>
          <w:rtl w:val="true"/>
        </w:rPr>
        <w:footnoteReference w:id="224"/>
      </w:r>
      <w:r>
        <w:rPr>
          <w:rFonts w:ascii="IRNazanin" w:hAnsi="IRNazanin" w:eastAsia="IRNazanin"/>
          <w:color w:val="111111"/>
          <w:sz w:val="28"/>
          <w:sz w:val="28"/>
          <w:szCs w:val="28"/>
          <w:rtl w:val="true"/>
          <w:lang w:bidi="fa-IR"/>
        </w:rPr>
        <w:t>، فبناءً علی عدم اعتبار السند فی المستحبّات أخذاً بما ذکر فی مدلول أخبار من بلغ لا یفرّق بین وصول الخبر بالثواب بطریق الخاصّة أو العامّة فیما إذا لم یکن له معارض و یحتمل صدقه واقعاً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استحباب الاستبراء قبل الاستنجاء إلی المشهور </w:t>
      </w:r>
      <w:r>
        <w:rPr>
          <w:rStyle w:val="FootnoteAnchor"/>
          <w:rtl w:val="true"/>
        </w:rPr>
        <w:footnoteReference w:id="225"/>
      </w:r>
      <w:r>
        <w:rPr>
          <w:rFonts w:ascii="IRNazanin" w:hAnsi="IRNazanin" w:eastAsia="IRNazanin"/>
          <w:color w:val="111111"/>
          <w:sz w:val="28"/>
          <w:sz w:val="28"/>
          <w:szCs w:val="28"/>
          <w:rtl w:val="true"/>
          <w:lang w:bidi="fa-IR"/>
        </w:rPr>
        <w:t xml:space="preserve">بل عن الجواهر دعوی عدم الخلاف فیه </w:t>
      </w:r>
      <w:r>
        <w:rPr>
          <w:rStyle w:val="FootnoteAnchor"/>
          <w:rtl w:val="true"/>
        </w:rPr>
        <w:footnoteReference w:id="226"/>
      </w:r>
      <w:r>
        <w:rPr>
          <w:rFonts w:ascii="IRNazanin" w:hAnsi="IRNazanin" w:eastAsia="IRNazanin"/>
          <w:color w:val="111111"/>
          <w:sz w:val="28"/>
          <w:sz w:val="28"/>
          <w:szCs w:val="28"/>
          <w:rtl w:val="true"/>
          <w:lang w:bidi="fa-IR"/>
        </w:rPr>
        <w:t xml:space="preserve">و المحکیّ عن بعض المتقدّمین الوجوب </w:t>
      </w:r>
      <w:r>
        <w:rPr>
          <w:rStyle w:val="FootnoteAnchor"/>
          <w:rtl w:val="true"/>
        </w:rPr>
        <w:footnoteReference w:id="227"/>
      </w:r>
      <w:r>
        <w:rPr>
          <w:rFonts w:ascii="IRNazanin" w:hAnsi="IRNazanin" w:eastAsia="IRNazanin"/>
          <w:color w:val="111111"/>
          <w:sz w:val="28"/>
          <w:sz w:val="28"/>
          <w:szCs w:val="28"/>
          <w:rtl w:val="true"/>
          <w:lang w:bidi="fa-IR"/>
        </w:rPr>
        <w:t>، و لکن قد ذکرنا عند التکلّم فی الاستبراء أنّه لا یستفاد من الأخبار الواردة فیه إلّا کونه موجباً للحکم بطهارة البلل المشتبه بعد ذلک و مع عدمه یحکم بذلک البلل أنّه بول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وجوب الاستبراء نفسیّاً أو شرطیّاً بأن یکون شرطاً فی حصول الطهارة للموضع بالاستنجاء موهوم، یدفعه مثل قوله علیه السلام فی صحیحة جمیل بن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انقطعت درّة البول فصبّ الماء</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بل لا دلیل</w:t>
      </w:r>
    </w:p>
    <w:p>
      <w:pPr>
        <w:pStyle w:val="BookText"/>
        <w:rPr/>
      </w:pPr>
      <w:r>
        <w:rPr>
          <w:rFonts w:ascii="IRNazanin" w:hAnsi="IRNazanin" w:eastAsia="IRNazanin"/>
          <w:color w:val="111111"/>
          <w:sz w:val="28"/>
          <w:sz w:val="28"/>
          <w:szCs w:val="28"/>
          <w:rtl w:val="true"/>
          <w:lang w:bidi="fa-IR"/>
        </w:rPr>
        <w:t>و أن یتنحنح قبل الاستبراء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استحبابه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یلتزم باستحبابه لصحیحة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رجل یبول فی اللیل فیحسب أنّ البول أصابه فلا یستیقن فهل یجزیه أن یصبّ علی ذکره إذا بال و لا یتنشف؟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استبان أنّه أصابه و ینضح ما یشک فیه من جسده أو ثیابه و یتنشف قبل أن یتوضّأ</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حیث ادّعی أنّ المراد بالوضوء هو الاستنجاء، و الإنشاف هو الاستبراء غایة الأمر بما أنّ الإنشاف لیس بواجب شرطاً للاستنجاء، و لیس بواجب نفسیّ کما هو ظاهر الصحیحة الأُولی یحمل الأمر بالإنشاف فی هذه الصحیحة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الدعوی بأنّه لم یظهر أنّ المراد بالوضوء هو الاستنجاء، و الإنشاف الاستبراء یدفعها ملاحظة السؤال فإنّه لو لم یکن المراد ذلک بقی السؤال بلا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الحدائق أنّه لیس للتنحنح خبر و لا تعرض فی کلام القدماء </w:t>
      </w:r>
      <w:r>
        <w:rPr>
          <w:rStyle w:val="FootnoteAnchor"/>
          <w:rtl w:val="true"/>
        </w:rPr>
        <w:footnoteReference w:id="230"/>
      </w:r>
      <w:r>
        <w:rPr>
          <w:rFonts w:ascii="IRNazanin" w:hAnsi="IRNazanin" w:eastAsia="IRNazanin"/>
          <w:color w:val="111111"/>
          <w:sz w:val="28"/>
          <w:sz w:val="28"/>
          <w:szCs w:val="28"/>
          <w:rtl w:val="true"/>
          <w:lang w:bidi="fa-IR"/>
        </w:rPr>
        <w:t xml:space="preserve">و إنّما ذلک فی کلام بعض المتأخّرین کالعلاّمة </w:t>
      </w:r>
      <w:r>
        <w:rPr>
          <w:rStyle w:val="FootnoteAnchor"/>
          <w:rtl w:val="true"/>
        </w:rPr>
        <w:footnoteReference w:id="231"/>
      </w:r>
      <w:r>
        <w:rPr>
          <w:rFonts w:ascii="IRNazanin" w:hAnsi="IRNazanin" w:eastAsia="IRNazanin"/>
          <w:color w:val="111111"/>
          <w:sz w:val="28"/>
          <w:sz w:val="28"/>
          <w:szCs w:val="28"/>
          <w:rtl w:val="true"/>
          <w:lang w:bidi="fa-IR"/>
        </w:rPr>
        <w:t xml:space="preserve">و الشهید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سابقاً یظهر أنّه لا یمکن الالتزام بالاستحباب حتّی بناءً علی التسامح فی أخبار السنن بمعنی عدم اعتبار ملاحظة السند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یقرأ الأدعیة المأثورة بأن یقول عند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الرجس النجس الخبیث المخبث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و فی مرسلة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الرجس النجس الخبیث المخبث الشیطان الرجیم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لکن مع 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المخرج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اللهمّ إنّی أعوذ بک من الخبیث المخبث الرجس النجس الشیطان الرجیم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الغائط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الرجس النجس الخبیث المخبث الشیطان الرجیم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هذه الروایات مختلفة فی الاشتمال بلفظ اللهمّ و تقدیم الرجس النجس علی الخبیث المخبث و تأخیره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الصدوق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إذا دخل الخلاء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الحافظ المؤدّی</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بینها أولی، کأنّه للعمل بالروایتین، و لکن فی مرسلة علی بن أسباط عمن رواه عن أبی عبد اللّه علیه السلام کان إذا دخل الکنیف یقنّع رأسه و یقول سراً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لا إله إلّا اللّٰه ربّ أخرج منّی الأذی سرحاً بغیر حساب </w:t>
      </w:r>
      <w:r>
        <w:rPr>
          <w:rStyle w:val="FootnoteAnchor"/>
          <w:rtl w:val="true"/>
        </w:rPr>
        <w:footnoteReference w:id="237"/>
      </w:r>
      <w:r>
        <w:rPr>
          <w:rFonts w:ascii="IRNazanin" w:hAnsi="IRNazanin" w:eastAsia="IRNazanin"/>
          <w:color w:val="111111"/>
          <w:sz w:val="28"/>
          <w:sz w:val="28"/>
          <w:szCs w:val="28"/>
          <w:rtl w:val="true"/>
          <w:lang w:bidi="fa-IR"/>
        </w:rPr>
        <w:t>، إلخ و علیه فالأولی الجمع بینها للعمل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الجمع بینهما، و عند خروج الغائط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أطعمنیه طیباً فی عافیة، و أخرجه خبیثاً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النظر إلی الغائط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الحلال و جنّبنی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رؤیة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الماء طهوراً و لم یجعله نجساً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الصدوق و إذا انزحر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أطعمتنیه طیباً فی عافیة</w:t>
      </w:r>
    </w:p>
    <w:p>
      <w:pPr>
        <w:pStyle w:val="BookText"/>
        <w:rPr/>
      </w:pPr>
      <w:r>
        <w:rPr>
          <w:rFonts w:ascii="IRNazanin" w:hAnsi="IRNazanin" w:eastAsia="IRNazanin"/>
          <w:color w:val="111111"/>
          <w:sz w:val="28"/>
          <w:sz w:val="28"/>
          <w:szCs w:val="28"/>
          <w:rtl w:val="true"/>
          <w:lang w:bidi="fa-IR"/>
        </w:rPr>
        <w:t>فأخرجه منّی خبیثاً فی عافیة</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هذا یختلف مع ما ذکر فی المتن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الصدوق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به ملک موکّل یلوی عنقه حتی ینظر إلی حدثه ثمّ یقول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آدم هذا رزقک فانظر من أین أخذته و إلی ما صار، و ینبغی للعبد عند ذلک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الحلال و جنّبنی الحرام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جملة من الأعلام ما ذکر من الدعاء عند رؤیة الماء، و لکن ما ورد فی روایة عبد الرحمن بن کثیر الهاشمیّ، عن أبی عبد اللّه علیه السلام بینا أمیر المؤمنین علیه السلام ذات یوم جالس مع محمّد بن الحنفیة إذ قال له یا محمّد ائتنی بإناء من ماء أتوضّأ للصلاة فأتاه محمّد بالماء فأکفاه فصبّه بیده الیسری علی یده الیمنی،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الحمد للّٰه الذی جعل الماء طهوراً و لم یجعله نجساً </w:t>
      </w:r>
      <w:r>
        <w:rPr>
          <w:rStyle w:val="FootnoteAnchor"/>
          <w:rtl w:val="true"/>
        </w:rPr>
        <w:footnoteReference w:id="240"/>
      </w:r>
      <w:r>
        <w:rPr>
          <w:rFonts w:ascii="IRNazanin" w:hAnsi="IRNazanin" w:eastAsia="IRNazanin"/>
          <w:color w:val="111111"/>
          <w:sz w:val="28"/>
          <w:sz w:val="28"/>
          <w:szCs w:val="28"/>
          <w:rtl w:val="true"/>
          <w:lang w:bidi="fa-IR"/>
        </w:rPr>
        <w:t>، الحدیث، و هذه لا دلالة لها علی أنّ الدعاء عند النظر إلی الماء،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حَصِّن فرجی و أعِفَّه و استر عورتی و حرّمنی علی النار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وفّقنی لِمَا یقرّبنی منک 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الفراغ</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عافانی من البلاء و أماط عن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القیام عن محلّ الاستنجاء یمسح یده الیمنی علی بطنه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الدعاء أیضاً وارد فی روایة عبد الرحمن بن کثیر الهاشمیّ </w:t>
      </w:r>
      <w:r>
        <w:rPr>
          <w:rStyle w:val="FootnoteAnchor"/>
          <w:rtl w:val="true"/>
        </w:rPr>
        <w:footnoteReference w:id="241"/>
      </w:r>
      <w:r>
        <w:rPr>
          <w:rFonts w:ascii="IRNazanin" w:hAnsi="IRNazanin" w:eastAsia="IRNazanin"/>
          <w:color w:val="111111"/>
          <w:sz w:val="28"/>
          <w:sz w:val="28"/>
          <w:szCs w:val="28"/>
          <w:rtl w:val="true"/>
          <w:lang w:bidi="fa-IR"/>
        </w:rPr>
        <w:t>حیث إنّ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استنجی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حصّن فرجی و أعِفَّه و استر عورتی و حرّمنی علی النار، و لکن الروایة علی ما فی الوسائل غیر مشتملة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وفّقنی لما یقرّبنی منک یا ذا الجلال و الإکرام، و لکن ذکر هذا الدعاء فی مصباح المتهجّد </w:t>
      </w:r>
      <w:r>
        <w:rPr>
          <w:rStyle w:val="FootnoteAnchor"/>
          <w:rtl w:val="true"/>
        </w:rPr>
        <w:footnoteReference w:id="242"/>
      </w:r>
      <w:r>
        <w:rPr>
          <w:rFonts w:ascii="IRNazanin" w:hAnsi="IRNazanin" w:eastAsia="IRNazanin"/>
          <w:color w:val="111111"/>
          <w:sz w:val="28"/>
          <w:sz w:val="28"/>
          <w:szCs w:val="28"/>
          <w:rtl w:val="true"/>
          <w:lang w:bidi="fa-IR"/>
        </w:rPr>
        <w:t>و فیه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بصیر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فرغت فقل الحمد للّٰه الذی عافانی من البلاء و أماط عنی الأذی</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 لکن فی ظهور الفراغ فی الفراغ من الاستنجاء دون الفراغ من التخلّی تأمّل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المروی فی الوسائل عن الفقیه فإذا خرج مسح بطنه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أخرج عنّی أذاه و أبقی فیَّ قوّته فیا لها من نعمة لا یقدر القادرون قدرها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لا دلالة لها علی کون ذلک یختصّ بحال القیام عن محلّ الاستنجاء،بل هو دعاء الخروج کما یأتی، نعم ظاهر ما ذکره فی مصباح المتهجّد </w:t>
      </w:r>
      <w:r>
        <w:rPr>
          <w:rStyle w:val="FootnoteAnchor"/>
          <w:rtl w:val="true"/>
        </w:rPr>
        <w:footnoteReference w:id="245"/>
      </w:r>
      <w:r>
        <w:rPr>
          <w:rFonts w:ascii="IRNazanin" w:hAnsi="IRNazanin" w:eastAsia="IRNazanin"/>
          <w:color w:val="111111"/>
          <w:sz w:val="28"/>
          <w:sz w:val="28"/>
          <w:szCs w:val="28"/>
          <w:rtl w:val="true"/>
          <w:lang w:bidi="fa-IR"/>
        </w:rPr>
        <w:t>أنّه دعاء عند القیام من</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أماط عنِّی الأذی و هنّأنی طعامی و شرابی، و عافانی من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الخروج أو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عرّفنی لَذَّتهُ و أبقی فی جسدی قوّته و أخرج عنّی أذاه یا لها نعمةً، یا لها نعمةً، یا لها نعمةً لا یقدِرُ القادرون 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أن یقدّم الاستنجاء من الغائط علی الاستنجاء من البول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المسحات إن استنجی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 فلو لم ینق بالثلاثة و أتی برابع یستحبّ أن یأتی بخامس؛ لیکون وتراً و إن حصل النقاء بالرابع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التخلّی،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مصححة عبد اللّه بن میمون، عن أبی عبد اللّه، عن آبائه، عن علی علیه السلام أنه کان إذا خرج من الخلاء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رزقنی لذّته و أبقی قوّته فی جسدی و أخرج عنّی أذاه یا لها نعمة ثلاثاً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 هذا مغایر لما فی المتن فی جهات و قد نقل ما فی المتن عن المصباح المتهجد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موثّقة عمّار الساباطی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إذا أراد أن یستنجی بالماء یبدأ بالمقعدة أو بالإحلیل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بالمقعدة ثمّ بالإحلیل</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لخبر عیسی بن عبد اللّه یعنی الهاشمی، عن أبیه، عن جده،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استنجی أحدکم فلیوتر بها وتراً إذا لم یکن الماء</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الالتزام بالاستحباب یحتاج إلی ما تقدّم فی أخبار من</w:t>
      </w:r>
    </w:p>
    <w:p>
      <w:pPr>
        <w:pStyle w:val="BookText"/>
        <w:rPr/>
      </w:pPr>
      <w:r>
        <w:rPr>
          <w:rFonts w:ascii="IRNazanin" w:hAnsi="IRNazanin" w:eastAsia="IRNazanin"/>
          <w:color w:val="111111"/>
          <w:sz w:val="28"/>
          <w:sz w:val="28"/>
          <w:szCs w:val="28"/>
          <w:rtl w:val="true"/>
          <w:lang w:bidi="fa-IR"/>
        </w:rPr>
        <w:t>و أن یکون الاستنجاء و الاستبراء بالید 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w:t>
      </w:r>
      <w:r>
        <w:rPr>
          <w:rStyle w:val="FootnoteAnchor"/>
          <w:rtl w:val="true"/>
        </w:rPr>
        <w:footnoteReference w:id="250"/>
      </w:r>
      <w:r>
        <w:rPr>
          <w:rFonts w:ascii="IRNazanin" w:hAnsi="IRNazanin" w:eastAsia="IRNazanin"/>
          <w:color w:val="111111"/>
          <w:sz w:val="28"/>
          <w:sz w:val="28"/>
          <w:szCs w:val="28"/>
          <w:rtl w:val="true"/>
          <w:lang w:bidi="fa-IR"/>
        </w:rPr>
        <w:t>من استفادة عدم ملاحظة السند فی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الاستنجاء بالیمین من الجفا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یونس، عن بعض أصحابنا،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أن یستنجی الرجل بیمینه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کان الأنسب أن یذکر الاستنجاء بالیمین من المکروهات لا الاستنجاء بالیسری من المستحبات، فإنّ المعیار فی تعیین المستحبّ أو کراهة الضدّ تعلّق الأمر به أو النهی بالضدّ، نعم لو تعلّق الأمر به و النهی بضدّه و لم یکن فی البین علی أنّ أحدهما للإرشاد إلی الآخر یکون ما تعلّق به الأمر مستحبّاً، و ما تعلّق النهی به مکروهاً، هذا بالإضافة إلی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الاستبراء فقد ورد فی مرسلة الصدوق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الرجل فلا یمسّ ذکره بیمینه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یستظهر ممّا ورد عنه علیه الصلاة و السلام أنّه کانت یمناه لطهوره و طعامه و یسراه لخلاه و ما کان من أذی </w:t>
      </w:r>
      <w:r>
        <w:rPr>
          <w:rStyle w:val="FootnoteAnchor"/>
          <w:rtl w:val="true"/>
        </w:rPr>
        <w:footnoteReference w:id="254"/>
      </w:r>
      <w:r>
        <w:rPr>
          <w:rFonts w:ascii="IRNazanin" w:hAnsi="IRNazanin" w:eastAsia="IRNazanin"/>
          <w:color w:val="111111"/>
          <w:sz w:val="28"/>
          <w:sz w:val="28"/>
          <w:szCs w:val="28"/>
          <w:rtl w:val="true"/>
          <w:lang w:bidi="fa-IR"/>
        </w:rPr>
        <w:t>و نحوه علی المروی عن العامة، و هذا المرویّ لا یعیّن استحباب الیسری؛ لأنّ کون یمناه لطهوره لکراهة الوضوء بالیسری</w:t>
      </w:r>
      <w:r>
        <w:rPr>
          <w:rFonts w:eastAsia="IRNazanin" w:cs="IRNazanin"/>
          <w:color w:val="111111"/>
          <w:sz w:val="28"/>
          <w:szCs w:val="28"/>
          <w:rtl w:val="true"/>
          <w:lang w:bidi="fa-IR"/>
        </w:rPr>
        <w:t>.</w:t>
      </w:r>
      <w:bookmarkStart w:id="108" w:name="pg12061_112422"/>
    </w:p>
    <w:p>
      <w:pPr>
        <w:pStyle w:val="BookText"/>
        <w:rPr/>
      </w:pPr>
      <w:bookmarkEnd w:id="108"/>
      <w:r>
        <w:rPr>
          <w:rFonts w:ascii="IRNazanin" w:hAnsi="IRNazanin" w:eastAsia="IRNazanin"/>
          <w:color w:val="111111"/>
          <w:sz w:val="28"/>
          <w:sz w:val="28"/>
          <w:szCs w:val="28"/>
          <w:rtl w:val="true"/>
          <w:lang w:bidi="fa-IR"/>
        </w:rPr>
        <w:t>و یستحبّ أن یعتبر و یتفکّر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سعی و اجتهد فی تحصیله و تحسینه کیف صار أذیّة علیه، و یلاحظ قدرة اللّٰه تعالی فی رفع هذه الأذیّة عنه، و إراحته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المکروهات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الشمس و القمر بالبول و الغائط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ترتفع بستر فرجه و لو بیده و دخوله فی بناء أو وراء حائط، و استقبال الریح بالبول بل بالغائط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 فی الوسائل باباً و عنونه أنّه یستحبّ لمن دخل الخلاء تذکّر ما یوجب الاعتبار و التواضع و الزهد و ترک الحرام، و أخرج فیه روایات منها ما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به ملک موکّل یلوی عنقه حتّی ینظر إلی حدثه ثمّ یقول له الملک یا ابن آدم هذا رزقک فانظر من أین أخذته و إلی ما صار فینبغی للعبد عند ذلک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الحلال و جنّبنی الحرام</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723184_417432637"/>
      <w:bookmarkStart w:id="110" w:name="_Toc40"/>
      <w:bookmarkEnd w:id="109"/>
      <w:r>
        <w:rPr>
          <w:rtl w:val="true"/>
        </w:rPr>
        <w:t>مکروهات التخلّی</w:t>
      </w:r>
      <w:bookmarkEnd w:id="110"/>
    </w:p>
    <w:p>
      <w:pPr>
        <w:pStyle w:val="BookText"/>
        <w:rPr/>
      </w:pPr>
      <w:r>
        <w:rPr>
          <w:rFonts w:ascii="IRNazanin" w:hAnsi="IRNazanin" w:eastAsia="IRNazanin"/>
          <w:color w:val="111111"/>
          <w:sz w:val="28"/>
          <w:sz w:val="28"/>
          <w:szCs w:val="28"/>
          <w:rtl w:val="true"/>
          <w:lang w:bidi="fa-IR"/>
        </w:rPr>
        <w:t>و فی روایة السکونی، عن جعفر،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أن یستقبل الرجل الشمس و القمر بفرجه و هو یبول</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مصحّحة عبد اللّه بن یحیی الکاهلی،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لا یبولن أحدکم و فرجه باد للقمر یستقبل به</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المناهی المروی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یبول الرجل و فرجه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للشمس أو القمر</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حیث إنّ ظاهر الأخیرتین عدم الحائل بین قرصی الشمس و القمر و فرجه، ذکر قدس سره ارتفاع الکراهة بستر فرجه و لو بیده أو دخوله فی بناء أو وراء حائط، و قد یقال بعدم ارتفاع الکراهة بذلک، فإنّ ما ذکر فیه من النهی من البول و فرجه باد للقمر أو الشمس و إن لا یقتضی النهی مع الستر المزبور، و لکن قد ورد فی بعض الروایات النهی عن استقبال الشمس و القمر </w:t>
      </w:r>
      <w:r>
        <w:rPr>
          <w:rStyle w:val="FootnoteAnchor"/>
          <w:rtl w:val="true"/>
        </w:rPr>
        <w:footnoteReference w:id="259"/>
      </w:r>
      <w:r>
        <w:rPr>
          <w:rFonts w:ascii="IRNazanin" w:hAnsi="IRNazanin" w:eastAsia="IRNazanin"/>
          <w:color w:val="111111"/>
          <w:sz w:val="28"/>
          <w:sz w:val="28"/>
          <w:szCs w:val="28"/>
          <w:rtl w:val="true"/>
          <w:lang w:bidi="fa-IR"/>
        </w:rPr>
        <w:t xml:space="preserve">أو استقبال الهلال و استدباره </w:t>
      </w:r>
      <w:r>
        <w:rPr>
          <w:rStyle w:val="FootnoteAnchor"/>
          <w:rtl w:val="true"/>
        </w:rPr>
        <w:footnoteReference w:id="260"/>
      </w:r>
      <w:r>
        <w:rPr>
          <w:rFonts w:ascii="IRNazanin" w:hAnsi="IRNazanin" w:eastAsia="IRNazanin"/>
          <w:color w:val="111111"/>
          <w:sz w:val="28"/>
          <w:sz w:val="28"/>
          <w:szCs w:val="28"/>
          <w:rtl w:val="true"/>
          <w:lang w:bidi="fa-IR"/>
        </w:rPr>
        <w:t>، و صدق استقبالهما و استقبال الهلال و استدباره و لو مع الستر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یمکن الالتزام بکراهة کل من الأمرین فمع الستر و إن ترتفع إحدی الکراهتین و لکن تبقی الأُخری، نعم کراهة الاستدبار تختصّ بالقمر لاختصاص النهی عن الاستدبار به، و أما الشمس فلم یرد فیها نهی عن استدبارها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بالاختصاص فی الکراهة؛ لأن النهی عن استقبال الشمس و القمر فی المرسلة التی أخرجها الکلینی </w:t>
      </w:r>
      <w:r>
        <w:rPr>
          <w:rStyle w:val="FootnoteAnchor"/>
          <w:rtl w:val="true"/>
        </w:rPr>
        <w:footnoteReference w:id="261"/>
      </w:r>
      <w:r>
        <w:rPr>
          <w:rFonts w:ascii="IRNazanin" w:hAnsi="IRNazanin" w:eastAsia="IRNazanin"/>
          <w:color w:val="111111"/>
          <w:sz w:val="28"/>
          <w:sz w:val="28"/>
          <w:szCs w:val="28"/>
          <w:rtl w:val="true"/>
          <w:lang w:bidi="fa-IR"/>
        </w:rPr>
        <w:t>غیر مقید بالبول أو التخلی و فی مرسلة الصدوق و إن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المطمئن به التفسیر من نفس الصدوق قدس سره کما هو دأبه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النهی عن استقبال الهلال و استدباره أو النهی عن استقبال الشمس و القمر مطلقاً و لو فی غیر التخلی لم یلتزموا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مصحّحة عبد اللّه بن یحیی الکاهلی </w:t>
      </w:r>
      <w:r>
        <w:rPr>
          <w:rStyle w:val="FootnoteAnchor"/>
          <w:rtl w:val="true"/>
        </w:rPr>
        <w:footnoteReference w:id="262"/>
      </w:r>
      <w:r>
        <w:rPr>
          <w:rFonts w:ascii="IRNazanin" w:hAnsi="IRNazanin" w:eastAsia="IRNazanin"/>
          <w:color w:val="111111"/>
          <w:sz w:val="28"/>
          <w:sz w:val="28"/>
          <w:szCs w:val="28"/>
          <w:rtl w:val="true"/>
          <w:lang w:bidi="fa-IR"/>
        </w:rPr>
        <w:t xml:space="preserve">النهی عن استقبال القمر بفرجه عند البول مع کون فرجه باد له و مقتضی التقیید فیها بکون فرجه باد للقمر أن یرفع الید عن الإطلاق فی معتبرة السکونی </w:t>
      </w:r>
      <w:r>
        <w:rPr>
          <w:rStyle w:val="FootnoteAnchor"/>
          <w:rtl w:val="true"/>
        </w:rPr>
        <w:footnoteReference w:id="263"/>
      </w:r>
      <w:r>
        <w:rPr>
          <w:rFonts w:ascii="IRNazanin" w:hAnsi="IRNazanin" w:eastAsia="IRNazanin"/>
          <w:color w:val="111111"/>
          <w:sz w:val="28"/>
          <w:sz w:val="28"/>
          <w:szCs w:val="28"/>
          <w:rtl w:val="true"/>
          <w:lang w:bidi="fa-IR"/>
        </w:rPr>
        <w:t>بتقییده بصورة کون الفرج بادیاً للقمر، إلّا أن یقال بعدم الموجب للتقیید لاحتمال الکراهة فی کلا الأمرین و إن کان فی صورة کونه بادیاً أشدّ، ثمّ إنّ ما فی المتن من کراهة استقبال الشمس و القمر بالغائط استفادته من الأخبار مشکل حیث الوارد فیها البول، و التمسّک بالإطلاق فی مرسلتی الصدوق و الکلینی قد ذکرنا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النهی عن استقبال الشمس و القمر ببوله أو النهی عن البول و فرجه باد للشمس و القمر هو المنع بنحو التحریم و الالتزام بالکراهة خروج عن الظهور بلا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استقبال الشمس و القمر لو کان تحریمیّاً لکان التحریم من الواضحات لکثرة الابتلاء خصوصاً مع تسالم العامّة أیضاً علی النهی عن استقبالهما بالبول کما یظهر من کلماتهم،بل النهی عندهم بنحو الکراهة و الأدب، و لو کان النهی عند الأئمة علیهم السلام بنحو التحریم لأشاروا إلی ذلک فی بعض الروایات کما لا یخفی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الحال فی النهی عن استقبال الریح و استدبارها الوارد فی حد الغائط و دخول المخرج کما فی مرسلة محمّد بن یحیی </w:t>
      </w:r>
      <w:r>
        <w:rPr>
          <w:rStyle w:val="FootnoteAnchor"/>
          <w:rtl w:val="true"/>
        </w:rPr>
        <w:footnoteReference w:id="264"/>
      </w:r>
      <w:r>
        <w:rPr>
          <w:rFonts w:ascii="IRNazanin" w:hAnsi="IRNazanin" w:eastAsia="IRNazanin"/>
          <w:color w:val="111111"/>
          <w:sz w:val="28"/>
          <w:sz w:val="28"/>
          <w:szCs w:val="28"/>
          <w:rtl w:val="true"/>
          <w:lang w:bidi="fa-IR"/>
        </w:rPr>
        <w:t>و مرفوعة عبد الحمید بن</w:t>
      </w:r>
    </w:p>
    <w:p>
      <w:pPr>
        <w:pStyle w:val="BookText"/>
        <w:rPr/>
      </w:pPr>
      <w:r>
        <w:rPr>
          <w:rFonts w:ascii="IRNazanin" w:hAnsi="IRNazanin" w:eastAsia="IRNazanin"/>
          <w:color w:val="111111"/>
          <w:sz w:val="28"/>
          <w:sz w:val="28"/>
          <w:szCs w:val="28"/>
          <w:rtl w:val="true"/>
          <w:lang w:bidi="fa-IR"/>
        </w:rPr>
        <w:t>و الجلوس فی الشوارع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العلاء </w:t>
      </w:r>
      <w:r>
        <w:rPr>
          <w:rStyle w:val="FootnoteAnchor"/>
          <w:rtl w:val="true"/>
        </w:rPr>
        <w:footnoteReference w:id="265"/>
      </w:r>
      <w:r>
        <w:rPr>
          <w:rFonts w:ascii="IRNazanin" w:hAnsi="IRNazanin" w:eastAsia="IRNazanin"/>
          <w:color w:val="111111"/>
          <w:sz w:val="28"/>
          <w:sz w:val="28"/>
          <w:szCs w:val="28"/>
          <w:rtl w:val="true"/>
          <w:lang w:bidi="fa-IR"/>
        </w:rPr>
        <w:t>مع أنّ الروایتین لضعف سندهما لا یمکن إثبات الحرمة بهما و الالتزام بالکراهة مبنیّ علی التسامح فی أدلّة السنن بناءً علی عمومها للثواب الوارد فی العمل، سواء کان فعلاً أو ترکاً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البحار عن العلل لمحمّد بن علی بن إبراهیم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حدّ من حدود الصلاة هو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یستقبل الریح لعلّتین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الریح تردّ البول فیصیب الثوب و ربّما لم یعلم الرجل ذلک أو لم یجد ما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 الریح ملکاً فلا یستقبل بالعورة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مفرده الشارع و هو الطریق العام المعبر عنه بالطریق النافذ و فی صحیحة عاصم بن حمید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لعلی بن الحسین علیه السلام أین یتوضّأ الغرباء؟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تتّقی شطوط الأنهار و الطرق النافذة و تحت الأشجار المثمرة و مواضع اللعن،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مواضع اللعن؟ قال أبواب الدور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المناهی المروی فی الفقیه باسناده عن شعیب بن واقد، عن الحسین بن زید، عن الصادق علیه السلام ، عن أبیه، عن آبائه، عن أمیر المؤمنین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رسول اللّٰه صلی الله علیه و آله أن یبول أحد تحت شجرة مثمرة أو علی قارعة الطریق </w:t>
      </w:r>
      <w:r>
        <w:rPr>
          <w:rStyle w:val="FootnoteAnchor"/>
          <w:rtl w:val="true"/>
        </w:rPr>
        <w:footnoteReference w:id="2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المشارع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 القافلة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المحکیّ عن المفید و الصدوق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w:t>
      </w:r>
      <w:r>
        <w:rPr>
          <w:rStyle w:val="FootnoteAnchor"/>
          <w:rtl w:val="true"/>
        </w:rPr>
        <w:footnoteReference w:id="269"/>
      </w:r>
      <w:r>
        <w:rPr>
          <w:rFonts w:ascii="IRNazanin" w:hAnsi="IRNazanin" w:eastAsia="IRNazanin"/>
          <w:color w:val="111111"/>
          <w:sz w:val="28"/>
          <w:sz w:val="28"/>
          <w:szCs w:val="28"/>
          <w:rtl w:val="true"/>
          <w:lang w:bidi="fa-IR"/>
        </w:rPr>
        <w:t>و لکن لا یمکن الالتزام بأزید من الکراهة فإنّ التخلّی فی الطریق النافذ أمر متعارف فی بعض البلاد و من البعید جدّاً أن یحدث ذلک بعد زمان الأئمة علیهم السلام ، و لو کان هذا أمراً مبغوضاً و فعلاً حراماً لکثر النهی و التحذیر عنهم علیهم السلام و لشاع خبر هذا المنع بحیث صار من المسلّمات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مشرعة و هو الموضع للورود لأخذ الماء، و فی صحیحة عاصم بن حمید المتقدّمة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تتّقی شطوط الأنهار، أی أطرافه و نظیرها مرفوعة علی بن إبراهیم یرفعه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حنیفة من عند أبی عبد اللّه علیه السلام و أبو الحسن موسی علیه السلام قائم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أفنیة المساجد و شطوط الأنهار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السکونی عن جعفر، عن أبیه، عن آبائهم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أن یتغوّط علی شفیر بئر ماء یستعذب منها أو نهر یستعذب أو تحت شجرة فیها ثمرتها </w:t>
      </w:r>
      <w:r>
        <w:rPr>
          <w:rStyle w:val="FootnoteAnchor"/>
          <w:rtl w:val="true"/>
        </w:rPr>
        <w:footnoteReference w:id="272"/>
      </w:r>
      <w:r>
        <w:rPr>
          <w:rFonts w:ascii="IRNazanin" w:hAnsi="IRNazanin" w:eastAsia="IRNazanin"/>
          <w:color w:val="111111"/>
          <w:sz w:val="28"/>
          <w:sz w:val="28"/>
          <w:szCs w:val="28"/>
          <w:rtl w:val="true"/>
          <w:lang w:bidi="fa-IR"/>
        </w:rPr>
        <w:t>، و المراد بالاستعذاب أخذ الماء منها للشرب إلی غیر ذلک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مرفوعة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أفنیة المساجد و شطوط الأنهار و مساقط الثمار و منازل النزال </w:t>
      </w:r>
      <w:r>
        <w:rPr>
          <w:rStyle w:val="FootnoteAnchor"/>
          <w:rtl w:val="true"/>
        </w:rPr>
        <w:footnoteReference w:id="273"/>
      </w:r>
      <w:r>
        <w:rPr>
          <w:rFonts w:ascii="IRNazanin" w:hAnsi="IRNazanin" w:eastAsia="IRNazanin"/>
          <w:color w:val="111111"/>
          <w:sz w:val="28"/>
          <w:sz w:val="28"/>
          <w:szCs w:val="28"/>
          <w:rtl w:val="true"/>
          <w:lang w:bidi="fa-IR"/>
        </w:rPr>
        <w:t>الحدیث، و فی خبر إبراهیم بن أبی زیاد</w:t>
      </w:r>
    </w:p>
    <w:p>
      <w:pPr>
        <w:pStyle w:val="BookText"/>
        <w:rPr/>
      </w:pPr>
      <w:r>
        <w:rPr>
          <w:rFonts w:ascii="IRNazanin" w:hAnsi="IRNazanin" w:eastAsia="IRNazanin"/>
          <w:color w:val="111111"/>
          <w:sz w:val="28"/>
          <w:sz w:val="28"/>
          <w:szCs w:val="28"/>
          <w:rtl w:val="true"/>
          <w:lang w:bidi="fa-IR"/>
        </w:rPr>
        <w:t>أو دربُ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غیر أوان الثمر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الکرخی،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فعلهن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المتغوّط فی ظل النزال،</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تقدّم من الأمر بالاجتناب عن أفنیة المساجد فی مرفوعة علی بن إبراهیم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ورد فی صحیحة عاصم بن حمید الاتقاء فی التخلی عن مواضع اللعن و قیل له أین مواضع اللعن قال أبواب الدور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عاصم بن حمید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الأشجار، المثمرة، و لا یخفی أنّ ظاهر کون الشجرة مثمرة کونها تثمر فی أوان الثمر و إن کانت خالیة عن الثمر فعلاً غیر محرز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معتبرة السکونی، عن جعفر،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رسول اللّٰه صلی الله علیه و آله أن یتغوط علی شفیر ماء یستعذب منها أو نهر یستعذب أو تحت شجرة فیها ثمرتها </w:t>
      </w:r>
      <w:r>
        <w:rPr>
          <w:rStyle w:val="FootnoteAnchor"/>
          <w:rtl w:val="true"/>
        </w:rPr>
        <w:footnoteReference w:id="276"/>
      </w:r>
      <w:r>
        <w:rPr>
          <w:rFonts w:ascii="IRNazanin" w:hAnsi="IRNazanin" w:eastAsia="IRNazanin"/>
          <w:color w:val="111111"/>
          <w:sz w:val="28"/>
          <w:sz w:val="28"/>
          <w:szCs w:val="28"/>
          <w:rtl w:val="true"/>
          <w:lang w:bidi="fa-IR"/>
        </w:rPr>
        <w:t>، و کذا فی خبر الحصین بن مخارق عن الصادق علیه السلام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النبی صلی الله علیه و آله أن یتغوط الرجل علی شفیر بئر یستعذب منها أو علی شفیر نهر یستعذب منه أو تحت شجرة فیها ثمرها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غیره من تقیید الشجرة أو النخلة بأنّها قد أثمرت أو أینعت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البول قائماً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الأرض الصلبة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فالإطلاق فی النهی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التقیید روایة حبیب السجستانی التی رواها فی العلل مسنداً و فی الفقیه مرسلاً حیث ورد فیها النهی عن ضرب الخلاء تحت الشجرة أو النخلة إذا کان فیها حملها لأنّ الملائکة تحضرها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معتبرة السکونی، عن جعفر بن محمد، عن آبائه، عن علی علیه السلام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قائماً من غیر علّة من الجفاء، و الاستنجاء بالیمین من الجفاء</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تخلّی علی قبر أو بال قائماً أو بال فی ماء قائم أو مشی فی حذاء واحد أو شرب قائماً أو خلا فی بیت وحده و بات علی غمر فأصابه شیء من الشیطان لم یدعه إلّا أن یشاء اللّٰه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الاستدلال علی ذلک بما ورد من النهی من طمح البول فی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عنوان آخر غیر البول قائماً؛ و لذا عنون فی الوسائل عنوانین للمنهی عنه و الطمح فیه فهو یتحقّق فی البول عن جلوس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الخبر أنّ البول فی الحمّام یورث الفقر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جماعة کراهة البول علی الأرض الصلبة و ظاهر بعضهم أنّه لیس من</w:t>
      </w:r>
    </w:p>
    <w:p>
      <w:pPr>
        <w:pStyle w:val="BookText"/>
        <w:rPr/>
      </w:pPr>
      <w:r>
        <w:rPr>
          <w:rFonts w:ascii="IRNazanin" w:hAnsi="IRNazanin" w:eastAsia="IRNazanin"/>
          <w:color w:val="111111"/>
          <w:sz w:val="28"/>
          <w:sz w:val="28"/>
          <w:szCs w:val="28"/>
          <w:rtl w:val="true"/>
          <w:lang w:bidi="fa-IR"/>
        </w:rPr>
        <w:t>و فی ثقوب الحشرات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المکروهات،بل جعل ارتیاد موضع للبول من المستحبات </w:t>
      </w:r>
      <w:r>
        <w:rPr>
          <w:rStyle w:val="FootnoteAnchor"/>
          <w:rtl w:val="true"/>
        </w:rPr>
        <w:footnoteReference w:id="282"/>
      </w:r>
      <w:r>
        <w:rPr>
          <w:rFonts w:ascii="IRNazanin" w:hAnsi="IRNazanin" w:eastAsia="IRNazanin"/>
          <w:color w:val="111111"/>
          <w:sz w:val="28"/>
          <w:sz w:val="28"/>
          <w:szCs w:val="28"/>
          <w:rtl w:val="true"/>
          <w:lang w:bidi="fa-IR"/>
        </w:rPr>
        <w:t xml:space="preserve">، و فی الجواهر الأولی الجمع بینهما للتسامح بکلّ منهما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المعیار فی تشخیص المستحبّ من الفعلین أو کراهة الآخر، و علیه فالوارد فی الروایات الترغیب إلی البول فی الموضع المناسب کالجلوس فی مکان مرتفع أو فی مکان فیه التراب الکثیر، و أمّا النهی عن البول علی الصخرة و نحوها غیر وارد، و لکن فی روایة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کان أشد توقّیاً للبول کان إذا أراد البول یعمد إلی مکان مرتفع من الأرض أو إلی مکان من الأمکنة یکون فیه التراب الکثیر کراهیة أن ینضح علیه البول </w:t>
      </w:r>
      <w:r>
        <w:rPr>
          <w:rStyle w:val="FootnoteAnchor"/>
          <w:rtl w:val="true"/>
        </w:rPr>
        <w:footnoteReference w:id="284"/>
      </w:r>
      <w:r>
        <w:rPr>
          <w:rFonts w:ascii="IRNazanin" w:hAnsi="IRNazanin" w:eastAsia="IRNazanin"/>
          <w:color w:val="111111"/>
          <w:sz w:val="28"/>
          <w:sz w:val="28"/>
          <w:szCs w:val="28"/>
          <w:rtl w:val="true"/>
          <w:lang w:bidi="fa-IR"/>
        </w:rPr>
        <w:t>، فیمکن أن یقال إنّه لا یستفاد منها إلّا کراهیة البول علی الأرض الصلبة؛ لأنّ کراهیة نضح البول علیه مقتضاه کراهیة ما یکون به النضح، و لکن فیه أنّ الکراهة القلبیّة لشیء لا یوجب تشریع النهی التنزیهی عمّا یوجبه عادة،بل یمکن بتشریع الطلب و الأمر الترغیبی بما لا یوجبه کما یفصح عن ذلک صدر الروایة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أشدّ الناس توقّیاً للبول، إلخ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روی عن النبی صلی الله علیه و آله من أنه نهی أن یبال فی الجُحر </w:t>
      </w:r>
      <w:r>
        <w:rPr>
          <w:rStyle w:val="FootnoteAnchor"/>
          <w:rtl w:val="true"/>
        </w:rPr>
        <w:footnoteReference w:id="285"/>
      </w:r>
      <w:r>
        <w:rPr>
          <w:rFonts w:ascii="IRNazanin" w:hAnsi="IRNazanin" w:eastAsia="IRNazanin"/>
          <w:color w:val="111111"/>
          <w:sz w:val="28"/>
          <w:sz w:val="28"/>
          <w:szCs w:val="28"/>
          <w:rtl w:val="true"/>
          <w:lang w:bidi="fa-IR"/>
        </w:rPr>
        <w:t>،بضم الجیم قبل الحاء ثقب الحیة و غیرها من الحشرات، و لما عن الباقر علیه السلام لبعض أصحابه حیث أراد</w:t>
      </w:r>
    </w:p>
    <w:p>
      <w:pPr>
        <w:pStyle w:val="BookText"/>
        <w:rPr/>
      </w:pPr>
      <w:r>
        <w:rPr>
          <w:rFonts w:ascii="IRNazanin" w:hAnsi="IRNazanin" w:eastAsia="IRNazanin"/>
          <w:color w:val="111111"/>
          <w:sz w:val="28"/>
          <w:sz w:val="28"/>
          <w:szCs w:val="28"/>
          <w:rtl w:val="true"/>
          <w:lang w:bidi="fa-IR"/>
        </w:rPr>
        <w:t>و فی الماء خصوصاً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و خصوصاً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السفر من الوصیة أن لا تبول فی نفق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حکم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یبول الرجل فی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یتخوف علیه من الشیطان</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تخلّی علی قبر أو بال قائماً أو بال فی ماء قائماً أو مشی فی حذاء واحد أو شرب قائماً أو خلا فی بیت وحده، و بات علی غمر فأصابه شیء من الشیطان لم یدعه إلّا أن یشاء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مرسلة مسمع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إنّه نهی أن یبول الرجل فی الماء الجاری إلّا من ضرورة،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للماء أهلاً </w:t>
      </w:r>
      <w:r>
        <w:rPr>
          <w:rStyle w:val="FootnoteAnchor"/>
          <w:rtl w:val="true"/>
        </w:rPr>
        <w:footnoteReference w:id="289"/>
      </w:r>
      <w:r>
        <w:rPr>
          <w:rFonts w:ascii="IRNazanin" w:hAnsi="IRNazanin" w:eastAsia="IRNazanin"/>
          <w:color w:val="111111"/>
          <w:sz w:val="28"/>
          <w:sz w:val="28"/>
          <w:szCs w:val="28"/>
          <w:rtl w:val="true"/>
          <w:lang w:bidi="fa-IR"/>
        </w:rPr>
        <w:t xml:space="preserve">، و قریب منها حدیث الأربع مائة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الفضیل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یبول الرجل فی الماء الجاری و کره أن یبول فی الماء الراکد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عنبسة بن مصعب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یبول فی الماء الجاری؟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إذا کان الماء جاریاً</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التطمیح بالبول أی البول فی الهواء و الأکل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الشرب حال التخلّی،بل فی</w:t>
      </w:r>
    </w:p>
    <w:p>
      <w:pPr>
        <w:pStyle w:val="BookText"/>
        <w:rPr/>
      </w:pPr>
      <w:r>
        <w:rPr>
          <w:rFonts w:ascii="IRNazanin" w:hAnsi="IRNazanin" w:eastAsia="IRNazanin"/>
          <w:color w:val="111111"/>
          <w:sz w:val="28"/>
          <w:sz w:val="28"/>
          <w:szCs w:val="28"/>
          <w:rtl w:val="true"/>
          <w:lang w:bidi="fa-IR"/>
        </w:rPr>
        <w:t>بناءً علی أن نفی البأس فیها راجع إلی الترخیص لا لبیان الحکم الوضعی أی عدم تنجس الماء الجاری، و کون الظهور هو الترخیص فی الأُولی ممّا لا ینبغی التأمّل فیه بقرینة ذکر کراهة البول فی الراکد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و أنت قائم، و لا تبل فی ماء نقیع، و لا تطف بقبر</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المناهی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نهی أن یبول أحد فی الماء الراکد فإنّه یکون منه ذهاب العقل </w:t>
      </w:r>
      <w:r>
        <w:rPr>
          <w:rStyle w:val="FootnoteAnchor"/>
          <w:rtl w:val="true"/>
        </w:rPr>
        <w:footnoteReference w:id="294"/>
      </w:r>
      <w:r>
        <w:rPr>
          <w:rFonts w:ascii="IRNazanin" w:hAnsi="IRNazanin" w:eastAsia="IRNazanin"/>
          <w:color w:val="111111"/>
          <w:sz w:val="28"/>
          <w:sz w:val="28"/>
          <w:szCs w:val="28"/>
          <w:rtl w:val="true"/>
          <w:lang w:bidi="fa-IR"/>
        </w:rPr>
        <w:t>و لا ریب فی أنّ التعلیل یناسب کون النهی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و أنت قائم، و لا تطف بقبر، و لا تبل فی ماء نقیع فإنّه من فعل ذلک فأصابه شیء فلا یلومن إلّا نفسه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الأخذ بجمیع هذه الروایات و نحوها الأخذ بإطلاق النهی عن البول فی الماء مطلقاً، و أنّ التفصیل بین الجاری و الراکد بالترخیص فی الأوّل فی بعضها؛ لشدّة الکراهة فی البول فی الراکد بالإضافة إلی البول فی الماء الجاری، و أمّا شدّة الکراهة فی البول فی الماء لیلاً بالإضافة إلی البول فیه نهاراً لما حکی أنّ الماء فی اللیل للجنّ و أنّه مسکنهم فلا یبال فیه و لا یغتسل لئلا تصیبه آفة من قبلهم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صلی الله علیه و آله أن یطمح</w:t>
      </w:r>
    </w:p>
    <w:p>
      <w:pPr>
        <w:pStyle w:val="BookText"/>
        <w:rPr/>
      </w:pPr>
      <w:r>
        <w:rPr>
          <w:rFonts w:ascii="IRNazanin" w:hAnsi="IRNazanin" w:eastAsia="IRNazanin"/>
          <w:color w:val="111111"/>
          <w:sz w:val="28"/>
          <w:sz w:val="28"/>
          <w:szCs w:val="28"/>
          <w:rtl w:val="true"/>
          <w:lang w:bidi="fa-IR"/>
        </w:rPr>
        <w:t>بیت الخلاء مطلقاً، و الاستنجاء بالیمین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ببوله من السطح و من الشیء المرتفع فی الهواء</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الخصال فی حدیث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یبولنّ فی سطح فی الهواء، و لا یبولنّ فی ماء جار فإنّ فعل ذلک فأصابه شیء فلا یلومنّ إلّا نفسه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إلی غیر ذلک، و المراد من التطمیح بالبول صبّه فی الهواء من مکان مرتفع سواء کان جالساً فیه أو قائماً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یستفاد من مرسلة الصدوق عن الباقر علیه السلام قال دخل أبو جعفر الباقر علیه السلام الخلاء فوجد لقمة خبز فی القذر فأخذها و غسلها و دفعها إلی مملوک معه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معک لآکلها إذا خرجت، فلما خرج قال للملوک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اللقمة؟ فقال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أکلتها یا ابن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 استقرت فی جوف أحد إلّا وجبت له الجنة فاذهب فأنت حرّ فإنّی أکره أن استخدم رجلاً من أهل الجنة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فإنّ هذه و نحوها ما رواه فی عیون الأخبار </w:t>
      </w:r>
      <w:r>
        <w:rPr>
          <w:rStyle w:val="FootnoteAnchor"/>
          <w:rtl w:val="true"/>
        </w:rPr>
        <w:footnoteReference w:id="300"/>
      </w:r>
      <w:r>
        <w:rPr>
          <w:rFonts w:ascii="IRNazanin" w:hAnsi="IRNazanin" w:eastAsia="IRNazanin"/>
          <w:color w:val="111111"/>
          <w:sz w:val="28"/>
          <w:sz w:val="28"/>
          <w:szCs w:val="28"/>
          <w:rtl w:val="true"/>
          <w:lang w:bidi="fa-IR"/>
        </w:rPr>
        <w:t>و إن تدلّ علی أنّ إکرام الخبز فیما وجده علی القذر بغسله و أکله أمر مستحبّ، إلّا أنّ تقییده بالأکل فیما إذا خرج من بیت الخلاء فیه دلالة علی مرجوحیّة الأکل فیه، سواء کان حال التخلی أو لا، و لکن فی تعمیم الحکم لسائر المأکولات کالثمار فضلاً عن تعمیمه للشرب لا یخلو 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خاتم فیه اسم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فی معتبرة السکونی المتقدّمة الاستنجاء بالیمین من الجفاء </w:t>
      </w:r>
      <w:r>
        <w:rPr>
          <w:rStyle w:val="FootnoteAnchor"/>
          <w:rtl w:val="true"/>
        </w:rPr>
        <w:footnoteReference w:id="301"/>
      </w:r>
      <w:r>
        <w:rPr>
          <w:rFonts w:ascii="IRNazanin" w:hAnsi="IRNazanin" w:eastAsia="IRNazanin"/>
          <w:color w:val="111111"/>
          <w:sz w:val="28"/>
          <w:sz w:val="28"/>
          <w:szCs w:val="28"/>
          <w:rtl w:val="true"/>
          <w:lang w:bidi="fa-IR"/>
        </w:rPr>
        <w:t>و فی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بال الرجل فلا یمسّ ذکره بیمینه</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الحسین بن خالد عن أبی الحسن الثانی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أنّا روینا فی الحدیث أنّ رسول اللّٰه صلی الله علیه و آله کان یستنجی و خاتمه فی إصبعه، و کذلک یفعل أمیر المؤمنین علیه السلام و کان نقش خاتم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لنا أن نفعل؟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اولئک یتختّمون فی الید الیمنی و إنّکم تتختمون فی الیسری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عمّار الساباطی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الجنب درهماً و لا دیناراً علیه اسم اللّٰه تعالی، و لا یستنجی و علیه خاتم فیه اسم اللّٰه، و لا یجامع و هو علیه، و لا یدخل المخرج و هو علیه</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الرجل یرید الخلاء و علیه خاتم فیه اسم اللّٰه تعالی؟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اسم محمّد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أدخل الخلاء و فی یدی</w:t>
      </w:r>
    </w:p>
    <w:p>
      <w:pPr>
        <w:pStyle w:val="BookText"/>
        <w:rPr/>
      </w:pPr>
      <w:r>
        <w:rPr>
          <w:rFonts w:ascii="IRNazanin" w:hAnsi="IRNazanin" w:eastAsia="IRNazanin"/>
          <w:color w:val="111111"/>
          <w:sz w:val="28"/>
          <w:sz w:val="28"/>
          <w:szCs w:val="28"/>
          <w:rtl w:val="true"/>
          <w:lang w:bidi="fa-IR"/>
        </w:rPr>
        <w:t>و طول المکث فی بیت الخلاء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فیه اسم من أسماء اللّٰه تعالی؟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تجامع فیه</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یقال إنّ بعض هذه الروایات و إن کانت مطلقة من حیث النهی عن استصحاب الخاتم الذی فیه اسم اللّٰه أو شیء من القرآن عند الاستنجاء إلّا أنّها تحمل علی صورة کون الخاتم فی الید التی یستنجی بها جمعاً بینها و بین روایة الحسین بن خالد الحاکیة لفعل رسول اللّٰه صلی الله علیه و آله و علی أمیر المؤمنین علیه السلام </w:t>
      </w:r>
      <w:r>
        <w:rPr>
          <w:rStyle w:val="FootnoteAnchor"/>
          <w:rtl w:val="true"/>
        </w:rPr>
        <w:footnoteReference w:id="307"/>
      </w:r>
      <w:r>
        <w:rPr>
          <w:rFonts w:ascii="IRNazanin" w:hAnsi="IRNazanin" w:eastAsia="IRNazanin"/>
          <w:color w:val="111111"/>
          <w:sz w:val="28"/>
          <w:sz w:val="28"/>
          <w:szCs w:val="28"/>
          <w:rtl w:val="true"/>
          <w:lang w:bidi="fa-IR"/>
        </w:rPr>
        <w:t xml:space="preserve">، و لکن هذا الحمل لا یناسب ما فی موثّقة عمّار </w:t>
      </w:r>
      <w:r>
        <w:rPr>
          <w:rStyle w:val="FootnoteAnchor"/>
          <w:rtl w:val="true"/>
        </w:rPr>
        <w:footnoteReference w:id="308"/>
      </w:r>
      <w:r>
        <w:rPr>
          <w:rFonts w:ascii="IRNazanin" w:hAnsi="IRNazanin" w:eastAsia="IRNazanin"/>
          <w:color w:val="111111"/>
          <w:sz w:val="28"/>
          <w:sz w:val="28"/>
          <w:szCs w:val="28"/>
          <w:rtl w:val="true"/>
          <w:lang w:bidi="fa-IR"/>
        </w:rPr>
        <w:t>حیث إن النهی عن دخول المخرج و هو علیه لا یمکن حمله علی الاستنجاء بما علیه الخاتم المزبور مع أنه قد ورد فی روایة وهب بن وهب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نقش خاتم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جمیعاً، و کان فی یده الیسری یستنجی بها</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إن یمکن حملها مع تعارضها بروایة الحسین بن خالد علی التقیة لموافقتها لما علیه العامة، هذا فیما إذا تم أمر السند فیهما، و مع عدم تمامهما کما لم یلتزم بالتسامح فی أخبار السنن فرفع الید عن إطلاق موثقة عمار یکون أشکل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لمعتبرة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الجلوس علی الخلاء یورث الباسور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هذا علی باب الحش</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و روایته الأُخری التی فیها إرسال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p>
    <w:p>
      <w:pPr>
        <w:pStyle w:val="BookText"/>
        <w:rPr/>
      </w:pPr>
      <w:r>
        <w:rPr>
          <w:rFonts w:ascii="IRNazanin" w:hAnsi="IRNazanin" w:eastAsia="IRNazanin"/>
          <w:color w:val="111111"/>
          <w:sz w:val="28"/>
          <w:sz w:val="28"/>
          <w:szCs w:val="28"/>
          <w:rtl w:val="true"/>
          <w:lang w:bidi="fa-IR"/>
        </w:rPr>
        <w:t>و التخلّی علی قبر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هتکاً و إلّا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الدرهم البیض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 إذا کان علیه اسم اللّٰه أو محترم آخر</w:t>
      </w:r>
    </w:p>
    <w:p>
      <w:pPr>
        <w:pStyle w:val="BookText"/>
        <w:rPr/>
      </w:pPr>
      <w:r>
        <w:rPr>
          <w:rFonts w:ascii="IRNazanin" w:hAnsi="IRNazanin" w:eastAsia="IRNazanin"/>
          <w:color w:val="111111"/>
          <w:sz w:val="28"/>
          <w:sz w:val="28"/>
          <w:szCs w:val="28"/>
          <w:rtl w:val="true"/>
          <w:lang w:bidi="fa-IR"/>
        </w:rPr>
        <w:t>الجلوس علی الخلاء یورث البواسیر</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نحوها روایة السکونی عن الصادق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الجلوس علی الخلاء یورث الباسور</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فی صحیحة محمّد بن مسلم المتقدّمة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تخلّی علی قبر أو بال قائماً </w:t>
      </w:r>
      <w:r>
        <w:rPr>
          <w:rStyle w:val="FootnoteAnchor"/>
          <w:rtl w:val="true"/>
        </w:rPr>
        <w:footnoteReference w:id="31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إبراهیم بن عبد الحمید، عن 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یتخوّف منها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التغوّط بین القبور، و المشی فی خفّ واحد، و الرجل ینام وحده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لکن لیس فیها تقیید بکون القبر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دعوی الانصراف 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التخلّی علی قبر المؤمنین أو بین قبورهم فیما إذا عُدَّ هتکاً حَرُم؛ لحرمة المؤمن حیّاً و میّتاً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معتبرة غیاث عن جعفر عن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أن یدخل الخلاء و معه درهم أبیض إلّا أن یکون مصروراً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و لیس فی الروایة التقیید بکون نقش فیها</w:t>
      </w:r>
    </w:p>
    <w:p>
      <w:pPr>
        <w:pStyle w:val="BookText"/>
        <w:rPr/>
      </w:pPr>
      <w:r>
        <w:rPr>
          <w:rFonts w:ascii="IRNazanin" w:hAnsi="IRNazanin" w:eastAsia="IRNazanin"/>
          <w:color w:val="111111"/>
          <w:sz w:val="28"/>
          <w:sz w:val="28"/>
          <w:szCs w:val="28"/>
          <w:rtl w:val="true"/>
          <w:lang w:bidi="fa-IR"/>
        </w:rPr>
        <w:t>إلّا أن یکون مستوراً و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الضرورة إلّا بذکر اللّٰه، أو آیة الکرسی أو</w:t>
      </w:r>
    </w:p>
    <w:p>
      <w:pPr>
        <w:pStyle w:val="BookText"/>
        <w:rPr/>
      </w:pPr>
      <w:r>
        <w:rPr>
          <w:rFonts w:ascii="IRNazanin" w:hAnsi="IRNazanin" w:eastAsia="IRNazanin"/>
          <w:color w:val="111111"/>
          <w:sz w:val="28"/>
          <w:sz w:val="28"/>
          <w:szCs w:val="28"/>
          <w:rtl w:val="true"/>
          <w:lang w:bidi="fa-IR"/>
        </w:rPr>
        <w:t>باسم اللّٰه أو غیره من المحترمات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ترک التقیید لعدم الحاجة إلیه لتعارف النقش المزبور فی الدراهم فی ذلک الزمان، و علیه فالکراهیة لخصوصیة احترام النقش لا لدخالة بیاض الدرهم فیکره استصحاب مطلق الدرهم الذی نقشه من المحترمات، إلّا أن یکون الدرهم المزبور مستوراً کما یستفاد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مصروراً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النفس من التقیید و تفسیر المصرور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مصحّحة صفوان عن أبی الحسن الرضا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أن یجیب الرجل آخر و هو علی الغائط أو یکلّمه حتّی یفرغ</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 لا تتکلّم علی الخلاء فإنّه من تکلّم علی الخلاء لم تقضَ له حاجة</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المحاسن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الکلام فی الخلاء یزید فی الرزق</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فی الأخیرتین یناسب الحکم غیر الإلزامی و لو کان النهی عن رسول اللّٰه إلزامیاً لکان الحکم من المسلّمات، و لم یکن الکلام من الأئمة علیهم السلام بالأُسلوب الوارد فی الخبرین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الأذان أو تسمیت العاطس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حبس البول أو الغائط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حبس البول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الغائط، و قد یکون حراماً إذا کان مضرّاً،</w:t>
      </w:r>
    </w:p>
    <w:p>
      <w:pPr>
        <w:pStyle w:val="BookText"/>
        <w:rPr/>
      </w:pPr>
      <w:r>
        <w:rPr>
          <w:rFonts w:ascii="IRNazanin" w:hAnsi="IRNazanin" w:eastAsia="IRNazanin"/>
          <w:color w:val="111111"/>
          <w:sz w:val="28"/>
          <w:sz w:val="28"/>
          <w:szCs w:val="28"/>
          <w:rtl w:val="true"/>
          <w:lang w:bidi="fa-IR"/>
        </w:rPr>
        <w:t xml:space="preserve">ثمّ إنّ النهی منصرف عن الکلام فی مقام الضرورة التی تفوت بالتأخیر کمن أُریق ماء استنجائه قبل تمام الاستنجاء لا لحکومة لا حرج و نفی الضرر؛ لیقال لا حکومة لهما فی غیر الإلزامیات من المستحبّات و المکروهات؛ لثبوت الترخیص فیهما، کما أنّ الروایات الواردة فی الترغیب فی الذکر و أنّه حسن فی جمیع الأحوال تقتضی استثناء الذکر علی الخلاء کما ورد استثناء آیة الکرسی فی روایة عمر بن یزید، کما أنّه ورد فیها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علی ما فی العلل عن أبی جعفر علیه السلام أنّه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مسلم لا تدعنّ ذکر اللّٰه علی کلّ حال و لو سمعت المنادی ینادی بالأذان و أنت علی الخلاء فاذکر اللّٰه عزّ و جلّ و قل کما یقول المؤذن</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مسعدة بن صدقة عن جعفر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أحدکم و هو علی خلاء فلیحمد اللّٰه فی نفسه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هذا بالإضافة إلی تسمیت العاطس نفسه، و أمّا بالإضافة إلی تسمیت الغیر فیمکن أن یقال بعدم کراهته؛ لأنّه داخل فی مطلق الذکر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هاج بک البول فبل</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فی الرسالة الذهبیّة من</w:t>
      </w:r>
    </w:p>
    <w:p>
      <w:pPr>
        <w:pStyle w:val="BookText"/>
        <w:rPr/>
      </w:pPr>
      <w:r>
        <w:rPr>
          <w:rFonts w:ascii="IRNazanin" w:hAnsi="IRNazanin" w:eastAsia="IRNazanin"/>
          <w:color w:val="111111"/>
          <w:sz w:val="28"/>
          <w:sz w:val="28"/>
          <w:szCs w:val="28"/>
          <w:rtl w:val="true"/>
          <w:lang w:bidi="fa-IR"/>
        </w:rPr>
        <w:t>و قد یکون واجباً کما إذا کان متوضّأ و لم یسع الوقت للتوضّؤ بعدهما و الصلاة، و قد یکون مستحبّاً کما إذا توقّف مستحبّ أهمّ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البول حین إرادة الصلاة و عند النّوم و قبل الجماع و بعد خروج المنی و قبل الرکوب علی الدابّة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البول حین إرادة الصلاة و عند النّوم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الجماع و بعد خروج المنی و قبل الرکوب علی الدابّة إذا کان النزول و الرکوب صعباً علیه و قبل رکوب السفینة إذا کان الخروج 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 لا یشتکی مثانة فلا یحبس البول و لو علی ظهر دابّة، هذا بالإضافة إلی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الغائط فإنّ الحبس مضراً للإنسان بحیث یعدّ حبسه جنایة علی النفس فلا یجوز بلا فرق بینه و بین حبس البول، و أیضاً لا یسری فی موارد التزاحم حکم أحدهما إلی الآخر علی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الإلزام باستحباب البول،بل التخلّی قبل النوم بما ورد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نمت فاعرض نفسک علی الخلاء</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بناءً علی التسامح فی أدلّة السنن، و کذا الالتزام باستحبابه بعد الجنابة سواء کان بالجماع أو غیره،بما فی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البول علی أثر الجنابة أو شکّ أن یتردّد بقیة الماء فی بدنه فیورثه الداء الذی لا دواء له</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 نحوه ما فی الجعفریات عن علی علیه السلام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بقیّة الموارد التی ذکرها فی المتن فلا نعرف لها مدرکاً، و لعلّ استحباب البول فیها للاحتیاط فی أن لا یبتلی بعد ذلک بحبس البول حال الصلاة أو حال رکوب الدابّة و فی السفینة،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لقمة خبز فی بیت الخلاء یستحبّ أخذها و إخراجها و غسلها ثمّ أکلها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لقمة خبز فی بیت الخلاء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أخذها و إخراجها و غسلها ثمّ أکلها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ذلک فی مسألة کراهة الأکل عند التخلّی،بل فی الخلاء فراجع</w:t>
      </w:r>
      <w:r>
        <w:rPr>
          <w:rFonts w:eastAsia="IRNazanin" w:cs="IRNazanin"/>
          <w:color w:val="111111"/>
          <w:sz w:val="28"/>
          <w:szCs w:val="28"/>
          <w:rtl w:val="true"/>
          <w:lang w:bidi="fa-IR"/>
        </w:rPr>
        <w:t>.</w:t>
      </w:r>
      <w:bookmarkStart w:id="111" w:name="pg12061_112441"/>
    </w:p>
    <w:p>
      <w:pPr>
        <w:pStyle w:val="Heading3"/>
        <w:numPr>
          <w:ilvl w:val="2"/>
          <w:numId w:val="1"/>
        </w:numPr>
        <w:rPr/>
      </w:pPr>
      <w:bookmarkStart w:id="112" w:name="__RefHeading___Toc1723186_417432637"/>
      <w:bookmarkStart w:id="113" w:name="_Toc41"/>
      <w:bookmarkEnd w:id="111"/>
      <w:bookmarkEnd w:id="112"/>
      <w:r>
        <w:rPr>
          <w:rtl w:val="true"/>
        </w:rPr>
        <w:t>فصل فی موجبات الوضوء و نواقضه</w:t>
      </w:r>
      <w:bookmarkEnd w:id="113"/>
    </w:p>
    <w:p>
      <w:pPr>
        <w:pStyle w:val="Heading4"/>
        <w:numPr>
          <w:ilvl w:val="3"/>
          <w:numId w:val="1"/>
        </w:numPr>
        <w:rPr/>
      </w:pPr>
      <w:bookmarkStart w:id="114" w:name="__RefHeading___Toc1723188_417432637"/>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 هی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الموضع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من الموضع الأصلی و لو غیر معتاد، أو من غیره مع انسداده أو بدونه بشرط الاعتیاد أو الخروج علی حسب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غیر الأصلی مع عدم الاعتیاد و عدم کون الخروج علی حسب المتعارف إشکال و الأحوط النقض مطلقاً خصوصاً إذا کان دون المعدة</w:t>
      </w:r>
      <w:r>
        <w:rPr>
          <w:rFonts w:eastAsia="IRNazanin" w:cs="IRNazanin"/>
          <w:color w:val="111111"/>
          <w:sz w:val="28"/>
          <w:szCs w:val="28"/>
          <w:rtl w:val="true"/>
          <w:lang w:bidi="fa-IR"/>
        </w:rPr>
        <w:t>.</w:t>
      </w:r>
    </w:p>
    <w:p>
      <w:pPr>
        <w:pStyle w:val="Heading4"/>
        <w:numPr>
          <w:ilvl w:val="3"/>
          <w:numId w:val="1"/>
        </w:numPr>
        <w:rPr/>
      </w:pPr>
      <w:bookmarkStart w:id="116" w:name="__RefHeading___Toc1723190_417432637"/>
      <w:bookmarkStart w:id="117" w:name="_Toc43"/>
      <w:bookmarkEnd w:id="116"/>
      <w:r>
        <w:rPr>
          <w:rtl w:val="true"/>
        </w:rPr>
        <w:t>نواقض الوضوء</w:t>
      </w:r>
      <w:r>
        <w:rPr>
          <w:rtl w:val="true"/>
        </w:rPr>
        <w:t>:</w:t>
      </w:r>
      <w:r>
        <w:rPr>
          <w:rtl w:val="true"/>
        </w:rPr>
        <w:t>الأوّل و الثانی</w:t>
      </w:r>
      <w:r>
        <w:rPr>
          <w:rtl w:val="true"/>
        </w:rPr>
        <w:t>:</w:t>
      </w:r>
      <w:r>
        <w:rPr>
          <w:rtl w:val="true"/>
        </w:rPr>
        <w:t>البول و الغائط</w:t>
      </w:r>
      <w:bookmarkEnd w:id="117"/>
    </w:p>
    <w:p>
      <w:pPr>
        <w:pStyle w:val="BookText"/>
        <w:rPr/>
      </w:pPr>
      <w:r>
        <w:rPr>
          <w:rFonts w:ascii="IRNazanin" w:hAnsi="IRNazanin" w:eastAsia="IRNazanin"/>
          <w:color w:val="111111"/>
          <w:sz w:val="28"/>
          <w:sz w:val="28"/>
          <w:szCs w:val="28"/>
          <w:rtl w:val="true"/>
          <w:lang w:bidi="fa-IR"/>
        </w:rPr>
        <w:t>ذکر قدس سره أنّ البول أو الغائط من المخرج الأصلی ناقض للوضوء،بلا فرق بین کون خروجه منه معتاداً أو غیر معتاد، کما إذا انسدّ المخرج الأصلی و کان یبول أو یتغوّط من غیره فاتّفق خروج بعض البول أو الغائط من المخرج الأصلی و لو بقلیل فإنّه فی هذه الصورة یحکم بانتقاض الوضوء و إن لم یخرج من غیر المخرج الأصلی شیء من البول أو الغائط</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ذلک من کلمات الأصحاب حیث أطلقوا القول بأنّ البول و الغائط من مخرجیها الأصلیین من نواقض الوضوء و لم یتعرّضوا لکون خروجهما منه معتاداً أو غیر معتاد، و بتعبیر آخر ما ورد فی جملة من الروایات کموثّقة أدیم 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ینقض الوضوء إلّا ما خرج من طرفیک الأسفلین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إمّا معرف و مشیر إلی البول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الغائط، و إمّا أنّ للخروج منهما موضوعیة بأنّ الناقض هو البول و الغائط الخارجان منهما، و علی کلا التقدیرین یکون البول أو الغائط الخارجان منهما من النواقض، و لو کان الخروج غیر معتاد بالإضافة إلی شخص لانسداد مخرجه الأصلی لعارض فلا حاجة فی الحکم بناقضیّته إلی دعوی الإجماع مع أنّه مدرکی و لا أقل من احتمال أنّ ما ذکر هو المدرک لبعضهم أو لجلّهم لو 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قدس سره أنّ البول أو الغائط إذا خرجا من غیر مخرجهما الأصلیین و کان المخرج الأصلیّ مسدوداً یکون ناقضاً، و أمّا إذا لم یکن فی المخرج الأصلیّ انسداد فیحکم بکون الخارج من غیر المخرج الأصلی ناقضاً مع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الخروج المزبور معتاداً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الخروج علی حسب المتعارف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الحکم بکون الخروج من غیر المخرج الأصلیّ مع انسداده ناقض فهو مشهور بین الأصحاب، و لم یعرف الخلاف إلّا عن بعض المتأخّرین کالسبزواری، </w:t>
      </w:r>
      <w:r>
        <w:rPr>
          <w:rStyle w:val="FootnoteAnchor"/>
          <w:rtl w:val="true"/>
        </w:rPr>
        <w:footnoteReference w:id="328"/>
      </w:r>
      <w:r>
        <w:rPr>
          <w:rFonts w:ascii="IRNazanin" w:hAnsi="IRNazanin" w:eastAsia="IRNazanin"/>
          <w:color w:val="111111"/>
          <w:sz w:val="28"/>
          <w:sz w:val="28"/>
          <w:szCs w:val="28"/>
          <w:rtl w:val="true"/>
          <w:lang w:bidi="fa-IR"/>
        </w:rPr>
        <w:t xml:space="preserve">و تبعه صاحب الحدائق </w:t>
      </w:r>
      <w:r>
        <w:rPr>
          <w:rStyle w:val="FootnoteAnchor"/>
          <w:rtl w:val="true"/>
        </w:rPr>
        <w:footnoteReference w:id="329"/>
      </w:r>
      <w:r>
        <w:rPr>
          <w:rFonts w:ascii="IRNazanin" w:hAnsi="IRNazanin" w:eastAsia="IRNazanin"/>
          <w:color w:val="111111"/>
          <w:sz w:val="28"/>
          <w:sz w:val="28"/>
          <w:szCs w:val="28"/>
          <w:rtl w:val="true"/>
          <w:lang w:bidi="fa-IR"/>
        </w:rPr>
        <w:t>بدعوی أنّ الناقض فی الروایات هو الخارج من السبیلین کما ورد فی غیر واحد من الروایات، و ما ورد فی بعض الروایات من ذکر أنّ البول و الغائط موجب للوضوء کما فی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یوجب الوضوء إلّا من غائط أو بول أو ضرطة تسمع صوتها أو فسوة تجد ریحها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الناسور أ ینقض الوضوء؟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ینقض الوضوء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و الریح</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منصرف إلی البول و الغائط بخروجه المتعارف نوعاً و هو الخروج من السبیلین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أجاب فی الحدائق عن الالتزام بالناقضیة فی البول و الغائط الخارجین من غیر مخرجهما الأصلیین أخذاً بظاهر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بأنّ ظاهر الکتاب لا یکون حجّة و الأخذ به یکون نوع تخمین و تخریج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صاحب الحدائق أنّ ناقض الوضوء بالإضافة إلی من یکون المخرج الأصلی منه البول و الغائط مسدوداً هو النوم خاصة، و لا ینبغی التأمّل فی شمول الآیة المبارکة لمن تخلّی من غیر المخرج الطبیعی لانسداده و الأخذ بظاهر الآیة لا یکون تخمیناً و لا تخریجاً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الإطلاق فی بعض الروایات المشار إلیها و لو فرض التزام أحد بانصرافها أو کون الأخبار الواردة فیها السبیلین مقیدة لإطلاقاتها فلا ینبغی التأمّل فی انصراف الأخبار المقیّدة أیضاً إلی الشخص السالم بحسب المخرجین الأصلیین و الانصراف فی المطلقات أو التقیید فیها بهذا المقدار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انتقاض الوضوء بالبول و الغائط سواءً کان خروجهما من المخرج الأصلیّ أو من غیره مع انسداده و مع عدم انسداده أیضاً فیما کان خروجهما من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الأصلیّ مع الاعتیاد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فی ذلک أنّ ما ورد فی الروایات المتعدّدة من ذکر ما یخرج من طرفیک ناظر إلی الشخص السالم حیث لا یکون خروجهما منه إلّا من طرفیه الأسفلین، و أمّا فی غیره ممّا انسدّ المخرج الأصلیّ منه أو لم ینسدّ و لکن الخروج من غیر الأصلیّ کان اعتیاداً له فی تخلّیه فیرجع إلی الإطلاق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أَحَدٌ مِنْکُمْ مِنَ الْغٰائِطِ</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بل یمکن الحکم بکون البول و الغائط بخروجهما ینتقض الوضوء و لو مع عدم الاعتیاد ممّن لم ینسدّ مخرجه الأصلیّ و عدم کون الخروج من غیر المخرج الأصلیّ فی مثله متعارفاً،بل کان أمراً اتفاقیّاً للشخص أخذاً بالإطلاق فی معتبرة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الناسور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ینقض الوضوء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و الریح</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 إنّ مثل هذه الروایة فی الإطلاق 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الوضوء إلّا من غائط أو بول أو ضرطة تسمع صوتها أو فسوة تجد ریحها</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یناقش أنّ ما فیها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فسوة تجد 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البول و الغائط من مثل زرارة المفروض سلامته و عدم خروج البول و الغائط منه إلّا من مخرجهما الأصلیین، کما أنّ الآیة المبارکة لا تعمّ ما إذا لم یکن التخلی إلّا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المخرج الأصلیّ و کان خروج الغائط أو البول من غیر الأصلیّ بلا اعتیاد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بعدم دخالة الخروج من المخرجین أصلاً،بل الناقض خروج البول و الغائط و لو من غیر المخرج الأصلیّ و الاعتیادیّ بأن کان أمراً اتّفاقیّاً للشخص، و ذلک فإنّ الوارد فی صحیحة زرارة بعد سؤاله عن الباقر و الصادق علیهما السلام عن ما ینقض الوضوء قولهما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الأسفلین من الذکر و الدبر من الغائط و البول أو منیّ أو ریح و النوم حتّی یذهب العقل</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لو لم یکن للخروج من الذکر و الدبر موضوعیّة،بل لعدم خروج البول و الغائط من مثل زرارة إلّا منهما لکان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 بالذکر و الدبر لغواً حیث ذکرا علیهما السلام البول و الغائط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ما ورد فیه فی جواب السؤال عمّا ینقض الوضوء أو ابتداءً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الوضوء ما خرج من طرفیک الأسفلین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ذکر البول و الغائط بعد ذلک یمکن دعوی أنّ الکلام المزبور مشیر إلی البول و الغائط و لیس للخروج منها موضوعیّة، و أمّا فی مثل الصحیحة لا یمکن هذه الدعوی للزوم کون ما ذکر أوّلاً لغواً محضاً، و علیه فلا بد من الالتزام لخصوصیة الخروج عن المخرج الأصلی و أنّ الشخص السالم إذا اتفق له الخروج من غیر السبیلین فلا ینتقض وضوؤه بذلک الخروج الاتفاقیّ،بل و لو کان الخروج بحسب المتعارف کمن أدخل الغیر السکین فی بطنه فخرج منه الغائط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خروج البول أو الغائط بأیّ نحو کان ناقض للوضوء</w:t>
      </w:r>
    </w:p>
    <w:p>
      <w:pPr>
        <w:pStyle w:val="BookText"/>
        <w:rPr/>
      </w:pPr>
      <w:r>
        <w:rPr>
          <w:rFonts w:ascii="IRNazanin" w:hAnsi="IRNazanin" w:eastAsia="IRNazanin"/>
          <w:color w:val="111111"/>
          <w:sz w:val="28"/>
          <w:sz w:val="28"/>
          <w:szCs w:val="28"/>
          <w:rtl w:val="true"/>
          <w:lang w:bidi="fa-IR"/>
        </w:rPr>
        <w:t>و لا فرق فیهما بین القلیل و الکثیر حتّی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القطرة، و مثل تلوث رأس شیشة الاحتقان بالعذرة، نعم الرطوبات الأُخر غیر البول و الغائط الخارجة من المخرجین لیست ناقضة، و کذا الدود أو نوی التمر و نحوهما إذا لم یکن متلطّخاً بالعذرة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یوجب لغویة الکلام المزبور فی الصحیحة حیث إنّ ذکر الخروج من السبیلین بملاحظة الردع عمّا علیه العامّة حیث جعلوا القیء ناقضاً، و ربّما یتوهّم المتوهّم أنّ الطعام بعد هضم المعدة فی حقیقته غائط قد خرج من الحلق، فاعتبارهما علیهما السلام الخروج من الأسفلین لبیان عدم اعتبار الناقضیة للقیء و لو بعد هضم المعدة الغذاء و حتّی لو لم یکن فی الحقیقة بینه و بین الغائط فرق کما فی المبتلی بالإسهال، حیث ینحدر ما فی المعدة إلی الأمعاء و یخرج من مخرج الغائط بلا تغیّر و لو فی بعض الأحیان، و علی ذلک فیکون ذکر البول و الغائط بعده للتنبیه علی عدم ناقضیّة غیرهما ممّا یخرج عن المخرجین من الوذی و المذی و الدم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ناقضیّة البول و الغائط علی الإطلاق لو لم یکن أظهر فلا ینبغی الریب فی کونه أحوط</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الفرق فی صدق البول و الغائط بین القلیل و الکثیر، و یدلّ علی ذلک أیضاً ما ورد فی البلل قبل الاستبراء بالخرطات، نعم مثل الرطوبة فی النوی الخارج من الدبر لا یدخل فی شیء من البول و الغائط، و مقتضی حصر النواقض بالبول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عدم ناقضیّة ما لا یدخل فی العناوین المذکورة، و فی موثّقة عمّار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یکون فی صلاته فیخرج منه حبّ القرع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خرج نظیفاً من العذرة فلیس علیه شیء و لم ینقض وضوءه، و إن خرج متلطّخاً بالعذرة فعلیه أن یعید الوضوء، و إن کان فی صلاته</w:t>
      </w:r>
      <w:bookmarkStart w:id="118" w:name="pg12061_112447"/>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الریح الخارج من مخرج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الخارج من مخرج الغائط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المعدة، صاحب صوتاً أو لا، دون ما خرج من القبل أو لم یکن من المعدة کنفح الشیطان أو إذا دخل من الخارج ثمّ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الصلاة و أعاد الوضوء و الصلاة</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منها غیرها</w:t>
      </w:r>
      <w:r>
        <w:rPr>
          <w:rFonts w:eastAsia="IRNazanin" w:cs="IRNazanin"/>
          <w:color w:val="111111"/>
          <w:sz w:val="28"/>
          <w:szCs w:val="28"/>
          <w:rtl w:val="true"/>
          <w:lang w:bidi="fa-IR"/>
        </w:rPr>
        <w:t>.</w:t>
      </w:r>
    </w:p>
    <w:p>
      <w:pPr>
        <w:pStyle w:val="Heading4"/>
        <w:numPr>
          <w:ilvl w:val="3"/>
          <w:numId w:val="1"/>
        </w:numPr>
        <w:rPr/>
      </w:pPr>
      <w:bookmarkStart w:id="119" w:name="__RefHeading___Toc1723192_417432637"/>
      <w:bookmarkStart w:id="120" w:name="_Toc44"/>
      <w:bookmarkEnd w:id="119"/>
      <w:r>
        <w:rPr>
          <w:rtl w:val="true"/>
        </w:rPr>
        <w:t>الثالث</w:t>
      </w:r>
      <w:r>
        <w:rPr>
          <w:rtl w:val="true"/>
        </w:rPr>
        <w:t>:</w:t>
      </w:r>
      <w:r>
        <w:rPr>
          <w:rtl w:val="true"/>
        </w:rPr>
        <w:t>الریح</w:t>
      </w:r>
      <w:bookmarkEnd w:id="120"/>
    </w:p>
    <w:p>
      <w:pPr>
        <w:pStyle w:val="BookText"/>
        <w:rPr/>
      </w:pPr>
      <w:r>
        <w:rPr>
          <w:rFonts w:ascii="IRNazanin" w:hAnsi="IRNazanin" w:eastAsia="IRNazanin"/>
          <w:color w:val="111111"/>
          <w:sz w:val="28"/>
          <w:sz w:val="28"/>
          <w:szCs w:val="28"/>
          <w:rtl w:val="true"/>
          <w:lang w:bidi="fa-IR"/>
        </w:rPr>
        <w:t>الوارد فی الروایات أنّ الخارج من الطرفین و الأسفلین من الرجل ناقض للوضوء، و یدخل فی ذلک الریح الخارج من مخرج الغائط؛ و لذا لم یتعرّض فی بعض الروایات الحاصرة للنواقض غیر ناقضیّة ما خرج من الطرفین و النوم، کصحیحة زرارة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لو لم یکن الریح داخلاً فی الخارج من الطرفین حتّی علی تقدیر کونه عنواناً مشیراً لتعرّض علیه السلام لناقضیة الریح أیضاً بعطفه علی النوم أو علی ما خرج منهما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الصحیحة الثانیة لزرارة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و أبی عبد اللّه علیهما السلام ما ینقض الوضوء؟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الأسفلین من الذکر و الدبر من الغائط و البول أو منی أو ریح و النوم حتّی یذهب العقل</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الظاهر فیها عدم دخول الریح فی ما یخرج من الطرفین حیث فسّر ما یخرج منهما فیه بالغائط و البول کما یدلّ علیه عطف أحدهما علی الآخر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عطف المنی و الریح فإنّ عطفهما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لکون کلّ منهما ناقضاً کالخارج من السبیلین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فیه أنّ العطف علی روایة الکلینی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الغائط و البول و المنی و الریح مع أنّ الاختلاف فی العطف لا یدل علی شیء لصحة العطف بکلّ منهما و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العدول بعده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یکون المقصود منه بیان الحکم الشرعی خاصّة لا یدلّ علی التفرقة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الخارج من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 إلّا الریح الخارج من الدبر، فإنّ هذه الروایات خطابات للرجل و لا یعمّ مثل الریح الخارج من قبل المرأة أی المتکون فی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الإغماض عن ذلک و البناء علی أنّها کبعض المطلقات کالوارد فی معتبرة زکریا بن آدم المتقدّمة </w:t>
      </w:r>
      <w:r>
        <w:rPr>
          <w:rStyle w:val="FootnoteAnchor"/>
          <w:rtl w:val="true"/>
        </w:rPr>
        <w:footnoteReference w:id="341"/>
      </w:r>
      <w:r>
        <w:rPr>
          <w:rFonts w:ascii="IRNazanin" w:hAnsi="IRNazanin" w:eastAsia="IRNazanin"/>
          <w:color w:val="111111"/>
          <w:sz w:val="28"/>
          <w:sz w:val="28"/>
          <w:szCs w:val="28"/>
          <w:rtl w:val="true"/>
          <w:lang w:bidi="fa-IR"/>
        </w:rPr>
        <w:t>من حصر الناقض بالبول و الغائط و الریح تشمل لذلک الریح أیضاً، فلا بدّ من رفع الید عن الإطلاق المزبور بصحیحة زرارة الأُخری عن أبی عبد اللّه علیه السلام لا یوجب الوضوء إلّا من غائط أو بول أو ضرطة تسمع صوتها أو فسوة تجد ریحها</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فإنّ ما یخرج من قبل المرأة لا یسمّی ضرطة و لا فسوة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الملاک فی أنّ قضیّة تسمیة الریح الخارجة ضرطة أو فسوة، و أمّا سماع من خرج من مخرجه الریح الصوت أو الرائحة لیس من التقیید فی الضرطة و الفسوة،بل المراد أنّ الضرطة فی نوعها یسمع صوتها و الفسوة یُشم ریحها کذلک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عدم التقیید ما فی صحیحة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یکون فی الصلاة فیعلم أنّ ریحاً قد خرجت فلا یجد ریحها و لا یسمع صوتها؟ قال</w:t>
      </w:r>
      <w:r>
        <w:rPr>
          <w:rFonts w:eastAsia="IRNazanin" w:cs="IRNazanin"/>
          <w:color w:val="111111"/>
          <w:sz w:val="28"/>
          <w:szCs w:val="28"/>
          <w:rtl w:val="true"/>
          <w:lang w:bidi="fa-IR"/>
        </w:rPr>
        <w:t>:</w:t>
      </w:r>
      <w:bookmarkStart w:id="121" w:name="pg12061_112449"/>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النوم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حال المشی إذا غلب علی القلب و السمع و البصر فلا تنقض الخفقة إذا لم تصل إلی الحدّ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الوضوء و الصلاة و لا یعتدّ بشیء ممّا صلّی إذا علم ذلک یقیناً</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نعم لا فرق فی الریح الخارج من الدبر بین تکوّنه فی المعدة أو فی الأمعاء، و ما عن ظاهر الماتن و غیره من اعتبار کونه من المعدة لا نعرف له وجهاً بعد صدق الضرطة و الفسوة علی المتکوّن فی الأمعاء، و لعلّ مراده أیضاً الریح المنفوخ فی الدبر من الخارج فإنّ خروجه لا یکون ناقضاً لعدم صدق العنوانین علیه، و علیه فیمکن أن یکون ذکر سماع من یخرج من مخرج غائطه الریح صوتاً أو وجدانه رائحة لحصول العلم بالخروج و انتفاء الوسوسة، 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ینفخ فی دبر الإنسان حتّی یخیّل إلیه أنّه قد خرج منه ریح و لا ینقض الوضوء إلّا ریح تسمعها أو تجد ریحها</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723194_417432637"/>
      <w:bookmarkStart w:id="123" w:name="_Toc45"/>
      <w:bookmarkEnd w:id="122"/>
      <w:r>
        <w:rPr>
          <w:rtl w:val="true"/>
        </w:rPr>
        <w:t>الرابع</w:t>
      </w:r>
      <w:r>
        <w:rPr>
          <w:rtl w:val="true"/>
        </w:rPr>
        <w:t>:</w:t>
      </w:r>
      <w:r>
        <w:rPr>
          <w:rtl w:val="true"/>
        </w:rPr>
        <w:t>النوم</w:t>
      </w:r>
      <w:bookmarkEnd w:id="1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قدیماً و حدیثاً أنّ النوم الغالب علی السمع و البصر من نواقض الوضوء،بل لم یحکَ الخلاف إلّا عن الصدوق و والده، و قد عدّ فی المقنع أنّ النواقض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البول و الغائط و الریح و المنی </w:t>
      </w:r>
      <w:r>
        <w:rPr>
          <w:rStyle w:val="FootnoteAnchor"/>
          <w:rtl w:val="true"/>
        </w:rPr>
        <w:footnoteReference w:id="345"/>
      </w:r>
      <w:r>
        <w:rPr>
          <w:rFonts w:ascii="IRNazanin" w:hAnsi="IRNazanin" w:eastAsia="IRNazanin"/>
          <w:color w:val="111111"/>
          <w:sz w:val="28"/>
          <w:sz w:val="28"/>
          <w:szCs w:val="28"/>
          <w:rtl w:val="true"/>
          <w:lang w:bidi="fa-IR"/>
        </w:rPr>
        <w:t>، و لکن تعرّض فیه للنوم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تتوضأ و إن نمت و أنت جالس فی الصلاة فإنّ العین قد تنام و الأُذن تسمع، </w:t>
      </w:r>
      <w:r>
        <w:rPr>
          <w:rStyle w:val="FootnoteAnchor"/>
          <w:rtl w:val="true"/>
        </w:rPr>
        <w:footnoteReference w:id="346"/>
      </w:r>
      <w:r>
        <w:rPr>
          <w:rFonts w:ascii="IRNazanin" w:hAnsi="IRNazanin" w:eastAsia="IRNazanin"/>
          <w:color w:val="111111"/>
          <w:sz w:val="28"/>
          <w:sz w:val="28"/>
          <w:szCs w:val="28"/>
          <w:rtl w:val="true"/>
          <w:lang w:bidi="fa-IR"/>
        </w:rPr>
        <w:t>و ظاهر التعلیل أنّ النوم غیر الغالب علی السمع و المراد به الخفقة لا ینقض الوضوء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الفقیه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موسی بن جعفر علیه السلام عن الرجل یرقد و هو قاعد هل علیه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وضوء علیه قاعداً ما لم ینفرج </w:t>
      </w:r>
      <w:r>
        <w:rPr>
          <w:rStyle w:val="FootnoteAnchor"/>
          <w:rtl w:val="true"/>
        </w:rPr>
        <w:footnoteReference w:id="347"/>
      </w:r>
      <w:r>
        <w:rPr>
          <w:rFonts w:ascii="IRNazanin" w:hAnsi="IRNazanin" w:eastAsia="IRNazanin"/>
          <w:color w:val="111111"/>
          <w:sz w:val="28"/>
          <w:sz w:val="28"/>
          <w:szCs w:val="28"/>
          <w:rtl w:val="true"/>
          <w:lang w:bidi="fa-IR"/>
        </w:rPr>
        <w:t xml:space="preserve">، و حیث إنّه ذکر فی أوّل الفقیه أنّه لا یخرج فیه إلّا ما کان حجّة بینه و بین ربه </w:t>
      </w:r>
      <w:r>
        <w:rPr>
          <w:rStyle w:val="FootnoteAnchor"/>
          <w:rtl w:val="true"/>
        </w:rPr>
        <w:footnoteReference w:id="348"/>
      </w:r>
      <w:r>
        <w:rPr>
          <w:rFonts w:ascii="IRNazanin" w:hAnsi="IRNazanin" w:eastAsia="IRNazanin"/>
          <w:color w:val="111111"/>
          <w:sz w:val="28"/>
          <w:sz w:val="28"/>
          <w:szCs w:val="28"/>
          <w:rtl w:val="true"/>
          <w:lang w:bidi="fa-IR"/>
        </w:rPr>
        <w:t>ینسب إلیه أنّ النوم قاعداً من غیر الانفراج لا ینقض الوضوء، و لکنّ الظاهر أنّه حمل ما لم ینفرج علی الأماریّة لنوم القلب و الغالب علی السمع فیکون مضمونه متّحداً مع عدم ناقضیّة الخفقة التی أخرج روایتها عن سماعة بن مهران عن أبی عبد اللّه علیه السلام قبل الروایة عن موسی بن جعفر علیهما السلام عن الرجل یخفق رأسه فی الصلاة قائماً أو راکعاً؟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وضوء</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 کیف یمکن التزامه قدس سره بعدم ناقضیّة النوم و لو مع الجلوس و قد أخرج فی أوّل باب ما ینقض الوضوء صحیحة زرارة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النوم حتّی یذهب العقل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الظاهر مراده أنّ ما یسمّی نوماً مع عدم ذهاب العقل أی غیر الغالب علی القلب کما یتفق غالباً فی بعض الأشخاص حال الجلوس غیر ناقض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ما کان فیظهر من عدّة روایات أنّ النوم من نواقض الوضوء، مثل صحیحة زرارة عن أحدهما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ما خرج من طرفیک أو النوم</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إسحاق بن عبد اللّه الأشعری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الروایات وصف النوم الناقض یعنی قید بما یغلب علی القلب و تعطیل الحواس، و فی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الأسفلین من الذکر و الدبر من الغائط و البول أو منیّ أو ریح و النوم حتّی یذهب العقل</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عبد اللّه بن المغیرة و محمّد بن عبد اللّه بن زرارة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الرضا علیه السلام عن الرجل ینام علی دابّته؟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النوم بالعقل فلیعد الوضوء</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 أ توجب الخفقة و الخفقتان علیه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قد تنام العین و لا ینام القلب و الأُذن فإذا نامت العین و الأُذن و القلب وجب الوضوء</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ذکر أنّ من وجد طعم النوم فعلیه الوضوء، ففی صحیحة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الخفقة و الخفقتین فقال ما أدری ما الخفقة و الخفقتین 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طعم النوم قائماً أو قاعداً فقد وجب علیه الوضوء</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و نحوها، و لا بدّ من رفع الید عن الإطلاق فی الطائفة الأُولی و تقییدها بالطائفتین الثانیة و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من الطائفة الثانیة و الثالثة واحد، و أنه إذا استولی النوم علی القلب بحدوثه یوجب انتقاض الوضوء، و عبّر عن ذلک بوجدان طعم النوم، و أنّ نوم العین و الأُذن أمارة علی نوم القلب لکون نومهما معاً یلازم نوم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من النوم،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النوم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کان یغلب علی السمع و لا یسمع الصوت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سعد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أُذنان و عینان، تنام العینان و لا تنام الأُذنان و ذلک لا ینقض الوضوء و إذا نامت العینان و الأُذنان انتقض الوضوء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المتحصّل أنّ المستفاد من هذه الروایات بعد تقیید إطلاقها علی التقیید فی الأُخری أنّ النوم إذا کان بمجرد الخفقة و الخفقتان من غیر أن یستولی علی السمع و القلب ناقض للوضوء بلا فرق بین قلیله و کثیره، و بلا فرق بین کونه قائماً أو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 فرق بین کونه أثناء الصلاة أو غیره، و لعلّ الوجه فی عدوله علیه السلام عن الجواب عن خصوص الخفقة و الخفقتین فی صحیحة عبد الرحمن بن الحجاج و مصححة زید الشحام إلی قوله من وجد طعم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عدم الفرق فی النوم المستولی علی الحواس بین قلیله و کثیره فیکون للنوم بما هو نوم موضوعیّة فی الناقضیة کما صرّح بذلک علیه السلام فی صحیحة إسحاق بن عبد اللّه الأشعری من قوله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لکن یظهر من بعض الروایات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یستظهر منه عدم کون النوم بنفسه ناقضاً کما فی معتبرة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یخفق فی صلاته؟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لا یحفظ حدثاً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الوضوء و إعادة الصلاة، و إن کان یستیقن لم یحدث فلیس علیه وضوء و لا إعادة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صدرها و إن کان فی نفسه قابلاً علی الحمل بعدم کون مجرّد الخفقة ناقضاً و إنّما یکون الناقض الخفقة التی لا إحساس له معها، إلّا أنّه قیل إنّ ذیلها یدلّ علی أنّه إذا استیقن عدم الحدث فلیس علیه وضوء و لا إعادة و ظاهر الحدث النواقض الأُخر غیر النوم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کذلک بأن لم یکن المراد أنّه لم یحدث أنّه لم ینم فلا بدّ من حمل الروایة علی التقیة لکون النوم فی نفسه لیس بناقض، ظاهر المحکی عن جماعة من العامّة،بل ربما یقال إنّ کون النوم حدثاً أی ناقضاً مدلول للکتاب المجید لا بقرینة التفسیر الوارد فی موثقة عبد اللّه بن بکیر </w:t>
      </w:r>
      <w:r>
        <w:rPr>
          <w:rStyle w:val="FootnoteAnchor"/>
          <w:rtl w:val="true"/>
        </w:rPr>
        <w:footnoteReference w:id="361"/>
      </w:r>
      <w:r>
        <w:rPr>
          <w:rFonts w:ascii="IRNazanin" w:hAnsi="IRNazanin" w:eastAsia="IRNazanin"/>
          <w:color w:val="111111"/>
          <w:sz w:val="28"/>
          <w:sz w:val="28"/>
          <w:szCs w:val="28"/>
          <w:rtl w:val="true"/>
          <w:lang w:bidi="fa-IR"/>
        </w:rPr>
        <w:t>،بل الآیة المبارکة مع قطع النظر عنها أیضاً مقتضاها ناقضیة النوم؛ و ذلک فإنّ مفادها وجوب الوضوء عند القیام إلی الصلاة، و إطلاقها یعمّ ما إذا کان قد توضّأ قبل القیام إلیها، غایة الأمر المقدار المتیقّن فی رفع الید عن الإطلاق المزبور ما إذا توضّأ الشخص من قبل و لم یصدر عنه بعده شیء ممّا یعدّ من النواقض التی منها النوم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إذا شکّ فی ناقضیّة شیء بأن لم یقم علی عدم ناقضیّته دلیل خاصّ یکون مقتضی الآیة ناقضیته یعنی عدم جواز الدخول فی 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الشکّ فی حدوث الناقض بالشبهة الخارجیة یکون الاستصحاب فی عدم صدور ذلک الناقض بعد الوضوء یدخل المورد فی عنوان المقیّد للإطلاق، و لکن لا یخفی أنّه لو قطع النظر عن الموثقة و الروایات الخاصة فی کون النوم حدثاً نفیاً و إثباتاً لم یمکن إثبات ناقضیّة النوم للوضوء لوجود مفهوم الحصر فی بعض الروایات من أنّ غیر ما یخرج من الطرفین لا ینقض الوضوء، و یدلّ فی غیر ما یخرج النوم فیکون المفهوم مقیّداً للآیة المبارکة فالآیة تصلح للمرجحیّة لا للمرجعیّة، و الاستدلال بها علی ناقضیّة النوم مع قطع النظر عن الموثقة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ناقضیّة النوم المستولی علی الحواس مطلقاً مقتضی الروایات المتقدّمة و غیرها نظیر معتبرة عبد الحمید بن عواض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و هو راکع أو ساجد أو ماش علی أیّ الحالات فعلیه الوضوء</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فالمعارض لها لو تمّ یطرح لموافقة ما دلّ علی الناقضیّة مع الکتاب المجید و لمخالفة العامّة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من الطائفة المعارضة موثّقة سماعة بن مهران عن أبی عبد اللّه علیه السلام أنّه سأله عن الرجل یخفق رأسه و هو فی الصلاة قائماً أو راکعاً؟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وضوء</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قد تقدّم أنّها قابلة للتقیید بغیر النوم المستولی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تلک الطائفة ما فی العلل و عیون الأخبار بسنده عن الفضل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وجب الوضوء ممّا خرج من الطرفین خاصّة و من النوم دون سائر الأشیاء لأنّ الطرفین هما طریق سبیل النجاسة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النوم فإنّ النائم إذا غلب علیه النوم یفتح کلّ شیء منه و استرخی فکان أغلب الأشیاء علیه فیما یخرج منه الریح فوجب علیه الوضوء لهذه العلّة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قد تقرر فی محله أنّ ما ورد من روایة العلل ناظر إلی بیان الحکمة فی الجعل لا العلّة المصطلحة بمعنی کون دوران الحکم مدارها، و لا تکون فی تلک الروایات معارضة؛ لما دلّ علی أنّ الموضوعات للأحکام ما یکون بینها و بین تلک العلل العموم من وجه أو مجرّد المناسبة، و یظهر ذلک لمن لاحظ روایاتها التی منها هذه الروایة فإنّ کون السبیلین مجری النجاسة یقتضی إیجاب غسلهما عند الخروج لا التوضّؤ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عمران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عبداً صالحاً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و هو جالس لا یتعمّد النوم فلا وضوء علیه</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بکر بن أبی بکر الحضرمی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هل ینام الرجل و هو جالس؟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نام الرجل و هو جالس مجتمع فلیس علیه وضوء و إذا نام مضطجعاً فعلیه الوضوء</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و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موسی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علیه السلام عن الرجل یرقد و هو قاعد هل علیه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علیه ما دام قاعداً إن لم ینفرج</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بظاهرها تدلّ علی عدم ناقضیّة النوم قاعداً و ما إذا کان النوم أمراً قهریّاً مع أنّ المناقشة فی سند الأُولی و الثانیة و الأخیرة تطرح فی مقام المعارضة؛ لموافقة ما دلّ علی الناقضیة للکتاب و مخالفتها للعامّة و فی معتبرة عبد الحمید بن عوّاض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و هو راکع أو ساجد أو ماشٍ علی أی حال من الحالات فعلیه الوضوء</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صحیحة عبد اللّه بن سنان عن أبی عبد اللّه علیه السلام فی الرجل هل ینقض وضوءه إذا نام و هو جالس؟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یوم الجمعة فی المسجد فلا وضوء علیه و ذلک أنّه فی حال الضرورة</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فمن الظاهر أنّه لا یحتمل الفرق بین الناقضیّة و عدمها الزمان و المکان، و لعلّ تجویز الصلاة لرعایة التقیّة حیث إنّ الخروج عن المسجد علی کلّ تقدیر مخالف رعایة التقیّة، فإنّه إنّ لم یعتذر لخروجه بنومه یکون خروجه عندهم إعراضاً عن جماعتهم، و إن اعتذر بنومه فهو مخالف لمذهبهم من عدم انتقاض الوضوء بالنّوم قاعداً،بل یمکن الالتزام بصحّة صلاته أخذاً بظاهر الروایة فیکون کالصلاة بالوضوء المشروع عندهم فی حال التقیّة کالوضوء بالمسح علی الخف، و اللّٰه سبحانه هو العالم</w:t>
      </w:r>
      <w:r>
        <w:rPr>
          <w:rFonts w:eastAsia="IRNazanin" w:cs="IRNazanin"/>
          <w:color w:val="111111"/>
          <w:sz w:val="28"/>
          <w:szCs w:val="28"/>
          <w:rtl w:val="true"/>
          <w:lang w:bidi="fa-IR"/>
        </w:rPr>
        <w:t>.</w:t>
      </w:r>
      <w:bookmarkStart w:id="124" w:name="pg12061_112457"/>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کلّ ما أزال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أزال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الإغماء و السکر و الجنون دون مثل البهت</w:t>
      </w:r>
      <w:r>
        <w:rPr>
          <w:rFonts w:eastAsia="IRNazanin" w:cs="IRNazanin"/>
          <w:color w:val="111111"/>
          <w:sz w:val="28"/>
          <w:szCs w:val="28"/>
          <w:rtl w:val="true"/>
          <w:lang w:bidi="fa-IR"/>
        </w:rPr>
        <w:t>.</w:t>
      </w:r>
    </w:p>
    <w:p>
      <w:pPr>
        <w:pStyle w:val="Heading4"/>
        <w:numPr>
          <w:ilvl w:val="3"/>
          <w:numId w:val="1"/>
        </w:numPr>
        <w:rPr/>
      </w:pPr>
      <w:bookmarkStart w:id="125" w:name="__RefHeading___Toc1723196_417432637"/>
      <w:bookmarkStart w:id="126" w:name="_Toc46"/>
      <w:bookmarkEnd w:id="125"/>
      <w:r>
        <w:rPr>
          <w:rtl w:val="true"/>
        </w:rPr>
        <w:t>الخامس</w:t>
      </w:r>
      <w:r>
        <w:rPr>
          <w:rtl w:val="true"/>
        </w:rPr>
        <w:t>:</w:t>
      </w:r>
      <w:r>
        <w:rPr>
          <w:rtl w:val="true"/>
        </w:rPr>
        <w:t>کلّ ما أزال العقل</w:t>
      </w:r>
      <w:bookmarkEnd w:id="126"/>
    </w:p>
    <w:p>
      <w:pPr>
        <w:pStyle w:val="BookText"/>
        <w:rPr/>
      </w:pPr>
      <w:r>
        <w:rPr>
          <w:rFonts w:ascii="IRNazanin" w:hAnsi="IRNazanin" w:eastAsia="IRNazanin"/>
          <w:color w:val="111111"/>
          <w:sz w:val="28"/>
          <w:sz w:val="28"/>
          <w:szCs w:val="28"/>
          <w:rtl w:val="true"/>
          <w:lang w:bidi="fa-IR"/>
        </w:rPr>
        <w:t xml:space="preserve">دعوی الإجماع علی انتقاض الوضوء بمثل الإغماء فی کلمات الأصحاب کثیرة و لم ینقل الخلاف إلّا عن بعض المتأخّرین حیث توقّف صاحب الحدائق </w:t>
      </w:r>
      <w:r>
        <w:rPr>
          <w:rStyle w:val="FootnoteAnchor"/>
          <w:rtl w:val="true"/>
        </w:rPr>
        <w:footnoteReference w:id="370"/>
      </w:r>
      <w:r>
        <w:rPr>
          <w:rFonts w:ascii="IRNazanin" w:hAnsi="IRNazanin" w:eastAsia="IRNazanin"/>
          <w:color w:val="111111"/>
          <w:sz w:val="28"/>
          <w:sz w:val="28"/>
          <w:szCs w:val="28"/>
          <w:rtl w:val="true"/>
          <w:lang w:bidi="fa-IR"/>
        </w:rPr>
        <w:t xml:space="preserve">و صاحب الوسائل فی ذلک، و قد عنون فی الوسائل الباب بحکم ما أزال العقل من إغماء و جنون و سکر و غیرها </w:t>
      </w:r>
      <w:r>
        <w:rPr>
          <w:rStyle w:val="FootnoteAnchor"/>
          <w:rtl w:val="true"/>
        </w:rPr>
        <w:footnoteReference w:id="371"/>
      </w:r>
      <w:r>
        <w:rPr>
          <w:rFonts w:ascii="IRNazanin" w:hAnsi="IRNazanin" w:eastAsia="IRNazanin"/>
          <w:color w:val="111111"/>
          <w:sz w:val="28"/>
          <w:sz w:val="28"/>
          <w:szCs w:val="28"/>
          <w:rtl w:val="true"/>
          <w:lang w:bidi="fa-IR"/>
        </w:rPr>
        <w:t>، و هذا التعبیر عادیّ له فیما لم یتّضح له الحکم، ثمّ أورد فی الباب صحیحة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به علّة لا یقدر علی الاضطجاع و الوضوء یشتدّ علیه و هو قاعد مستند إلی الوسائد فربّما أغفی و هو قاعد علی تلک الحال؟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یشتدّ علیه لحال علّته،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علیه الصوت وجب علیه الوضوء،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الظهر و یصلّیها مع العصر یجمع بینهما و کذلک المغرب و العشاء، ثمّ ذکر استدلال الشیخ بالصحیحة علی الحکم یعنی ناقضیّة کلّ ما أزال العقل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بصریح یعنی لا دلالة له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المناقشة فی الدلالة ظاهرٌ فإنّ ظاهر الإغفاء هو النوم، و قد فرض السائل أن لا یتمکّن علی الاضطجاع و أنّ نومه یکون بالجلوس فهل علیه الوضوء فی کلّ إغفاء جلوساً و لو کان زمان الإغفاء قلیلاً مع فرض اشتداد التوضّؤ علیه؟ و هذا لو لم یکن ظاهر الروایة و لا أقل من احتماله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لکثرة الإغفاء و هذا لا یکون فیمن 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جالساً لعلّته بخلاف الإغماء لا یمکن المساعدة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إحراز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الکثرة،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الکثرة تارة تلاحظ فی نفس الشیء ، و أُخری تلاحظ فیه بالإضافة إلی الشیء الآخر یعنی حالة الیقظة، و الکثرة فی النوم فی نفسه یناسب فرض السؤال، و ما ذکر فی الجواب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الصوت فلیس علیه وضوء؛ لعدم حصول المستولی علی الحواس و إلّا فلیتوضّأ و یجمع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ناقضیّة ما یزیل العقل بما ورد فی صحیحة عبد اللّه بن المغیرة و محمّد بن عبد اللّه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 النوم بالعقل فلیعد الوضوء </w:t>
      </w:r>
      <w:r>
        <w:rPr>
          <w:rStyle w:val="FootnoteAnchor"/>
          <w:rtl w:val="true"/>
        </w:rPr>
        <w:footnoteReference w:id="372"/>
      </w:r>
      <w:r>
        <w:rPr>
          <w:rFonts w:ascii="IRNazanin" w:hAnsi="IRNazanin" w:eastAsia="IRNazanin"/>
          <w:color w:val="111111"/>
          <w:sz w:val="28"/>
          <w:sz w:val="28"/>
          <w:szCs w:val="28"/>
          <w:rtl w:val="true"/>
          <w:lang w:bidi="fa-IR"/>
        </w:rPr>
        <w:t>و ما ورد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النوم حتّی یذهب العقل</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حیث یستظهر منهما أنّ الناقض فی الحقیقة هو الذاهب للعقل سواء کان من النوم أو غیره، و لکن لا یخفی أنّ ذهاب العقل لم یذکر علّة لناقضیّة النوم،بل هو تقیید فی النوم الناقض للوضوء، و مقتضی التقیید فی المقام کمقتضاه فی سائر التقییدات یقتضی أن لا یثبت الحکم للمطلق فیما إذا کان التقیید بصورة الاشتراط کما فی الصحیحة الأُولی أو بما فیه مفهوم کالصحیحة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لم یبقَ فی ناقضیّة کلّ ما أزال العقل من الإغماء و السکر هو التسالم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المقام من أوضح الموارد للإجماع التعبدی، و کیف کان فلا تجری دعوی الإجماع أو الاستفادة ممّا تقدّم فی مثل البهت،بل لا یجری ما ذکر فی صحیحة معمّر بن خلاّد </w:t>
      </w:r>
      <w:r>
        <w:rPr>
          <w:rStyle w:val="FootnoteAnchor"/>
          <w:rtl w:val="true"/>
        </w:rPr>
        <w:footnoteReference w:id="374"/>
      </w:r>
      <w:r>
        <w:rPr>
          <w:rFonts w:ascii="IRNazanin" w:hAnsi="IRNazanin" w:eastAsia="IRNazanin"/>
          <w:color w:val="111111"/>
          <w:sz w:val="28"/>
          <w:sz w:val="28"/>
          <w:szCs w:val="28"/>
          <w:rtl w:val="true"/>
          <w:lang w:bidi="fa-IR"/>
        </w:rPr>
        <w:t>من عدم سماع الصوت فی مثل السکر کما لا یخفی</w:t>
      </w:r>
      <w:bookmarkStart w:id="127" w:name="pg12061_112459"/>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القلیلة بل الکثیرة و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الکثیرة و المتوسطة و إن أوجبتا الغسل أیضاً، و أمّا الجنابة فهی تنقض الوضوء، لکن توجب الغسل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إذا کان خفیفاً، و ان لا یبعد دعوی استفادة الحکم من الروایات الواردة فی النوم حتّی یذهب العقل بالفحوی بالإضافة إلی الإغماء؛ و لذا یشکل إثبات أنّ الإجماع و التسالم فی المقام تعبدیّ</w:t>
      </w:r>
      <w:r>
        <w:rPr>
          <w:rFonts w:eastAsia="IRNazanin" w:cs="IRNazanin"/>
          <w:color w:val="111111"/>
          <w:sz w:val="28"/>
          <w:szCs w:val="28"/>
          <w:rtl w:val="true"/>
          <w:lang w:bidi="fa-IR"/>
        </w:rPr>
        <w:t>.</w:t>
      </w:r>
    </w:p>
    <w:p>
      <w:pPr>
        <w:pStyle w:val="Heading4"/>
        <w:numPr>
          <w:ilvl w:val="3"/>
          <w:numId w:val="1"/>
        </w:numPr>
        <w:rPr/>
      </w:pPr>
      <w:bookmarkStart w:id="128" w:name="__RefHeading___Toc1723198_417432637"/>
      <w:bookmarkStart w:id="129" w:name="_Toc47"/>
      <w:bookmarkEnd w:id="128"/>
      <w:r>
        <w:rPr>
          <w:rtl w:val="true"/>
        </w:rPr>
        <w:t>السادس</w:t>
      </w:r>
      <w:r>
        <w:rPr>
          <w:rtl w:val="true"/>
        </w:rPr>
        <w:t>:</w:t>
      </w:r>
      <w:r>
        <w:rPr>
          <w:rtl w:val="true"/>
        </w:rPr>
        <w:t>الاستحاضة</w:t>
      </w:r>
      <w:bookmarkEnd w:id="129"/>
    </w:p>
    <w:p>
      <w:pPr>
        <w:pStyle w:val="BookText"/>
        <w:rPr/>
      </w:pPr>
      <w:r>
        <w:rPr>
          <w:rFonts w:ascii="IRNazanin" w:hAnsi="IRNazanin" w:eastAsia="IRNazanin"/>
          <w:color w:val="111111"/>
          <w:sz w:val="28"/>
          <w:sz w:val="28"/>
          <w:szCs w:val="28"/>
          <w:rtl w:val="true"/>
          <w:lang w:bidi="fa-IR"/>
        </w:rPr>
        <w:t>یأتی الکلام فی انتقاض الوضوء بالاستحاضة، و أمّا کون الجنابة ناقضة للوضوء فیدلّ علیه صحیحة زرارة المتقدّمة حیث ذکر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طرفیک الأسفلین من الذکر و الدبر من الغائط و البول أو منی أو ریح و النوم حتّی یذهب العقل</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دلالتها علی انتقاض الوضوء بالإمناء لا کلام فیها و لا یحتمل الفرق بینه و بین الجنابة بغیره،بل فی العیون بإسناده عن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الوضوء إلّا غائط أو بول أو ریح أو نوم أو جنابة</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بعض الأعلام أنّ علی الماتن قدس سره التعرّض لسائر الأحداث الکبیرة الموجبة للوضوء و الغسل کما هو أحد القولین </w:t>
      </w:r>
      <w:r>
        <w:rPr>
          <w:rStyle w:val="FootnoteAnchor"/>
          <w:rtl w:val="true"/>
        </w:rPr>
        <w:footnoteReference w:id="377"/>
      </w:r>
      <w:r>
        <w:rPr>
          <w:rFonts w:ascii="IRNazanin" w:hAnsi="IRNazanin" w:eastAsia="IRNazanin"/>
          <w:color w:val="111111"/>
          <w:sz w:val="28"/>
          <w:sz w:val="28"/>
          <w:szCs w:val="28"/>
          <w:rtl w:val="true"/>
          <w:lang w:bidi="fa-IR"/>
        </w:rPr>
        <w:t>من عدم إجزاء سائر الأغسال عن الوضوء، و علی القول الآخر یعنی الالتزام بالإجزاء تکون سائر الأحداث الکبیرة من قبیل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علی هذا الکلام بأنّ فی المقام یکون البحث فی نواقض الوضوء بحیث لو قیل بعدم إجزاء الغسل عن الوضوء فی غیر غسل الجنابة یجب علی من حصل منه موجب الغسل الجمع بین الغسل و الوضوء حتّی ما إذا کان قبل حصول الموجب متوضّئاً، و الکلام فی المسألة الآتیة من إجزاء غیر الغسل من الجنابة أیضاً عن الوضوء أم لا، فیما إذا کان المکلّف حصل منه موجب الوضوء و الغسل و أنّه یکتفی بالاغتسال للصلاة و نحوها ممّا هو مشروط بالطهارة أو أنّه یجب علیه الجمع بین الغسل و الوضوء، و لو قیل بعدم الإجزاء فی الغسل عن الوضوء و قلنا فی المقام بأنّ غیر الجنابة و الاستحاضة القلیلة أو المتوسطة غیر ناقض للوضوء یجب علی المتوضّئ الذی مسّ المیت الغسل من مسّ المیت خاصة و لا یجب علیه الوضوء، و لو قیل بعدم إجزاء الغسل عن الوضوء و ذلک لعدم حصول الناقض منه للوضوء، و حیث إنّه لا دلیل علی کون موجبات الغسل غیر الجنابة و الاستحاضة ناقضاً، للوضوء،بل مقتضی ما دلّ علی حصر النواقض عدم کونها ناقضة له فلعلّه لذلک ترک الماتن ذکرها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یحتمل أن یکون عدم تعرض الماتن لذلک و قد ذکر فی مسائل غسل مسّ المیت فی 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المیت ینقض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أیضاً فی مسألة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مسائل النفاس أن غسل النفاس کغسل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یغنی عن الوضوء،بل یجب قبله أو بعده کسائر الأغسال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إطلاقه عدم الفرق بین کون النفاس فی لحظة ممّن کانت متوضّئة و بین غیرها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فیمکن أن یستظهر من صحیحة إسحاق بن عبد اللّه الأشعری أنّ کلّ من موجب الوضوء و موجب الغسل علی المکلّف ینقض الوضوء، حیث ذکر</w:t>
      </w:r>
      <w:bookmarkStart w:id="130" w:name="pg12061_112461"/>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طروّ أحد النواقض بنی علی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طروّ أحد النواقض بنی علی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شکّ فی أنّ الخارج بول أو مذی مثلاً إلّا أن یکون قبل الاستبراء فیحکم بأنّه بول فإن کان متوضّئاً انتقض وضوؤه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ماء الاحتقان و لم یکن معه شیء من الغائط لم ینتقض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ماء الاحتقان و لم یکن معه شیء من الغائط لم ینتقض</w:t>
      </w:r>
    </w:p>
    <w:p>
      <w:pPr>
        <w:pStyle w:val="BookText"/>
        <w:rPr/>
      </w:pPr>
      <w:r>
        <w:rPr>
          <w:rFonts w:ascii="IRNazanin" w:hAnsi="IRNazanin" w:eastAsia="IRNazanin"/>
          <w:color w:val="111111"/>
          <w:sz w:val="28"/>
          <w:sz w:val="28"/>
          <w:szCs w:val="28"/>
          <w:rtl w:val="true"/>
          <w:lang w:bidi="fa-IR"/>
        </w:rPr>
        <w:t>أبو عبد اللّه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ظاهر الحدث فی قوله علیه السلام مقابل موجب الطهارة، و لا ینافیه الحصر فی سائر الروایات المتقدّمة حیث إنّ الخطاب فیها للرجل کما لا یضرّ عدم ذکر المسّ و الحیض و النفاس فی مثل معتبرة زکریا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الناسور أ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ینقض الوضوء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و الغائط و الریح</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حیث إنّ مقتضی الجمع بینهما حمل ما ورد فی المعتبرة علی جملة من مصادیق الحدث الخارج من السبیلین</w:t>
      </w:r>
      <w:r>
        <w:rPr>
          <w:rFonts w:eastAsia="IRNazanin" w:cs="IRNazanin"/>
          <w:color w:val="111111"/>
          <w:sz w:val="28"/>
          <w:szCs w:val="28"/>
          <w:rtl w:val="true"/>
          <w:lang w:bidi="fa-IR"/>
        </w:rPr>
        <w:t>.</w:t>
      </w:r>
    </w:p>
    <w:p>
      <w:pPr>
        <w:pStyle w:val="Heading4"/>
        <w:numPr>
          <w:ilvl w:val="3"/>
          <w:numId w:val="1"/>
        </w:numPr>
        <w:rPr/>
      </w:pPr>
      <w:bookmarkStart w:id="131" w:name="__RefHeading___Toc1723200_417432637"/>
      <w:bookmarkStart w:id="132" w:name="_Toc48"/>
      <w:bookmarkEnd w:id="131"/>
      <w:r>
        <w:rPr>
          <w:rtl w:val="true"/>
        </w:rPr>
        <w:t>الشکّ فی الناقض</w:t>
      </w:r>
      <w:bookmarkEnd w:id="132"/>
    </w:p>
    <w:p>
      <w:pPr>
        <w:pStyle w:val="BookText"/>
        <w:rPr/>
      </w:pPr>
      <w:r>
        <w:rPr>
          <w:rFonts w:ascii="IRNazanin" w:hAnsi="IRNazanin" w:eastAsia="IRNazanin"/>
          <w:color w:val="111111"/>
          <w:sz w:val="28"/>
          <w:sz w:val="28"/>
          <w:szCs w:val="28"/>
          <w:rtl w:val="true"/>
          <w:lang w:bidi="fa-IR"/>
        </w:rPr>
        <w:t>فإنّ المستفاد من الروایات الواردة فی النواقض أنّ الوضوء إذا وجد یعتبر بقاؤه ما لم یوجد شیء من النواقض المتقدّمة، و مقتضی الاستصحاب کما هو المستفاد من صحیحة زرارة بقاء الوضوء عند الشک فی حصول ناقضه بالشبهة الموضوعیة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مقتضی الاستصحاب عدم حصول الناقض سواء کان الناقض المحتمل نوماً أو غیره</w:t>
      </w:r>
      <w:r>
        <w:rPr>
          <w:rFonts w:eastAsia="IRNazanin" w:cs="IRNazanin"/>
          <w:color w:val="111111"/>
          <w:sz w:val="28"/>
          <w:szCs w:val="28"/>
          <w:rtl w:val="true"/>
          <w:lang w:bidi="fa-IR"/>
        </w:rPr>
        <w:t>.</w:t>
      </w:r>
      <w:bookmarkStart w:id="133" w:name="pg12061_112462"/>
    </w:p>
    <w:p>
      <w:pPr>
        <w:pStyle w:val="BookText"/>
        <w:rPr/>
      </w:pPr>
      <w:bookmarkEnd w:id="133"/>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شک فی خروج شیء من الغائط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 الخارج من مخرج البول أو الغائط لیس بناقض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القیح الخارج من مخرج البول أو الغائط لیس بناقض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الدم الخارج منهما إلّا إذا علم أنّ بوله أو غائطه صار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الاحتقان</w:t>
      </w:r>
    </w:p>
    <w:p>
      <w:pPr>
        <w:pStyle w:val="BookText"/>
        <w:rPr/>
      </w:pPr>
      <w:r>
        <w:rPr>
          <w:rFonts w:ascii="IRNazanin" w:hAnsi="IRNazanin" w:eastAsia="IRNazanin"/>
          <w:color w:val="111111"/>
          <w:sz w:val="28"/>
          <w:sz w:val="28"/>
          <w:szCs w:val="28"/>
          <w:rtl w:val="true"/>
          <w:lang w:bidi="fa-IR"/>
        </w:rPr>
        <w:t xml:space="preserve">فإنّه و إن ورد فی غیر واحد من الروایات أنّ الناقض ما خرج من طرفیک إلّا أنّه قد فسّر فیها بالبول و الغائط و الریح أو المنیّ أیضاً کما فی صحیحة زرارة </w:t>
      </w:r>
      <w:r>
        <w:rPr>
          <w:rStyle w:val="FootnoteAnchor"/>
          <w:rtl w:val="true"/>
        </w:rPr>
        <w:footnoteReference w:id="380"/>
      </w:r>
      <w:r>
        <w:rPr>
          <w:rFonts w:ascii="IRNazanin" w:hAnsi="IRNazanin" w:eastAsia="IRNazanin"/>
          <w:color w:val="111111"/>
          <w:sz w:val="28"/>
          <w:sz w:val="28"/>
          <w:szCs w:val="28"/>
          <w:rtl w:val="true"/>
          <w:lang w:bidi="fa-IR"/>
        </w:rPr>
        <w:t>و علیه فخروج ماء الاحتقان فیما إذا لم یکن معه شیء من الغائط لا یکون ناقضاً، و مع الشکّ فی خروج شیء من الغائط یکون مقتضی الاستصحاب عدم خروجه کما لا یخفی</w:t>
      </w:r>
      <w:r>
        <w:rPr>
          <w:rFonts w:eastAsia="IRNazanin" w:cs="IRNazanin"/>
          <w:color w:val="111111"/>
          <w:sz w:val="28"/>
          <w:szCs w:val="28"/>
          <w:rtl w:val="true"/>
          <w:lang w:bidi="fa-IR"/>
        </w:rPr>
        <w:t>.</w:t>
      </w:r>
    </w:p>
    <w:p>
      <w:pPr>
        <w:pStyle w:val="Heading4"/>
        <w:numPr>
          <w:ilvl w:val="3"/>
          <w:numId w:val="1"/>
        </w:numPr>
        <w:rPr/>
      </w:pPr>
      <w:bookmarkStart w:id="134" w:name="__RefHeading___Toc1723202_417432637"/>
      <w:bookmarkStart w:id="135" w:name="_Toc49"/>
      <w:bookmarkEnd w:id="134"/>
      <w:r>
        <w:rPr>
          <w:rtl w:val="true"/>
        </w:rPr>
        <w:t>خروج القیح</w:t>
      </w:r>
      <w:bookmarkEnd w:id="135"/>
    </w:p>
    <w:p>
      <w:pPr>
        <w:pStyle w:val="BookText"/>
        <w:rPr/>
      </w:pPr>
      <w:r>
        <w:rPr>
          <w:rFonts w:ascii="IRNazanin" w:hAnsi="IRNazanin" w:eastAsia="IRNazanin"/>
          <w:color w:val="111111"/>
          <w:sz w:val="28"/>
          <w:sz w:val="28"/>
          <w:szCs w:val="28"/>
          <w:rtl w:val="true"/>
          <w:lang w:bidi="fa-IR"/>
        </w:rPr>
        <w:t>لما تقدّم من تفسیر ما یخرج من الطرفین الناقض للوضوء، و فی صحیحة زرارة بالبول و الغائط و الریح و المنیّ و شیء منها لا یصدق علی القیح الخارج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خلطه بالبول و الغائط یکون النقض بهما لا بالقیح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الحال فی خروج الدم من مخرج البول أو الغائط و أنّه لا یوجب نقض الوضوء، و قد ذکر قدس سره أنّه إذا أحرز أنّ البول أو غائطه صار دماً یکون ناقضاً، و قد أشکل علیه بأنّه فیما إذا کان صدق الدم أو الغائط علی مجموع ما خرج مسامحیاً کما هو المتعارف فی الاستعمالات العرفیة، فبمجرد خلط الدم بالغائط أو بالبول یقال إنّه تغوّط دماً أو بال دماً فلا إشکال فی الحکم، و أمّا إذا کان المجموع دماً حقیقةً غایة</w:t>
      </w:r>
      <w:bookmarkStart w:id="136" w:name="pg12061_112463"/>
    </w:p>
    <w:p>
      <w:pPr>
        <w:pStyle w:val="BookText"/>
        <w:rPr/>
      </w:pPr>
      <w:bookmarkEnd w:id="136"/>
      <w:r>
        <w:rPr>
          <w:rFonts w:ascii="IRNazanin" w:hAnsi="IRNazanin" w:eastAsia="IRNazanin"/>
          <w:color w:val="111111"/>
          <w:sz w:val="28"/>
          <w:sz w:val="28"/>
          <w:szCs w:val="28"/>
          <w:rtl w:val="true"/>
          <w:lang w:bidi="fa-IR"/>
        </w:rPr>
        <w:t>و کذا المذی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الوذی و الودی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علم استحالة البول أو الغائط إلیه قبل خروجه عن المخرج ففی انتقاض الوضوء به تأمّل،بل مقتضی ما دلّ علی حصر النواقض عدم کونه ناقضاً لعدم صدق البول أو الغائط علیه،بل کان بولاً أو غائطاً قبل الخروج، نظیر ما استحال الغائط قبل خروجه إلی الخارج بالدود فإنّه قد تقدّم عدم انتقاض الوضوء به، و لعلّ هذا مجرّد فرض و الواقع هی الصورة الأُولی و إن کان الدم لکثرته غالباً علی لون البول و الغائط</w:t>
      </w:r>
      <w:r>
        <w:rPr>
          <w:rFonts w:eastAsia="IRNazanin" w:cs="IRNazanin"/>
          <w:color w:val="111111"/>
          <w:sz w:val="28"/>
          <w:szCs w:val="28"/>
          <w:rtl w:val="true"/>
          <w:lang w:bidi="fa-IR"/>
        </w:rPr>
        <w:t>.</w:t>
      </w:r>
    </w:p>
    <w:p>
      <w:pPr>
        <w:pStyle w:val="Heading4"/>
        <w:numPr>
          <w:ilvl w:val="3"/>
          <w:numId w:val="1"/>
        </w:numPr>
        <w:rPr/>
      </w:pPr>
      <w:bookmarkStart w:id="137" w:name="__RefHeading___Toc1723204_417432637"/>
      <w:bookmarkStart w:id="138" w:name="_Toc50"/>
      <w:bookmarkEnd w:id="137"/>
      <w:r>
        <w:rPr>
          <w:rtl w:val="true"/>
        </w:rPr>
        <w:t>حکم المذی و الوذی و الودی</w:t>
      </w:r>
      <w:bookmarkEnd w:id="138"/>
    </w:p>
    <w:p>
      <w:pPr>
        <w:pStyle w:val="BookText"/>
        <w:rPr/>
      </w:pPr>
      <w:r>
        <w:rPr>
          <w:rFonts w:ascii="IRNazanin" w:hAnsi="IRNazanin" w:eastAsia="IRNazanin"/>
          <w:color w:val="111111"/>
          <w:sz w:val="28"/>
          <w:sz w:val="28"/>
          <w:szCs w:val="28"/>
          <w:rtl w:val="true"/>
          <w:lang w:bidi="fa-IR"/>
        </w:rPr>
        <w:t xml:space="preserve">المشهور بین أصحابنا أنّ المذی لا ینقض الوضوء،بل لا یعرف الخلاف إلّا فی المحکیّ عن ابن الجنید </w:t>
      </w:r>
      <w:r>
        <w:rPr>
          <w:rStyle w:val="FootnoteAnchor"/>
          <w:rtl w:val="true"/>
        </w:rPr>
        <w:footnoteReference w:id="381"/>
      </w:r>
      <w:r>
        <w:rPr>
          <w:rFonts w:ascii="IRNazanin" w:hAnsi="IRNazanin" w:eastAsia="IRNazanin"/>
          <w:color w:val="111111"/>
          <w:sz w:val="28"/>
          <w:sz w:val="28"/>
          <w:szCs w:val="28"/>
          <w:rtl w:val="true"/>
          <w:lang w:bidi="fa-IR"/>
        </w:rPr>
        <w:t xml:space="preserve">حیث ذهب إلی أنّه متی کان من شهوة أوجب الوضوء، و ربّما ینسب إلی الشیخ أنّه إذا کان عن شهوة و خرج عن المعتاد لکثرته </w:t>
      </w:r>
      <w:r>
        <w:rPr>
          <w:rStyle w:val="FootnoteAnchor"/>
          <w:rtl w:val="true"/>
        </w:rPr>
        <w:footnoteReference w:id="382"/>
      </w:r>
      <w:r>
        <w:rPr>
          <w:rFonts w:ascii="IRNazanin" w:hAnsi="IRNazanin" w:eastAsia="IRNazanin"/>
          <w:color w:val="111111"/>
          <w:sz w:val="28"/>
          <w:sz w:val="28"/>
          <w:szCs w:val="28"/>
          <w:rtl w:val="true"/>
          <w:lang w:bidi="fa-IR"/>
        </w:rPr>
        <w:t>ینقض الوضوء، و لکن ذکر قدس سره فی التهذیب فی مقام الجمع و علی تقدیر صحة خبر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فالأخبار الواردة فی المقام علی طوائف</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تدلّ علی عدم کون المذی ناقضاً من غیر فرق بین کثرته و قلّته و من غیر فرق بین کونه عن شهوة أم لا کصحیحة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سال من ذکرک شیء من مذی أو ودی و أنت فی الصلاة فلا تغسله و لا تقطع له الصلاة و لا تنقض له الوضوء و إن بلغ عقبیک فإنّما ذلک بمنزلة النخاعة</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فإنّ مقتضی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عدم اختصاص الحکم المزبور بالخروج حال الصلاة، و فی مصححة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المذی یسیل حتّی یصیب الفخذ؟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صلاته و لا یغسله من فخذه إنّه لم یخرج من مخرج المنیّ إنّما هو بمنزلة النخامة</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معتبرة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المذی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یغسل منه الثوب و لا الجسد إنّما هو بمنزلة البزاق و المخاط</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یدلّ علی أنّ المذی منه الوضوء بلا فرق بین خروجه عن شهوة و عدمه، کصحیحة یعقوب 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یمذی و هو فی الصلاة من شهوة أو من غیر شهوة؟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 منه الوضوء</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یدلّ علی عدم کون المذی عن شهوة ناقضاً، و فی الصحیح عن ابن أبی عمیر، عن غیر واحد من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المذی من الشهوة و لا من الإنعاظ و لا من القبلة و لا من مسّ الفرج و لا من المضاجعة وضوء، و لا یغسل منه الثوب و الجسد</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موثقة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رجلاً مذّاء فاستحیی أن یسأل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لمکان فاطمة علیها السلام فأمر المقداد أن یسأله و هو جالس فسأله، فقال له النبی صلی الله علیه و آله لیس بشیء </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فرض استحیاء علی علیه السلام عن المباشرة فی السؤال قرینة علی کون المسئول به المذی عن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 یوم الجمعة بالمدینة و لبست أثوابی و تطیّبت فمرّت بی وصیفة ففخّذت لها فأمذیت أنا و أمنت هی فدخلنی من ذلک ضیق فسألت أبا عبد اللّه علیه السلام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وضوء و لا علیها غسل</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فدلالتها علی ناقضیة المذی للوضوء ظاهرة، و أمّا عدم الغسل للجاریة فیأتی فی محلّه،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دلّ علی أنّ المذی عن شهوة ناقض للوضوء کصحیحة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المذی؟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منه لشهوة فتوضّأ منه</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 صحیحة محمّد بن اسماعیل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المذی فأمرنی بالوضوء منه ثمّ أعدت علیه فی سنة أُخری فأمرنی بالوضوء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أمر المقداد بن الأسود أن یسأل النبیّ صلی الله علیه و آله و استحیی أن یسأله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الوضوء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التأمّل فی أنّ کلّ من الطائفتین الأولتین و الطائفتین الأخیرتین متعارضتان و التعارض بینها بالتباین، حیث إنّ مفاد الطائفة الأُولی نفی الناقضیّة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المذی مطلقاً، و مفاد الثانیة إثباتها مطلقاً، و مفاد الثالثة نفی الناقضیّة عن المذی بشهوة، و مفاد الرابعة إثباتها، و لکن فیما رواه الشیخ بسنده عن الحسین بن سعید، عن محمد بن إسماعیل،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المذی فأمرنی بالوضوء منه ثمّ أعدت علیه سنة أُخری فأمرنی بالوضوء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أمر المقداد أن یسأل رسول اللّٰه صلی الله علیه و آله و استحیی أن یسأله فقال فیه الوضوء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Style w:val="FootnoteAnchor"/>
          <w:rtl w:val="true"/>
        </w:rPr>
        <w:footnoteReference w:id="392"/>
      </w:r>
      <w:r>
        <w:rPr>
          <w:rFonts w:ascii="IRNazanin" w:hAnsi="IRNazanin" w:eastAsia="IRNazanin"/>
          <w:color w:val="111111"/>
          <w:sz w:val="28"/>
          <w:sz w:val="28"/>
          <w:szCs w:val="28"/>
          <w:rtl w:val="true"/>
          <w:lang w:bidi="fa-IR"/>
        </w:rPr>
        <w:t>، فإنّ هذا الذیل قرینة علی عدم الناقضیّة و أنّ الأمر بالوضوء لو کان بداعی بیان الحکم الواقعی کان استحبابیّاً فیرفع بهذا الترخیص عن ظهور الطائفة الرابعة بحملها علی استحباب الوضوء، و یکون عدم الناقضیّة فی المذی عن غیر شهوة بالفحوی، و أنّ استحباب الوضوء فیه أخفّ، و لکن مع ذلک فی الإلزام بالاستحباب لا یخلو عن المناقشة جدّاً، حیث إنّ کثرة السؤال عن المذی و تکراره من شخص واحد سنة بعد سنة و ملاحظة الروایات من الطائفة الأُولی و الثالثة یوحی أنّ الأمر بالوضوء کان لرعایة التقیّة و أنّ المذی کالبزاق و النخامة لا یوجب الوضوء و لا إعادته حتّی استحباباً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إنّ الطائفة الأُولی کما أنها تعارضها الطائفة الثانیة کذلک تعارضها الطائفة الرابعة حیث إنّ الطائفة الرابعة مع قطع النظر عن تعارضها بالثالثة لا تصلح أن تکون مقیّدة للطائفة الأُولی بأن یختص مدلول الطائفة الأُولی الدالة علی عدم ناقضیّة المذی مختصة بصورة عدم الشهوة فی المذی، و تکون أخصّ من الثانیة و یقیّد مدلولها بما إذا کان فی المذی شهوة، حیث إنّ الطائفة الأُولی بعد الاختصاص 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الشهوة فی المذی تکون أخص من الطائفة الثانیة الدالّة علی انتقاض الوضوء بالمذی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تعارض الطائفة الأُولی و الثالثة أنّ المذی فی نوعه یکون عن شهوة، بل فی مرسلة ابن رباط عن بعض أصحابنا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 الإحلیل المنیّ و الوذی و المذی و الودیّ، فأمّا المنیّ فهو الذی یسترخی له العظام و یفتر منه الجسد و فیه الغسل، و أمّا المذی یخرج من شهوة و لا شیء فیه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حمل الطائفة الأُولی بالمذی عن غیر شهوة حمل لها علی الفرد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التعارض بین الطوائف حاصل، و لکنّ الترجیح مع الطائفة الأُولی و الثالثة الدالّة علی عدم ناقضیّة المذی حتّی عدم ناقضیة المذی عن شهوة، و الترجیح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الطائفة الدالة علی عدم النقض موافقة للکتاب العزیز أی إطلاقه فإنّ مقتضی إطلاق الآیة المبارکة حصول شرط الصلاة یعنی الوضوء فیما إذا توضّأ المکلّف و اغتسل عند القیام إلیها و خرج منه المذی بعد وضوئه أو بعد اغتساله من الجنابة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یمکن العکس فیقال مقتضی إطلاق الآیة أنّه إذا توضّأ أو اغتسل لصلاة ثمّ أراد بعد ذلک صلاة أُخری و لم یقع قبل الصلاة غیر خروج المذی مطلقاً أو من شهوة، فمقتضی إطلاق الآیة المبارکة الوضوء لتلک الصلاة، و کما یلحق هذا بالفرض الاول لعدم احتمال الفرق بینهما کذلک یمکن العکس بإلحاق الفرض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 بهذا الفرض لعدم 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یمکن دعوی أنّ مقتضی الآیة المبارکة عدم ناقضیّة المذی بوجه آخر، و هو أنّ الکتاب العزیز قد قیّد التیمم للصلاة فی فرض فقد الماء بصورتین،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وقع عن المکلف التخلّی، و الأُخری،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الآیة إذا لم یقع عن المکلّف شیء من الأمرین فیجوز له الصلاة بلا تیمّم، و هذا معنی عدم ناقضیّة غیرهما، غایة الأمر یرفع الید عن مقتضی إطلاقها فی ما ثبت کونه ناقضاً کالنوم و الریح و یؤخذ به فی غیره و منه المذی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الطائفة الدالة علی عدم الانتقاض مخالفة للعامّة، و هذا الوجه و إن کان صحیحاً إلّا أنّه قد تقدّم أنّ صحیحة محمّد بن إسماعیل التی رواها الشیخ قدس سره عن الحسین بن سعید عن محمّد بن إسماعیل </w:t>
      </w:r>
      <w:r>
        <w:rPr>
          <w:rStyle w:val="FootnoteAnchor"/>
          <w:rtl w:val="true"/>
        </w:rPr>
        <w:footnoteReference w:id="394"/>
      </w:r>
      <w:r>
        <w:rPr>
          <w:rFonts w:ascii="IRNazanin" w:hAnsi="IRNazanin" w:eastAsia="IRNazanin"/>
          <w:color w:val="111111"/>
          <w:sz w:val="28"/>
          <w:sz w:val="28"/>
          <w:szCs w:val="28"/>
          <w:rtl w:val="true"/>
          <w:lang w:bidi="fa-IR"/>
        </w:rPr>
        <w:t>بذیلها یرفع التعارض حیث بعد فرض أمر الإمام علیه السلام بالوضوء الظاهر فی الناقضیّة یسأل عن حکم ترک الوضوء لخروجه فنفیه علیه السلام البأس صریح فی عدم الناقضیّة و أنّ الأمر بالوضوء استحبابی أو لرعایة التقیّة، فإنّ هذه الصحیحة کالتفسیر للروایات الظاهرة فی الناقضیة لا أنها تدخل فی أطراف الطوائف المتعارضة کما لا یخفی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الأخبار الواردة فی عدم ناقضیّة المذی موافقة للأخبار الحاصرة للنواقض، حیث إنّ مدلول تلک الأخبار عدم انتقاض الوضوء بعد جمع مطلقاتها بمقیّداتها عدم ناقضیة غیر البول و الغائط و المنی و الریح و النوم و تلک الأخبار متواترة و لو إجمالاً، فتکون الأخبار الدالة علی عدم انتقاض الوضوء بالمذی</w:t>
      </w:r>
    </w:p>
    <w:p>
      <w:pPr>
        <w:pStyle w:val="BookText"/>
        <w:rPr/>
      </w:pPr>
      <w:r>
        <w:rPr>
          <w:rFonts w:ascii="IRNazanin" w:hAnsi="IRNazanin" w:eastAsia="IRNazanin"/>
          <w:color w:val="111111"/>
          <w:sz w:val="28"/>
          <w:sz w:val="28"/>
          <w:szCs w:val="28"/>
          <w:rtl w:val="true"/>
          <w:lang w:bidi="fa-IR"/>
        </w:rPr>
        <w:t>و الأوّل هو ما یخرج بعد الملاعبة، و الثانی ما یخرج بعد خروج المنی، و الثالث ما یخرج بعد البول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موافقة للسنة، و بتعبیر آخر الأخبار الواردة فی عدم ناقضیة المذی موافقة لکل واحد من الأخبار الواردة فی حصر النواقض المعلوم صدور بعضها عن المعصوم و أنّه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کون موافقة السنّة من المرجّحات غیر ثابت، نعم إذا قیل بالتساقط فی المتعارضین لفقد موافقة الکتاب و مخالفة العامّة فی أحد المتعارضین یکون المرجّح هو المفهوم فی الأخبار الحاصرة للنواقض، و أمّا الترجیح بالشهرة فإن أُرید الشهرة من حیث الروایة فیشکل سلب الشهرة عن الأخبار الظاهرة فی کون المذی ناقضاً و إثباتها للطائفة الدالة علی عدم الانتقاض، و إن أُرید الشهرة فی الفتوی بمعنی إعراض الأصحاب عمّا دلّ علی انتقاض الوضوء بالمذی فهی موجبة لسقوط الخبر عن الحجّیة لا ترجیح موافق المشهور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أن یکون المراد بالمذی من غیر شهوة فی الروایات المتقدّمة هو ما یسمّی بالودی حیث لا یعتبر فیه خروجه بعد البول بلا فصل، کما یظهر من مصحّحة زرارة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فمقتضی الأخبار الحاصرة للنواقض عدم کون شیء منهما ناقضاً،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المذی ما یخرج بعد الملاعبة،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بعد خروج المنی، و الثالث ما یخرج بعد البول، و فی مصححة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سال من ذکرک شیء من مذی أو ودی و أنت فی الصلاة فلا تغسله</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الخ و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یخرجن من الإحلیل 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 و فیه الغسل، و الودی فمنه الوضوء؛ لأنّه یخرج من دریرة البول،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المذی لیس فیه وضوء إنّما هو بمنزلة ما یخرج من الأنف </w:t>
      </w:r>
      <w:r>
        <w:rPr>
          <w:rStyle w:val="FootnoteAnchor"/>
          <w:rtl w:val="true"/>
        </w:rPr>
        <w:footnoteReference w:id="396"/>
      </w:r>
      <w:r>
        <w:rPr>
          <w:rFonts w:ascii="IRNazanin" w:hAnsi="IRNazanin" w:eastAsia="IRNazanin"/>
          <w:color w:val="111111"/>
          <w:sz w:val="28"/>
          <w:sz w:val="28"/>
          <w:szCs w:val="28"/>
          <w:rtl w:val="true"/>
          <w:lang w:bidi="fa-IR"/>
        </w:rPr>
        <w:t xml:space="preserve">، و قد حمل الشیخ هذه الصحیحة علی من لم یستبرئ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الحمل لا یمکن المساعدة علیه حیث إنّ الأخبار الواردة فی البلل قبل الاستبراء ما إذا احتمل أنّه بول أو غیره من الودی أو المذی مثلاً لا ما إذا علم أنّه غیر بول و أنّه ودی کما هو المفروض فی الروایة؛ و لذا تتعارض الصحیحة مع الحسنة و الترجیح مع الحسنة لما تقدم و لا أقل من الرجوع إلی الحاصرة للنواقض، ثمّ إنّ الودی هو الذی یخرج بعد البول یراد به و لو بعد البول بالتراخی کما هو ظاهر الحسنة، و قد ذکر فی الحسنة و الصحیحة و فی مرسلة ابن رباط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الإحلیل المنی و الوذی و الودی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الودی فهو یخرج بعد البول، و أمّا الوذی فهو الذی یخرج من الأدواء و لا شیء فیه </w:t>
      </w:r>
      <w:r>
        <w:rPr>
          <w:rStyle w:val="FootnoteAnchor"/>
          <w:rtl w:val="true"/>
        </w:rPr>
        <w:footnoteReference w:id="398"/>
      </w:r>
      <w:r>
        <w:rPr>
          <w:rFonts w:ascii="IRNazanin" w:hAnsi="IRNazanin" w:eastAsia="IRNazanin"/>
          <w:color w:val="111111"/>
          <w:sz w:val="28"/>
          <w:sz w:val="28"/>
          <w:szCs w:val="28"/>
          <w:rtl w:val="true"/>
          <w:lang w:bidi="fa-IR"/>
        </w:rPr>
        <w:t xml:space="preserve">، و أمّا ما فی المتن فهو الذی یخرج بعد المنی فلم أجد لذلک مستنداً، نعم ذکره جماعة و لعلّ ما فی صحیحة عبد اللّه بن سنان </w:t>
      </w:r>
      <w:r>
        <w:rPr>
          <w:rStyle w:val="FootnoteAnchor"/>
          <w:rtl w:val="true"/>
        </w:rPr>
        <w:footnoteReference w:id="399"/>
      </w:r>
      <w:r>
        <w:rPr>
          <w:rFonts w:ascii="Amiri" w:hAnsi="Amiri" w:eastAsia="Amiri" w:cs="Amiri"/>
          <w:color w:val="111111"/>
          <w:sz w:val="28"/>
          <w:sz w:val="28"/>
          <w:szCs w:val="28"/>
          <w:rtl w:val="true"/>
          <w:lang w:bidi="ar-SA"/>
        </w:rPr>
        <w:t xml:space="preserve">و حسنة زرارة </w:t>
      </w:r>
      <w:r>
        <w:rPr>
          <w:rStyle w:val="FootnoteAnchor"/>
          <w:rtl w:val="true"/>
        </w:rPr>
        <w:footnoteReference w:id="400"/>
      </w:r>
      <w:r>
        <w:rPr>
          <w:rFonts w:ascii="IRNazanin" w:hAnsi="IRNazanin" w:eastAsia="IRNazanin"/>
          <w:color w:val="111111"/>
          <w:sz w:val="28"/>
          <w:sz w:val="28"/>
          <w:szCs w:val="28"/>
          <w:rtl w:val="true"/>
          <w:lang w:bidi="fa-IR"/>
        </w:rPr>
        <w:t>من ذکر الودی مطلق ما یخرج من الإحلیل من غیر المنی و المذی؛ و لذا حصر فی الصحیحة الخارج من الإحلیل بالثلاثة المنی و المذی و الودی</w:t>
      </w:r>
      <w:r>
        <w:rPr>
          <w:rFonts w:eastAsia="IRNazanin" w:cs="IRNazanin"/>
          <w:color w:val="111111"/>
          <w:sz w:val="28"/>
          <w:szCs w:val="28"/>
          <w:rtl w:val="true"/>
          <w:lang w:bidi="fa-IR"/>
        </w:rPr>
        <w:t>.</w:t>
      </w:r>
      <w:bookmarkStart w:id="139" w:name="pg12061_112471"/>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العلماء استحباب الوضوء عقیب المذی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من العلماء استحباب الوضوء عقیب المذی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الودی و الکذب و الظلم و الإکثار من الشعر الباطل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القیء و الرعاف و التقبیل بشهوة</w:t>
      </w:r>
      <w:r>
        <w:rPr>
          <w:rFonts w:eastAsia="IRNazanin" w:cs="IRNazanin"/>
          <w:color w:val="111111"/>
          <w:sz w:val="28"/>
          <w:szCs w:val="28"/>
          <w:rtl w:val="true"/>
          <w:lang w:bidi="fa-IR"/>
        </w:rPr>
        <w:t>.</w:t>
      </w:r>
    </w:p>
    <w:p>
      <w:pPr>
        <w:pStyle w:val="Heading4"/>
        <w:numPr>
          <w:ilvl w:val="3"/>
          <w:numId w:val="1"/>
        </w:numPr>
        <w:rPr/>
      </w:pPr>
      <w:bookmarkStart w:id="140" w:name="__RefHeading___Toc1723206_417432637"/>
      <w:bookmarkStart w:id="141" w:name="_Toc51"/>
      <w:bookmarkEnd w:id="140"/>
      <w:r>
        <w:rPr>
          <w:rtl w:val="true"/>
        </w:rPr>
        <w:t>الأُمور التی قیل باستحباب الوضوء عقیبها</w:t>
      </w:r>
      <w:bookmarkEnd w:id="141"/>
    </w:p>
    <w:p>
      <w:pPr>
        <w:pStyle w:val="BookText"/>
        <w:rPr/>
      </w:pPr>
      <w:r>
        <w:rPr>
          <w:rFonts w:ascii="IRNazanin" w:hAnsi="IRNazanin" w:eastAsia="IRNazanin"/>
          <w:color w:val="111111"/>
          <w:sz w:val="28"/>
          <w:sz w:val="28"/>
          <w:szCs w:val="28"/>
          <w:rtl w:val="true"/>
          <w:lang w:bidi="fa-IR"/>
        </w:rPr>
        <w:t>قد تقدّم ما یمکن أن یقال فی وجه الالتزام باستحباب الوضوء عقیب خروج المذی و بیّنا وجه التأمل فی استحبابه، و أمّا الودی فالالتزام باستحباب الوضوء بعده للجمع بین حسنة زرارة فی کلامهم المعبر عنها بالصحیحة فیما تقدم، و بین صحیحة عبد اللّه بن سنان المتقدّمة الدالّة علی أنّ الودی منه الوضوء؛ لأنّه یخرج من دریرة البول حیث إنّ صریح الحسنة عدم ناقضیة الودی فتحمل صحیحة عبد اللّه بن سنان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لو قیل بأنّ الحمل علی الاستحباب فی الأوامر الظاهرة فی الإرشاد إلی الحکم الوضعی جمع عرفی أیضاً فلا یمکن هذا الحمل فی الصحیحة حیث فرق علیه السلام فیها بین الودی و المذی، و أثبت الوضوء فی الأول و نفاه فی الثانی مع أنّه لا فرق بینهما فی استحباب الوضوء و عدمه، فالمتعین حمل الصحیحة علی التقیة؛ لأن ناقضیة الودی کالمذی مذهب جلّ العامّة لو لا کلّهم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نشید الشعر هل ینقض الوضوء أو ظلم الرجل صاحبه أو الکذب؟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 أن یکون شعراً یصدق فیه أو یکون یسیراً من الشعر الأبیات الثلاثة و الأربعة فأمّا أن یکثر من الشعر الباطل فهو ینقض الوضوء</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قد ذکر شیخ قدس سره بعد نقلها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فیه أنّ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المسئول بعینه، و یحتمل أن یکون قد سأل غیر الإمام فأجابه ذلک، و إذا احتمل ما قلناه لم یکن فیه حجّة علینا، ثمّ لو سلّم أنّه سأل الإمام لحملناه علی الاستحباب و الندب بقرینة روایة أدیم بن الحر 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ینقض الوضوء إلّا ما خرج من طرفیک الأسفلین و روایة معاویة بن میسرة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إنشاد الشعر هل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کذب فی شهر رمضان؟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أفطر و علیه قضاؤه و هو صائم، یقضی صومه و وضوءه إذا تعمّد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الکذبة تنقض الوضوء و تفطّر الصائم،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حیث تذهب إنّما ذلک الکذب علی اللّٰه و رسوله و علی الأئمة علیهم السلام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الوضوء بالظلم علی صاحبه أو الکذب و لو علی اللّٰه و رسوله و الأئمة علیهم السلام و کذا إنشاد الشعر الباطل ممّا لم یعهد من أحد من أصحابنا و لا بأس بالالتزام بأنّ المراد فی هذه الأخبار استحباب تجدید الوضوء بحصول أحد هذه الأُمور المحرّمة،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هذه الأخبار بیان الحکم الوضعی یعنی الناقضیّة لا مطلوبیة الفعل لیقال بأنّه یؤخذ بأصل مطلوبیة الفعل و یرفع الید عن إطلاقه للعلم بثبوت الترخیص فی الترک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القیء فقد ورد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ینقض الوضوء؟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الحدث تسمع صوته أو تجد ریحه، و القرقرة فی البطن إلّا شیئاً تصبر علیه و الضحک فی الصلاة و القیء </w:t>
      </w:r>
      <w:r>
        <w:rPr>
          <w:rStyle w:val="FootnoteAnchor"/>
          <w:rtl w:val="true"/>
        </w:rPr>
        <w:footnoteReference w:id="405"/>
      </w:r>
      <w:r>
        <w:rPr>
          <w:rFonts w:ascii="IRNazanin" w:hAnsi="IRNazanin" w:eastAsia="IRNazanin"/>
          <w:color w:val="111111"/>
          <w:sz w:val="28"/>
          <w:sz w:val="28"/>
          <w:szCs w:val="28"/>
          <w:rtl w:val="true"/>
          <w:lang w:bidi="fa-IR"/>
        </w:rPr>
        <w:t>، و فی موثّقة أبی عبیدة الحذّاء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الرعاف و القیء و التخلیل یسیل الدم إذا استکرهت شیئاً ینقض الوضوء و إن لم تستکرهه لم ینقض الوضوء</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ربّما یستظهر منهما ناقضیّة القیء و لکنهما مع معارضتها بالروایات المعتبرة الدالة علی عدم ناقضیّة القیء و کذا خروج الدم رعافاً أو غیره المؤیّدة بالأخبار الحاصرة للنواقض تحملان علی التقیة؛ لأنّ الانتقاض بالقیء و خروج الدم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التقبیل بشهوة ففی الروایات عدم ناقضیتها و فی صحیحة محمّد بن أبی عمیر عن غیر واحد من أصحابنا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المذی من شهوة و لا من الإنعاظ و لا من القبلة و لا من مس الفرج و لا من المضاجعة وضوء و لا یغسل منه الثوب و الجسد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القبلة و لا المباشرة و لا مسّ الفرج وضوء</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القبلة تنقض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إلی غیر ذلک المؤیدة بالأخبار الحاصرة للنواقض، و لکن فی موثّقة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قبّل الرجل المرأة من شهوة أو مسّ فرجها أعاد الوضوء</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الروایات النافیة عدم کون القبلة ناقضة و مقتضی إطلاقها عدم الفرق بین کونها عن شهوة أو بدونها، و الموثّقة دالّة علی ناقضیّة ما إذا کانت بشهوة فلا بد من رفع الید عن الإطلاق بهذه الموثّقة، و موارد الجمع العرفی خارجة عن الترجیح بمخالفة العامّة و موافقتها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 من أصحابنا غیر ابن الجنید المعروف أقواله فی المسائل بناقضیّة القبلة و لو کانت عن شهوة </w:t>
      </w:r>
      <w:r>
        <w:rPr>
          <w:rStyle w:val="FootnoteAnchor"/>
          <w:rtl w:val="true"/>
        </w:rPr>
        <w:footnoteReference w:id="411"/>
      </w:r>
      <w:r>
        <w:rPr>
          <w:rFonts w:ascii="IRNazanin" w:hAnsi="IRNazanin" w:eastAsia="IRNazanin"/>
          <w:color w:val="111111"/>
          <w:sz w:val="28"/>
          <w:sz w:val="28"/>
          <w:szCs w:val="28"/>
          <w:rtl w:val="true"/>
          <w:lang w:bidi="fa-IR"/>
        </w:rPr>
        <w:t>و هذا هو الموجب لحمل الموثّقة علی التقیّة فی جهة القبلة و مسّ الفرج أیضاً، أضف إلی ذلک أنّ الأخبار الحاصرة للنواقض ناظرة إلی نفی ناقضیّة ما یراه العامّة من سائر الأُمور کالقیء و التقبیل و اللمس سواء کان لمسّ المرأة أو الفرج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من أنّ حمل المطلقات علی القبلة من غیر شهوة غیر ممکن لکون القبلة کذلک أمر نادر لا یمکن المساعدة علیه کما هو واضح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أیضاً یضعف احتمال کون إعادة الوضوء فی مثل هذه الموارد استحبابیاً، نعم فی الموارد التی لم یلتزم العامّة أیضاً بناقضیّتها کالکذب علی اللّٰه و رسوله و الأئمة أو نشید الشعر و الظلم لا بأس بالالتزام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 الکلب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 الفرج و لو فرج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 کلباً فلیتوضّأ</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 قد ذکر الشیخ قدس سره أنّ المراد بالتوضّؤ غسل الید </w:t>
      </w:r>
      <w:r>
        <w:rPr>
          <w:rStyle w:val="FootnoteAnchor"/>
          <w:rtl w:val="true"/>
        </w:rPr>
        <w:footnoteReference w:id="413"/>
      </w:r>
      <w:r>
        <w:rPr>
          <w:rFonts w:ascii="IRNazanin" w:hAnsi="IRNazanin" w:eastAsia="IRNazanin"/>
          <w:color w:val="111111"/>
          <w:sz w:val="28"/>
          <w:sz w:val="28"/>
          <w:szCs w:val="28"/>
          <w:rtl w:val="true"/>
          <w:lang w:bidi="fa-IR"/>
        </w:rPr>
        <w:t>الماسّة بقرینة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الکلب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مسسته فاغسل یدک</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لکن یمکن الالتزام بالاستحباب فی الوضوء حیث إنّ غایة مدلول الصحیحة عدم ناقضیة المسّ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القبلة و لا المباشرة و لا مسّ الفرج وضوء</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ظاهرها نفی الناقضیّة بل المشروعیة، 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یعبث بذکره فی الصلاة المکتوبة؟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یمسّ ذکره أو فرجه أو أسفل من ذلک و هو قائم یصلّی یعید وضوءه؟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إنّما هو من جسده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 ظاهرها أیضاً نفی الناقضیّة و لم أجد ما یدلّ علی الوضوء من مسّ فرجه، نعم تقدم فی موثقة أبی بصیر الوضوء من مسّ فرج المرأة کما تقدّم ما یدلّ علی نفی الوضوء من مسّ الفرج، کما فی صحیحة محمّد بن أبی عمیر و حاصل الکلام فی مسّ فرج المرأة کالکلام فی قبلتها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 باطن الدبر و الإحلیل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الاستنجاء قبل الوضوء و الضحک فی الصلاة و التخلیل إذا أدمیَ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موثّقة عمّار بن موسی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یمسّ باطن دبره؟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وضوءه و إن مسّ باطن إحلیله فعلیه أن یعید الوضوء، و إن کان فی الصلاة قطع الصلاة و یتوضأ و یعید الصلاة، و إن فتح إحلیله أعاد الوضوء و أعاد الصلاة</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ظاهر الصدوق </w:t>
      </w:r>
      <w:r>
        <w:rPr>
          <w:rStyle w:val="FootnoteAnchor"/>
          <w:rtl w:val="true"/>
        </w:rPr>
        <w:footnoteReference w:id="419"/>
      </w:r>
      <w:r>
        <w:rPr>
          <w:rFonts w:ascii="IRNazanin" w:hAnsi="IRNazanin" w:eastAsia="IRNazanin"/>
          <w:color w:val="111111"/>
          <w:sz w:val="28"/>
          <w:sz w:val="28"/>
          <w:szCs w:val="28"/>
          <w:rtl w:val="true"/>
          <w:lang w:bidi="fa-IR"/>
        </w:rPr>
        <w:t xml:space="preserve">الالتزام بالناقضیّة و لکن مقتضی التعلیل فی موثّقة سماعة </w:t>
      </w:r>
      <w:r>
        <w:rPr>
          <w:rStyle w:val="FootnoteAnchor"/>
          <w:rtl w:val="true"/>
        </w:rPr>
        <w:footnoteReference w:id="420"/>
      </w:r>
      <w:r>
        <w:rPr>
          <w:rFonts w:ascii="IRNazanin" w:hAnsi="IRNazanin" w:eastAsia="IRNazanin"/>
          <w:color w:val="111111"/>
          <w:sz w:val="28"/>
          <w:sz w:val="28"/>
          <w:szCs w:val="28"/>
          <w:rtl w:val="true"/>
          <w:lang w:bidi="fa-IR"/>
        </w:rPr>
        <w:t>عدم ناقضیّة ذلک فیکون حملها علی استحباب إعادة الوضوء و الصلاة کما فی سائر ما علم من العامّة القول بناقضیتها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استحباب الوضوء من نسیان الاستنجاء قبل الوضوء فیستظهر من صحیحة سلیمان بن خالد عن أبی جعفر علیه السلام فی الرجل یتوضّأ فینسی غسل 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ثمّ یعید الوضوء</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أهرقت الماء و نسیت أن تغسل ذکرک حتّی صلّیت فعلیک إعادة الوضوء و غسل ذکرک</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دخلت الغائط فقضیت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الحاجة فلم تهرق الماء ثمّ توضّأت و نسیت أن تستنجی فذکرت بعد ما صلّیت فعلیک الإعادة، و إن کنت أهرقت الماء فنسیت أن تغسل ذکرک حتّی صلّیت فعلیک إعادة الوضوء و الصلاة و غسل ذکرک لأنّ البول مثل البراز</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ذلک صحیحة علی بن یقطین عن أبی الحسن علیه السلام فی الرجل یبول فینسی غسل ذکره ثمّ یتوضّأ وضوء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لا یعید الوضوء</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صحیحة عمرو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أبول و أتوضأ و أنسی استنجائی ثمّ أذکر بعد ما صلّیت؟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ذکرک و أعد صلاتک و لا تعد وضوءک</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و قد جمع بین الطائفتین بحمل الإعادة فی الأُولی علی الاستحباب، و لکن من المحتمل جداً أن یکون الأمر بإعادة الوضوء بغسل الذکر لمسّ الذکر عند الغسل الموجب عند العامّة انتقاض الوضوء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الأمر بالوضوء عقیب الغسل و الاستنجاء نظیر الأخبار الدالّة علی الوضوء عقیب خروج المذی أو الودی، و الفرق بینهما أنّ الوارد فی المذی و الودی فی بعض الروایات کونهما ناقضین و إن کان فی البعض الآخر الأمر بالوضوء عقیب المذی بخلاف المقام، فإنّه ذکر فی الأخبار المزبورة المتقدّمة الأمر بالوضوء من دون أن یذکر أنّ الاستنجاء ناقض، مع أنّ ظاهر موثّقة سماعة عدم کفایة صبّ الماء علی الذکر فی الاستنجاء من البول،بل لا بدّ من دلک المخرج کما فی غسله ممّا له جرمیّة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الأخبار أنّ البول مثل الماء </w:t>
      </w:r>
      <w:r>
        <w:rPr>
          <w:rStyle w:val="FootnoteAnchor"/>
          <w:rtl w:val="true"/>
        </w:rPr>
        <w:footnoteReference w:id="426"/>
      </w:r>
      <w:r>
        <w:rPr>
          <w:rFonts w:ascii="IRNazanin" w:hAnsi="IRNazanin" w:eastAsia="IRNazanin"/>
          <w:color w:val="111111"/>
          <w:sz w:val="28"/>
          <w:sz w:val="28"/>
          <w:szCs w:val="28"/>
          <w:rtl w:val="true"/>
          <w:lang w:bidi="fa-IR"/>
        </w:rPr>
        <w:t>فیکفی فی تطهیر المخرج أو سائر الجسد صبّ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استحباب الوضوء عقیب الضحک فقد یستظهر من موثّقة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ینقض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الحدث تسمع صوته أو تجد ریحه، و القرقرة فی البطن إلّا شیئاً تصبر علیه و الضحک فی الصلاة و القیء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لکن مدلولها الضحک أثناء الصلاة لا مطلقاً، و لکن فی مضمرة محمّد بن أبی عمیر عن 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التبسّم فی الصلاة لا ینقض الصلاة و لا ینقض الوضوء إنّما یقطع الضحک الذی فیه القهقهة</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فی مقابل ذلک صحیحة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القهقهة لا تنقض الوضوء و تنقض الصلاة</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بل ربّما یقال قوله فی المضمرة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یقطع الضحک الذی فیه القهقهة، راجع إلی الصلاة لعدم معهودیة التعبیر بالقطع إلّا فی الصلاة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مقتضی الجمع بین الطائفتین الالتزام باستحباب الوضوء فی هذا الفرض أیضاً أنّ القهقهة غیر ناقض للوضوء عند أصحابنا لما تقدّم، و للروایات الحاصرة و ما یدلّ علی الانتقاض موافق لما حکی عن العامّة فإنّ انتقاض الوضوء بها أثناء الصلاة مذهب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الالتزام بالاستحباب فیما إذا کان الانتقاض مذهب العامّة أو جماعة منهم مشکل، و لکن لا بأس بالالتزام به فیما إذا لم یکن الانتقاض من مذهبهم کنشید الشعر الباطل و الکذب علی اللّٰه و رسوله و الأئمة علیهم السلام</w:t>
      </w:r>
      <w:r>
        <w:rPr>
          <w:rFonts w:eastAsia="IRNazanin" w:cs="IRNazanin"/>
          <w:color w:val="111111"/>
          <w:sz w:val="28"/>
          <w:szCs w:val="28"/>
          <w:rtl w:val="true"/>
          <w:lang w:bidi="fa-IR"/>
        </w:rPr>
        <w:t>.</w:t>
      </w:r>
      <w:bookmarkStart w:id="142" w:name="pg12061_112479"/>
    </w:p>
    <w:p>
      <w:pPr>
        <w:pStyle w:val="BookText"/>
        <w:rPr/>
      </w:pPr>
      <w:bookmarkEnd w:id="142"/>
      <w:r>
        <w:rPr>
          <w:rFonts w:ascii="IRNazanin" w:hAnsi="IRNazanin" w:eastAsia="IRNazanin"/>
          <w:color w:val="111111"/>
          <w:sz w:val="28"/>
          <w:sz w:val="28"/>
          <w:szCs w:val="28"/>
          <w:rtl w:val="true"/>
          <w:lang w:bidi="fa-IR"/>
        </w:rPr>
        <w:t>لکن الاستحباب فی هذه الموارد غیر معلوم و الأولی أن یتوضّأ برجاء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بعد هذا الوضوء کونه محدثاً بأحد النواقض المعلومة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ثانیاً کما أنّه لو توضّأ احتیاطاً لاحتمال حدوث الحدث ثمّ تبیّن کونه محدثاً کفی و لا یجب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الإشکال أنّه و لو قیل بحمل الأخبار الظاهرة فی الانتقاض علی استحباب الوضوء من الجمع العرفی بین الأخبار النافیة للانتقاض و الظاهرة فیه، حیث إنّ صراحة الثانیة هی المشروعیّة و لا تنافیها الطائفة الأُولی، إلّا أنّه لا سبیل فی المقام إلی هذا الجمع العرفی للعلم بصدور بعض الأخبار الظاهرة فی الانتقاض لرعایة التقیّة کالتی ورد فیها الانتقاض حکایة عن رسول اللّٰه فی قضیّة علی علیه السلام فی المذی و یکون المورد من الموارد التی تکون محفوفة بالقرینة علی 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ذکر فی استحباب الوضوء عقیب التخلیل إذا أدمی، و فی صحیحة أبی عبیدة الحذّاء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الرعاف و القیء و التخلیل یسیل الدم إذا استکرهت شیئاً ینقض الوضوء، و إن لم تستکرهه لم ینقض الوضوء</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 قد حملها الشیخ قدس سره علی التقیّة و جوّز حملها علی الاستحباب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723208_417432637"/>
      <w:bookmarkStart w:id="144" w:name="_Toc52"/>
      <w:bookmarkEnd w:id="143"/>
      <w:r>
        <w:rPr>
          <w:rtl w:val="true"/>
        </w:rPr>
        <w:t>الاکتفاء بالوضوء الاستحبابیّ</w:t>
      </w:r>
      <w:bookmarkEnd w:id="1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احتمال ناقضیّة الأُمور المذکورة فی المسألة منفی بما تقدّم من الأخبار الحاصرة للنواقض و غیرها من الأخبار الواردة فی عدم نقض الوضوء بها و التسالم علی عدم النقض عند أصحابنا و الآتی بالوضوء مع أحدها یتوضّأ برجاء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المطلوبیة بمعنی أنّه یقصد أنّه و إن یکن علی طهر فعلاً، إلّا أنّ الوضوء أی تجدیده لعلّه مطلوب واقعاً و علیه فالآتی المزبور لا یقصد شیئاً من الغایات المذکورة للوضوء التی سیأتی التعرض لها، و علیه فإن قلنا الوضوء لم یحرز کونه بنفسه مستحبّاً نفسیّاً فی حقّ المحدث،بل المستحب هو الوضوء المقصود به إحدی الغایات الآتیة و أن الوضوء مع إحدی تلک الغایات رافع للحدث، فالوضوء المفروض فی المقام لا یکون رافعاً للحدث مع مصادفته للحدث الواقعی حیث لم یحصل بإحدی تلک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التوضّؤ لاحتمال الأمر به مع طهارة الشخص یصحّح قصد التقرّب المعتبر فی وقوع العمل بنحو العبادة و لا یصحّح الغایة المعتبرة فی رفعه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الوضوء لاحتمال الحدث فصادف الحدث و بین المقام، حیث یکون التوضّؤ مع احتمال الحدث لغایة الطهارة علی تقدیر الحدث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الوضوء بنفسه مستحبّ عن المحدث و لا یحتاج فی رفعه الحدث إلی قصد غایة یحکم بالمقام أیضاً بالکفایة، فتدبّر جیداً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الصلاة بالوضوء سواء کانت الصلاة واجبة أو مندوبة من المسلّمات، و یشهد له النصوص الکثیرة المتواترة إجمالاً، 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توضّأ و نسی أن یمسح رأسه حتّی قام فی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و یمسح رأسه و یعید</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ما ورد فی قضاء الصلاة التی صلاّها بغیر وضوء، و یدلّ علی الاشتراط بالإضافة إلی الصلوات الفریضة،بل غیرها أیضاً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الآیة حیث إنّه لا موجب للالتزام باختصاصه بالصلوات الواجبة و قد تقدّم أنّ ظاهر الأمر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الإتیان بالفعل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بالإضافة إلی الطواف فالطهارة من الحدث شرط فی الطواف فیما إذا کان جزءاً من حجّ أو عمرة و لو کانا مندوبین، و یدلّ علیه مثل صحیحة معاویة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یقضی المناسک کلّها علی غیر وضوء إلّا الطواف فإنّ فیه صلاة و الوضوء أفضل</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یعتبر الوضوء للطواف المستحبّ فی نفسه أی ما لا یکون جزءاً من حجّ أو عمرة، و فی صحیحة عبید بن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یطوف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النافلة علی غیر وضوء ثمّ یتوضّأ و یصلی</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علیه السلام عن رجل طاف طواف الفریضة و هو علی غیر طهر؟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یعید طوافه و إن کان تطوّعاً توضّأ و صلّی رکعتین</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الطواف تطوّعاً و نافلة ظاهر ما یؤتی منفرداً حیث إنّ الجزء من الحجّ أو العمرة یجب بالشروع فیهما</w:t>
      </w:r>
      <w:r>
        <w:rPr>
          <w:rFonts w:eastAsia="IRNazanin" w:cs="IRNazanin"/>
          <w:color w:val="111111"/>
          <w:sz w:val="28"/>
          <w:szCs w:val="28"/>
          <w:rtl w:val="true"/>
          <w:lang w:bidi="fa-IR"/>
        </w:rPr>
        <w:t>.</w:t>
      </w:r>
      <w:bookmarkStart w:id="145" w:name="pg12061_112483"/>
    </w:p>
    <w:p>
      <w:pPr>
        <w:pStyle w:val="Heading3"/>
        <w:numPr>
          <w:ilvl w:val="2"/>
          <w:numId w:val="1"/>
        </w:numPr>
        <w:rPr/>
      </w:pPr>
      <w:bookmarkStart w:id="146" w:name="__RefHeading___Toc1723210_417432637"/>
      <w:bookmarkStart w:id="147" w:name="_Toc53"/>
      <w:bookmarkEnd w:id="145"/>
      <w:bookmarkEnd w:id="146"/>
      <w:r>
        <w:rPr>
          <w:rtl w:val="true"/>
        </w:rPr>
        <w:t>فصل فی غایات الوضوءات الواجبة و غیر الواجبة</w:t>
      </w:r>
      <w:bookmarkEnd w:id="147"/>
    </w:p>
    <w:p>
      <w:pPr>
        <w:pStyle w:val="Heading4"/>
        <w:numPr>
          <w:ilvl w:val="3"/>
          <w:numId w:val="1"/>
        </w:numPr>
        <w:rPr/>
      </w:pPr>
      <w:bookmarkStart w:id="148" w:name="__RefHeading___Toc1723212_417432637"/>
      <w:bookmarkStart w:id="149" w:name="_Toc54"/>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فإنّ الوضوء إمّا شرط فی صحّة فعل کالصلاة و الطواف، و إمّا شرط فی کماله کقراءة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غایات الوضوءات الواجبة و غیر الواجبة</w:t>
      </w:r>
    </w:p>
    <w:p>
      <w:pPr>
        <w:pStyle w:val="Heading4"/>
        <w:numPr>
          <w:ilvl w:val="3"/>
          <w:numId w:val="1"/>
        </w:numPr>
        <w:rPr/>
      </w:pPr>
      <w:bookmarkStart w:id="150" w:name="__RefHeading___Toc1723214_417432637"/>
      <w:bookmarkStart w:id="151" w:name="_Toc55"/>
      <w:bookmarkEnd w:id="150"/>
      <w:r>
        <w:rPr>
          <w:rtl w:val="true"/>
        </w:rPr>
        <w:t>شرطیة الوضوء فی الصحة و الکمال</w:t>
      </w:r>
      <w:bookmarkEnd w:id="151"/>
    </w:p>
    <w:p>
      <w:pPr>
        <w:pStyle w:val="BookText"/>
        <w:rPr/>
      </w:pPr>
      <w:r>
        <w:rPr>
          <w:rFonts w:ascii="IRNazanin" w:hAnsi="IRNazanin" w:eastAsia="IRNazanin"/>
          <w:color w:val="111111"/>
          <w:sz w:val="28"/>
          <w:sz w:val="28"/>
          <w:szCs w:val="28"/>
          <w:rtl w:val="true"/>
          <w:lang w:bidi="fa-IR"/>
        </w:rPr>
        <w:t>بمعنی أنّ الطهارة وضوءاً کان أو غسلاً لیس شرطاً فی صحّته و إنّما قد یکون شرطاً فی کماله کالتوضّؤ لقراءة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ذلک بروایة محمّد بن الفضیل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أقرأ المصحف ثمّ یأخذنی البول فأقوم فأبول و أستنجی و أغسل یدی و أعود إلی المصحف فأقرأ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تتوضّأ</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الصدوق فی حدیث الأربعمائة باسناده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 العبد القرآن إذا کان علی غیر طهور حتّی یتطهّر</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أحمد بن فهد فی عدّة الداعی مقطوعاً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لقارئ القرآن بکلّ حرف یقرأه فی الصلاة قائماً مائة حسنة، و قاعداً خمسون حسنة و متطهّراً فی غیر صلاة خمس و عشرون حسنة، و غیر متطهر عشر حسنات</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152" w:name="pg12061_112484"/>
    </w:p>
    <w:p>
      <w:pPr>
        <w:pStyle w:val="BookText"/>
        <w:rPr/>
      </w:pPr>
      <w:bookmarkEnd w:id="152"/>
      <w:r>
        <w:rPr>
          <w:rFonts w:ascii="IRNazanin" w:hAnsi="IRNazanin" w:eastAsia="IRNazanin"/>
          <w:color w:val="111111"/>
          <w:sz w:val="28"/>
          <w:sz w:val="28"/>
          <w:szCs w:val="28"/>
          <w:rtl w:val="true"/>
          <w:lang w:bidi="fa-IR"/>
        </w:rPr>
        <w:t>و أمّا شرط فی جوازه کمسّ کتابه القرآن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رافع لکراهته کالأکل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الأولتین کراهة القراءة بلا طهارة لا استحبابها معها کما هو ظاهر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فی نفسها من العبادات المستحبّة، فلا بد من أن یحمل النهی عن قراءته بلا طهارة کالنهی عن الصلاة فی الحمام بقلة الثواب غیر المنافیة لاستحبابها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الروایات من حیث السند غیر تامّة و القول باشتراط الطهارة فی کمال القراءة مبنی علی التسامح فی أدلّة السنن</w:t>
      </w:r>
      <w:r>
        <w:rPr>
          <w:rFonts w:eastAsia="IRNazanin" w:cs="IRNazanin"/>
          <w:color w:val="111111"/>
          <w:sz w:val="28"/>
          <w:szCs w:val="28"/>
          <w:rtl w:val="true"/>
          <w:lang w:bidi="fa-IR"/>
        </w:rPr>
        <w:t>.</w:t>
      </w:r>
    </w:p>
    <w:p>
      <w:pPr>
        <w:pStyle w:val="Heading4"/>
        <w:numPr>
          <w:ilvl w:val="3"/>
          <w:numId w:val="1"/>
        </w:numPr>
        <w:rPr/>
      </w:pPr>
      <w:bookmarkStart w:id="153" w:name="__RefHeading___Toc1723216_417432637"/>
      <w:bookmarkStart w:id="154" w:name="_Toc56"/>
      <w:bookmarkEnd w:id="153"/>
      <w:r>
        <w:rPr>
          <w:rtl w:val="true"/>
        </w:rPr>
        <w:t>شرطیة الوضوء فی جواز فعل</w:t>
      </w:r>
      <w:bookmarkEnd w:id="154"/>
    </w:p>
    <w:p>
      <w:pPr>
        <w:pStyle w:val="BookText"/>
        <w:rPr/>
      </w:pPr>
      <w:r>
        <w:rPr>
          <w:rFonts w:ascii="IRNazanin" w:hAnsi="IRNazanin" w:eastAsia="IRNazanin"/>
          <w:color w:val="111111"/>
          <w:sz w:val="28"/>
          <w:sz w:val="28"/>
          <w:szCs w:val="28"/>
          <w:rtl w:val="true"/>
          <w:lang w:bidi="fa-IR"/>
        </w:rPr>
        <w:t>سیأتی التعرض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أکل الجنب حیث إنّ الوضوء و إن لم یکن رافعاً للحدث من الجنابة إلّا أنّه یرفع کراهة الأکل جنباً، و فی صحیحة عبد الرحمن بن أبی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یأکل الجنب قبل أن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لنکسل و لکن لیغسل یده فالوضوء أفضل</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أخذ فی المستمسک بإطلاق المتن و ذکر فی وجهه ما ورد فی التوضّؤ عند حضور الطعام </w:t>
      </w:r>
      <w:r>
        <w:rPr>
          <w:rStyle w:val="FootnoteAnchor"/>
          <w:rtl w:val="true"/>
        </w:rPr>
        <w:footnoteReference w:id="443"/>
      </w:r>
      <w:r>
        <w:rPr>
          <w:rFonts w:ascii="IRNazanin" w:hAnsi="IRNazanin" w:eastAsia="IRNazanin"/>
          <w:color w:val="111111"/>
          <w:sz w:val="28"/>
          <w:sz w:val="28"/>
          <w:szCs w:val="28"/>
          <w:rtl w:val="true"/>
          <w:lang w:bidi="fa-IR"/>
        </w:rPr>
        <w:t>، و لکن ظاهر تلک الروایات أنّ المراد بالوضوء فیها غسل الیدین قبل الطعام و بعده کما ذکر الأمر بغسلهما قبل الطعام و بعده فی جملة من تلک الروایات</w:t>
      </w:r>
      <w:r>
        <w:rPr>
          <w:rFonts w:eastAsia="IRNazanin" w:cs="IRNazanin"/>
          <w:color w:val="111111"/>
          <w:sz w:val="28"/>
          <w:szCs w:val="28"/>
          <w:rtl w:val="true"/>
          <w:lang w:bidi="fa-IR"/>
        </w:rPr>
        <w:t>.</w:t>
      </w:r>
      <w:bookmarkStart w:id="155" w:name="pg12061_112485"/>
    </w:p>
    <w:p>
      <w:pPr>
        <w:pStyle w:val="BookText"/>
        <w:rPr/>
      </w:pPr>
      <w:bookmarkEnd w:id="155"/>
      <w:r>
        <w:rPr>
          <w:rFonts w:ascii="IRNazanin" w:hAnsi="IRNazanin" w:eastAsia="IRNazanin"/>
          <w:color w:val="111111"/>
          <w:sz w:val="28"/>
          <w:sz w:val="28"/>
          <w:szCs w:val="28"/>
          <w:rtl w:val="true"/>
          <w:lang w:bidi="fa-IR"/>
        </w:rPr>
        <w:t>أو شرط فی تحقق أمر کالوضوء للکون علی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له غایة کالوضوء الواجب بالنذر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المستحبّ نفساً إن قلنا به کما 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عنون صاحب الوسائل الباب من أبواب المائدة باستحباب غسل الیدین قبل الطعام و بعده،بل فی خبر هشام بن سالم و زاد الموسوی فی حدیثه 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هاهنا غسل الیدین</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یؤیده ما ورد فی بدء صاحب المنزل بالغسل قبل الطعام و آخر من یغسل یده بعده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لم یظهر من تلک الروایات الأمر بالوضوء معناه المعروف عند المتشرعة، و مع الإغماض عن ذلک ظاهرها الاستحباب و الکمال فی الأکل لا رفع کراهة الأکل بخلاف أکل الجنب، و فی صحیحة عبید اللّٰه بن علی الحلبی عن أبی عبد اللّه علیه السلام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جنباً لم یأکل و لم یشرب حتّی یتوضأ</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723218_417432637"/>
      <w:bookmarkStart w:id="157" w:name="_Toc57"/>
      <w:bookmarkEnd w:id="156"/>
      <w:r>
        <w:rPr>
          <w:rtl w:val="true"/>
        </w:rPr>
        <w:t>شرطیة الوضوء فی تحقق أمر</w:t>
      </w:r>
      <w:bookmarkEnd w:id="157"/>
    </w:p>
    <w:p>
      <w:pPr>
        <w:pStyle w:val="BookText"/>
        <w:rPr/>
      </w:pPr>
      <w:r>
        <w:rPr>
          <w:rFonts w:ascii="IRNazanin" w:hAnsi="IRNazanin" w:eastAsia="IRNazanin"/>
          <w:color w:val="111111"/>
          <w:sz w:val="28"/>
          <w:sz w:val="28"/>
          <w:szCs w:val="28"/>
          <w:rtl w:val="true"/>
          <w:lang w:bidi="fa-IR"/>
        </w:rPr>
        <w:t>ظاهر کلامه أنّ الکون علی الطهارة أمر مترتّب علی الوضوء من المحدث بغیر موجب الغسل، و سیأتی الکلام فی انّ الکون علی الطهارة غایة أو أنّ الطهارة عنوان لنفس الوضوء أو الغسل أو التیمم</w:t>
      </w:r>
      <w:r>
        <w:rPr>
          <w:rFonts w:eastAsia="IRNazanin" w:cs="IRNazanin"/>
          <w:color w:val="111111"/>
          <w:sz w:val="28"/>
          <w:szCs w:val="28"/>
          <w:rtl w:val="true"/>
          <w:lang w:bidi="fa-IR"/>
        </w:rPr>
        <w:t>.</w:t>
      </w:r>
    </w:p>
    <w:p>
      <w:pPr>
        <w:pStyle w:val="Heading4"/>
        <w:numPr>
          <w:ilvl w:val="3"/>
          <w:numId w:val="1"/>
        </w:numPr>
        <w:rPr/>
      </w:pPr>
      <w:bookmarkStart w:id="158" w:name="__RefHeading___Toc1723220_417432637"/>
      <w:bookmarkStart w:id="159" w:name="_Toc58"/>
      <w:bookmarkEnd w:id="158"/>
      <w:r>
        <w:rPr>
          <w:rtl w:val="true"/>
        </w:rPr>
        <w:t>الوضوء الذی لا غایة له</w:t>
      </w:r>
      <w:bookmarkEnd w:id="1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النذر لا یوجب مشروعیة الوضوء لیجب بالنذر،بل یعتبر فی انعقاد النذر تعلّقه بعمل مشروع لو لا النذر، و إذا لم نقل باستحباب الوضوء نفساً لا یتعلّق به</w:t>
      </w:r>
      <w:bookmarkStart w:id="160" w:name="pg12061_112486"/>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 و إنّما یتعلّق بالوضوء المقصود به الغایة و لو کانت تلک الغایة الکون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صحّة تعلّق النذر بنفس الوضوء یبتنی علی القول باستحباب نفس الوضوء من المحدث بالأصغر و لو لم یقصد أی غایة أو لا أقل من الالتزام بأنّ نفس الوضوء و لو لم یقصد أیّ غایة یوجب حصول الطهارة به علی ما یأتی</w:t>
      </w:r>
      <w:r>
        <w:rPr>
          <w:rFonts w:eastAsia="IRNazanin" w:cs="IRNazanin"/>
          <w:color w:val="111111"/>
          <w:sz w:val="28"/>
          <w:szCs w:val="28"/>
          <w:rtl w:val="true"/>
          <w:lang w:bidi="fa-IR"/>
        </w:rPr>
        <w:t>.</w:t>
      </w:r>
    </w:p>
    <w:p>
      <w:pPr>
        <w:pStyle w:val="Heading4"/>
        <w:numPr>
          <w:ilvl w:val="3"/>
          <w:numId w:val="1"/>
        </w:numPr>
        <w:rPr/>
      </w:pPr>
      <w:bookmarkStart w:id="161" w:name="__RefHeading___Toc1723222_417432637"/>
      <w:bookmarkStart w:id="162" w:name="_Toc59"/>
      <w:bookmarkEnd w:id="161"/>
      <w:r>
        <w:rPr>
          <w:rtl w:val="true"/>
        </w:rPr>
        <w:t>فی کون الوضوء مستحبّاً نفسیّاً</w:t>
      </w:r>
      <w:bookmarkEnd w:id="162"/>
    </w:p>
    <w:p>
      <w:pPr>
        <w:pStyle w:val="BookText"/>
        <w:rPr/>
      </w:pPr>
      <w:r>
        <w:rPr>
          <w:rFonts w:ascii="IRNazanin" w:hAnsi="IRNazanin" w:eastAsia="IRNazanin"/>
          <w:color w:val="111111"/>
          <w:sz w:val="28"/>
          <w:sz w:val="28"/>
          <w:szCs w:val="28"/>
          <w:rtl w:val="true"/>
          <w:lang w:bidi="fa-IR"/>
        </w:rPr>
        <w:t>و أمّا الاستحباب النفسیّ لنفس الوضوء فقد أنکره جماعة و التزموا بأنّ المستحبّ کون المکلّف علی طهارة و کون المکلّف علی طهارة أمر یترتّب علی الوضوء المؤتی به بنحو التقرّب، و علیه فإنّ قصد المحدث بالأصغر بوضوئه کونه علی طهارة أو إحدی الغایات یحصل التقرّب به فیکون علی طهارة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یقصد شیء من تلک الغایات و أتی بذات الوضوء فلا یمکن التقرّب به؛ لعدم الأمر به نفساً فلا یوجب صیرورة المکلّف علی طهارة، و قد ذکر الماتن الکون علی الطهارة أمر یتحقق بالوضوء و إذا کان ذلک الأمر مطلوباً نفسیاً کما هو الصحیح؛ للروایات الدالّة علی مطلوبیّة طهر الشخص، و قبلها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فلا یسری طلبه إلی نفس الوضوء و الالتزام بالاستحباب النفسی الآخر و أنّه قد تعلّق بذات الوضوء بأن یکون التوضّؤ بقصد کونه علی الطهارة من الإتیان بعملین مستحبّین کما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علی استحباب نفس الوضوء من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یقصد إلّا مطلوبیّة نفسه الموجب للتقرّب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الإرشاد للدیلمی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 من أحدث و لم یتوضّأ فقد جفانی، و من أحدث و توضّأ و لم یصلّ رکعتین فقد جفانی</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بمرسلة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الطهور عشر حسنات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فیه ما لا یخفی فإنّ ظاهر الأخیرة الوضوء لا بنفسه بل بقصد التطهّر و الأولتین لضعفهما غیر صالح للاعتماد علیهما،بل منصرف الأُولی الوضوء لارتفاع 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یلتزم بأنّ کون المکلّف علی طهارة مسبب عن الوضوء القربی، و لکنّ التقرّب بالمقدّمة لا یتوقّف علی قصد التوصّل بها فیما إذا کانت المقدّمة من قبیل السبب،بأن یکون المطلوب النفسی من الأفعال التولیدیّة حیث یمکن التقرب بالإتیان بالسبب و لو مع الغفلة عن مسبّبه بأنّ قصد الإتیان بالسبب رعایة لمطلوب الشارع، و علی ذلک فتنتفی ثمرة الخلاف فی أنّ الوضوء بنفسه مطلوب نفسیّ أو أنّ المطلوب النفسیّ ما یترتّب علی الوضوء القربی و هو الکون علی الطهارة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مع إحراز أنّ المطلوب النفسی هو کون المکلّف علی 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 الوضوء بالنحو القربی محصّل له فلا یمکن القصد إلی الوضوء بما هو مطلوب نفسی إلّا تشریعاً فلا بُدّ فی تحقیق التوضّؤ قربیاً من قصد الغایة تفصیلاً أو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الصحیح أنّ الطهارة للحدث بالأصغر لیس أمراً تولیدیّاً من الوضوء،بل الطهارة أو کون المکلّف علی طهر عنوان لنفس الوضوء القربی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یُحِبُّ الْمُتَطَهِّرِینَ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یعنی یحبّ المتوضّئین بالوضوء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الطهر ینطبق علی خصوص الوضوء القربی یعنی علی نفس غسل الوجه و الیدین و مسح الرأس و الرجلین فیما کان مع قصد التقرّب، فمعنی تطهّر المحدث بالأصغر هو وضوؤه بقصد التقرّب کما أنّ تطهّره فیما کان محدثاً بالأکبر هو اغتساله بقصد التقرّب و مع فقده الماء تطهره عبارة أُخری عن تیمّمه بقصد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ما تقدم فی أخبار النواقض من أنّه لا ینقض الوضوء إلّا ما خرج من طرفیک الأسفلین من بول أو غائط أو ریح أو منی و النوم </w:t>
      </w:r>
      <w:r>
        <w:rPr>
          <w:rStyle w:val="FootnoteAnchor"/>
          <w:rtl w:val="true"/>
        </w:rPr>
        <w:footnoteReference w:id="45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 و النوم حدث</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فإنّ اعتبار النواقض حدثاً و أنّها تنقض الوضوء یقتضی اعتبار الاستمرار فی نفس الوضوء و أنّ ذلک الاستمرار یقطع بتلک النواقض و لو کانت الطهارة أمراً مسببیاً اعتبر الاستمرار فیه لما کان للوضوء استمرار،بل کان أمراً حادثاً منتهیاً بانتهاء أفعالها و کان الاستمرار فی ذلک الأمر المسببی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أیضاً تطبیق الطهارة علی نفس الوضوء و التیمم و الاغتسال، و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الماء و قد دخل فی الصلاة،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فلینصرف فلیتوضّأ ما لم یرکع فإن کان قد رکع فلیمض فی صلاته فإنّ التیمّم أحد الطهورین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أی إحدی الطهارتین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أجنب فتیمّم بالصعید و صلّی ثمّ وجد الماء؟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إنّ ربّ الماء ربّ الصعید فقد فعل أحد الطهورین</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یعنی إحدی الطهارتین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الصلاة و الطهور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ما ورد فی إجزاء مثل غسل الجمعة عن الوضوء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أطهر من الغسل</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أطلق الطهر علی نفس الغسل و لو لم یقصد به أیّ غایة کما فی غالب الأغسال المسنونة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ممّا ذکرنا أنّ قصد الکون علی الطهارة بمعنی أن یوجد بالوضوء أمراً آخر و هو الکون علی الطهارة غیر صحیح فی نفسه، و إنّما یصحّ التوضّؤ بأن یقصد غایة من الغایات المتقدّمة أو یأتی به لکون المکلف علی وضوء محبوب للّٰه</w:t>
      </w:r>
      <w:bookmarkStart w:id="163" w:name="pg12061_112490"/>
    </w:p>
    <w:p>
      <w:pPr>
        <w:pStyle w:val="BookText"/>
        <w:rPr/>
      </w:pPr>
      <w:bookmarkEnd w:id="163"/>
      <w:r>
        <w:rPr>
          <w:rFonts w:ascii="IRNazanin" w:hAnsi="IRNazanin" w:eastAsia="IRNazanin"/>
          <w:color w:val="111111"/>
          <w:sz w:val="28"/>
          <w:sz w:val="28"/>
          <w:szCs w:val="28"/>
          <w:rtl w:val="true"/>
          <w:lang w:bidi="fa-IR"/>
        </w:rPr>
        <w:t>أمّا الغایات للوضوء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للصلاة الواجبة أداءً و قضاءً عن النفس أو عن الغیر، و لأجزائها المنسیة،بل و سجدتی السهو علی الأحوط، و یجب أیضاً للطواف الواجب و هو ما کان جزءاً للحج أو العمرة و إن کانا مندوبین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فالطواف المستحبّ ما لم یکن جزءاً من أحدهما لا یجب الوضوء له، نعم هو شرط فی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و عنوان الطهور و الطهارة ینطبق علی نفس الوضوء القربی، و المراد بالغایة الداعی إلی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مورد للقول بأنّ سائر الغایات فی طول الکون علی الطهارة کما لا یخفی</w:t>
      </w:r>
      <w:r>
        <w:rPr>
          <w:rFonts w:eastAsia="IRNazanin" w:cs="IRNazanin"/>
          <w:color w:val="111111"/>
          <w:sz w:val="28"/>
          <w:szCs w:val="28"/>
          <w:rtl w:val="true"/>
          <w:lang w:bidi="fa-IR"/>
        </w:rPr>
        <w:t>.</w:t>
      </w:r>
    </w:p>
    <w:p>
      <w:pPr>
        <w:pStyle w:val="Heading4"/>
        <w:numPr>
          <w:ilvl w:val="3"/>
          <w:numId w:val="1"/>
        </w:numPr>
        <w:rPr/>
      </w:pPr>
      <w:bookmarkStart w:id="164" w:name="__RefHeading___Toc1723224_417432637"/>
      <w:bookmarkStart w:id="165" w:name="_Toc60"/>
      <w:bookmarkEnd w:id="164"/>
      <w:r>
        <w:rPr>
          <w:rtl w:val="true"/>
        </w:rPr>
        <w:t>غایات الوضوء الواجب</w:t>
      </w:r>
      <w:bookmarkEnd w:id="165"/>
    </w:p>
    <w:p>
      <w:pPr>
        <w:pStyle w:val="BookText"/>
        <w:rPr/>
      </w:pPr>
      <w:r>
        <w:rPr>
          <w:rFonts w:ascii="IRNazanin" w:hAnsi="IRNazanin" w:eastAsia="IRNazanin"/>
          <w:color w:val="111111"/>
          <w:sz w:val="28"/>
          <w:sz w:val="28"/>
          <w:szCs w:val="28"/>
          <w:rtl w:val="true"/>
          <w:lang w:bidi="fa-IR"/>
        </w:rPr>
        <w:t>لا یخفی أنّ المراد بوجوب الوضوء للصلاة الواجبة أداءً أو قضاءً عن النفس أو عن الغیر اشتراط الصلاة به، و أمّا الوجوب التکلیفی فتعلّقه به بفعلیّة وجوب الصلاة مبنی علی القول بالملازمة بین وجوب ذی المقدّمة و مقدّمته و هو غیر تام عندنا کما ذکرنا فی بحث الأُصول، و التمسّک فی ذلک بقوله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إلخ أو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فإنّ ظاهر قوله سبحانه هو الإرشاد إلی الشرطیّة کما هو ظاهر الأمر بفعل عند الإتیان بالواجب، و الوجوب فی الروایة بمعنی الثبوت 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معناه اللغوی، و الثبوت أعم من الوضع کما فی الشرط أو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الثابت فی الوضوء بالإضافة إلی الصلاة الواجبة الاشتراط، و لا فرق فی الاشتراط بین الصلاة الواجبة أو المندوبة کما هو ظاهر الروایات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أی طهارة، کما أنّه لا فرق بین أصل الصلاة الواجبة أو الصلاة الاحتیاطیّة المتمّمة لها علی تقدیر النقص فی الصلاة الواجبة کما فی الصلاة الاحتیاطیّة المشروعة عند الشک فی الرکعات، کلّ ذلک أخذاً بإطلاق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بل یجری الاشتراط فی قضاء بعض الأجزاء المنسیّة من قضاء السجدة و التشهّد علی القول بوجوب القضاء فی الثانی أیضاً، فإنّ ظاهر ما دلّ علی القضاء أنّه نفس الفعل الواجب نفساً أو ضمناً غایة الأمر قد تغیّر محلّ الإتیان به، فما یعتبر فی الإتیان بسجود الصلاة بعد رکوعها أو فی تشهّدها بعد سجودها یعتبر فی قضاء السجدة المنسیة أو التشهّد المنسی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تخلل منافیات الصلاة و قواطعها بین أصل الصلاة و قضاء سجدتها أو تشهّدها موجب لبطلان أصل الصلاة و عدم تدارک ما فات منها من سجدة أو تشهّد أم لا، مبنی علی الاستفادة ممّا ورد فی قضائهما من أنّ الموضع المقرّر للقضاء بعد الصلاة قبل وقوع المنافیات کما هو الحال فی الصلاة الاحتیاطیة فی شکوکها، أو أنّ الموضع بعد الصلاة سواء حصلت إحدی منافیاتها و قواطعها بعدها أم لا، کما هو ظاهر بعض الروایات الواردة فی قضاء السجدة فالکلام فی ذلک موکول إلی محلّه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سجدتی السهو فلا تدخلان فی الصلاة و لا فی أجزائها؛ و لذا لا تبطل الصلاة بترکهما و لو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فالسجدتان للسهو واجب نفسی یجب بحصول موجبهما، نعم یجب الإتیان بهما فوراً فإن أخّر لا تسقطان بل تجبان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انصراف الأمر بهما بعد الصلاة قبل التکلّم إلی اعتبار ما یعتبر فی سجود الصلاة فیهما لا یمکن المساعدة علیها؛ فإنّ الأمر بهما قبل الکلام لوجوب المبادرة، و فی روایاتهما ما یدلّ علی أنّهما لیسا من الصلاة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فرعایة الاحتیاط فیهما ظاهر، و أمّا اشتراط الطهارة فی الطواف الواجب فمتسالم علیه بین الأصحاب قدیماً و حدیثاً من غیر خلاف معروف أو منقول، و یشهد له 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تقضی المناسک کلّها علی غیر وضوء إلّا الطواف فإنّ فیه صلاة و الوضوء أفضل</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جمیل عن أبی عبد اللّه علیه السلام أنّه سئل أ ینسک المناسک و هو علی غیر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إلّا الطواف</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إلی غیر ذلک، و المراد بالطواف الواجب ما کان جزءاً من حجّ أو عمرة و لو کانا مندوبین کما هو مقتضی الإطلاق فی الصحیحتین و نحوهما، فإنّ الحجّ أو العمرة تجب بالدخول فیه أو فیها بلا خلاف یعرف و یقتضیه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حیث ظاهر الآیة وجوب إتمامهما و إن کانا</w:t>
      </w:r>
    </w:p>
    <w:p>
      <w:pPr>
        <w:pStyle w:val="BookText"/>
        <w:rPr/>
      </w:pPr>
      <w:r>
        <w:rPr>
          <w:rFonts w:ascii="IRNazanin" w:hAnsi="IRNazanin" w:eastAsia="IRNazanin"/>
          <w:color w:val="111111"/>
          <w:sz w:val="28"/>
          <w:sz w:val="28"/>
          <w:szCs w:val="28"/>
          <w:rtl w:val="true"/>
          <w:lang w:bidi="fa-IR"/>
        </w:rPr>
        <w:t>و یجب أیضاً بالنذر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العهد و الیمین، و یجب أیضاً لمسّ کتابه القرآن إن</w:t>
      </w:r>
    </w:p>
    <w:p>
      <w:pPr>
        <w:pStyle w:val="BookText"/>
        <w:rPr/>
      </w:pPr>
      <w:r>
        <w:rPr>
          <w:rFonts w:ascii="IRNazanin" w:hAnsi="IRNazanin" w:eastAsia="IRNazanin"/>
          <w:color w:val="111111"/>
          <w:sz w:val="28"/>
          <w:sz w:val="28"/>
          <w:szCs w:val="28"/>
          <w:rtl w:val="true"/>
          <w:lang w:bidi="fa-IR"/>
        </w:rPr>
        <w:t>مندوبین و لیست الآیة فی مقام الإرشاد إلی شرطیّة التقرّب فیهما، فإنّ التقرّب یعتبر فی الدخول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ظاهرها التکلیف بالإتمام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الطواف بمجرّده مستحبّ نفسی، و قد ورد فی الروایات أفضلیّته من الصلاة فی بعض المجاورین بمکّة، و ظاهر ما ورد فی عدم اعتبار الطهارة فی الطواف نافلة أو تطوعاً و إنما یعتبر فی صلاته هو هذا الطواف، کصحیحة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أحدهما علیه السلام عن رجل طاف طواف الفریضة و هو علی غیر طهور؟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یعید و إن کان تطوّعاً توضّأ و صلّی رکعتین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فی موثّقة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طاف علی غیر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تطوّعاً فلیتوضّأ و لیصلّ</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إلی غیر ذلک فما عن الحلبی </w:t>
      </w:r>
      <w:r>
        <w:rPr>
          <w:rStyle w:val="FootnoteAnchor"/>
          <w:rtl w:val="true"/>
        </w:rPr>
        <w:footnoteReference w:id="469"/>
      </w:r>
      <w:r>
        <w:rPr>
          <w:rFonts w:ascii="IRNazanin" w:hAnsi="IRNazanin" w:eastAsia="IRNazanin"/>
          <w:color w:val="111111"/>
          <w:sz w:val="28"/>
          <w:sz w:val="28"/>
          <w:szCs w:val="28"/>
          <w:rtl w:val="true"/>
          <w:lang w:bidi="fa-IR"/>
        </w:rPr>
        <w:t xml:space="preserve">و المنتهی </w:t>
      </w:r>
      <w:r>
        <w:rPr>
          <w:rStyle w:val="FootnoteAnchor"/>
          <w:rtl w:val="true"/>
        </w:rPr>
        <w:footnoteReference w:id="470"/>
      </w:r>
      <w:r>
        <w:rPr>
          <w:rFonts w:ascii="IRNazanin" w:hAnsi="IRNazanin" w:eastAsia="IRNazanin"/>
          <w:color w:val="111111"/>
          <w:sz w:val="28"/>
          <w:sz w:val="28"/>
          <w:szCs w:val="28"/>
          <w:rtl w:val="true"/>
          <w:lang w:bidi="fa-IR"/>
        </w:rPr>
        <w:t>من اعتبارها فیه أیضاً لا یمکن المساعدة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قیل بأنّ الوضوء مستحبّ نفسی لکون الطهر المرغوب إلیه هو الوضوء یحکم بوجوب الوضوء بالنذر، و أمّا إذا قیل بأنّ الطهر هو الأمر المترتّب علی الوضوء بقصد الغایة فلا بد فی انعقاد النذر من تعلّق النذر بالوضوء لغایة، فیکون الواجب النفسی بالنذر هو الوضوء لغایة من الکون علی الطهارة أو غیره من الغایات المتقدّمة، و قد ذکرنا أنّ الوضوء و الغسل و التیمّم بأنفسها طهارات، و علیه فلا تأمّل فی انعقاد</w:t>
      </w:r>
    </w:p>
    <w:p>
      <w:pPr>
        <w:pStyle w:val="BookText"/>
        <w:rPr/>
      </w:pPr>
      <w:r>
        <w:rPr>
          <w:rFonts w:ascii="IRNazanin" w:hAnsi="IRNazanin" w:eastAsia="IRNazanin"/>
          <w:color w:val="111111"/>
          <w:sz w:val="28"/>
          <w:sz w:val="28"/>
          <w:szCs w:val="28"/>
          <w:rtl w:val="true"/>
          <w:lang w:bidi="fa-IR"/>
        </w:rPr>
        <w:t>وجب بالنذر، أو لوقوعه فی موضع یجب إخراجه منه، أو لتطهیره إذا صار متنجّساً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النذر فیما إذا نذر الوضوء عند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العبارة وجوب الوضوء غیریّاً فیما إذا وجب مسّ کتابة القرآن، کما إذا نذر تقبیله أو وقع فی مکان یجب إخراجه منه أی الإخراج الموجب للمسّ أو وجب تطهیره الموجب لمسّ کتابته، و لکن قیل </w:t>
      </w:r>
      <w:r>
        <w:rPr>
          <w:rStyle w:val="FootnoteAnchor"/>
          <w:rtl w:val="true"/>
        </w:rPr>
        <w:footnoteReference w:id="471"/>
      </w:r>
      <w:r>
        <w:rPr>
          <w:rFonts w:ascii="IRNazanin" w:hAnsi="IRNazanin" w:eastAsia="IRNazanin"/>
          <w:color w:val="111111"/>
          <w:sz w:val="28"/>
          <w:sz w:val="28"/>
          <w:szCs w:val="28"/>
          <w:rtl w:val="true"/>
          <w:lang w:bidi="fa-IR"/>
        </w:rPr>
        <w:t>إنّ الوجوب الغیری لا یتعلّق بالوضوء بوجوب مسّ کتابة القرآن؛ لأنّ الوضوء أی کون الشخص علی الطهر لیس مقدّمة لمسّ کتابة القرآن،بل مقدّمة لجوازه و جواز المسّ حکم الشارع لا فعل المکلّف، و الوجوب الغیری یتعلّق بما هی مقدّمة لفعل المکلّف الذی تعلّق به الوجوب النفسی، و علی ذلک فإن قیل إنّ قصد التقرّب فی الوضوء یحصل بقصد غایة من غایاته فلا یمکن جعل مسّ الکتابة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الحاکم بلزوم الوضوء ثمّ المسّ هو العقل للزوم الجمع بین غرضی الشارع، لا أنّ للوضوء وجوب غیری کما فی سائر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تعلّق النذر بالمسّ الجائز کما أنّ الشارع یجعل الوجوب لما تعلّق به النذر، و علیه فإن قیل بأنّ نفس الوضوء طهارة یتعلّق الوجوب الغیری به کتعلّقه به عند وجوب الصلاة و الطواف کذا، و إن قیل بأنّ الطهارة أمر مسبب عنه یکون قصد المسّ بالوضوء کقصد الصلاة به فی کونه غایة من غایاته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یتعلّق الوجوب النفسی بالمسّ،بل لوجوب إخراج المصحف أو تطهیره، فإن کان الواجب متّحداً مع مسّ الکتابة وجوداً کما فی صورة تطهیره من 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النجاسة فالأمر فیه کما تقدّم فی صورة نذر المسّ؛ لأنّ متعلّق الوجوب أی التطهیر یتقیّد بالوضوء لا محالة کما هو المقرّر فی بحث اجتماع الأمر و النهی، فیکون نفس الوضوء من غایاته مسّ کتابة القرآن، نعم إذا لم یتحد ما تعلّق به الأمر مع المسّ وجوداً،بل کان الترکیب بینهما انضمامیّاً فالمسّ لا یتعلّق به الوجوب حتّی یتقیّد متعلّقه بالوضوء و فی هذا الفرض لا یکون المسّ غایة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ما ذکر فی الجواب من أنّه لا فرق فی تعلّق الوجوب الغیری بالمقدمة بین کونها مقدّمة لذات الواجب أو للواجب بما هو واجب کما فی الشرائط الشرعیة، و وجه الظهور أنّ الشرائط الشرعیّة شرط لذات الواجب، و شرط الوجوب لا یسری إلیه الوجوب الغیری؛ و لذا لو کانت الصلاة تطوّعاً فلا بدّ من الإتیان بشرطها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المتعین فی الجواب أن یذکر الشرط الذی یثبت للصلاة و نحوها من الالتزام بامتناع اجتماع الأمر و النهی کإباحة مکان المصلی مطلقاً أو فی خصوص سجوده کما لا یخفی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المشهور علی ما حکی عنهم عدم جواز مسّ کتابة القرآن محدثاً،بل عن المختلف </w:t>
      </w:r>
      <w:r>
        <w:rPr>
          <w:rStyle w:val="FootnoteAnchor"/>
          <w:rtl w:val="true"/>
        </w:rPr>
        <w:footnoteReference w:id="472"/>
      </w:r>
      <w:r>
        <w:rPr>
          <w:rFonts w:ascii="IRNazanin" w:hAnsi="IRNazanin" w:eastAsia="IRNazanin"/>
          <w:color w:val="111111"/>
          <w:sz w:val="28"/>
          <w:sz w:val="28"/>
          <w:szCs w:val="28"/>
          <w:rtl w:val="true"/>
          <w:lang w:bidi="fa-IR"/>
        </w:rPr>
        <w:t xml:space="preserve">، و ظاهر البیان </w:t>
      </w:r>
      <w:r>
        <w:rPr>
          <w:rStyle w:val="FootnoteAnchor"/>
          <w:rtl w:val="true"/>
        </w:rPr>
        <w:footnoteReference w:id="473"/>
      </w:r>
      <w:r>
        <w:rPr>
          <w:rFonts w:ascii="IRNazanin" w:hAnsi="IRNazanin" w:eastAsia="IRNazanin"/>
          <w:color w:val="111111"/>
          <w:sz w:val="28"/>
          <w:sz w:val="28"/>
          <w:szCs w:val="28"/>
          <w:rtl w:val="true"/>
          <w:lang w:bidi="fa-IR"/>
        </w:rPr>
        <w:t xml:space="preserve">و التبیان </w:t>
      </w:r>
      <w:r>
        <w:rPr>
          <w:rStyle w:val="FootnoteAnchor"/>
          <w:rtl w:val="true"/>
        </w:rPr>
        <w:footnoteReference w:id="474"/>
      </w:r>
      <w:r>
        <w:rPr>
          <w:rFonts w:ascii="IRNazanin" w:hAnsi="IRNazanin" w:eastAsia="IRNazanin"/>
          <w:color w:val="111111"/>
          <w:sz w:val="28"/>
          <w:sz w:val="28"/>
          <w:szCs w:val="28"/>
          <w:rtl w:val="true"/>
          <w:lang w:bidi="fa-IR"/>
        </w:rPr>
        <w:t xml:space="preserve">الإجماع علیه، و ینسب إلی جماعة کالشیخ فی المبسوط و ابن ادریس و الأردبیلی </w:t>
      </w:r>
      <w:r>
        <w:rPr>
          <w:rStyle w:val="FootnoteAnchor"/>
          <w:rtl w:val="true"/>
        </w:rPr>
        <w:footnoteReference w:id="475"/>
      </w:r>
      <w:r>
        <w:rPr>
          <w:rFonts w:ascii="IRNazanin" w:hAnsi="IRNazanin" w:eastAsia="IRNazanin"/>
          <w:color w:val="111111"/>
          <w:sz w:val="28"/>
          <w:sz w:val="28"/>
          <w:szCs w:val="28"/>
          <w:rtl w:val="true"/>
          <w:lang w:bidi="fa-IR"/>
        </w:rPr>
        <w:t>و غیرهم الخلاف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یستدلّ علی الحرمة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IRNazanin" w:hAnsi="IRNazanin" w:eastAsia="IRNazanin"/>
          <w:color w:val="111111"/>
          <w:sz w:val="28"/>
          <w:sz w:val="28"/>
          <w:szCs w:val="28"/>
          <w:rtl w:val="true"/>
          <w:lang w:bidi="fa-IR"/>
        </w:rPr>
        <w:t>بدعوی أنّ الجملة الإخباریة فی مقام الإنشاء و النهی عن المسّ بلا طهارة مع عدم ورود الترخیص فیه مقتضاه التحریم، و لکن یشکل بأنّه لم یعلم أنّ الإخبار المزبور فی مقام الإنشاء،بل ظاهره الإخبار عن وصف خارجی للکتاب المجید، و أنّ مسّه کنایة عن إدراک المرادات الواقعیة من الکتاب المجید، و المراد بالمطهرین الذین طهّرهم اللّٰه سبحانه من أهل البیت و العصمة، و یؤیّد ذلک عدم الظفر فی مورد من الآیات و الروایات إطلاق المطهر بالفتح علی من کان علی وضوء، و لکن قد یؤیّد الاستدلال بروایة إبراهیم بن عبد الحمید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لا تمسّه علی غیر طهر و لا جنباً و لا تمسّ خطّه و لا تعلّقه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لکنّ الروایة فی سندها ضعف و دلالتها لا بأس بها، و النهی عن التعلّق مع عدم الطهارة لو لم یمکن الأخذ بظاهره لا یوجب رفع الید عن ظهور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حریز عمّن أخبره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إسماعیل بن أبی عبد اللّه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اقرأ المصحف،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علی وضوء،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تمسّ الکتابة و مسّ الورق و اقرأه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لإرسالها لا یمکن الاستدلال بها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معتبرة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عمّن قرأ فی المصحف</w:t>
      </w:r>
    </w:p>
    <w:p>
      <w:pPr>
        <w:pStyle w:val="BookText"/>
        <w:rPr/>
      </w:pPr>
      <w:r>
        <w:rPr>
          <w:rFonts w:ascii="IRNazanin" w:hAnsi="IRNazanin" w:eastAsia="IRNazanin"/>
          <w:color w:val="111111"/>
          <w:sz w:val="28"/>
          <w:sz w:val="28"/>
          <w:szCs w:val="28"/>
          <w:rtl w:val="true"/>
          <w:lang w:bidi="fa-IR"/>
        </w:rPr>
        <w:t>و توقّف الإخراج أو التطهیر علی مسّ کتابته، و لم یکن التأخیر بمقدار الوضوء موجباً لهتک حرمته و إلّا وجبت المبادرة من دون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غیر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یمسّ الکتاب</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فی ذلک أنّ حرمة المسّ بلا وضوء مع وجوب رفع الهتک عن الکتاب من المتزاحمین فی الفرض حیث إنّ المکلّف لا یتمکّن من الجمع بین التکلیفین فی الامتثال، و بما أنّ رفع الهتک عن الکتاب أهمّ فلا بدّ من تقدیمه فی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إنّه لو تمکّن المکلف فی الفرض من التیمم لتعین التیمم؛ لأنّه أحد الطهورین تصل النوبة إلیه مع عدم الطهارة المائیّة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الموضوع لتعیّن التیمّم عدم التمکّن من الوضوء، و المکلّف فی الفرض متمکّن من الوضوء و من مسّ الکتاب بالوضوء کما هو المفروض فی باب التزاحم من تمکّن المکلّف علی موافقة کلّ من التکلیفین، و إنّما لا یتمکن من الجمع بینهما فی الامتثال، و من المقرر فی محلّه أنّ الأمر بالشیء لا یقتضی النهی عن ضدّه، یعنی الأمر برفع الهتک لا یوجب حرمة الوضوء و لا تحریم المسّ مع الوضوء، و الموضوع للتیمّم یعنی عدم التمکّن من الطهارة المائیة یکون بعدم القدرة علیه وجداناً أو تحریمه شرعاً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فما نحن فیه نظیر ما إذا وقع الحریق فی المسجد و توقّف إنقاذ من فیه علی الدخول فیه و کان المکلف جنباً فإنّه لا دلیل فی الفرض و مثله علی بدلیة التیمّم عن الغسل، نعم لو ثبت أن الموضوع لبدلیّة التیمّم عدم القدرة الشرعیة</w:t>
      </w:r>
    </w:p>
    <w:p>
      <w:pPr>
        <w:pStyle w:val="BookText"/>
        <w:rPr/>
      </w:pPr>
      <w:r>
        <w:rPr>
          <w:rFonts w:ascii="IRNazanin" w:hAnsi="IRNazanin" w:eastAsia="IRNazanin"/>
          <w:color w:val="111111"/>
          <w:sz w:val="28"/>
          <w:sz w:val="28"/>
          <w:szCs w:val="28"/>
          <w:rtl w:val="true"/>
          <w:lang w:bidi="fa-IR"/>
        </w:rPr>
        <w:t>و یلحق به أسماء اللّٰه و صفاته الخاصّة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أسماء الأنبیاء و الأئمة علیهم السلام و 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الوضوء فی المذکورات ما عدا النذر و أخویه إنّما هو علی تقدیر کونه محدثاً، و إلّا فلا یجب، و أمّا فی النذر و أخویه فتابع للنذر، فإن نذر کونه علی الطهارة لا یجب إلّا إذا کان محدثاً، و إن نذر الوضوء التجدیدی وجب و إن کان علی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عدم اشتغال ذمّة المکلّف بفعل لا یجتمع مع الوضوء أو الغسل تعیّن التیمّم لکونه طهارة، و ارتفاع التزاحم بین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التیمّم للصلاة لضیق وقتها أو التیمّم بدلاً عن غسل الجنابة لضیق وقت الصوم و قرب طلوع الفجر فهی للعلم بعدم سقوط الطهارة عن الشرطیّة، و دعوی العلم بعدم سقوط التکلیف بالصلاة أو الصوم فی الفرض بخلاف المقام، فإنّ عدم سقوط حرمة المسّ مع الحدث موقوف علی ثبوت التیمّم، و بدلیّة التیمّم موقوف علی عدم سقوط حرمة المسّ مع الحدث کما لا یخفی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ذلک جماعة من الأصحاب و استظهروا ذلک من فحوی ما دلّ علی المنع من مسّ کتابة القرآن بدعوی أنّ المهانة فی مسّ الحدث لفظ الجلالة و صفاته الخاصّة کالمهانة فی مسّ کتابة القرآن مع الحدث لو لم یکن أقوی، و لکن لا یخفی ما فیه فإنّ مسّ کتابة القرآن مع الطهارة و إن یحسب تعظیماً و تکریماً، إلّا أنّ مسّه مع الحدث لا یجب مهانة و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لا دلالة لها علی تفریع النهی عن المسّ إلّا مع الطهارة علی کرامة</w:t>
      </w:r>
      <w:bookmarkStart w:id="166" w:name="pg12061_112499"/>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یتوضّأ لکلّ صلاة وضوءاً رافعاً للحدث و کان متوضّئاً یجب علیه نقضه ثمّ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نذر أن یتوضّأ لکلّ صلاة وضوءاً رافعاً للحدث و کان متوضّئاً یجب علیه نقضه ثمّ الوضوء، لکن فی صحّة مثل هذا النذر علی إطلاقه تأمّل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الکتابة لیتعدی إلی أسماء الأنبیاء و الأئمة علیهم السلام ،بل إلی مسّ أبدانهم بأن لا یجوز تقبیل ید الإمام علیه السلام بلا طهارة و کذا غیره ممّا ثبت کرامته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تقدّم مدلوله المنع عن مسّ کتابة القرآن مع الحدث و التعدّی إلی غیره مبنیّ علی الاحتیاط،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167" w:name="__RefHeading___Toc1723226_417432637"/>
      <w:bookmarkStart w:id="168" w:name="_Toc61"/>
      <w:bookmarkEnd w:id="167"/>
      <w:r>
        <w:rPr>
          <w:rtl w:val="true"/>
        </w:rPr>
        <w:t>نذر الوضوء</w:t>
      </w:r>
      <w:bookmarkEnd w:id="168"/>
    </w:p>
    <w:p>
      <w:pPr>
        <w:pStyle w:val="BookText"/>
        <w:rPr/>
      </w:pPr>
      <w:r>
        <w:rPr>
          <w:rFonts w:ascii="IRNazanin" w:hAnsi="IRNazanin" w:eastAsia="IRNazanin"/>
          <w:color w:val="111111"/>
          <w:sz w:val="28"/>
          <w:sz w:val="28"/>
          <w:szCs w:val="28"/>
          <w:rtl w:val="true"/>
          <w:lang w:bidi="fa-IR"/>
        </w:rPr>
        <w:t>لا ینبغی التأمّل فی صحّة نذر الوضوء الرافع للحدث للصلاة فیما کان مدافعاً للأخبثین، و إنّما الکلام فی صحّة النذر المزبور فیما إذا کان مطلقاً بحیث یعمّ نذره حال عدم مدافعتهما، و لیس الکلام فی صحّة النذر فیما إذا تعلق بالتوضّؤ الرافع للحدث علی تقدیر حدثه عند وقت الصلاة أو مطلقاً، و إنّما الکلام فیما إذا اقتضی الوفاء بالنذر نقض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الحکم فی المقام ینبغی ذکر أمر و هو أن اعتبار الرجحان شرعاً فی متعلّق النذر مما لا ینبغی التأمّل فیه، فإنّ مقتضی صیغة النذر کون ما یلتزم به الناذر للّٰه مطلوباً له، 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کذا من الفعل، یتبادر منه أنّ الفعل المزبور مطلوب و مرغوب لزید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ورد فی وجوب الوفاء بالنذر و أنّه یعتبر أن یکون فی متعلّقه رجحانه لو لا النذر، و علی ذلک فإن کان المنذور فی نفسه راجحاً و لکن کان الإتیان به مستلزماً لترک الأرجح فلا ینبغی التأمّل فی انعقاد نذر ذلک الراجح؛ لأنّه یمکن للمکلّف أن یترک کلا الفعلین، فالالتزام بالإتیان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الآخر بالإضافة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إلیه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عموم ما دلّ علی وجوب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ما إذا کان متعلّق النذر عنواناً أو أُخذ قیداً أو وصفاً یقتضی العنوان المزبور أو التقیید أو التوصیف فعل المرجوح خارجاً لیحصل ما تعلّق به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یکون الفعل المرجوح مقدّمة وجودیة لمتعلّق النذر، کما إذا تعلّق نذره بالتوبة أو بالصلاة فی مواضع التهمة أو بالوضوء الرافع للحدث، ففی هذه الصورة یقتضی تحقّق عنوان التوبة المعصیة و الصلاة فی تلک المواضع الدخول و المکث فیها، و الصلاة بالوضوء الرافع نقض الوضوء السابق، فإن کان الفعل المرجوح المزبور المنع فیه إلزامیاً فلا ینبغی التأمّل فی بطلان النذر، کما فی مثال نذر التوبة بنحو الواجب المطلق، حیث لا یجتمع النهی عن المعصیة مع الأمر بالتوبة بنحو الواجب المطلق حتّی بالإضافة إلی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المنع فی الفعل المزبور أی المقدّمة لمتعلّق النذر ترخیصاً، فقد یقال بانعقاد النذر حیث إنّ ما تعلّق به النذر و هی الصلاة فی تلک المواضع أو الوضوء الرافع للحدث للصلاة فی نفسه راجح، و المرجوحیّة فی المقدّمة لمتعلّق النذر أی فی الکون فی تلک المواضع أو نقض الوضوء السابق، و علی ذلک فإن کان قبل الصلاة علی وضوء یجب علیه نقضه من باب الوجوب الغیری أو اللزوم العقلی لیأتی بما تعلّق به نذره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الأظهر بطلان النذر حتّی فیما إذا کان المنع عن المقدّمة لما تعلّق به النذر ترخیصیّاً، فإنّ نفس الوضوء الرافع للحدث للصلاة فیما کان المکلف علی وضوء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یتعلّق به الأمر الاستحبابی و لا یکون من المکلّف الذی علی وضوء قیداً لصلاته فلا رجحان فیه شرعاً و لا عقلاً،بل الأمر فی نذر الصلاة فی موضع التهمة أظهر، حیث إنّ السجود فیه کون فی ذلک المکان فلا یمکن تعلّق الترخیص فی التطبیق و لا الأمر به کما أوضحنا ذلک فی بحث اجتماع الأمر و النهی و لو کان النهی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نذر التوبة أو الوضوء الرافع للحدث بنحو الواجب المشروط بالإضافة إلی العصیان و الحدث کان مطلوباً للشارع و ینعقد نذرهما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الفرق بین استلزام المنذور ترک الأرجح و بین کون المنذور موقوفاً علی العقل المرجوح و کان التوقّف لأخذ التقیّد بالمرجوح فی متعلّق النذر، حیث إنّ الأمر بالمقیّد بما هو مقیّد مطلقاً مع النهی و لو بنحو الکراهة عن القید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ما إذا کان متعلق النذر مقیداً بقید لا منع فی ذات القید لا إلزامیاً و لا ترخیصیّاً،بل المرجوحیّة فی نفس التقیید المأخوذ فی متعلّق النذر کنذر الصلاة فی الحمام، فإنّ الکون فی الحمّام لا کراهة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تقیید الصلاة به فیه مرجوحیّة، و المرجوحیّة فیها بمعنی نقص الثواب لعدم قبول العبادة للنهی الکراهتی المصطلح</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غرض الناذر فی نذره الصلاة فی الحمّام یکون تمامه فی التقیید کنذر الصلاة الیومیة فیه فإنّه لو لم یقع النذر المزبور یأتی بصلاته فی مکان ما، و لکن یکون غرضه من نذره أن یأتی بها فی الحمّام ففی هذه الصورة یحکم یبطلان نذره؛ لأنّه من نذر المرجوح، و قد لا یکون غرضه مجرّد إیقاعها فی الحمّام،بل کما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إیقاعها فیه منذور کذلک ذات الصلاة مقصودة کما فی نذر 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یکون الإیقاع فی الحمّام بعض المقصود، و فی هذه الصورة لو کان نذره انحلالیاً بأن نذر ذات الصلاة المزبورة و نذر أیضاً إیقاعها فی الحمّام بطل النذر الثانی و صح النذر الأوّل، و لو لم یکن نذره انحلالیاً بأن تکون الذات و التقیید غرضاً واحداً فی نذره الواحد بطل النذر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التقیید له غرضاً،بل أخذ فی متعلّق نذره للإشارة إلی نفس الذات و أن تقع فی الحمّام صحّ النذر مع فرض کون الذات مطلوبة فی ذلک الموضع و لو فی الجملة أی بمرتبة ناقصة، و المفروض أنّ الذات المزبورة لا یلزم منها ارتکاب فعل مرجوح نظیر نقض الوضوء بالحدث أو الکون فی موضع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إذا کان متعلّق نذره إیقاع ما علیه من الصلاة فی الحمّام أو إن صلی صلاة اللیل مثلاً فللّٰه علیه أن یصلّیها فی الحمّام فلا ینبغی التأمّل فی عدم انعقاد نذره لعدم الرجحان فی متعلّق نذره،بل نظیره نذر إیقاع الصلاة فی مکان لا یحصل معه کمال فی الصلاة بوجه و إن کان الإیقاع فیه غیر مرجوح بخلاف نذر إیقاعها فی مکان فیه فضل للصلاة کالصلاة فی المسجد أو فی المشهد الشریف، فیقول الناذر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إن صلیت صلاة اللیل فأُصلیها فی الحمّام أو فی البیت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تعلّق نذره بصلاة فی الحمّام فلا بدّ فی الحکم بصحّة النذر بالإضافة إلی الذات و البطلان بالإضافة إلی التقیید أن ینشئ الناذر النذر بحیث یکون النذر متعدّداً لا أنّ المنذور فقط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فرق واضح بین قول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صوم شهر 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فی کلّ یوم من أیام الشهر صوم ذلک الیوم، فوحدة النذر و تعدّده لا یدور مدار وحدة الغرض من المنذر أو تعدّده، فإنّ الناذر غرضه من صوم الأیام درک ثواب کلّ یوم من أیام الشهر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لو نذر الصلاة فی الحمّام بنحو یقتضی الذهاب إلی الحمّام و الدخول فیه لا بنحو الواجب المشروط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إن کنت فی الحمّام فأُصلّی رکعتین أو أُصلّی صلاة اللیل، فالظاهر بطلان نذره؛ لأنّه التزم بفعل أی بتقیید الصلاة و فیه مرجوحیّة،بخلاف ما إذا کان بنحو الواجب المشروط فإنّه قد التزم فیه بنفس الطبیعی، نظیر ما إذا نذر صلاة رکعتین تطوّعاً بعد طلوع الشمس، فإنّ المنذور فیه لیس إلّا فعل الصلاة کما لا یخفی و إن کان هذا الفعل بالإضافة إلی الفعل الآخر أو الفرد الآخر أقل ثواباً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استلزم النذر لزوم الدخول فی الحمّام و تقیید الصلاة به فلا ینعقد، و إن لم یستلزم ذلک بأن کان المنذور طبیعی الصلاة مطلقاً أو فیما إذا دخل الحمّام فلا بأس بالنذر المزبور، و ظاهر کلام القائل المزبور هو صورة استلزام النذر لزوم الدخول و التقیید کما لا یخفی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نذر الصلاة فی الحمّام لئلا یترک الطبیعی بالامتثال فی ذلک الفرد حیث رخّص الشارع فی التطبیق علیه فلا بأس بالالتزام بانعقاد النذر، و یجب علی المکلّف امتثال الطبیعی بذلک الفرد؛ لکون امتثال الأمر بالطبیعی به أولی من ترک الطبیعی رأساً، و هذا المقدار من رجحان المتعلّق کافٍ</w:t>
      </w:r>
      <w:bookmarkStart w:id="169" w:name="pg12061_112504"/>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الوضوء لسبب النذر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الوضوء لسبب النذر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أن یأتی بعمل یشترط فی صحّته الوضوء کالصلاة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أن یتوضّأ إذا أتی بالعمل الفلانی الغیر مشروط بالوضوء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ینذر أن لا یقرأ القرآن إلّا مع الوضوء فحینئذ لا یجب علیه القراءة لکن لو أراد أن یقرأ یجب علیه أن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أزید من ذلک عن اعتبار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نظیر الصلاة فی البیت کما یمکن أن یتعلّق به النذر بها حیث إنّ الطبیعی الإتیان به فی ذلک الفرد فی مقابل ترکه راجح، کذلک الحال فی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یبطل النذر فیما إذا لم یتعلّق النذر بذات الطبیعی،بل تعلّق علی تقدیر الإرادة الإتیان بتقییده بقید غیر راجح، و اللّٰه سبحانه هو العالم</w:t>
      </w:r>
      <w:r>
        <w:rPr>
          <w:rFonts w:eastAsia="IRNazanin" w:cs="IRNazanin"/>
          <w:color w:val="111111"/>
          <w:sz w:val="28"/>
          <w:szCs w:val="28"/>
          <w:rtl w:val="true"/>
          <w:lang w:bidi="fa-IR"/>
        </w:rPr>
        <w:t>.</w:t>
      </w:r>
    </w:p>
    <w:p>
      <w:pPr>
        <w:pStyle w:val="Heading4"/>
        <w:numPr>
          <w:ilvl w:val="3"/>
          <w:numId w:val="1"/>
        </w:numPr>
        <w:rPr/>
      </w:pPr>
      <w:bookmarkStart w:id="170" w:name="__RefHeading___Toc1723228_417432637"/>
      <w:bookmarkStart w:id="171" w:name="_Toc62"/>
      <w:bookmarkEnd w:id="170"/>
      <w:r>
        <w:rPr>
          <w:rtl w:val="true"/>
        </w:rPr>
        <w:t>أقسام وجوب الوضوء بالنذر</w:t>
      </w:r>
      <w:bookmarkEnd w:id="171"/>
    </w:p>
    <w:p>
      <w:pPr>
        <w:pStyle w:val="BookText"/>
        <w:rPr/>
      </w:pPr>
      <w:r>
        <w:rPr>
          <w:rFonts w:ascii="IRNazanin" w:hAnsi="IRNazanin" w:eastAsia="IRNazanin"/>
          <w:color w:val="111111"/>
          <w:sz w:val="28"/>
          <w:sz w:val="28"/>
          <w:szCs w:val="28"/>
          <w:rtl w:val="true"/>
          <w:lang w:bidi="fa-IR"/>
        </w:rPr>
        <w:t>فی هذا الفرض لم یتعلّق النذر بنفس الوضوء و إنّما تعلّق بالصلاة المقیّدة به فیتعلّق بالوضوء الوجوب الغیری بناءً علی الملازمة بین إیجاب ذی المقدّمة و لو بعنوان الوفاء بالنذر و بین وجوب مقدّمته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القرآن لا تتوقّف مشروعیّتها و استحبابها علی الوضوء، و لکن یوجب الفضیلة فی القراءة؛ و لذا یصحّ نذره لها و إذا تعلّق النذر بالوضوء عند قراءة القرآن فلا یجب علی الناذر قراءته، و لکن إذا أراد القراءة علیه أن یتوضّأ و إن قرأ بلا توضّؤ یجوز له تلک القراءة حیث لا تکون القراءة حنثاً لنذره و إنّما یکون حنثه بترک الوضوء</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بالعمل الکذائی مع الوضوء، کأن ینذر أن یقرأ القرآن مع الوضوء فحینئذ یجب الوضوء و القراءة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تلک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ما ذکر فی ظاهر عبارته مثل أن ینذر أن لا یقرأ القرآن إلّا مع الوضوء لا یکون مثالاً لما ذکره و هو تعلّق النذر بالوضوء للفعل الفلانی، و فی المثال المزبور تعلّق النذر بترک القراءة إلّا مع الوضوء، و نذره ترکها إلّا مع الوضوء باطل؛ لأنّ قراءته بلا وضوء أیضاً راجح، و قد نذر ترک الراجح فإن أُرید تعلّق النذر بالراجح فعلیه أن ینذر الوضوء لقراءته کما ذکر أوّلاً، و معه لا تکون القراءة بلا وضوء محرّماً، و إنّما یکون الحنث بترک الوضوء لتلک القراءة فعدم القراءة إلّا بالوضوء لا متعلّق للنذر و لا القراءة بدونه متعلّق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نذر الوضوء لقراءته یکون حنثه عند قراءة القرآن حیث لو لم یتوضّأ للقراءة یحصل الحنث عند تلک القراءة بترک الوضوء لا أنّه یحصل الحنث بتلک القراءة، و بین الأمرین فرق لا یخفی للمتأمّل، و لو تعلّق النذر بترک القراءة بلا وضوء، و فرض انعقاد النذر حرمت نفس القراءة بلا وضوء لکونه حنثاً، و لو لم یتمکّن من الوضوء سقط وجوبه علی الأوّل؛ لاشتراط وجوب الوجوب عن الوضوء بالتعذر، و جازت القراءة بدونه،بخلاف فرض ترک القراءة بلا وضوء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فی الفرض الوضوء قید لما تعلّق به نذره و هی القراءة، فتجب القراءة بالوضوء بنحو الواجب المطلق، و لو قرأ فی الفرض أیضاً بلا وضوء صحّت قراءته حیث حصل الحنث بترک ما وجب علیه و هی القراءة بالوضوء لا بالقراءة بلا وضوء کما تقدّم، و لو توضّأ و لم یقرأ حصل الحنث أیضاً بترک القراءة</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الکون علی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أن یتوضّأ من غیر نظر إلی الکون علی الطهارة، و جمیع هذه الأقسام صحیح، لکن ربما یستشکل فی الخامس من حیث إنّ صحّته موقوفة علی ثبوت الاستحباب النفسی للوضوء و هو محلّ إشکال لکنّ الأقوی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مسّ کتابة القرآن علی المحدث بین أن یکون بالید أو بسائر أجزاء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حرمة مسّ کتابة القرآن علی المحدث بین أن یکون بالید أو بسائر أجزاء البدن و لو بالباطن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کمسّها باللسان أو بالأسنان، و الأحوط ترک المسّ بالشعر أیضاً و إن کان لا یبعد 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بالوضوء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مبنیّ علی ما هو المشهور عندهم من أنّ الکون علی الطهارة أمر مسبّب عن التوضّؤ بالنحو القربی یعنی الوضوء بقصد الغایة، و أمّا بناءً علی أنّ الوضوء بنفسه طهارة فیعتبر البقاء فیه ما لم یقع الحدث یکون نذر الکون علی الطهارة هو نذر الکون علی الوضوء، و قد تقدّم سابقاً أنّ مع الالتزام بکون الوضوء محصّلاً للطهارة یشکل إثبات الاستحباب النفسی للوضوء،بل یکون الاستحباب النفسی للکون علی الطهارة، و ما ذکر فی المتن من أنّ الأقوی الاستحباب النفسی لنفس الوضوء أیضاً لا یمکن المساعدة علیه، و لعلّه للاعتماد علی بعض ما تقدّم من الروایة التی کانت ضعیفة سنداً و لعلّه قدس سره یری التسامح فی أدلّة السنن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للإطلاق فی مثل موثّقة أبی بصیر المتقدّمة الواردة فیمن قرأ فی المصحف بلا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یمسّ الکتاب</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حیث إنّ ظاهره عدم جواز مسّ کتابة القرآن بشیء من الجسد من غیر وضوء، فلا وجه لاختصاص عدم جواز المسّ بباطن</w:t>
      </w:r>
      <w:bookmarkStart w:id="172" w:name="pg12061_112507"/>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 المسّ ابتداءً او استدامةً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المسّ ابتداءً او استدامةً، فلو کان یده علی الخط فأحدث یجب علیه رفعها فوراً، و کذا لو مسّ غفلةً ثمّ التفت أنّه محدث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الماحی للخط أیضاً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 الماحی للخط أیضاً حرام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أن یمحوه باللسان أو بالید الرطبة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أنواع الخطوط حتّی المهجور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أنواع الخطوط حتّی المهجور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کالکوفی، و کذا</w:t>
      </w:r>
    </w:p>
    <w:p>
      <w:pPr>
        <w:pStyle w:val="BookText"/>
        <w:rPr/>
      </w:pPr>
      <w:r>
        <w:rPr>
          <w:rFonts w:ascii="IRNazanin" w:hAnsi="IRNazanin" w:eastAsia="IRNazanin"/>
          <w:color w:val="111111"/>
          <w:sz w:val="28"/>
          <w:sz w:val="28"/>
          <w:szCs w:val="28"/>
          <w:rtl w:val="true"/>
          <w:lang w:bidi="fa-IR"/>
        </w:rPr>
        <w:t xml:space="preserve">الکفّ علی ما قیل </w:t>
      </w:r>
      <w:r>
        <w:rPr>
          <w:rStyle w:val="FootnoteAnchor"/>
          <w:rtl w:val="true"/>
        </w:rPr>
        <w:footnoteReference w:id="482"/>
      </w:r>
      <w:r>
        <w:rPr>
          <w:rFonts w:ascii="IRNazanin" w:hAnsi="IRNazanin" w:eastAsia="IRNazanin"/>
          <w:color w:val="111111"/>
          <w:sz w:val="28"/>
          <w:sz w:val="28"/>
          <w:szCs w:val="28"/>
          <w:rtl w:val="true"/>
          <w:lang w:bidi="fa-IR"/>
        </w:rPr>
        <w:t xml:space="preserve">، و لا ما عن جماعة من اختصاص الحکم بما تحلّ فیه الحیاة فلا بأس بالمسّ بالظفر و الأسنان </w:t>
      </w:r>
      <w:r>
        <w:rPr>
          <w:rStyle w:val="FootnoteAnchor"/>
          <w:rtl w:val="true"/>
        </w:rPr>
        <w:footnoteReference w:id="483"/>
      </w:r>
      <w:r>
        <w:rPr>
          <w:rFonts w:ascii="IRNazanin" w:hAnsi="IRNazanin" w:eastAsia="IRNazanin"/>
          <w:color w:val="111111"/>
          <w:sz w:val="28"/>
          <w:sz w:val="28"/>
          <w:szCs w:val="28"/>
          <w:rtl w:val="true"/>
          <w:lang w:bidi="fa-IR"/>
        </w:rPr>
        <w:t xml:space="preserve">، أو التردّد فیه کما عن الشیخ الأنصاری قدس سره </w:t>
      </w:r>
      <w:r>
        <w:rPr>
          <w:rStyle w:val="FootnoteAnchor"/>
          <w:rtl w:val="true"/>
        </w:rPr>
        <w:footnoteReference w:id="484"/>
      </w:r>
      <w:r>
        <w:rPr>
          <w:rFonts w:ascii="IRNazanin" w:hAnsi="IRNazanin" w:eastAsia="IRNazanin"/>
          <w:color w:val="111111"/>
          <w:sz w:val="28"/>
          <w:sz w:val="28"/>
          <w:szCs w:val="28"/>
          <w:rtl w:val="true"/>
          <w:lang w:bidi="fa-IR"/>
        </w:rPr>
        <w:t>،بل یشکل جواز المسّ بالشعر أیضاً فیما إذا کان خفیفاً یعدّ من توابع العضو کالشعر النابت علی الید و الذراعین؛ و لذا یعدّ غسله من غسل العضو، نعم الشعر الطویل الخارج عن تبعیّة الوضوء کالظلف فلا یعدّ المس به إلّا کالمسّ بمثل ثوبه</w:t>
      </w:r>
      <w:r>
        <w:rPr>
          <w:rFonts w:eastAsia="IRNazanin" w:cs="IRNazanin"/>
          <w:color w:val="111111"/>
          <w:sz w:val="28"/>
          <w:szCs w:val="28"/>
          <w:rtl w:val="true"/>
          <w:lang w:bidi="fa-IR"/>
        </w:rPr>
        <w:t>.</w:t>
      </w:r>
    </w:p>
    <w:p>
      <w:pPr>
        <w:pStyle w:val="Heading4"/>
        <w:numPr>
          <w:ilvl w:val="3"/>
          <w:numId w:val="1"/>
        </w:numPr>
        <w:rPr/>
      </w:pPr>
      <w:bookmarkStart w:id="173" w:name="__RefHeading___Toc1723230_417432637"/>
      <w:bookmarkStart w:id="174" w:name="_Toc63"/>
      <w:bookmarkEnd w:id="173"/>
      <w:r>
        <w:rPr>
          <w:rtl w:val="true"/>
        </w:rPr>
        <w:t>مسّ القرآن مع الحدث</w:t>
      </w:r>
      <w:bookmarkEnd w:id="174"/>
    </w:p>
    <w:p>
      <w:pPr>
        <w:pStyle w:val="BookText"/>
        <w:rPr/>
      </w:pPr>
      <w:r>
        <w:rPr>
          <w:rFonts w:ascii="IRNazanin" w:hAnsi="IRNazanin" w:eastAsia="IRNazanin"/>
          <w:color w:val="111111"/>
          <w:sz w:val="28"/>
          <w:sz w:val="28"/>
          <w:szCs w:val="28"/>
          <w:rtl w:val="true"/>
          <w:lang w:bidi="fa-IR"/>
        </w:rPr>
        <w:t>فإنّه لا فرق فی الارتکاز و الفهم العرفی بین أن یکون الفعل فی حدوثه داخلاً فی العنوان المنهی عنه أو یدخل فیه فی بقائه فلو حاضت المرأة أثناء الوطی وجب الإخراج و الحدث فی المسّ بقاءً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یصدق مسّ کتابة القرآن مع الحدث و إن ترتّب علی المسّ محو الکتابة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یصدق علی المسّ المزبور مسّ المحدث کتابة القرآن حتّی فیما إذا</w:t>
      </w:r>
    </w:p>
    <w:p>
      <w:pPr>
        <w:pStyle w:val="BookText"/>
        <w:rPr/>
      </w:pPr>
      <w:r>
        <w:rPr>
          <w:rFonts w:ascii="IRNazanin" w:hAnsi="IRNazanin" w:eastAsia="IRNazanin"/>
          <w:color w:val="111111"/>
          <w:sz w:val="28"/>
          <w:sz w:val="28"/>
          <w:szCs w:val="28"/>
          <w:rtl w:val="true"/>
          <w:lang w:bidi="fa-IR"/>
        </w:rPr>
        <w:t>لا فرق بین أنحاء الکتابة من الکتب بالقلم أو الطبع أو القصّ بالکاغذ أو الحفر أو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القرآن بین الآیة و الکلمة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القرآن بین الآیة و الکلمة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الحرف، و إن کان یکتب و لا یقرأ کالألف فی قالوا و آمنوا،بل الحرف الذی یقرأ و لا یکتب إذا کتب، کما فی الواو الثانی من داود إذا کتب بواوین، و کالألف فی رحمن و لقمان إذا کتب کرحمان و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الخط المزبور مهجوراً أو حتّی ما إذا کان الخطّ غیر عربی کالکتابة بالانکلیزی بأن یکتب ما فی القرآن من الألفاظ بخطّ غیر العربی، لا أن یترجم ألفاظه بغیر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فرق بین الکتابة الظاهرة و الکتابة التی لا تظهر إلّا بعمل کعرض القرطاس علی النار، کما إذا کتب القرآن فی القرطاس بماء البصل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استشکل الشیخ الأنصاری قدس سره </w:t>
      </w:r>
      <w:r>
        <w:rPr>
          <w:rStyle w:val="FootnoteAnchor"/>
          <w:rtl w:val="true"/>
        </w:rPr>
        <w:footnoteReference w:id="485"/>
      </w:r>
      <w:r>
        <w:rPr>
          <w:rFonts w:ascii="IRNazanin" w:hAnsi="IRNazanin" w:eastAsia="IRNazanin"/>
          <w:color w:val="111111"/>
          <w:sz w:val="28"/>
          <w:sz w:val="28"/>
          <w:szCs w:val="28"/>
          <w:rtl w:val="true"/>
          <w:lang w:bidi="fa-IR"/>
        </w:rPr>
        <w:t>فی الکتابة بالحفر حیث إنّ الشخص لا یمسّ معه الکتابة، حیث إنّ الکتابة قائمة بالهواء و مثله ما فی الشبائک المخرّمة حیث إنّه إذا وقع نور الشمس علیها یری صورة نقوش الکلمات علی الأرض أو الجدار، و لکن الظاهر بقرینة الارتکاز و الفهم العرفی عدم الفرق فی کلّ ذلک و أنّه یعدّ المسّ فی ذلک کلّه مسّ القرآن بلا وضوء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لحرمة المسّ کتابة القرآن و کما یصدق کتابته علی مجموع الآیة کذلک علی الکلمة من الآیة،بل من الحرف من کلمة الآیة حتّی ما إذا کان الحرف مما لا یقرأ و لکن یکتب کما فی الألف بعد واو الجمع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لا یکتب و لکن یقرأ فإنّه إذا کتب کما فی الألف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فیما إذا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کان فی القرآن أو 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کان فی القرآن أو فی 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وجدت کلمة من القرآن فی کاغذ،بل أو نصف الکلمة، کما إذا قصّ من ورق القرآن أو الکتاب یحرم مسّها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بصورة الرحمن و لقمان، و لکن هذا فیما إذا لم یعدّ کتابته زائداً و غلطاً، و لا یبعد أن تکون الواو الثانیة من داود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صدق علیه کتابة القرآن و إن یعدّ غلطاً فی کتابة کلماته کما إذا کتب الآیات بالحروف المقطّعة فلا یجوز مسّ شیء منهما کصدق کتابة القرآن علی کتابة الحروف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یتوهّم أنّ الموضوع لحرمة المسّ و إن تکن کتابة القرآن و لو بحرف منه إلّا أنّ الکتابة فیما کانت فی ضمن الهیئة الاجتماعیّة أی فی ضمن مجموع القرآن، و قد تقدّم فی موثّقة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عمّن قرأ فی المصحف و هو علی غیر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لا یمسّ الکتاب</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مثلها لا تعمّ الآیة المکتوبة فی کتاب فقه أو غیره فضلاً عمّا کان فی مکتوب شخص إلی آخر، و لکن لا یخفی أنّ المتفاهم العرفی أنّ النهی عن مسّ الکتابة من المصحف لحرمة تلک الکتابة آیة کانت الممسوس أو کلمة منها أو حرفاً من الکلمة، و هذه الحرمة ثابتة للآیة و کلماته و حروفها حتّی ما إذا کتبت الآیة فی لوح أو کتاب فقه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یستظهر هذا التحریم من صحیحة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التعویذ یعلّق علی الحائض؟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تکتبه و لکن لا تصیبه یدها</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حیث إنّ التعویذ لا یخلو عن شیء من کتاب اللّٰه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التعویذ یعلّق علی الحائض؟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فی جلد أو فضة أو قصبة حدید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لکن عن الشهید قدس سره التصریح بجواز مسّ الدراهم البیض المکتوب علیها شیء من الکتاب و استدل علیه بخبر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یمسّ الجنب الدرهم الأبیض؟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لأُوتی بالدرهم فآخذه و إنی لجنب و ما سمعت أحداً یکره من ذلک شیئاً إلّا عبد اللّٰه بن محمّد کان یعیبهم عیباً شدیداً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جعلوا سورة من القرآن فی الدرهم فیعطی الزانیة و فی الخمر و یوضع علی لحم الخنزیر </w:t>
      </w:r>
      <w:r>
        <w:rPr>
          <w:rStyle w:val="FootnoteAnchor"/>
          <w:rtl w:val="true"/>
        </w:rPr>
        <w:footnoteReference w:id="489"/>
      </w:r>
      <w:r>
        <w:rPr>
          <w:rFonts w:ascii="IRNazanin" w:hAnsi="IRNazanin" w:eastAsia="IRNazanin"/>
          <w:color w:val="111111"/>
          <w:sz w:val="28"/>
          <w:sz w:val="28"/>
          <w:szCs w:val="28"/>
          <w:rtl w:val="true"/>
          <w:lang w:bidi="fa-IR"/>
        </w:rPr>
        <w:t>،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سمعت أحداً یکره من ذلک الخ، یحتمل أن یکون من تتمّة کلام الإمام علیه السلام أو من قول محمّد بن مسلم، و ظاهرها کونه من کلام الإمام علیه السلام حیث لم یکرر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من کلام محمّد بن مسلم أیضاً لدل علی جواز مسّ کتابة القرآن علی الدرهم محدثاً، و لا یحتمل الفرق بین کتابته علی الدرهم أو کتابته علی اللوح أو غیره و أضاف فی المعتبر فی الاستدلال علی الجواز بلزوم الحرج</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لا یمکن الاعتماد علی الروایة فإنّه لم یعهد روایة البزنطی عن محمّد بن مسلم مع اختلاف طبقتهما ففی البین واسطة لم یظهر لنا من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کان فی القرآن أو فی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الکلمات المشترکة بین القرآن و غیره المناط قصد الکاتب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سند المحقّق إلی کتاب أحمد بن محمّد بن البزنطی غیر مذکور مع أنّ غایة مدلولهما جواز أخذ الدرهم المکتوب علیه شیئاً من القرآن جنباً لا جواز مسّ کتابته، و یقرب کون المراد مجرّد أخذه جنباً أنّ المسح إذا لم یکن محرّماً فلا ینبغی التأمّل فی کراهته کما یشهد لذلک النهی الوارد فی مسّ الحائض التعویذ فکیف یمکن الالتزام بعدم اعتناء الإمام علیه السلام بالکراهة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لزوم الحرج فلم یثبت کون غالب الدراهم کان علیها شیئاً من کتابة القرآن، نعم کان علیها کما قیل اسم اللّٰه و مسّ المحدث بالأصغر اسم اللّٰه أو مسّه مع الحدث الأکبر غیر المهم فی المقام و هو عدم جواز مسّ شیء من کتابة القرآن مع الحدث سواء کان فی المصحف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صدق مسّ شیء من کتابة القرآن علی مسّ الکلمات المشترکة یتوقّف علی قصد الکاتب کتابة ما فی القرآن من الآیة أو بعضها حتّی الکلمة منها، کما یقال فی التمثیل للألف و اللام للاستغراق کقوله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و أما إذا کتب کلمة توجد فی القرآن أیضاً سواء استعملها فی معنی آخر فی کتابته کما فی کلمات موسی و عیسی و یوسف، أو استعمل ما استعمل فیه فی القرآن کما فی قال و ذهب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الماتن إشارة إلی أنّه لا یعتبر قصد الکاتب فی الکلمة المختصّة کما فی الحروف المقطّعة فی أوائل السور، و لکن مجرّد کتابة ما یوجد فی الکتاب المجید</w:t>
      </w:r>
      <w:bookmarkStart w:id="175" w:name="pg12061_112512"/>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کتب علیه القرآن بین الکاغذ و اللوح و الأرض و الجدار و الثوب،بل و بدن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کتب علیه القرآن بین الکاغذ و اللوح و الأرض و الجدار و الثوب،بل و بدن الإنسان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کتب علی یده لا یجوز مسّه عند الوضوء،بل یجب محوه أوّلاً ثمّ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إذا لم یقصد کاتبه کتابة ما فی القرآن،بل لم یعلم بوجوده فی القرآن لا تصدق علی مسّه مسّ کتابة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کتابة القرآن کقراءته و کما أنّ القراءة تتوقّف علی قصد القارئ أن یحکی القرآن کذلک کتابته تتوقّف علی قصد القارئ أن یکتبه، فالتلفظ بلفظ اتّفق عدم وجوده إلّا فی القرآن أو کتابته لا یصدق علیه قراءة القرآن أو کتابته، و إن صدق علیه أنّه تلفّظ أو کتب ما فی القرآن خاصّة، فالموضوع للحکم هو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التشدید و المدّ و الهمزة کالإعراب لا تدخل فی کتابة القرآن،بل حالها حال علامات الوقف و الوصل،بخلاف النقاط علی الحروف فیمکن أن یقال بأنها من أجزاء الحرف و إن لا یکتب بعضاً، و لکن فی صدق الکتابة أیضاً علی الحروف تأمّل ظاهر فإنه لا یقال إنّه کتب نقطة و یقال إنّه کتب حرفاً</w:t>
      </w:r>
      <w:r>
        <w:rPr>
          <w:rFonts w:eastAsia="IRNazanin" w:cs="IRNazanin"/>
          <w:color w:val="111111"/>
          <w:sz w:val="28"/>
          <w:szCs w:val="28"/>
          <w:rtl w:val="true"/>
          <w:lang w:bidi="fa-IR"/>
        </w:rPr>
        <w:t>.</w:t>
      </w:r>
    </w:p>
    <w:p>
      <w:pPr>
        <w:pStyle w:val="Heading4"/>
        <w:numPr>
          <w:ilvl w:val="3"/>
          <w:numId w:val="1"/>
        </w:numPr>
        <w:rPr/>
      </w:pPr>
      <w:bookmarkStart w:id="176" w:name="__RefHeading___Toc1723232_417432637"/>
      <w:bookmarkStart w:id="177" w:name="_Toc64"/>
      <w:bookmarkEnd w:id="176"/>
      <w:r>
        <w:rPr>
          <w:rtl w:val="true"/>
        </w:rPr>
        <w:t>فروع مس المحدث کتابة القرآن</w:t>
      </w:r>
      <w:bookmarkEnd w:id="177"/>
    </w:p>
    <w:p>
      <w:pPr>
        <w:pStyle w:val="BookText"/>
        <w:rPr/>
      </w:pPr>
      <w:r>
        <w:rPr>
          <w:rFonts w:ascii="IRNazanin" w:hAnsi="IRNazanin" w:eastAsia="IRNazanin"/>
          <w:color w:val="111111"/>
          <w:sz w:val="28"/>
          <w:sz w:val="28"/>
          <w:szCs w:val="28"/>
          <w:rtl w:val="true"/>
          <w:lang w:bidi="fa-IR"/>
        </w:rPr>
        <w:t>قد تقدّم عدم الفرق فیما کتب علیه القرآن و أوجد فیه نقوشه و إذا کتب شیئاً من القرآن علی یده مثلاً لا یجوز مسّه حتّی عند الوضوء،بل یجب علیه محو تلک الکتابة بصبّ الماء أو بغیره أولاً ثمّ الوضوء، نعم لو أمکن وصول الماء إلی البشرة بصبّ الماء یمکن أن ینوی الوضوء بالصب المزبور من غیر أن تمسّ یده ذلک الموضع، و کذلک التوضّؤ فی ارتماس العضو فی الماء</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یجب محو الکتابة عند الحدث و إن لم یتوضّأ، و یلزم علی المصنف أن یلتزم بوجوب المحو مع الحدث لما یذکر فی المسألة 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 علی الکاغذ بلا مداد فالظاهر عدم المنع من 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 علی الکاغذ بلا مداد فالظاهر عدم المنع من مسّه؛ لأنّه لیس خطاً، نعم لو کتب بما یظهر أثره بعد ذلک فالظاهر حرمته کماء البصل فإنّه لا أثر له إلّا إذا أُحمی علی النار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المسّ من وراء الشیشة و إن کان الخطّ مرئیاً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وضع علیه کاغذ رقیق یری الخطّ تحته، و کذا المنطبع فی المرآة، نعم لو</w:t>
      </w:r>
    </w:p>
    <w:p>
      <w:pPr>
        <w:pStyle w:val="BookText"/>
        <w:rPr/>
      </w:pPr>
      <w:r>
        <w:rPr>
          <w:rFonts w:ascii="IRNazanin" w:hAnsi="IRNazanin" w:eastAsia="IRNazanin"/>
          <w:color w:val="111111"/>
          <w:sz w:val="28"/>
          <w:sz w:val="28"/>
          <w:szCs w:val="28"/>
          <w:rtl w:val="true"/>
          <w:lang w:bidi="fa-IR"/>
        </w:rPr>
        <w:t>علی بدن المحدث و إن کان الکاتب علی وضوء فالظاهر حرمته، فإنّ مقتضی ذلک أنّ الکتابة علی بدن المحدث یحسب من مس المحدث الکتابة، و بما أنّ إیجاد المسّ بالمباشرة و إیجاده بالتسبیب سیّان فی الحرمة فلا یجوز للکاتب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نذکر فی تلک المسألة ظهور المسّ فی تعدّد الماسّ و الممسوس حیث إنّ مسّ الشیء بالشیء یقتضی تعدّد العضو الماسّ مع ما علیه من کتابة القرآن، و علیه فالمسّ الحرام یتحقّق فی الفرع بمسّ الکتابة عند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لم یظهر أثره بعد الکتابة حتّی بالعلاج فعدم حرمة المسّ لعدم کتابة القرآن بخلاف ما یظهر أثره بعد ذلک، فإنّ الکتابة موجودة حال المسّ حیث إنّ مثل عرض الورق علی النار موجب لبروز الکتابة لا لتکوّنها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موثقة أبی بصیر </w:t>
      </w:r>
      <w:r>
        <w:rPr>
          <w:rStyle w:val="FootnoteAnchor"/>
          <w:rtl w:val="true"/>
        </w:rPr>
        <w:footnoteReference w:id="491"/>
      </w:r>
      <w:r>
        <w:rPr>
          <w:rFonts w:ascii="IRNazanin" w:hAnsi="IRNazanin" w:eastAsia="IRNazanin"/>
          <w:color w:val="111111"/>
          <w:sz w:val="28"/>
          <w:sz w:val="28"/>
          <w:szCs w:val="28"/>
          <w:rtl w:val="true"/>
          <w:lang w:bidi="fa-IR"/>
        </w:rPr>
        <w:t>بل و غیرها النهی عن مسّ کتابة القرآن بأن یمسّ عضو المحدث السطح الظاهر من مثل الورق الذی علیه کتابة القرآن بحیث یکون مسّ السطح المزبور مسّاً للکتابة مع الحدث، و إذا حال بین ذلک السطح الشیشة أو کاغذ رقیق و إن یری الخطّ فلا یکون مسّ الشیشة أو الورق المزبور مسّاً لکتابة القرآن، و هکذا الأمر فی المنطبع فی المرآة مع أنّ مسّ المرآة المنطبع فی المرآة یوجب زوال</w:t>
      </w:r>
    </w:p>
    <w:p>
      <w:pPr>
        <w:pStyle w:val="BookText"/>
        <w:rPr/>
      </w:pPr>
      <w:r>
        <w:rPr>
          <w:rFonts w:ascii="IRNazanin" w:hAnsi="IRNazanin" w:eastAsia="IRNazanin"/>
          <w:color w:val="111111"/>
          <w:sz w:val="28"/>
          <w:sz w:val="28"/>
          <w:szCs w:val="28"/>
          <w:rtl w:val="true"/>
          <w:lang w:bidi="fa-IR"/>
        </w:rPr>
        <w:t>نفذ المداد فی الکاغذ حتّی ظهر الخطّ من الطرف الآخر لا یجوز مسّه خصوصاً إذا کتب بالعکس فظهر من الطرف الآخر طرداً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ترک مسّ المسافة الخالیة التی یحیط بها الحرف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 المسافة الخالیة التی یحیط بها الحرف کالحاء أو العین مثلا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 الترک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کتابة المحدث آیة من القرآن بإصبعه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کتابة المحدث آیة من القرآن بإصبعه علی الأرض أو غیرها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عدم الحرمة، فإنّ الخطّ یوجد بعد المسّ، و أمّا الکتب علی بدن المحدث و إن کان الکاتب علی وضوء فالظاهر حرمته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خصوصاً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الکتابة، نعم إذا نفذ المداد من الکاغذ بحیث ظهر الخط من الجانب الآخر حرم مسّه؛ لأنّ مسّ الخطّ لا یجوز سواء کان کتابة القرآن فیه مقلوباً أو غیر 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یظهر وجه الإشکال فإنّ المسافة الخالیة لا یصدق علیها کتابة القرآن حتّی یحرم مسّها بلا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قدس سره نفی البعد عن عدم حرمة کتابة القرآن بإصبعه علی الأرض أو غیره مع الحدث،بأنّ کتابته أی الخطّ یحدث بعد المسّ فلا یقع المسّ علی ما علیه الخطّ، و لکن لا یخفی أنّ حصول الخطّ یحصل زمان المسّ و إن کانت رتبة المسّ متقدّمة علی الخطّ، فالقول بعدم الحرمة مبنیّ علی دعوی أنّ ظاهر موثّقة أبی بصیر </w:t>
      </w:r>
      <w:r>
        <w:rPr>
          <w:rStyle w:val="FootnoteAnchor"/>
          <w:rtl w:val="true"/>
        </w:rPr>
        <w:footnoteReference w:id="492"/>
      </w:r>
      <w:r>
        <w:rPr>
          <w:rFonts w:ascii="IRNazanin" w:hAnsi="IRNazanin" w:eastAsia="IRNazanin"/>
          <w:color w:val="111111"/>
          <w:sz w:val="28"/>
          <w:sz w:val="28"/>
          <w:szCs w:val="28"/>
          <w:rtl w:val="true"/>
          <w:lang w:bidi="fa-IR"/>
        </w:rPr>
        <w:t>بل و غیرها المنع عن مسّ الخطّ الذی کان موجوداً قبل المسّ، و لا یعم ما إذا حصل بالمسّ و دعوی عدم الفرق فی الحکم بحسب الفهم العرفی لا تخلو عن تأمّل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الحکم بالتحریم مبنیّ علی أنّ الکتابة علی بدن المحدّث إیجاد للمسّ من المحدث بالتسبیب، نظیر ما إذا أخذ ید المحدث و أمرّها علی کتابة</w:t>
      </w:r>
    </w:p>
    <w:p>
      <w:pPr>
        <w:pStyle w:val="BookText"/>
        <w:rPr/>
      </w:pPr>
      <w:r>
        <w:rPr>
          <w:rFonts w:ascii="IRNazanin" w:hAnsi="IRNazanin" w:eastAsia="IRNazanin"/>
          <w:color w:val="111111"/>
          <w:sz w:val="28"/>
          <w:sz w:val="28"/>
          <w:szCs w:val="28"/>
          <w:rtl w:val="true"/>
          <w:lang w:bidi="fa-IR"/>
        </w:rPr>
        <w:t>کان بما یبقی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منع الأطفال و المجانین من المسّ إلّا إذا کان ممّا یعدّ هتکاً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منع الأطفال و المجانین من المسّ إلّا إذا کان ممّا یعدّ هتکاً، نعم الأحوط عدم التسبیب لمسّهم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قیل بأنّ الکتابة علی بدن المحدث لا یکون تسبیباً للمسّ حیث إنّ المسّ یقتضی تعدّد الجزء الماس مع الجزء الممسوس خارجاً فلا وجه للالتزام بالحرمة، نعم ترکه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 من الطفل أو المجنون لا یکون محرّماً علی الماسّ حتّی یلزم منعه عنه، نعم إذا کان المسّ بنحو یُعَد هتکاً کما إذا کان الطفل یلعب بورق القرآن یجب علی المکلّف رفع الهتک أو دفعه کما تقدّم فی مسألة إخراج القرآن عن موضع یکون بقاؤه فیه هتکاً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التسبیب بمسّ الطفل ورق القرآن بدفع القرآن إلیه مع العلم بمسّ الکتابة مع الحدث أو وضع إصبع الطفل علی خطه لیقرأه فلا وجه لتحریمه، فإنّ تحریم الفعل علی المکلّف و إن یتبادر منه أنّ صدور الفعل عنه حرام کذلک إصداره عن الغیر أیضاً محرّم، إلّا أنّ الفهم العرفی فیما إذا کان الفعل المزبور محرّماً علی ذلک الغیر أیضاً و إن کان جهله عذراً أو إکراهه و إجباره موجباً لارتفاع الحرمة عنه، و لا یکون هذا فی تسبیب الطفل أو المجنون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ورد دلیل علی منع الطفل عن فعل قبیح کشرب الخمر و السرقة و القتل و نحوها یفهم منه عرفاً عدم جواز التسبیب إلی صدور ذلک القبیح عنه بالفحوی، و من الظاهر أنّ مسّ الطفل إذا لم یکن هتکاً للقرآن لم یجب المنع حتّی یحرم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توضّأ الصبی الممیّز فلا إشکال فی مسّه بناءً علی الأقوی من صحّة وضوئه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عباداته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 المحدث مسّ غیر الخطّ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علی المحدث مسّ غیر الخطّ من ورق القرآن حتّی ما بین السطور و الجلد و الغلاف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یکره ذلک کما أنّه یکره تعلیقه و 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 لیست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 لیست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لغة کانت، فلا بأس بمسّها</w:t>
      </w:r>
    </w:p>
    <w:p>
      <w:pPr>
        <w:pStyle w:val="BookText"/>
        <w:rPr/>
      </w:pPr>
      <w:r>
        <w:rPr>
          <w:rFonts w:ascii="IRNazanin" w:hAnsi="IRNazanin" w:eastAsia="IRNazanin"/>
          <w:color w:val="111111"/>
          <w:sz w:val="28"/>
          <w:sz w:val="28"/>
          <w:szCs w:val="28"/>
          <w:rtl w:val="true"/>
          <w:lang w:bidi="fa-IR"/>
        </w:rPr>
        <w:t>بناءً علی مشروعیة عبادات الصبی أی استحبابها شرعاً أو وجوبها کذلک مع عدم ترتّب الجراء بالعقاب علی المخالفة فیکون الوضوء الصادر عنه کالوضوء الصادر عن البالغین طهارة، فلا یکون مسّه الکتابة بلا طهارة حتّی یناقش فی تمکینه من المصحف أو تسبیبه إلی مسّه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الموضوع لحرمة المسّ کتابة المصحف، و لا یکون ما بین السطور و الجلد و الغلاف داخلاً فی ذلک الموضوع، نعم فی روایة إبراهیم بن عبد الحمید 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 تمسّه علی غیر طهر و لا جنباً و لا تمسّ خطّه و لا تعلّقه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IRNazanin" w:hAnsi="IRNazanin" w:eastAsia="IRNazanin"/>
          <w:color w:val="111111"/>
          <w:sz w:val="28"/>
          <w:sz w:val="28"/>
          <w:szCs w:val="28"/>
          <w:rtl w:val="true"/>
          <w:lang w:bidi="fa-IR"/>
        </w:rPr>
        <w:t>فإنّه لا بدّ من حمل النهی عن التعلیق و مسّ الجلد و الورق علی الکراهة جمعاً بینها و بین مرسلة حریز عمن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إسماعیل بن أبی عبد اللّه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اقرأ المصحف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علی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الکتابة و مسّ الورق و اقرأه</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هذا بناءً علی التسامح فی أدلّة السنن و إلّا فلا یمکن الاعتماد علی شیء منهما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لحرمة المسّ کتابة القرآن و الألفاظ التی تکون ترجمة القرآن بها</w:t>
      </w:r>
    </w:p>
    <w:p>
      <w:pPr>
        <w:pStyle w:val="BookText"/>
        <w:rPr/>
      </w:pPr>
      <w:r>
        <w:rPr>
          <w:rFonts w:ascii="IRNazanin" w:hAnsi="IRNazanin" w:eastAsia="IRNazanin"/>
          <w:color w:val="111111"/>
          <w:sz w:val="28"/>
          <w:sz w:val="28"/>
          <w:szCs w:val="28"/>
          <w:rtl w:val="true"/>
          <w:lang w:bidi="fa-IR"/>
        </w:rPr>
        <w:t>علی المحدث، نعم لا فرق فی اسم اللّٰه بین اللغات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وضع الشیء النجس علی القرآن و إن کان یابساً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وضع الشیء النجس علی القرآن و إن کان یابساً؛ لأنّه هتک، و أما المتنجس فالظاهر عدم البأس به مع عدم الرطوبة فیجوز للمتوضّئ أن یمسّ القرآن بید المتنجّسة، و إن کان الأولی ترکه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 آیة من القرآن علی لقمة خبز لا یجوز للمحدث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کتبت آیة من القرآن علی لقمة خبز لا یجوز للمحدث أکله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للمتطهر فلا بأس خصوصاً إذا کان بنیّة الشفاء أو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لغة لیست کتابتها کتابة الألفاظ و الکلمات المنزلة علی النبیّ صلی الله علیه و آله بل بتلک الألفاظ تبین المعانی التی تحملها الألفاظ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اسم اللّٰه سبحانه یعمّ ما کان حاکیاً عن ذات الحقّ جلّ و علا من أیّ لغةٍ کانت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أن یقال إنّ وضع الشیء النجس علی القرآن هتک دائماً کما إذا بسط الجلد المدبوغ من المیتة علی المصحف للتحفّظ من الغبار، و قد یکون وضع الطاهر علیه من الهتک کما إذا وضع الروث علی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فالمعیار کون الوضع هتکاً للمصحف الشریف، فلا یجوز الوضع المزبور سواء کان بوضع طاهر أو متنجّس أو نجس و مع عدمه فلا بأس، و منه وضع الطاهر من الحدث یده المتنجسة الیابسة علی المصحف أو صفحاته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علم أنّ الخط قبل زواله بالمضغ یمسّ بباطن الفم حیث لا فرق فی حرمة مسّ الکتابة بین العضو الباطنی و الظاهری و إلّا فلا بأس؛ لأصالة عدم المسّ کما لا یخفی</w:t>
      </w:r>
      <w:r>
        <w:rPr>
          <w:rFonts w:eastAsia="IRNazanin" w:cs="IRNazanin"/>
          <w:color w:val="111111"/>
          <w:sz w:val="28"/>
          <w:szCs w:val="28"/>
          <w:rtl w:val="true"/>
          <w:lang w:bidi="fa-IR"/>
        </w:rPr>
        <w:t>.</w:t>
      </w:r>
      <w:bookmarkStart w:id="178" w:name="pg12061_112519"/>
    </w:p>
    <w:p>
      <w:pPr>
        <w:pStyle w:val="Heading3"/>
        <w:numPr>
          <w:ilvl w:val="2"/>
          <w:numId w:val="1"/>
        </w:numPr>
        <w:rPr/>
      </w:pPr>
      <w:bookmarkStart w:id="179" w:name="__RefHeading___Toc1723234_417432637"/>
      <w:bookmarkStart w:id="180" w:name="_Toc65"/>
      <w:bookmarkEnd w:id="178"/>
      <w:bookmarkEnd w:id="179"/>
      <w:r>
        <w:rPr>
          <w:rtl w:val="true"/>
        </w:rPr>
        <w:t>فصل فی الوضوءات المستحبة</w:t>
      </w:r>
      <w:bookmarkEnd w:id="180"/>
    </w:p>
    <w:p>
      <w:pPr>
        <w:pStyle w:val="Heading4"/>
        <w:numPr>
          <w:ilvl w:val="3"/>
          <w:numId w:val="1"/>
        </w:numPr>
        <w:rPr/>
      </w:pPr>
      <w:bookmarkStart w:id="181" w:name="__RefHeading___Toc1723236_417432637"/>
      <w:bookmarkStart w:id="182" w:name="_Toc66"/>
      <w:bookmarkEnd w:id="181"/>
      <w:r>
        <w:rPr>
          <w:rtl w:val="true"/>
        </w:rPr>
        <w:t>اشارة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کون الوضوء مستحبّاً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الوضوء مستحبّاً فی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یقصد غایة من الغایات حتّی الکون علی الطهارة، و إن کان الأحوط قصد إحداها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الوضوء المستحب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المستحب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فی حال الحدث الأصغر فیفید الطهارة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یستحبّ فی حال الطهارة منه کالوضوء التجدیدی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مستحبّ فی حال الحدث الأکبر و هو لا یفید طهارة، و إنّما هو لرفع الکراهة أو لحدوث کمال فی الفعل الذی یأتی به، کوضوء الجنب للنوم، و وضوء الحائض للذّکر فی مصلاها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الوضوءات المستحبة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الکلام فی الاستحباب النفسی للوضوء و ذکرنا أنّه لو قیل بأنّ الوضوء محصّل للطهارة فلا یمکن إثبات الاستحباب النفسی لنفس الوضوء،بل المستحبّ هو الکون علی الطهارة، و أمّا بناءً علی أنّ الکون علی الطهارة یساوی الکون علی الوضوء فیکون نفس الوضوء متعلّقاً للأمر النفسی، کما یمکن الإتیان به لسائر الغایات من الصلاة و الطواف، و أمّا الإتیان به لیحصل به الطهارة فقد ذکرنا أنّ کون الطهارة غیر الوضوء غیر ثابت، و علیه فیشکل الإتیان به لیحصل الکون علی الطهارة</w:t>
      </w:r>
      <w:r>
        <w:rPr>
          <w:rFonts w:eastAsia="IRNazanin" w:cs="IRNazanin"/>
          <w:color w:val="111111"/>
          <w:sz w:val="28"/>
          <w:szCs w:val="28"/>
          <w:rtl w:val="true"/>
          <w:lang w:bidi="fa-IR"/>
        </w:rPr>
        <w:t>.</w:t>
      </w:r>
      <w:bookmarkStart w:id="183" w:name="pg12061_112520"/>
    </w:p>
    <w:p>
      <w:pPr>
        <w:pStyle w:val="BookText"/>
        <w:rPr/>
      </w:pPr>
      <w:bookmarkEnd w:id="183"/>
      <w:r>
        <w:rPr>
          <w:rFonts w:ascii="Amiri" w:hAnsi="Amiri" w:eastAsia="Amiri" w:cs="Amiri"/>
          <w:color w:val="111111"/>
          <w:sz w:val="28"/>
          <w:sz w:val="28"/>
          <w:szCs w:val="28"/>
          <w:rtl w:val="true"/>
          <w:lang w:bidi="ar-SA"/>
        </w:rPr>
        <w:t>أمّا القسم الأوّل فلأُمور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المندوبة، و هو شرط فی صحّتها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المندوب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لا یکون جزءاً من حجّ أو عمرة و لو مندوبین، و لیس شرطاً فی صحته، نعم هو شرط فی صحّة صلاته</w:t>
      </w:r>
      <w:r>
        <w:rPr>
          <w:rFonts w:eastAsia="IRNazanin" w:cs="IRNazanin"/>
          <w:color w:val="111111"/>
          <w:sz w:val="28"/>
          <w:szCs w:val="28"/>
          <w:rtl w:val="true"/>
          <w:lang w:bidi="fa-IR"/>
        </w:rPr>
        <w:t>.</w:t>
      </w:r>
    </w:p>
    <w:p>
      <w:pPr>
        <w:pStyle w:val="Heading4"/>
        <w:numPr>
          <w:ilvl w:val="3"/>
          <w:numId w:val="1"/>
        </w:numPr>
        <w:rPr/>
      </w:pPr>
      <w:bookmarkStart w:id="184" w:name="__RefHeading___Toc1723238_417432637"/>
      <w:bookmarkStart w:id="185" w:name="_Toc67"/>
      <w:bookmarkEnd w:id="184"/>
      <w:r>
        <w:rPr>
          <w:rtl w:val="true"/>
        </w:rPr>
        <w:t>استحباب الوضوء للصلاة المندوبة</w:t>
      </w:r>
      <w:bookmarkEnd w:id="185"/>
    </w:p>
    <w:p>
      <w:pPr>
        <w:pStyle w:val="BookText"/>
        <w:rPr/>
      </w:pPr>
      <w:r>
        <w:rPr>
          <w:rFonts w:ascii="IRNazanin" w:hAnsi="IRNazanin" w:eastAsia="IRNazanin"/>
          <w:color w:val="111111"/>
          <w:sz w:val="28"/>
          <w:sz w:val="28"/>
          <w:szCs w:val="28"/>
          <w:rtl w:val="true"/>
          <w:lang w:bidi="fa-IR"/>
        </w:rPr>
        <w:t xml:space="preserve">قد تقدّم أنّ الوضوء من المحدث بالأصغر شرط فی صحّة الصلاة منه سواء کانت واجبة أو مستحبة،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یعنی بطهارة، ثمّ لا یخفی أنّ ثبوت الاستحباب الغیری للوضوء مبنیّ علی القول بالملازمة، و ذکرنا فی محلّه أنّه لا معنی معقول للتکلیف المولوی الغیری وجوباً أو استحباباً</w:t>
      </w:r>
      <w:r>
        <w:rPr>
          <w:rFonts w:eastAsia="IRNazanin" w:cs="IRNazanin"/>
          <w:color w:val="111111"/>
          <w:sz w:val="28"/>
          <w:szCs w:val="28"/>
          <w:rtl w:val="true"/>
          <w:lang w:bidi="fa-IR"/>
        </w:rPr>
        <w:t>.</w:t>
      </w:r>
    </w:p>
    <w:p>
      <w:pPr>
        <w:pStyle w:val="Heading4"/>
        <w:numPr>
          <w:ilvl w:val="3"/>
          <w:numId w:val="1"/>
        </w:numPr>
        <w:rPr/>
      </w:pPr>
      <w:bookmarkStart w:id="186" w:name="__RefHeading___Toc1723240_417432637"/>
      <w:bookmarkStart w:id="187" w:name="_Toc68"/>
      <w:bookmarkEnd w:id="186"/>
      <w:r>
        <w:rPr>
          <w:rtl w:val="true"/>
        </w:rPr>
        <w:t>استحباب الوضوء للطواف</w:t>
      </w:r>
      <w:bookmarkEnd w:id="1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کلامه قدس سره أنه یستحب الوضوء للطواف المستحبّ یعنی الطواف الذی لا یکون جزءاً من حجّ أو عمرة و إن کانا مندوبین و لا یکون شرطاً فی صحة الطواف المندوب و لکن یشترط صلاته به، و أمّا اشتراط صلاته به لما تقدّم من اشتراط کلّ صلاة من المحدث بالأصغر للوضوء، و أمّا عدم اشتراط الطواف المستحبّ به فقد تقدّم سابقاً، و أمّا استحبابه للطواف کاستحبابه لقراءة القرآن فقد یستدلّ علیه بالنبوی المشتهر فی الألسنة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لکنّه مع الغض عن سنده غیر قابل للتمسک به فی المقام، فإنّ الغرض من التنزیل إن کان اعتبار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الصلاة فی الطواف فقد دلّ ما تقدّم علی عدم اشتراط الوضوء فی الطواف المندوب، و إن کان المقصود من التنزیل مطلوبیة الطواف بنفسه کمطلوبیة الصلاة، فهذا لا یرتبط باستحباب الوضوء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علی الاستحباب بخبر علی بن الفضل الواسطی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طاف الرجل بالبیت و هو علی غیر وضوء فلا یعتد بذلک الطواف و هو کمن لم یطف</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و مع الغمض عن السند یقیّد بما إذا کان الطواف جزء الحجّ أو العمرة بقرینة ما ورد فی عدم اشتراط الطواف تطوّعاً بالطهارة، و أنّه لا إعادة للطواف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العمدة فی الاستدلال دعوی ما ورد فی نفی اشتراط الطواف تطوّعاً بالوضوء ظاهره المفروغیّة عن أصل مطلوبیّة الوضوء لذلک الطواف، کمعتبرة عبید بن زرارة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یطوف الرجل النافلة علی غیر وضوء ثمّ یتوضّأ و یصلّی فإن طاف متعمّداً علی غیر وضوء فلیتوضّأ و 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بناءً علی ما ذکرنا یکون استحباب الوضوء فی مثل هذه الموارد نفسیّاً، و الإتیان بالطواف أو قراءة القرآن یکون من قبیل الظرف للوضوء المستحبّ أو أنّ الوضوء شرط مستحبّی للعمل کالجزء المستحبّی بناءً علی أنّ الملاک فی الأوّل ترتّب مصلحة ذلک الظرف، و فی الثانی ملاکه حصول الکمال به فی العمل الآخر من الواجب أو</w:t>
      </w:r>
      <w:bookmarkStart w:id="188" w:name="pg12061_112522"/>
    </w:p>
    <w:p>
      <w:pPr>
        <w:pStyle w:val="BookText"/>
        <w:rPr/>
      </w:pPr>
      <w:bookmarkEnd w:id="18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التهیّؤ للصلاة فی أوّل وقتها أو أوّل زمان إمکانها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یمکن إتیانها فی أوّل الوقت، و یعتبر أن یکون قریباً من الوقت أو زمان الإمکان بحیث یصدق علیه التهیّؤ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فی المستحبّ نفساً</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723242_417432637"/>
      <w:bookmarkStart w:id="190" w:name="_Toc69"/>
      <w:bookmarkEnd w:id="189"/>
      <w:r>
        <w:rPr>
          <w:rtl w:val="true"/>
        </w:rPr>
        <w:t>الوضوء التهیئی</w:t>
      </w:r>
      <w:bookmarkEnd w:id="190"/>
    </w:p>
    <w:p>
      <w:pPr>
        <w:pStyle w:val="BookText"/>
        <w:rPr/>
      </w:pPr>
      <w:r>
        <w:rPr>
          <w:rFonts w:ascii="IRNazanin" w:hAnsi="IRNazanin" w:eastAsia="IRNazanin"/>
          <w:color w:val="111111"/>
          <w:sz w:val="28"/>
          <w:sz w:val="28"/>
          <w:szCs w:val="28"/>
          <w:rtl w:val="true"/>
          <w:lang w:bidi="fa-IR"/>
        </w:rPr>
        <w:t>کما هو المحکیّ عن جماعة و عن الشهید فی الذکری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وقّر الصلاة من أخّر الطهارة لها حتّی یدخل وقتها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لعلّ ذلک هو المراد بما فی النهایة للخبر</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یستدلّ علی ذلک أیضاً بما ورد فی الترغیب إلی الصلاة أوّل وقتها و التعجیل إلیها بدعوی أنّ مقتضی ذلک الوضوء قبل الوقت أو قبل إمکان الصلاة لیؤتی بها عند دخول الوقت أو حین الإمکان، و یضاف إلی ذلک الأمر بالمسارعة إلی فعل الخیر، و لکن لا یخفی أنّ مقتضی الخبر الاستحباب النفسی للوضوء من المحدث قبل دخول الوقت، و مقتضی الترغیب إلی الصلاة أوّل وقتها، أوّل زمان إمکانها ثبوت الاستحباب الغیری للوضوء من المحدث قبل الوقت أو حصول زمان الإمکان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الأمر بالمسارعة إلی فعل الخیر، و علی ذلک فیرد أنّ الخبر المزبور لإرساله قاصر عن ثبوت الاستحباب النفسی به إلّا بناءً علی التسامح فی أدلة السنن، و مع الإغماض عن ذلک فمدلوله ثبوت الاستحباب النفسی التهیّئی للطهارة لا لنفس الوضوء،بناءً علی المعروف من أنّ الطهارة أمر یحصل بالوضوء القربی و تبقی ما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موجب الحدث، فاستحباب الطهارة عند دخول وقت الصلاة لا یسری إلی نفس الوضوء، فیتعیّن التوضّؤ قبل وقت الصلاة للکون علی الطهارة المطلوبة نفسیّاً عند دخول وقت الصلاة،بل و غیره أیضاً و إن کان مطلوبیّته فی الأوّل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بما ذکرنا سابقاً من أنّ الوضوء القربی من المحدث بنفسه طهارة فیکون التوضّؤ للتهیّؤ للصلاة مطلوباً نفسیّاً تهیّئیّاً فیکون العمدة ضعف الخبر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الاستحباب الغیری للوضوء قبل دخول الوقت أو قبل زمان إمکان الصلاة فیناقش فیها بأنّ الاستحباب النفسی للصلاة فی أوّل وقتها یکون بدخول الوقت، فإنّ دخول الوقت کما أنّه شرط لوجوب طبیعی الصلاة کذلک شرط فی فعلیّة استحباب التعجیل إلیها، و کیف یثبت الاستحباب الغیری للطهارة أو للوضوء بنفسه قبل الوقت؟</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وجوب الصلاة بدخول الوقت أو استحباب المبادرة إلیها به لا ینافی کون إحراز الفعلیّة فیما بعد داعیاً إلی الإتیان ببعض مقدماتها کتطهیر الثوب أو البدن أو الوضوء ممّا لیس صحته مشروطاً بدخول الوقت قبل دخوله، حیث إنّ الأمر بفعلیّته الواقعیّة لا یکون داعیاً،بل إحرازها یدعو إلی الإتیان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ذکرنا فی بحث المقدّمة أنّ العلم بالتکلیف أو الترغیب إلی ذی المقدمة کافٍ فی الدعوة إلی الإتیان بمقدّمته بلا حاجة إلی الأمر الغیری وجوباً أو ندباً بالمقدّمة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لو لم یتمکّن المکلّف من تطهیر ثوبه أو الوضوء لصلاته إلّا قبل دخول الوقت تعیّن علیه التطهیر و الوضوء قبل الوقت مع أنّهم لا یلتزمون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متعلّق التکلیف بعد دخول الوقت شرط فی ذلک التکلیف فلا یجب علیه تحصیل القدرة علیه بالوضوء أو التطهیر قبل دخول الوقت، و إنّما یکون التکلیف بالصلاة و لو فیما بعد داعیاً إلی الوضوء أو تطهیر الثوب و لو قبل الوقت فیما إذا تمکّن منهما و لو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فیما إذا احتمل دخالة القدرة علی المتعلّق فی ملاکه، و أمّا إذا أحرز أنّ القدرة علی المتعلّق شرط فی استیفاء الملاک بحیث یفوت عن العاجز لزم تحصیل المقدمة قبل فعلیّة الوجوب أو لاستحباب بذیها، سواء أُحرز ذلک من أمر الشارع بتلک المقدّمة کما فی الاغتسال لیلاً لصوم الغد أو علم ذلک من الخارج، کما فی توقّف الصلاة أوّل وقتها علی الوضوء قبل مجیء الوقت، حیث بعد إحراز أنّ الوضوء القربی و لو قبل الوقت طهارة أو یحصل به الطهارة و بالصلاة فی أوّل وقتها تحصل المبادرة إلیها أوّل وقتها، فیعلم أنّ الوضوء أو الطهارة قرب دخول وقت الصلاة مرغوب إلیه شرعاً أو أنّه یستوفی به الملاک المرغوب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الحال فی الاستدلال علی استحباب الوضوء للتهیّؤ بالأمر بالمسارعة إلی الخیر فإنّه مضافاً إلی عدّ ظهور الأمر بالمسارعة إلی الخیر فی المولویّة؛ لظهوره فی أنّ المسارعة لإدراک ذلک الخیر لا لأنّ فیها ملاک زائد علی إدراکه، أنّ الأمر بالمسارعة بالإضافة إلی فریضة الوقت یکون فعلیاً بدخول الوقت فتعلّق الاستحباب الغیری للطهارة قبله فضلاً عن تعلّقه بالوضوء فیه ما تقدّم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فإن استظهر من الأدلة کون الوضوء من المحدث بنفسه طهارة فیما إذا وقع بنحو قربی فیکفی فی حصول التقرّب بالوضوء الإتیان به للإتیان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بالمشروط و لو بعد فعلیّة وجوب ذلک المشروط أو استحبابه؛ لما تقدم من أنّ الإتیان بالمقدّمة و لو قبل فعلیّة وجوب ذیها أو استحبابه یوجب التقرّب بها فیما إذا لم تکن صحّتها موقوفة علی ما اشترط ذیها به من دخول الوقت و نحوه، و هذا التقرب لا یتوقّف علی الالتزام بالوجوب الغیری أو الاستحباب الغیری للمقدّمة، و یجری ذلک فیما إذا قیل بأنّ المأخوذ شرطاً للصلاة و نحوها الطهارة التی یکون الوضوء بالإضافة إلیها محصّلاً بمعنی أنّ الوضوء القربی یترتّب علیه الطهارة من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قیل بأنّ ترتّب الطهارة علی الوضوء کترتّب الملکیّة و الزوجیّة و نحوهما علی انشاءاتها فی التوقّف علی قصد الطهارة به، و أنّ الشرط فی الصلاة و نحوها الطهارة لا الوضوء الذی لا بقاء له فلا بدّ فی الإتیان بالوضوء من قصد الکون علی الطهارة و لو بنحو الإجمال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ما فی المتن من اعتبار کون الوضوء قریباً من الوقت أو زمان الإمکان بحیث یصدق علیه التهیّؤ لا یمکن المساعدة علیه،بل فی کلّ زمان توضّأ المکلّف و لو باحتمال بقاء وضوئه أو طهارته لوقت الصلاة یقع ذلک الوضوء بنحو قربی فیجوز الإتیان بالصلاة فیما بعد مع فرض عدم انتقاضه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علی الوضوء للتهیّؤ للصلاة بالإطلاق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بدعوی أنّ الآیة تعمّ القیام إلی الصلاة فی أوّل آن من دخول الوقت، فیکون الوضوء لها فی زمان قریب من دخول الوقت، ففیه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فی مقام شرطیة الوضوء للصلاة بلا فرق بین الصلاة فی أوّل الوقت</w:t>
      </w:r>
      <w:bookmarkStart w:id="191" w:name="pg12061_112526"/>
    </w:p>
    <w:p>
      <w:pPr>
        <w:pStyle w:val="BookText"/>
        <w:rPr/>
      </w:pPr>
      <w:bookmarkEnd w:id="191"/>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آخر الوقت أو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الاستحباب الآخر بالوضوء فیما کان قرب الوقت للتهیّؤ للصلاة نفسیّاً أو غیریّاً کما هو المدّعی فلا دلالة لها علی ذلک، و مشروعیة الوضوء من المحدث قرب الوقت للصلاة بعد دخوله لا یلازم الاستحباب النفسی التهیّئی أو الغیری، فإنّ استحباب الوضوء من المحدث مطلقاً کافٍ فی الأمر فی آن دخول الوقت بالمبادرة إلی الصلاة من غیر حاجة إلی أمر آخر بالوضوء قرب دخول وقتها، و فرق بین التوضؤ بداعویة امتثال الأمر بالتهیّؤ للصلاة فی أوّل وقتها و بین التوضّؤ بداعویة الأمر بالصلاة التی یحصل الأمر بها بعد دخول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الإتیان بالنحو الثانی مقرّب لما دلّ علی عدم اشتراط الوضوء بدخول الوقت سواء کان قرب الوقت أو کان قبل الوقت بکثیر لما دلّ من أنّ الصلاة لا تکون إلّا بطهارة، و لا ینقض الطهارة إلّا الحدث، و أنّ الطهارة مرغوب إلیها بمطلق صدور الحدث</w:t>
      </w:r>
      <w:r>
        <w:rPr>
          <w:rFonts w:eastAsia="IRNazanin" w:cs="IRNazanin"/>
          <w:color w:val="111111"/>
          <w:sz w:val="28"/>
          <w:szCs w:val="28"/>
          <w:rtl w:val="true"/>
          <w:lang w:bidi="fa-IR"/>
        </w:rPr>
        <w:t>.</w:t>
      </w:r>
    </w:p>
    <w:p>
      <w:pPr>
        <w:pStyle w:val="Heading4"/>
        <w:numPr>
          <w:ilvl w:val="3"/>
          <w:numId w:val="1"/>
        </w:numPr>
        <w:rPr/>
      </w:pPr>
      <w:bookmarkStart w:id="192" w:name="__RefHeading___Toc1723244_417432637"/>
      <w:bookmarkStart w:id="193" w:name="_Toc70"/>
      <w:bookmarkEnd w:id="192"/>
      <w:r>
        <w:rPr>
          <w:rtl w:val="true"/>
        </w:rPr>
        <w:t>استحباب الوضوء لدخول المساجد</w:t>
      </w:r>
      <w:bookmarkEnd w:id="19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ما رواه الصدوق قدس سره فی المجالس عن أحمد بن زیاد بن جعفر الهمدانی، عن علی بن إبراهیم، عن أبیه، عن ابن أبی عمر، عن مرازم بن حکیم، عن الصادق جعفر بن محمد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بإتیان المساجد فإنّها بیوت اللّٰه عزّ و جلّ و من أتاها متطهّراً طهّره اللّٰه من ذنوبه و کتب من زوّاره </w:t>
      </w:r>
      <w:r>
        <w:rPr>
          <w:rStyle w:val="FootnoteAnchor"/>
          <w:rtl w:val="true"/>
        </w:rPr>
        <w:footnoteReference w:id="503"/>
      </w:r>
      <w:r>
        <w:rPr>
          <w:rFonts w:ascii="IRNazanin" w:hAnsi="IRNazanin" w:eastAsia="IRNazanin"/>
          <w:color w:val="111111"/>
          <w:sz w:val="28"/>
          <w:sz w:val="28"/>
          <w:szCs w:val="28"/>
          <w:rtl w:val="true"/>
          <w:lang w:bidi="fa-IR"/>
        </w:rPr>
        <w:t>، و أحمد بن زیاد بن جعفر من مشایخ الصدوق قدس سره و قد ذکر أنّه کان فاضلاً ثقة دیّناً، رضی اللّٰه عنه، و یؤیّده ما ورد</w:t>
      </w:r>
      <w:bookmarkStart w:id="194" w:name="pg12061_112527"/>
    </w:p>
    <w:p>
      <w:pPr>
        <w:pStyle w:val="BookText"/>
        <w:rPr/>
      </w:pPr>
      <w:bookmarkEnd w:id="194"/>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المساجد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عدا الصلاة و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الدخول فی المساجد من استحباب صلاة التحیّة </w:t>
      </w:r>
      <w:r>
        <w:rPr>
          <w:rStyle w:val="FootnoteAnchor"/>
          <w:rtl w:val="true"/>
        </w:rPr>
        <w:footnoteReference w:id="504"/>
      </w:r>
      <w:r>
        <w:rPr>
          <w:rFonts w:ascii="IRNazanin" w:hAnsi="IRNazanin" w:eastAsia="IRNazanin"/>
          <w:color w:val="111111"/>
          <w:sz w:val="28"/>
          <w:sz w:val="28"/>
          <w:szCs w:val="28"/>
          <w:rtl w:val="true"/>
          <w:lang w:bidi="fa-IR"/>
        </w:rPr>
        <w:t>المتوقفة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استحباب الوضوء لدخول المشاهد المشرّفة إلحاقها بالمساجد فی غیر المقام، و کأنّها أیضاً من بیوت اللّٰه علی ما ورد فی فضل الصلاة فیها</w:t>
      </w:r>
      <w:r>
        <w:rPr>
          <w:rFonts w:eastAsia="IRNazanin" w:cs="IRNazanin"/>
          <w:color w:val="111111"/>
          <w:sz w:val="28"/>
          <w:szCs w:val="28"/>
          <w:rtl w:val="true"/>
          <w:lang w:bidi="fa-IR"/>
        </w:rPr>
        <w:t>.</w:t>
      </w:r>
    </w:p>
    <w:p>
      <w:pPr>
        <w:pStyle w:val="Heading4"/>
        <w:numPr>
          <w:ilvl w:val="3"/>
          <w:numId w:val="1"/>
        </w:numPr>
        <w:rPr/>
      </w:pPr>
      <w:bookmarkStart w:id="195" w:name="__RefHeading___Toc1723246_417432637"/>
      <w:bookmarkStart w:id="196" w:name="_Toc71"/>
      <w:bookmarkEnd w:id="195"/>
      <w:r>
        <w:rPr>
          <w:rtl w:val="true"/>
        </w:rPr>
        <w:t>استحباب الوضوء لمناسک الحج</w:t>
      </w:r>
      <w:bookmarkEnd w:id="196"/>
    </w:p>
    <w:p>
      <w:pPr>
        <w:pStyle w:val="BookText"/>
        <w:rPr/>
      </w:pPr>
      <w:r>
        <w:rPr>
          <w:rFonts w:ascii="IRNazanin" w:hAnsi="IRNazanin" w:eastAsia="IRNazanin"/>
          <w:color w:val="111111"/>
          <w:sz w:val="28"/>
          <w:sz w:val="28"/>
          <w:szCs w:val="28"/>
          <w:rtl w:val="true"/>
          <w:lang w:bidi="fa-IR"/>
        </w:rPr>
        <w:t>و فی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یقضی المناسک کلّها علی غیر وضوء إلّا الطواف بالبیت فإنّ فیه صلاة و الوضوء أفضل</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فی روایة یحیی الأزرق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علیه السلام رجل سعی بین الصفا و المروة فسعی ثلاثة أشواط أو أربعة ثمّ بال ثمّ أتمّ سعیه بغیر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لو أتمّ مناسکه بوضوء لکان أحب إلیّ</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 لذلک تحمل صحیحة علی بن جعفر </w:t>
      </w:r>
      <w:r>
        <w:rPr>
          <w:rStyle w:val="FootnoteAnchor"/>
          <w:rtl w:val="true"/>
        </w:rPr>
        <w:footnoteReference w:id="507"/>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Heading4"/>
        <w:numPr>
          <w:ilvl w:val="3"/>
          <w:numId w:val="1"/>
        </w:numPr>
        <w:rPr/>
      </w:pPr>
      <w:bookmarkStart w:id="197" w:name="__RefHeading___Toc1723248_417432637"/>
      <w:bookmarkStart w:id="198" w:name="_Toc72"/>
      <w:bookmarkEnd w:id="197"/>
      <w:r>
        <w:rPr>
          <w:rtl w:val="true"/>
        </w:rPr>
        <w:t>استحباب الوضوء لصلاة الجنازة</w:t>
      </w:r>
      <w:bookmarkEnd w:id="19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لاستحباب الوضوء لصلاة الجنازة صحیحة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bookmarkStart w:id="199" w:name="pg12061_112528"/>
    </w:p>
    <w:p>
      <w:pPr>
        <w:pStyle w:val="BookText"/>
        <w:rPr/>
      </w:pPr>
      <w:bookmarkEnd w:id="199"/>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أهل القبور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أو کتبه أو لمس حواشیه أو حمله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علیه السلام عن الرجل تدرکه الجنازة و هو علی غیر وضوء فإن ذهب یتوضّأ فأتته الصلاة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فإنّه إذا کان التیمّم مشروع مع خوف فوت الصلاة فلازم ذلک مشروعیّة الوضوء لها مع عدم الخوف من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 الحمید بن سعد 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الجنازة یخرج بها و لست علی وضوء فإن ذهبت أتوضّأ فأتتنی الصلاة أ یجزی لی أن أُصلی علیها و أنا علی غیر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علی طهر أحبّ إلیّ</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723250_417432637"/>
      <w:bookmarkStart w:id="201" w:name="_Toc73"/>
      <w:bookmarkEnd w:id="200"/>
      <w:r>
        <w:rPr>
          <w:rtl w:val="true"/>
        </w:rPr>
        <w:t>استحباب الوضوء لزیارة القبور</w:t>
      </w:r>
      <w:bookmarkEnd w:id="201"/>
    </w:p>
    <w:p>
      <w:pPr>
        <w:pStyle w:val="BookText"/>
        <w:rPr/>
      </w:pPr>
      <w:r>
        <w:rPr>
          <w:rFonts w:ascii="IRNazanin" w:hAnsi="IRNazanin" w:eastAsia="IRNazanin"/>
          <w:color w:val="111111"/>
          <w:sz w:val="28"/>
          <w:sz w:val="28"/>
          <w:szCs w:val="28"/>
          <w:rtl w:val="true"/>
          <w:lang w:bidi="fa-IR"/>
        </w:rPr>
        <w:t>لیس عندی ما یدل علی الأمر بالوضوء لزیارة أهل القبور و لو من المؤمنین، و الأحوط الإتیان به لزیارتهم رجاءً و یجوز به الدخول فی الصلاة علی ما قدّمنا من استحباب الوضوء من المحدث، غایة الأمر یعتبر فی کونه طهارة من قصد التقرّب، و یکفی فیه الإتیان به و لو بعنوان الرجاء</w:t>
      </w:r>
      <w:r>
        <w:rPr>
          <w:rFonts w:eastAsia="IRNazanin" w:cs="IRNazanin"/>
          <w:color w:val="111111"/>
          <w:sz w:val="28"/>
          <w:szCs w:val="28"/>
          <w:rtl w:val="true"/>
          <w:lang w:bidi="fa-IR"/>
        </w:rPr>
        <w:t>.</w:t>
      </w:r>
    </w:p>
    <w:p>
      <w:pPr>
        <w:pStyle w:val="Heading4"/>
        <w:numPr>
          <w:ilvl w:val="3"/>
          <w:numId w:val="1"/>
        </w:numPr>
        <w:rPr/>
      </w:pPr>
      <w:bookmarkStart w:id="202" w:name="__RefHeading___Toc1723252_417432637"/>
      <w:bookmarkStart w:id="203" w:name="_Toc74"/>
      <w:bookmarkEnd w:id="202"/>
      <w:r>
        <w:rPr>
          <w:rtl w:val="true"/>
        </w:rPr>
        <w:t>استحباب الوضوء لقراءة القرآن</w:t>
      </w:r>
      <w:bookmarkEnd w:id="2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لروایة محمّد بن الفضیل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أقرأ فی المصحف ثمّ یأخذنی البول فأقوم فأبول و أستنجی و أغسل یدی و أعود إلی المصحف فأقرأ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تتوضّأ للصلاة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 فی حدیث الأربعمائة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یقرأ العبد القرآن</w:t>
      </w:r>
      <w:bookmarkStart w:id="204" w:name="pg12061_112529"/>
    </w:p>
    <w:p>
      <w:pPr>
        <w:pStyle w:val="BookText"/>
        <w:rPr/>
      </w:pPr>
      <w:bookmarkEnd w:id="204"/>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طلب الحاجة من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علی غیر طهر حتّی یتطهر</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استحبابه لکتابة القرآن أو لمس حواشیه أو حمله فقد تقدّم أنّ ذلک مقتضی روایة إبراهیم بن عبد الحمید </w:t>
      </w:r>
      <w:r>
        <w:rPr>
          <w:rStyle w:val="FootnoteAnchor"/>
          <w:rtl w:val="true"/>
        </w:rPr>
        <w:footnoteReference w:id="51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أنّ فی سند الروایات ضعف،بل دلالة روایة محمّد بن الفضیل أیضاً لا تخلو عن المناقشة یجری فی ذلک ما ذکرنا فی الوضوء لزیارة أهل القبور</w:t>
      </w:r>
      <w:r>
        <w:rPr>
          <w:rFonts w:eastAsia="IRNazanin" w:cs="IRNazanin"/>
          <w:color w:val="111111"/>
          <w:sz w:val="28"/>
          <w:szCs w:val="28"/>
          <w:rtl w:val="true"/>
          <w:lang w:bidi="fa-IR"/>
        </w:rPr>
        <w:t>.</w:t>
      </w:r>
    </w:p>
    <w:p>
      <w:pPr>
        <w:pStyle w:val="Heading4"/>
        <w:numPr>
          <w:ilvl w:val="3"/>
          <w:numId w:val="1"/>
        </w:numPr>
        <w:rPr/>
      </w:pPr>
      <w:bookmarkStart w:id="205" w:name="__RefHeading___Toc1723254_417432637"/>
      <w:bookmarkStart w:id="206" w:name="_Toc75"/>
      <w:bookmarkEnd w:id="205"/>
      <w:r>
        <w:rPr>
          <w:rtl w:val="true"/>
        </w:rPr>
        <w:t>استحباب الوضوء للدعاء و طلب الحاجة</w:t>
      </w:r>
      <w:bookmarkEnd w:id="206"/>
    </w:p>
    <w:p>
      <w:pPr>
        <w:pStyle w:val="BookText"/>
        <w:rPr/>
      </w:pPr>
      <w:r>
        <w:rPr>
          <w:rFonts w:ascii="IRNazanin" w:hAnsi="IRNazanin" w:eastAsia="IRNazanin"/>
          <w:color w:val="111111"/>
          <w:sz w:val="28"/>
          <w:sz w:val="28"/>
          <w:szCs w:val="28"/>
          <w:rtl w:val="true"/>
          <w:lang w:bidi="fa-IR"/>
        </w:rPr>
        <w:t>و فی معتبرة صحیحة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حاجة و هو علی غیر وضوء فلم تقضَ فلا یلومنّ إلّا نفسه</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ظاهرها السعی فی حاجة بلا وضوء، و لا تعمّ الدعاء علی غیر وضوء،بل ربّما یستشکل فی ظهورها فی استحباب الوضوء للسعی فی حاجة فإنّ مفادها أنّ لا یطلب الحاجة بلا وضوء، لا أن یتوضأ لطلب الحاجة، و لکن لا یخفی ما فیه؛ فإنّ الترغیب إلی فعل شرعاً بمثل العبارة واقع فی غیر المورد، و الترغیب إلی الوضوء فی طلب الحاجة عبارة أُخری عن استحبابه عنده</w:t>
      </w:r>
      <w:r>
        <w:rPr>
          <w:rFonts w:eastAsia="IRNazanin" w:cs="IRNazanin"/>
          <w:color w:val="111111"/>
          <w:sz w:val="28"/>
          <w:szCs w:val="28"/>
          <w:rtl w:val="true"/>
          <w:lang w:bidi="fa-IR"/>
        </w:rPr>
        <w:t>.</w:t>
      </w:r>
    </w:p>
    <w:p>
      <w:pPr>
        <w:pStyle w:val="Heading4"/>
        <w:numPr>
          <w:ilvl w:val="3"/>
          <w:numId w:val="1"/>
        </w:numPr>
        <w:rPr/>
      </w:pPr>
      <w:bookmarkStart w:id="207" w:name="__RefHeading___Toc1723256_417432637"/>
      <w:bookmarkStart w:id="208" w:name="_Toc76"/>
      <w:bookmarkEnd w:id="207"/>
      <w:r>
        <w:rPr>
          <w:rtl w:val="true"/>
        </w:rPr>
        <w:t>استحباب الوضوء لزیارة الأئمة علیهم السلام</w:t>
      </w:r>
      <w:bookmarkEnd w:id="20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ورد فی زیارتهم علیهم السلام من آدابها الاغتسال و لا یحتمل أن لا یکون مطلوباً فی زیارتهم أقل الطهر یعنی الوضوء من المحدث بالأصغر، أضف إلی ذلک ما</w:t>
      </w:r>
      <w:bookmarkStart w:id="209" w:name="pg12061_112530"/>
    </w:p>
    <w:p>
      <w:pPr>
        <w:pStyle w:val="BookText"/>
        <w:rPr/>
      </w:pPr>
      <w:bookmarkEnd w:id="209"/>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الشکر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التلاوة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من الترغیب إلی الطهر فی زیارتهم، و لکنّ الإطلاق فی الأمر بالاغتسال لا یخلو عن التأمّل، و یأتی التعرّض له فی الأغسال المسنونة و علیه فیتوضّأ لزیارتهم بالنحو المتقدّم من قصد الرجاء أو لکون الوضوء من المحدث طهر و مطلوب علی ما تقدّم</w:t>
      </w:r>
      <w:r>
        <w:rPr>
          <w:rFonts w:eastAsia="IRNazanin" w:cs="IRNazanin"/>
          <w:color w:val="111111"/>
          <w:sz w:val="28"/>
          <w:szCs w:val="28"/>
          <w:rtl w:val="true"/>
          <w:lang w:bidi="fa-IR"/>
        </w:rPr>
        <w:t>.</w:t>
      </w:r>
    </w:p>
    <w:p>
      <w:pPr>
        <w:pStyle w:val="Heading4"/>
        <w:numPr>
          <w:ilvl w:val="3"/>
          <w:numId w:val="1"/>
        </w:numPr>
        <w:rPr/>
      </w:pPr>
      <w:bookmarkStart w:id="210" w:name="__RefHeading___Toc1723258_417432637"/>
      <w:bookmarkStart w:id="211" w:name="_Toc77"/>
      <w:bookmarkEnd w:id="210"/>
      <w:r>
        <w:rPr>
          <w:rtl w:val="true"/>
        </w:rPr>
        <w:t>استحباب الوضوء لسجدة الشکر أو التلاوة</w:t>
      </w:r>
      <w:bookmarkEnd w:id="211"/>
    </w:p>
    <w:p>
      <w:pPr>
        <w:pStyle w:val="BookText"/>
        <w:rPr/>
      </w:pPr>
      <w:r>
        <w:rPr>
          <w:rFonts w:ascii="IRNazanin" w:hAnsi="IRNazanin" w:eastAsia="IRNazanin"/>
          <w:color w:val="111111"/>
          <w:sz w:val="28"/>
          <w:sz w:val="28"/>
          <w:szCs w:val="28"/>
          <w:rtl w:val="true"/>
          <w:lang w:bidi="fa-IR"/>
        </w:rPr>
        <w:t>و یشهد لاستحباب الوضوء لسجدة الشکر صحیحة عبد الرحمن بن الحجاج،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سجد سجدة الشکر لنعمة و هو متوضّئ کتب اللّٰه له بها عشر صلوات و محا عنه عشر خطایا عظام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بالإضافة إلی سجدة التلاوة فیستظهر من روایة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قرئ شیء من العزائم الأربع و سمعتها فاسجد و إن کنت علی غیر وضوء، و إن کنت جنباً أو کانت المرأة لا تصلّی و سائر القرآن أنت فیه بالخیار إن شئت سجدت و إن شئت لم تسجد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بدعوی أنّ مثلها ناظرة إلی نفی شرطیّة الطهارة بالإضافة إلی سجود التلاوة مع الفراغ عن مطلوبیّته له، و مثلها ما رواه ابن ادریس فی آخر السرائر نقلاً من کتاب البزنطی عن عبد اللّه بن المغیرة، عن عبد اللّه بن سنان، عن الولید بن صبیح،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السجدة و عنده رجل علی غیر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فتأمّل، و وجهه أنّه لا یستفاد منهما مع الغض عن أمر السند تعلّق الأمر بالوضوء عند السجود للتلاوة، و لکن لا یبعد عدم</w:t>
      </w:r>
      <w:bookmarkStart w:id="212" w:name="pg12061_112531"/>
    </w:p>
    <w:p>
      <w:pPr>
        <w:pStyle w:val="BookText"/>
        <w:rPr/>
      </w:pPr>
      <w:bookmarkEnd w:id="212"/>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 الإقامة و الأظهر شرطیّته فی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الزوج علی الزوجة لیلة الزفاف بالنسبة إلی 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السجود للشکر و التلاوة</w:t>
      </w:r>
      <w:r>
        <w:rPr>
          <w:rFonts w:eastAsia="IRNazanin" w:cs="IRNazanin"/>
          <w:color w:val="111111"/>
          <w:sz w:val="28"/>
          <w:szCs w:val="28"/>
          <w:rtl w:val="true"/>
          <w:lang w:bidi="fa-IR"/>
        </w:rPr>
        <w:t>.</w:t>
      </w:r>
    </w:p>
    <w:p>
      <w:pPr>
        <w:pStyle w:val="Heading4"/>
        <w:numPr>
          <w:ilvl w:val="3"/>
          <w:numId w:val="1"/>
        </w:numPr>
        <w:rPr/>
      </w:pPr>
      <w:bookmarkStart w:id="213" w:name="__RefHeading___Toc1723260_417432637"/>
      <w:bookmarkStart w:id="214" w:name="_Toc78"/>
      <w:bookmarkEnd w:id="213"/>
      <w:r>
        <w:rPr>
          <w:rtl w:val="true"/>
        </w:rPr>
        <w:t>استحباب الوضوء للأذان و الإقامة</w:t>
      </w:r>
      <w:bookmarkEnd w:id="214"/>
    </w:p>
    <w:p>
      <w:pPr>
        <w:pStyle w:val="BookText"/>
        <w:rPr/>
      </w:pPr>
      <w:r>
        <w:rPr>
          <w:rFonts w:ascii="IRNazanin" w:hAnsi="IRNazanin" w:eastAsia="IRNazanin"/>
          <w:color w:val="111111"/>
          <w:sz w:val="28"/>
          <w:sz w:val="28"/>
          <w:szCs w:val="28"/>
          <w:rtl w:val="true"/>
          <w:lang w:bidi="fa-IR"/>
        </w:rPr>
        <w:t>و فی صحیحة علی بن جعفر فی کتابه، عن أخیه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یؤذّن أو یقیم و هو علی غیر وضوء أ یجزیه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الأذان فلا بأس، و أمّا الإقامة فلا یقم إلّا علی طهر،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و هو علی غیر وضوء، أ یصلّی بإقامته؟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517"/>
      </w:r>
      <w:r>
        <w:rPr>
          <w:rFonts w:ascii="IRNazanin" w:hAnsi="IRNazanin" w:eastAsia="IRNazanin"/>
          <w:color w:val="111111"/>
          <w:sz w:val="28"/>
          <w:sz w:val="28"/>
          <w:szCs w:val="28"/>
          <w:rtl w:val="true"/>
          <w:lang w:bidi="fa-IR"/>
        </w:rPr>
        <w:t>،بدعوی أنّ ظاهر مثلها المفروغیّة عن مطلوبیّة الطهر للأذان، و یؤیّده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سنة أن لا یؤذّن أحد إلّا و هو طاهر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723262_417432637"/>
      <w:bookmarkStart w:id="216" w:name="_Toc79"/>
      <w:bookmarkEnd w:id="215"/>
      <w:r>
        <w:rPr>
          <w:rtl w:val="true"/>
        </w:rPr>
        <w:t>استحباب الوضوء لدخول الزوج علی الزوجة لیلة الزفاف</w:t>
      </w:r>
      <w:bookmarkEnd w:id="216"/>
    </w:p>
    <w:p>
      <w:pPr>
        <w:pStyle w:val="BookText"/>
        <w:rPr/>
      </w:pPr>
      <w:r>
        <w:rPr>
          <w:rFonts w:ascii="IRNazanin" w:hAnsi="IRNazanin" w:eastAsia="IRNazanin"/>
          <w:color w:val="111111"/>
          <w:sz w:val="28"/>
          <w:sz w:val="28"/>
          <w:szCs w:val="28"/>
          <w:rtl w:val="true"/>
          <w:lang w:bidi="fa-IR"/>
        </w:rPr>
        <w:t>و یستدلّ علی ذلک بصحیحة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رجلاً و هو یقول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قد أسننت و قد تزوّجت امرأة بکراً صغیرة و لم أدخل بها و أنا أخاف إذا دخلت علیّ فرأتنی أن تکرهنی لخضابی و کبری، فقال أبو جعفر 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دخلت فمرهم قبل أن تصل إلیک أن تکون متوضّئة ثمّ أنت لا تصل إلیها حتّی توضّأ و صلّ رکعتین ثمّ مجّد اللّٰه و صلّ علی محمّد و آل محمّد ثمّ ادع اللّٰه و مر من معها أن یؤمّنوا علی دعائک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إلفها و ودّها و رضاها و ارضنی بها و اجمع بیننا بأحسن اجتماع و آنس ائتلاف فإنّک تحبّ الحلال و تکره الحرام و اعلم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الإلف من اللّٰه و الفرک من الشیطان لیکره ما أحلّ اللّٰه </w:t>
      </w:r>
      <w:r>
        <w:rPr>
          <w:rStyle w:val="FootnoteAnchor"/>
          <w:rtl w:val="true"/>
        </w:rPr>
        <w:footnoteReference w:id="519"/>
      </w:r>
      <w:r>
        <w:rPr>
          <w:rFonts w:ascii="IRNazanin" w:hAnsi="IRNazanin" w:eastAsia="IRNazanin"/>
          <w:color w:val="111111"/>
          <w:sz w:val="28"/>
          <w:sz w:val="28"/>
          <w:szCs w:val="28"/>
          <w:rtl w:val="true"/>
          <w:lang w:bidi="fa-IR"/>
        </w:rPr>
        <w:t>، و لا یخفی دلالتها و لو بقرینة ما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اللهمّ ارزقنی ودّها و رضاها و ارضنی بها إلخ، عدم اختصاص استحباب الزفاف علی طهر بالمفروض فی الروایة من کون الزوج شاباً و الزوجة شابة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بأنّ مدلولها کما ذکرنا استحباب الزفاف علی طهر لا استحباب الوضوء للزفاف لیؤتی بالوضوء لغایة الزفاف نظیر ما تقدّم فی قولهم باستحباب الوضوء فی طلب الحاجة؟</w:t>
      </w:r>
    </w:p>
    <w:p>
      <w:pPr>
        <w:pStyle w:val="BookText"/>
        <w:rPr/>
      </w:pPr>
      <w:r>
        <w:rPr>
          <w:rFonts w:ascii="IRNazanin" w:hAnsi="IRNazanin" w:eastAsia="IRNazanin"/>
          <w:color w:val="111111"/>
          <w:sz w:val="28"/>
          <w:sz w:val="28"/>
          <w:szCs w:val="28"/>
          <w:rtl w:val="true"/>
          <w:lang w:bidi="fa-IR"/>
        </w:rPr>
        <w:t>و لکن المناقشة ضعیفة فإنّه لا فرق بین التوضّؤ قبل الدخول بالمرأة و بین صلاة رکعتین، و کما أنّه لا یستفاد من الأمر بصلاة رکعتین استحباب الزفاف بعدهما،بل استحباب صلاة رکعتین عند الزفاف کذلک فی الأمر بالوضوء لا یستفاد منه إلّا استحباب الوضوء عند الزفاف، و ذکرنا ذلک فی ما ورد فیمن طلب الحاجة بلا وضوء، و أنّ مفاده استحباب الوضوء عند طلب الحاجة و السعی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بالوضوء فی الروایة لصلاة رکعتین عند الدخول فلا تدلّ علی استحباب الوضوء لنفس الدخول علیها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بالتوضّؤ علی المرأة مع عدم ذکر صلاتها فیکون ظاهرها استحباب الوضوء لنفس الدخول علیها فی الزفاف</w:t>
      </w:r>
      <w:r>
        <w:rPr>
          <w:rFonts w:eastAsia="IRNazanin" w:cs="IRNazanin"/>
          <w:color w:val="111111"/>
          <w:sz w:val="28"/>
          <w:szCs w:val="28"/>
          <w:rtl w:val="true"/>
          <w:lang w:bidi="fa-IR"/>
        </w:rPr>
        <w:t>.</w:t>
      </w:r>
      <w:bookmarkStart w:id="217" w:name="pg12061_112533"/>
    </w:p>
    <w:p>
      <w:pPr>
        <w:pStyle w:val="BookText"/>
        <w:rPr/>
      </w:pPr>
      <w:bookmarkEnd w:id="217"/>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المسافر علی أهله فیستحبّ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18" w:name="__RefHeading___Toc1723264_417432637"/>
      <w:bookmarkStart w:id="219" w:name="_Toc80"/>
      <w:bookmarkEnd w:id="218"/>
      <w:r>
        <w:rPr>
          <w:rtl w:val="true"/>
        </w:rPr>
        <w:t>استحباب الوضوء لورود المسافر علی أهله</w:t>
      </w:r>
      <w:bookmarkEnd w:id="219"/>
    </w:p>
    <w:p>
      <w:pPr>
        <w:pStyle w:val="BookText"/>
        <w:rPr/>
      </w:pPr>
      <w:r>
        <w:rPr>
          <w:rFonts w:ascii="IRNazanin" w:hAnsi="IRNazanin" w:eastAsia="IRNazanin"/>
          <w:color w:val="111111"/>
          <w:sz w:val="28"/>
          <w:sz w:val="28"/>
          <w:szCs w:val="28"/>
          <w:rtl w:val="true"/>
          <w:lang w:bidi="fa-IR"/>
        </w:rPr>
        <w:t>لما حکی عن الصدوق قدس سره فی المقنع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الصادق علیه السلام من قدم من سفر فدخل علی أهله و هو علی غیر وضوء و رأی ما یکره فلا یلومنّ إلّا نفسه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قیل أیضاً بأنّ مدلولها استحباب ورود المسافر علی أهله و هو علی وضوء، لا استحباب الوضوء للورود علی الأهل من السفر، و فیه ما تقدّم، و لکنّ المرسلة غیر کافیة فی الحکم بالاستحباب، مع أنّه لم أجدها فی المقنع المطبوع فیما راجعته من المواضع المناسبة لها</w:t>
      </w:r>
      <w:r>
        <w:rPr>
          <w:rFonts w:eastAsia="IRNazanin" w:cs="IRNazanin"/>
          <w:color w:val="111111"/>
          <w:sz w:val="28"/>
          <w:szCs w:val="28"/>
          <w:rtl w:val="true"/>
          <w:lang w:bidi="fa-IR"/>
        </w:rPr>
        <w:t>.</w:t>
      </w:r>
    </w:p>
    <w:p>
      <w:pPr>
        <w:pStyle w:val="Heading4"/>
        <w:numPr>
          <w:ilvl w:val="3"/>
          <w:numId w:val="1"/>
        </w:numPr>
        <w:rPr/>
      </w:pPr>
      <w:bookmarkStart w:id="220" w:name="__RefHeading___Toc1723266_417432637"/>
      <w:bookmarkStart w:id="221" w:name="_Toc81"/>
      <w:bookmarkEnd w:id="220"/>
      <w:r>
        <w:rPr>
          <w:rtl w:val="true"/>
        </w:rPr>
        <w:t>استحباب الوضوء للنوم</w:t>
      </w:r>
      <w:bookmarkEnd w:id="221"/>
    </w:p>
    <w:p>
      <w:pPr>
        <w:pStyle w:val="BookText"/>
        <w:rPr/>
      </w:pPr>
      <w:r>
        <w:rPr>
          <w:rFonts w:ascii="IRNazanin" w:hAnsi="IRNazanin" w:eastAsia="IRNazanin"/>
          <w:color w:val="111111"/>
          <w:sz w:val="28"/>
          <w:sz w:val="28"/>
          <w:szCs w:val="28"/>
          <w:rtl w:val="true"/>
          <w:lang w:bidi="fa-IR"/>
        </w:rPr>
        <w:t>و یستدلّ علی ذلک بروایة محمّد بن کردوس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تطهّر ثمّ آوی إلی فراشه بات و فراشه کمسجده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الصدوق و مرسلة الشیخ و ما رفعه فی المحاسن عن حفص بن غیاث،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آوی إلی فراشه فذکر أنّه علی غیر طهر و تیمّم من دثار ثیابه کان فی الصلاة ما ذکر اللّٰه</w:t>
      </w:r>
      <w:r>
        <w:rPr>
          <w:rFonts w:eastAsia="IRNazanin" w:cs="IRNazanin"/>
          <w:color w:val="111111"/>
          <w:sz w:val="28"/>
          <w:szCs w:val="28"/>
          <w:rtl w:val="true"/>
          <w:lang w:bidi="fa-IR"/>
        </w:rPr>
        <w:t xml:space="preserve">» </w:t>
      </w:r>
      <w:r>
        <w:rPr>
          <w:rStyle w:val="FootnoteAnchor"/>
          <w:rtl w:val="true"/>
        </w:rPr>
        <w:footnoteReference w:id="522"/>
      </w:r>
      <w:bookmarkStart w:id="222" w:name="pg12061_112534"/>
    </w:p>
    <w:p>
      <w:pPr>
        <w:pStyle w:val="BookText"/>
        <w:rPr/>
      </w:pPr>
      <w:bookmarkEnd w:id="222"/>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الحامل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القاضی فی مجلس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علی الطهارة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بالاستحباب عند النوم مبنیّ علی التسامح فی أدلّة السنن و یجری علی ذلک ما ذکرنا فی موارد عدم تمام الدلیل علی الاستحباب، أضف إلی ذلک أنّ مدلولها کراهة الجماع مع الحدث، و هذا لا یوجب تشریع الوضوء یعنی استحبابه للجماع، و لو فرض الالتزام بعدم تشریع الوضوء إلّا للصلاة، فمن لا وضوء له من صلاة أو سائر الغایات یکره له الجماع</w:t>
      </w:r>
      <w:r>
        <w:rPr>
          <w:rFonts w:eastAsia="IRNazanin" w:cs="IRNazanin"/>
          <w:color w:val="111111"/>
          <w:sz w:val="28"/>
          <w:szCs w:val="28"/>
          <w:rtl w:val="true"/>
          <w:lang w:bidi="fa-IR"/>
        </w:rPr>
        <w:t>.</w:t>
      </w:r>
    </w:p>
    <w:p>
      <w:pPr>
        <w:pStyle w:val="Heading4"/>
        <w:numPr>
          <w:ilvl w:val="3"/>
          <w:numId w:val="1"/>
        </w:numPr>
        <w:rPr/>
      </w:pPr>
      <w:bookmarkStart w:id="223" w:name="__RefHeading___Toc1723268_417432637"/>
      <w:bookmarkStart w:id="224" w:name="_Toc82"/>
      <w:bookmarkEnd w:id="223"/>
      <w:r>
        <w:rPr>
          <w:rtl w:val="true"/>
        </w:rPr>
        <w:t>استحباب الوضوء لمقاربة الحامل</w:t>
      </w:r>
      <w:bookmarkEnd w:id="224"/>
    </w:p>
    <w:p>
      <w:pPr>
        <w:pStyle w:val="BookText"/>
        <w:rPr/>
      </w:pPr>
      <w:r>
        <w:rPr>
          <w:rFonts w:ascii="IRNazanin" w:hAnsi="IRNazanin" w:eastAsia="IRNazanin"/>
          <w:color w:val="111111"/>
          <w:sz w:val="28"/>
          <w:sz w:val="28"/>
          <w:szCs w:val="28"/>
          <w:rtl w:val="true"/>
          <w:lang w:bidi="fa-IR"/>
        </w:rPr>
        <w:t>و فیما رواه الصدوق قدس سره بإسناده عن أبی سعید الخدری فی وصیة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حملت امرأتک فلا تجامعها إلّا و أنت علی وضوء فإنّه إن قضی بینکما ولد یکون أعمی القلب</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 یجری علی ذلک ما تقدّم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ذلک بعض الأصحاب، و لم نقف علی روایة تدلّ علی ذلک مع الغمض عن سندها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الکون علی الطهارة یساوی الکون علی الوضوء؛ و لذا لا یحتاج فی کون المحدث علی الطهارة من قصد الکون علیها</w:t>
      </w:r>
      <w:r>
        <w:rPr>
          <w:rFonts w:eastAsia="IRNazanin" w:cs="IRNazanin"/>
          <w:color w:val="111111"/>
          <w:sz w:val="28"/>
          <w:szCs w:val="28"/>
          <w:rtl w:val="true"/>
          <w:lang w:bidi="fa-IR"/>
        </w:rPr>
        <w:t>.</w:t>
      </w:r>
      <w:bookmarkStart w:id="225" w:name="pg12061_112535"/>
    </w:p>
    <w:p>
      <w:pPr>
        <w:pStyle w:val="BookText"/>
        <w:rPr/>
      </w:pPr>
      <w:bookmarkEnd w:id="225"/>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 فی صورة 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شرط فی جوازه کما مرّ، و قد عرفت أنّ الأقوی استحبابه نفسیاً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26" w:name="__RefHeading___Toc1723270_417432637"/>
      <w:bookmarkStart w:id="227" w:name="_Toc83"/>
      <w:bookmarkEnd w:id="226"/>
      <w:r>
        <w:rPr>
          <w:rtl w:val="true"/>
        </w:rPr>
        <w:t>استحباب الوضوء لمس کتابة القرآن</w:t>
      </w:r>
      <w:bookmarkEnd w:id="227"/>
    </w:p>
    <w:p>
      <w:pPr>
        <w:pStyle w:val="BookText"/>
        <w:rPr/>
      </w:pPr>
      <w:r>
        <w:rPr>
          <w:rFonts w:ascii="IRNazanin" w:hAnsi="IRNazanin" w:eastAsia="IRNazanin"/>
          <w:color w:val="111111"/>
          <w:sz w:val="28"/>
          <w:sz w:val="28"/>
          <w:szCs w:val="28"/>
          <w:rtl w:val="true"/>
          <w:lang w:bidi="fa-IR"/>
        </w:rPr>
        <w:t>لا یخفی أنّ تحریم مسّ کتابة القرآن بلا طهارة لا یوجب تشریع الوضوء لمسّ کتابة القرآن فلا تکشف حرمة المسّ مع الحدث عن تشریع الوضوء له، نعم مع تشریع الوضوء للمحدث بالأصغر مطلقاً کما ذکرنا ذلک فی استحباب الوضوء فی نفسه، فیمکن أن یأتی المحدث بالوضوء لأجل أن لا یبتلی بالمحرّم، و بما أنّ هذا یُعدّ من قصد التقرّب فیصحّ الوضوء به فیکون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الوضوء لهذه الغایة یصحّ لا أنّه یتعلّق بالوضوء الأمر الاستحبابی نفسیّاً أو غیریّاً عند إرادة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العمدة فی إثبات الاستحباب النفسی للوضوء من المحدث بالأصغر کون الوضوء بنفسه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الطهارة مسبّبة عن الوضوء فالمتعلّق للأمر الاستحبابی هی الطهارة لا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فیتعین عند التوضّؤ کون المکلف قاصداً بالإتیان به أن تحصل الطهارة المطلوبة للشارع المعبّر عنه الوضوء بقصد الکون علی الطهارة، أو أن یقصد الأمر الغیریّ المتعلّق به فی موارد استحباب الطهارة أو وجوبها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بأنّ ترتّب الطهارة علی الوضوء کترتب الزوجیة و الملکیّة علی إنشاءاتها قصدی یتعیّن قصد الطهارة بالوضوء حتّی مع قصد التقرّب</w:t>
      </w:r>
      <w:bookmarkStart w:id="228" w:name="pg12061_112536"/>
    </w:p>
    <w:p>
      <w:pPr>
        <w:pStyle w:val="BookText"/>
        <w:rPr/>
      </w:pPr>
      <w:bookmarkEnd w:id="228"/>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الوضوء للتجدید و الظاهر جوازه ثالثاً 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أیضاً، و أمّا الغسل فلا یستحبّ فیه التجدید،بل و لا الوضوء بعد غسل الجنابة و إن طالت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بسائر الغایات، فلاحظ</w:t>
      </w:r>
      <w:r>
        <w:rPr>
          <w:rFonts w:eastAsia="IRNazanin" w:cs="IRNazanin"/>
          <w:color w:val="111111"/>
          <w:sz w:val="28"/>
          <w:szCs w:val="28"/>
          <w:rtl w:val="true"/>
          <w:lang w:bidi="fa-IR"/>
        </w:rPr>
        <w:t>.</w:t>
      </w:r>
    </w:p>
    <w:p>
      <w:pPr>
        <w:pStyle w:val="Heading4"/>
        <w:numPr>
          <w:ilvl w:val="3"/>
          <w:numId w:val="1"/>
        </w:numPr>
        <w:rPr/>
      </w:pPr>
      <w:bookmarkStart w:id="229" w:name="__RefHeading___Toc1723272_417432637"/>
      <w:bookmarkStart w:id="230" w:name="_Toc84"/>
      <w:bookmarkEnd w:id="229"/>
      <w:r>
        <w:rPr>
          <w:rtl w:val="true"/>
        </w:rPr>
        <w:t>الوضوء التجدیدی</w:t>
      </w:r>
      <w:bookmarkEnd w:id="230"/>
    </w:p>
    <w:p>
      <w:pPr>
        <w:pStyle w:val="BookText"/>
        <w:rPr/>
      </w:pPr>
      <w:r>
        <w:rPr>
          <w:rFonts w:ascii="IRNazanin" w:hAnsi="IRNazanin" w:eastAsia="IRNazanin"/>
          <w:color w:val="111111"/>
          <w:sz w:val="28"/>
          <w:sz w:val="28"/>
          <w:szCs w:val="28"/>
          <w:rtl w:val="true"/>
          <w:lang w:bidi="fa-IR"/>
        </w:rPr>
        <w:t>لا ینبغی التأمّل فی استحباب تجدید الوضوء لصلاة المغرب ممّن کان علی وضوء من صلاة الظهرین، و کذلک فی استحباب تجدید الوضوء لصلاة الصبح ممّن کان علی وضوء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موثّقة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الحسن علیه السلام فصلّی الظهر و العصر بین یدی و جلست عنده حتّی حضرت المغرب فدعا بوضوء فتوضّأ للصلاة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أنا علی 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 علی وضوء إنّ من توضّأ للمغرب کان وضوؤه ذلک کفّارة لما مضی من ذنوبه فی یومه إلّا الکبائر، و من توضأ للصبح کان وضوؤه ذلک کفارة لما مضی من ذنوبه فی لیلته إلّا الکبائر </w:t>
      </w:r>
      <w:r>
        <w:rPr>
          <w:rStyle w:val="FootnoteAnchor"/>
          <w:rtl w:val="true"/>
        </w:rPr>
        <w:footnoteReference w:id="524"/>
      </w:r>
      <w:r>
        <w:rPr>
          <w:rFonts w:ascii="IRNazanin" w:hAnsi="IRNazanin" w:eastAsia="IRNazanin"/>
          <w:color w:val="111111"/>
          <w:sz w:val="28"/>
          <w:sz w:val="28"/>
          <w:szCs w:val="28"/>
          <w:rtl w:val="true"/>
          <w:lang w:bidi="fa-IR"/>
        </w:rPr>
        <w:t>، فإنّ الروایة کذلک مرویة فی الکافی</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رواه الصدوق فی ثواب الأعمال، و ما فی سند الصدوق جرّاح الحذّاء </w:t>
      </w:r>
      <w:r>
        <w:rPr>
          <w:rStyle w:val="FootnoteAnchor"/>
          <w:rtl w:val="true"/>
        </w:rPr>
        <w:footnoteReference w:id="526"/>
      </w:r>
      <w:r>
        <w:rPr>
          <w:rFonts w:ascii="IRNazanin" w:hAnsi="IRNazanin" w:eastAsia="IRNazanin"/>
          <w:color w:val="111111"/>
          <w:sz w:val="28"/>
          <w:sz w:val="28"/>
          <w:szCs w:val="28"/>
          <w:rtl w:val="true"/>
          <w:lang w:bidi="fa-IR"/>
        </w:rPr>
        <w:t>لعلّه من اشتباه النسخة و الصحیح صباح الحذّاء کما فی نقل الکافی و روایة عمرو بن عثمان الخزّاز عنه فی غیر مورد، و عدم وجود جرّاح الحذّاء فی الرجال، و تجدید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الوضوء للمغرب وارد فی موثّقة سماعة بن مهران الأُخری التی رواها فی الکافی </w:t>
      </w:r>
      <w:r>
        <w:rPr>
          <w:rStyle w:val="FootnoteAnchor"/>
          <w:rtl w:val="true"/>
        </w:rPr>
        <w:footnoteReference w:id="527"/>
      </w:r>
      <w:r>
        <w:rPr>
          <w:rFonts w:ascii="IRNazanin" w:hAnsi="IRNazanin" w:eastAsia="IRNazanin"/>
          <w:color w:val="111111"/>
          <w:sz w:val="28"/>
          <w:sz w:val="28"/>
          <w:szCs w:val="28"/>
          <w:rtl w:val="true"/>
          <w:lang w:bidi="fa-IR"/>
        </w:rPr>
        <w:t xml:space="preserve">و المحاسن </w:t>
      </w:r>
      <w:r>
        <w:rPr>
          <w:rStyle w:val="FootnoteAnchor"/>
          <w:rtl w:val="true"/>
        </w:rPr>
        <w:footnoteReference w:id="528"/>
      </w:r>
      <w:r>
        <w:rPr>
          <w:rFonts w:ascii="IRNazanin" w:hAnsi="IRNazanin" w:eastAsia="IRNazanin"/>
          <w:color w:val="111111"/>
          <w:sz w:val="28"/>
          <w:sz w:val="28"/>
          <w:szCs w:val="28"/>
          <w:rtl w:val="true"/>
          <w:lang w:bidi="fa-IR"/>
        </w:rPr>
        <w:t>، و لعلّها عین الموثّقة الأُولی حصل فیها تبعیض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استفادة تجدید الوضوء لصلاتی المغرب و الصبح ممّن یکون علی وضوء لا کلام فیه، و أمّا استحباب الوضوء لغیرهما من الصلاة الفریضة أو النافلة أیضاً فلا یستفاد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ذلک بل علی استحباب تجدید الوضوء مطلقاً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خبر محمّد بن مسلم الذی رواه أحمد بن محمد بن خالد البرقی فی المحاسن، عن القاسم بن یحیی، عن جدّه الحسن بن راشد،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الطهور عشر حسنات فتطهّروا</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بالطهور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الوضوء، و فی سنده القاسم بن یحیی و الحسن بن راشد و لم یثبت لهما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النبی صلی الله علیه و آله یجدّد الوضوء لکلّ صلاة و فریضة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المفضّل بن عمر،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وضوءه لغیر 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جدّد اللّٰه توبته من غیر استغفار</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ابی قتادة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الوضوء لصلاة العشاء یمحو لا و اللّٰه، و بلی و اللّٰه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لا یبعد دعوی الاطمینان و الوثوق و لو بصدور بعض هذه الروایات، و لعلّ ذلک یکفی فی الحکم باستحباب تجدید الوضوء، و اللّٰه سبحانه هو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معارضة بموثّقة عبد اللّه بن بکیر،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استیقنت أنّک قد أحدثت فتوضّأ و إیّاک أن تحدث وضوءاً أبداً حتّی تستیقن أنّک قد أحدثت</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الموثّقة الإرشاد إلی عدم کون احتمال الحدث موجباً لرفع الید عن الوضوء السابق بأن یعتقد مع احتمال الحدث بعد التوضّؤ بعدم جواز الصلاة بدون التوضّؤ ثانیاً، و لو لم یکن هذا ظاهرها فلا بدّ من حملها علیه جمعاً لما دلّ علی حسن الاحتیاط و منه الوضوء مع احتمال الحدث، و ما دلّ علی مطلوبیّة الوضوء و تجدیده حتّی مع الیقین بالطهر، و هذا بالإضافة إلی تجدید الوضوء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بالإضافة إلی تجدید الغسل فلم یرد الأمر بإعادته فی روایة، نعم قد یدّعی أنّ مرسلة سعدان عن بعض أصحابه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علی الطهر عشر</w:t>
      </w:r>
      <w:bookmarkStart w:id="231" w:name="pg12061_112539"/>
    </w:p>
    <w:p>
      <w:pPr>
        <w:pStyle w:val="BookText"/>
        <w:rPr/>
      </w:pPr>
      <w:bookmarkEnd w:id="231"/>
      <w:r>
        <w:rPr>
          <w:rFonts w:ascii="IRNazanin" w:hAnsi="IRNazanin" w:eastAsia="IRNazanin"/>
          <w:color w:val="111111"/>
          <w:sz w:val="28"/>
          <w:sz w:val="28"/>
          <w:szCs w:val="28"/>
          <w:rtl w:val="true"/>
          <w:lang w:bidi="fa-IR"/>
        </w:rPr>
        <w:t>و أمّا القسم الثالث فلأُمور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الحائض فی مصلّاها مقدار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بإطلاقها تعمّ إعادة الغسل، و کذا ما فی روایة محمّد بن مسلم عن أبی عبد اللّه علیه السلام من الأمر بالتطهّر بعد الطهور </w:t>
      </w:r>
      <w:r>
        <w:rPr>
          <w:rStyle w:val="FootnoteAnchor"/>
          <w:rtl w:val="true"/>
        </w:rPr>
        <w:footnoteReference w:id="536"/>
      </w:r>
      <w:r>
        <w:rPr>
          <w:rFonts w:ascii="IRNazanin" w:hAnsi="IRNazanin" w:eastAsia="IRNazanin"/>
          <w:color w:val="111111"/>
          <w:sz w:val="28"/>
          <w:sz w:val="28"/>
          <w:szCs w:val="28"/>
          <w:rtl w:val="true"/>
          <w:lang w:bidi="fa-IR"/>
        </w:rPr>
        <w:t>، الشامل للوضوء و الغسل، و لکن قد عرفت انصراف الثانی إلی إعادة الوضوء، و الاوّلی لإرسالها لا یمکن الاعتماد علیها، و من المقرّر فی محلّه أنّه فی موارد الاطمینان بصدور بعض من جملة الأخبار یقتصر بأخصّها مضموناً،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الوضوء بعد غسل الجنابة فإنّ ظاهر الروایات أنّ الوضوء بعد الغسل کالوضوء قبله غیر مشروع، و أنّه لیس فی غسل الجنابة وضوء لا قبله و لا بعده و لا یمکن حمل ذلک علی نفی الوجوب، حیث إنّ ما ورد فی أنّ کل غسل وضوء إلّا غسل الجنابة </w:t>
      </w:r>
      <w:r>
        <w:rPr>
          <w:rStyle w:val="FootnoteAnchor"/>
          <w:rtl w:val="true"/>
        </w:rPr>
        <w:footnoteReference w:id="537"/>
      </w:r>
      <w:r>
        <w:rPr>
          <w:rFonts w:ascii="IRNazanin" w:hAnsi="IRNazanin" w:eastAsia="IRNazanin"/>
          <w:color w:val="111111"/>
          <w:sz w:val="28"/>
          <w:sz w:val="28"/>
          <w:szCs w:val="28"/>
          <w:rtl w:val="true"/>
          <w:lang w:bidi="fa-IR"/>
        </w:rPr>
        <w:t>و سیأتی أنّ ثبوت الوضوء فی سائر الأغسال استحبابیّ لا وجوبی، فیکون نفی الوضوء فی غسل الجنابة بمعنی نفی التشریع، نعم یمکن دعوی انصراف مثل ذلک عمّا إذا توضّأ قبل الاغتسال أو بعده قبل أن یأتی بالصلاة، و لا یعمّ ما إذا صلّی صلاة بغسل الجنابة کالظهرین و توضّأ للمغرب مع عدم الحدث</w:t>
      </w:r>
      <w:r>
        <w:rPr>
          <w:rFonts w:eastAsia="IRNazanin" w:cs="IRNazanin"/>
          <w:color w:val="111111"/>
          <w:sz w:val="28"/>
          <w:szCs w:val="28"/>
          <w:rtl w:val="true"/>
          <w:lang w:bidi="fa-IR"/>
        </w:rPr>
        <w:t>.</w:t>
      </w:r>
    </w:p>
    <w:p>
      <w:pPr>
        <w:pStyle w:val="Heading4"/>
        <w:numPr>
          <w:ilvl w:val="3"/>
          <w:numId w:val="1"/>
        </w:numPr>
        <w:rPr/>
      </w:pPr>
      <w:bookmarkStart w:id="232" w:name="__RefHeading___Toc1723274_417432637"/>
      <w:bookmarkStart w:id="233" w:name="_Toc85"/>
      <w:bookmarkEnd w:id="232"/>
      <w:r>
        <w:rPr>
          <w:rtl w:val="true"/>
        </w:rPr>
        <w:t>استحباب الوضوء لذکر الحائض فی مصلّاها</w:t>
      </w:r>
      <w:bookmarkEnd w:id="23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طامثاً فلا تحلّ لها الصلاة و علیها أن تتوضّأ وضوء الصلاة عند وقت کلّ صلاة ثمّ تقعد فی موضع طاهر فتذکر اللّٰه عزّ و جلّ و تسبّحه و تهلّله و تحمده کمقدار</w:t>
      </w:r>
      <w:bookmarkStart w:id="234" w:name="pg12061_112540"/>
    </w:p>
    <w:p>
      <w:pPr>
        <w:pStyle w:val="BookText"/>
        <w:rPr/>
      </w:pPr>
      <w:bookmarkEnd w:id="234"/>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لنوم الجنب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صلاتها ثمّ تفرغ لحاجتها</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فی صحیحة عبید اللّٰه بن علی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نساء النبی صلی الله علیه و آله لا یقضین الصلاة إذا حضن و لکن یتحشّین حتّی یدخل وقت الصلاة و یتوضین ثمّ یجلسن قریباً من المسجد فیذکرن اللّٰه عزّ و جلّ</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صحیحة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للحائض أن تتوضّأ عند وقت کلّ صلاة ثمّ تستقبل القبلة و تذکر اللّٰه مقدار ما کانت تصلّی</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4"/>
        <w:numPr>
          <w:ilvl w:val="3"/>
          <w:numId w:val="1"/>
        </w:numPr>
        <w:rPr/>
      </w:pPr>
      <w:bookmarkStart w:id="235" w:name="__RefHeading___Toc1723276_417432637"/>
      <w:bookmarkStart w:id="236" w:name="_Toc86"/>
      <w:bookmarkEnd w:id="235"/>
      <w:r>
        <w:rPr>
          <w:rtl w:val="true"/>
        </w:rPr>
        <w:t>استحباب الوضوء لنوم الجنب و أکله و</w:t>
      </w:r>
      <w:r>
        <w:rPr>
          <w:rtl w:val="true"/>
        </w:rPr>
        <w:t>...</w:t>
      </w:r>
      <w:bookmarkEnd w:id="236"/>
    </w:p>
    <w:p>
      <w:pPr>
        <w:pStyle w:val="BookText"/>
        <w:rPr/>
      </w:pPr>
      <w:r>
        <w:rPr>
          <w:rFonts w:ascii="IRNazanin" w:hAnsi="IRNazanin" w:eastAsia="IRNazanin"/>
          <w:color w:val="111111"/>
          <w:sz w:val="28"/>
          <w:sz w:val="28"/>
          <w:szCs w:val="28"/>
          <w:rtl w:val="true"/>
          <w:lang w:bidi="fa-IR"/>
        </w:rPr>
        <w:t>یشهد لذلک صحیحة عبید اللّٰه بن علی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أ ینبغی له أن ینام و هو 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ذلک حتّی یتوضّأ</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مضمرة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الجنب یجنب ثمّ یرید النوم؟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أن یتوضّأ فلیفعل و الغسل أحبّ إلیّ و أفضل من ذلک فإن هو نام و لم یتوضّأ و لم یغتسل فلیس علیه شیء إن شاء اللّٰه</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رواه الصدوق قدس سره مرسلاً 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أنام علی ذلک حتّی أُصبح</w:t>
      </w:r>
    </w:p>
    <w:p>
      <w:pPr>
        <w:pStyle w:val="BookText"/>
        <w:rPr/>
      </w:pPr>
      <w:r>
        <w:rPr>
          <w:rFonts w:ascii="IRNazanin" w:hAnsi="IRNazanin" w:eastAsia="IRNazanin"/>
          <w:color w:val="111111"/>
          <w:sz w:val="28"/>
          <w:sz w:val="28"/>
          <w:szCs w:val="28"/>
          <w:rtl w:val="true"/>
          <w:lang w:bidi="fa-IR"/>
        </w:rPr>
        <w:t>و أکله و شربه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أنّی أُرید أن أعود</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و مع الغمض عن سنده لا ینافی ما تقدم فإنّ النوم علی الجنابة لا یلازم ترک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عبید اللّٰه الحلبی، عن أبی عبد اللّه علیه السلام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جنباً لم یأکل و لم یشرب حتّی یتوضّأ</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فی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یأکل الجنب قبل أن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لنکسل و لکن لیغسل یده فالوضوء أفضل</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 دلالتها علی أنّ المراد بالوضوء معناه المعروف غیر خفی، نعم أقلّ مرتبة الاستحباب غسل الید، و الأولی منه غسل الید و الوجه و التمضمض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مصحّحة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إذا أراد أن یأکل و یشرب غسل یده و تمضمض و غسل وجهه و أکل و شرب</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أو غسل الید و التمضمض کما فی معتبرة السکونی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بما رواه فی کشف الغمة عن عبد اللّه بن جعفر الحمیری فی کتاب الدلائل عن الحسن بن علی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محرز بلغنا أنّ أبا عبد اللّه علیه السلام کان إذا أراد أن یعاود أهله للجماع توضّأ للصلاة، فأُحب أن تسأل</w:t>
      </w:r>
      <w:bookmarkStart w:id="237" w:name="pg12061_112542"/>
    </w:p>
    <w:p>
      <w:pPr>
        <w:pStyle w:val="BookText"/>
        <w:rPr/>
      </w:pPr>
      <w:bookmarkEnd w:id="237"/>
      <w:r>
        <w:rPr>
          <w:rFonts w:ascii="IRNazanin" w:hAnsi="IRNazanin" w:eastAsia="IRNazanin"/>
          <w:color w:val="111111"/>
          <w:sz w:val="28"/>
          <w:sz w:val="28"/>
          <w:szCs w:val="28"/>
          <w:rtl w:val="true"/>
          <w:lang w:bidi="fa-IR"/>
        </w:rPr>
        <w:t>و تغسیله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لجماع من مسّ المیّت و لم یغتسل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لتکفین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الحسن الثانی علیه السلام عن ذلک قال الوشّاء فدخلت علیه فابتدأنی من غیر أن أسأله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عبد اللّه علیه السلام إذا جامع و أراد أن یعاود توضّأ وضوء الصلاة و إذا أراد أیضاً توضّأ للصلاة </w:t>
      </w:r>
      <w:r>
        <w:rPr>
          <w:rStyle w:val="FootnoteAnchor"/>
          <w:rtl w:val="true"/>
        </w:rPr>
        <w:footnoteReference w:id="548"/>
      </w:r>
      <w:r>
        <w:rPr>
          <w:rFonts w:ascii="IRNazanin" w:hAnsi="IRNazanin" w:eastAsia="IRNazanin"/>
          <w:color w:val="111111"/>
          <w:sz w:val="28"/>
          <w:sz w:val="28"/>
          <w:szCs w:val="28"/>
          <w:rtl w:val="true"/>
          <w:lang w:bidi="fa-IR"/>
        </w:rPr>
        <w:t xml:space="preserve">، و دلالة هذه علی التوضّؤ فیما کان جنباً بالدخول و إن کانت تامة إلّا أنّ طریق علی بن عیسی الاربلی صاحب کشف الغمة إلی الحمیری غیر معلوم لنا، و قریب منها المرسلة عن أبی عبد اللّه علیه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723278_417432637"/>
      <w:bookmarkStart w:id="239" w:name="_Toc87"/>
      <w:bookmarkEnd w:id="238"/>
      <w:r>
        <w:rPr>
          <w:rtl w:val="true"/>
        </w:rPr>
        <w:t>استحباب الوضوء لتکفین المیّت أو تدفینه</w:t>
      </w:r>
      <w:bookmarkEnd w:id="239"/>
    </w:p>
    <w:p>
      <w:pPr>
        <w:pStyle w:val="BookText"/>
        <w:rPr/>
      </w:pPr>
      <w:r>
        <w:rPr>
          <w:rFonts w:ascii="IRNazanin" w:hAnsi="IRNazanin" w:eastAsia="IRNazanin"/>
          <w:color w:val="111111"/>
          <w:sz w:val="28"/>
          <w:sz w:val="28"/>
          <w:szCs w:val="28"/>
          <w:rtl w:val="true"/>
          <w:lang w:bidi="fa-IR"/>
        </w:rPr>
        <w:t>و یدلّ علیه حسنة شهاب بن عبد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الجنب یغسّل المیّت أو من غسّل میّتاً له أن یأتی أهله ثمّ یغتسل؟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لا بأس بذلک، إذا کان جنباً غسل یده و توضّأ و غسّل المیّت و هو جنب، و إن غسّل میّتاً توضّأ ثمّ أتی أهله و یجزیه غسل واحد لهما</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استحباب الوضوء علی من یکفّن المیّت بعد أن غسّله و لم یغتسل من مسّه عن بعض الأصحاب </w:t>
      </w:r>
      <w:r>
        <w:rPr>
          <w:rStyle w:val="FootnoteAnchor"/>
          <w:rtl w:val="true"/>
        </w:rPr>
        <w:footnoteReference w:id="551"/>
      </w:r>
      <w:r>
        <w:rPr>
          <w:rFonts w:ascii="IRNazanin" w:hAnsi="IRNazanin" w:eastAsia="IRNazanin"/>
          <w:color w:val="111111"/>
          <w:sz w:val="28"/>
          <w:sz w:val="28"/>
          <w:szCs w:val="28"/>
          <w:rtl w:val="true"/>
          <w:lang w:bidi="fa-IR"/>
        </w:rPr>
        <w:t>و لم ینقلوا بذلک ما اعتمدوا علیه من الخبر، فلو قیل بکفایة هذا المقدار فی الحکم باستحباب الفعل و استناد ذلک من الأخبار المعروفة</w:t>
      </w:r>
    </w:p>
    <w:p>
      <w:pPr>
        <w:pStyle w:val="BookText"/>
        <w:rPr/>
      </w:pPr>
      <w:r>
        <w:rPr>
          <w:rFonts w:ascii="IRNazanin" w:hAnsi="IRNazanin" w:eastAsia="IRNazanin"/>
          <w:color w:val="111111"/>
          <w:sz w:val="28"/>
          <w:sz w:val="28"/>
          <w:szCs w:val="28"/>
          <w:rtl w:val="true"/>
          <w:lang w:bidi="fa-IR"/>
        </w:rPr>
        <w:t>أو تدفینه بالنسبة إلی من غسّله و لم یغتسل غسل المسّ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بأخبار من بلغ فهو و إلّا فلا وجه للالتزام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علی ذلک بروایة عبید اللّٰه بن الحلبی و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أبی أن أجعل ارتفاع قبره أربع أصابع مفرجات، و ذکر أنّ الرشّ بالماء حسن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إذا أدخلت المیّت القبر</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فیقع الکلام فی سندها تارة، و أُخری فی دلالتها مع الغرض عن أمر سندها أو علی تقدیر تمامیّة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قد یورد علی سندها بأن الشیخ </w:t>
      </w:r>
      <w:r>
        <w:rPr>
          <w:rStyle w:val="FootnoteAnchor"/>
          <w:rtl w:val="true"/>
        </w:rPr>
        <w:footnoteReference w:id="553"/>
      </w:r>
      <w:r>
        <w:rPr>
          <w:rFonts w:ascii="IRNazanin" w:hAnsi="IRNazanin" w:eastAsia="IRNazanin"/>
          <w:color w:val="111111"/>
          <w:sz w:val="28"/>
          <w:sz w:val="28"/>
          <w:szCs w:val="28"/>
          <w:rtl w:val="true"/>
          <w:lang w:bidi="fa-IR"/>
        </w:rPr>
        <w:t>رواها بسنده، عن علی بن الحسن بن فضال، عن محمد بن عبد اللّه بن زرارة، عن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الشیخ إلی علی بن الحسن ضعیف، حیث یروی عن علی بن الحسن بواسطة أحمد بن عبدون المعروف بابن عبد الواحد، و ابن الحاشر عن علی بن محمد بن الزبیر القرشی عنه، و علی بن محمد بن الزبیر لم یثبت له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فی وجهه فی قول النجاشی فیه و کان علواً فی الوقت </w:t>
      </w:r>
      <w:r>
        <w:rPr>
          <w:rStyle w:val="FootnoteAnchor"/>
          <w:rtl w:val="true"/>
        </w:rPr>
        <w:footnoteReference w:id="554"/>
      </w:r>
      <w:r>
        <w:rPr>
          <w:rFonts w:ascii="IRNazanin" w:hAnsi="IRNazanin" w:eastAsia="IRNazanin"/>
          <w:color w:val="111111"/>
          <w:sz w:val="28"/>
          <w:sz w:val="28"/>
          <w:szCs w:val="28"/>
          <w:rtl w:val="true"/>
          <w:lang w:bidi="fa-IR"/>
        </w:rPr>
        <w:t>لا دلالة فیه علی مدح فضلاً عن توثیق، أضف إلی ذلک أنّ محمد بن عبد اللّه بن زرارة أیضاً لم یثبت له توثیق</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الأظهر لا مجال للمناقشة فی السند أصلاً، فإنّ کلّ من علی بن محمد بن الزبیر و محمد بن عبد اللّه بن زرارة من المعاریف، و لم یرد فی حقّهما قدح 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الغضّ عن ذلک فسند الشیخ إلی علی بن الحسن بن فضّال، یمکن تصحیحه بأنّ کلّ من الشیخ قدس سره و النجاشی رویا کتب علی بن الحسن بن فضّال، عن أحمد بن عبدون، عن علی بن محمد بن الزبیر عنه، و لا یحتمل أن ما رواه أحمد بن عبدون، عن علی بن محمد بن الزبیر، عن علی بن الحسن للنجاشی غیر ما رواه للشیخ الطوسی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للنجاشی إلی تلک الکتب طریقاً آخر یرویها عن محمد بن جعفر فی آخرین عن أحمد بن محمد بن سعید، عن علی بن الحسن بکتبه، و حیث إنّ ظاهر هذا الکلام أنّ ما وصل إلیه بالطریق المشترک مع الشیخ قدس سره قد وصل إلیه بهذا الطریق أیضاً فلا یبقی مجال للمناقشة فیما یروی الشیخ قدس سره عن تلک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دلالتها فیمکن المناقشة فیها بأنّه لم یفرض فیها الدفن ممّن غسّل المیت و لم یغتسل منه، مع أنّه یحتمل أن یکون التوضّؤ بعد الدفن لو لم نقل بأنّ ظاهرها ذلک، مع أنّ فی صحیحة محمّد بن مسلم عن أحدهما علیهما السلام فی حدیث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أدخل المیّت القبر علیه 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یتوضأ من تراب القبر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تحمل هذه علی نفی الوجوب و الأوّل علی الاستحباب، أو تحمل هذه علی عدم لزوم غسل الید من مسّ المیّت حین الدفن و إن یشاء یغسلها من أثر و مع تراب القبر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فالروایة غیر وافیة بما ذکر فی المتن، و غیر خالیة عن شوب المعارضة مع الصحیحة، و اللّٰه سبحانه هو العالم</w:t>
      </w:r>
      <w:r>
        <w:rPr>
          <w:rFonts w:eastAsia="IRNazanin" w:cs="IRNazanin"/>
          <w:color w:val="111111"/>
          <w:sz w:val="28"/>
          <w:szCs w:val="28"/>
          <w:rtl w:val="true"/>
          <w:lang w:bidi="fa-IR"/>
        </w:rPr>
        <w:t>.</w:t>
      </w:r>
      <w:bookmarkStart w:id="240" w:name="pg12061_112545"/>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القسم الأول من المستحبّ بالغایة التی توضّأ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القسم الأول من المستحبّ بالغایة التی توضّأ لأجلها، بل یباح به جمیع الغایات المشروطة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41" w:name="__RefHeading___Toc1723280_417432637"/>
      <w:bookmarkStart w:id="242" w:name="_Toc88"/>
      <w:bookmarkEnd w:id="241"/>
      <w:r>
        <w:rPr>
          <w:rtl w:val="true"/>
        </w:rPr>
        <w:t>فی أن الوضوء لغایة یباح به سائر الغایات</w:t>
      </w:r>
      <w:bookmarkEnd w:id="242"/>
    </w:p>
    <w:p>
      <w:pPr>
        <w:pStyle w:val="BookText"/>
        <w:rPr/>
      </w:pPr>
      <w:r>
        <w:rPr>
          <w:rFonts w:ascii="IRNazanin" w:hAnsi="IRNazanin" w:eastAsia="IRNazanin"/>
          <w:color w:val="111111"/>
          <w:sz w:val="28"/>
          <w:sz w:val="28"/>
          <w:szCs w:val="28"/>
          <w:rtl w:val="true"/>
          <w:lang w:bidi="fa-IR"/>
        </w:rPr>
        <w:t>فإنّ الشرط فی جمیع الغایات فی القسم الأوّل الطهارة أو کون المکلّف علی وضوء و بناءً علی أنّ الوضوء من المحدث بالأصغر مع وقوعه بوجه قربی بنفسه طهارة یحصل به ما یشترط فی صحّة الغایة أو کماله أو جوازه أو ارتفاع کراهته، فإنّه علی هذا القول ما لم یحصل منه ناقض فهو علی وضوء و علی طهارة و کونه علی وضوء عین کونه علی طهارة، و کذا بناءً علی أنّ الطهارة أمر یحصل بالوضوء و أنّ الوضوء لیس بنفسه له بقاء، فإنّه عبارة عن الأفعال التدریجیة التی تنتهی بحصول جزئه الأخیر و الباقی هی الطهارة، و ذلک فإنّ ما دلّ علی اعتبار الطهارة عند الإتیان أو کون المکلّف علی الوضوء المتفاهم العرفی منه أمر واحد، و هو کونه علی الطهارة من الحدث الأصغر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کما أنّ الوضوء لموجب البول لا یختلف عن الوضوء لسائر موجباته کذلک الوضوء لغایة لا یکون مغایراً للوضوء لغیرها، حیث إنّ الوضوء فی کلّ مورد حدّ واحد و هو غسل الوجه و الیدین و مسح الرأس و الرجلین علی ما یأتی، و کون هذه الأفعال وضوءاً و إن کان عنواناً قصدیاً و یکون قصد التقرّب المعتبر فیه أمراً زائداً علی نفس الوضوء و الاکتفاء فی الصحة بقصد التقرّب فی الأفعال لکون العنوان القصدی مقصوداً و لو إجمالاً، و کذلک لو قیل بأنّ الطهارة أمر مسبّبی یحصل بالوضوء التقرّبی فإنّه علی کلا القولین تکون الطهارة من المحدث بالأصغر بالوضوء القربی، و إن قصد غایة من تلک الغایة لحصول التقرّب فی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فالوضوء لغایة ما لم یقع ناقض و حدث یکفی لسائر الغایات حتّی علی القول بأنّ المعتبر فی الغایات الطهارة، و ترتّب الطهارة علی الوضوء کترتّب الزوجیّة علی إنشائها یکون بالقصد حیث إنّ قصد المحدث بالأصغر غایته قصد إجمالی للطهارة، و لیس الوضوء بالإضافة إلی موجباته و نواقضه أو حتّی غایاته کالغسل من الجنابة بالإضافة إلی الغسل من مسّ المیت، أو غسل التوبة، و هکذا فإنّ المشهور بین الأصحاب أن الأغسال طبائع مختلفة، و أنّ اختلافها لکون کل منها من العناوین القصدیة، غایة الأمر التزموا بجواز الاکتفاء بالاغتسال الواحد فیما إذا قصد جمیعها أو بلا قصدها أیضاً، و استفادوا ذلک من مثل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اجتمع علیک حقوق أجزأها عنک غسل واحد </w:t>
      </w:r>
      <w:r>
        <w:rPr>
          <w:rStyle w:val="FootnoteAnchor"/>
          <w:rtl w:val="true"/>
        </w:rPr>
        <w:footnoteReference w:id="555"/>
      </w:r>
      <w:r>
        <w:rPr>
          <w:rFonts w:ascii="IRNazanin" w:hAnsi="IRNazanin" w:eastAsia="IRNazanin"/>
          <w:color w:val="111111"/>
          <w:sz w:val="28"/>
          <w:sz w:val="28"/>
          <w:szCs w:val="28"/>
          <w:rtl w:val="true"/>
          <w:lang w:bidi="fa-IR"/>
        </w:rPr>
        <w:t>، فإنّ التعبیر عن الأغسال بالحقوق ظاهره تعدّدها و أن یکتفی فی مقام الامتثال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لو لم یکن یذکر فی ذیل الصحیحة الإجزاء بالواحد و لا فی الأخبار الأُخر، کان الاکتفاء بغسل واحد علی خلاف القاعدة، و کان اللازم الإتیان بالکل فی مورد اجتماعها، و هذا بخلاف الوضوء من المحدث بالأصغر بأی موجب أو أیّ غایة، حیث إنّ ظاهر ما ورد فیه کونه أمراً واحداً بأیّ موجب أو لأی غایة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فالمراد أنّه إذا جدّد وضوءه لصلاة المغرب مثلاً فلا یکفی ذلک عن تجدید وضوئه لصلاة العشاء أیضاً و هکذا، و ذلک ظاهر حیث إنّ متعلّق الأمر هو التوضّؤ لصلاة العشاء و لو کان المکلّف علی طهارة و وضوء،بل و حتّی ما لو کان له وضوء تجدیدی للصلاة التی قبلها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إن وقعا علی نحو ما قصدا لم یؤثّر إلّا فیما قصدا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یجری فی الثالث ما تقدم فی القسم الأول من أنّه إذا توضّأ لغایة یکفی ذلک الوضوء لغایة أُخری ما لم یحدث ناقض ذلک الوضوء، مثلاً إذا توضّأ الجنب لأکله یکفی ذلک فی شربه أیضاً و لنومه أیضاً، و کذا إذا توضّأ لأکله یکفی ذلک فی الجماع لامرأته الحاملة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 ظاهر الروایات الواردة فی استحباب الوضوء للجنب لأکله أو شربه أو نومه إلی غیر ذلک هو الجنب الذی لا وضوء له، إمّا لعدم توضّئه أصلاً أو لحدوث ناقض أو حدث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یقال لا یجری ما ذکر فی القسم الأول من هذا القسم؛ لأنّ الوضوء فی هذا القسم لا یوجب طهارة و لا یکون بنفسه طهارة لیقال ببقائه ما لم ینقض بأحد النواقض، فتکون نفس الأفعال یعنی غسل الوجه و الیدین و مسح الرأس و الرجلین من الجنب مثلاً عند کلّ واحد من الأفعال المزبورة کالأکل و النوم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الوضوء من الجنب مثلاً و إن لا یکون طهارة إلّا أنّ منصرف الروایات الواردة فی الوضوء لأکل الجنب أو نومه أنّه کالوضوء فی القسم الأوّل من عدم انتقاضه ما لم یحصل شیء من نواقضه، و أنّ الأمر بالوضوء لتلک الغایات یتوجّه إلی الجنب الذی لم یتوضّأ أو توضّأ و حصل منه ناقضه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الوضوء من الجنب مثلاً لا یکون وضوءاً إلّا بالإطلاق المجازی نظیر إطلاق الصلاة علی صلاة المیّت، و المصحّح للإطلاق هو تشابه ما یصدر عن الجنب لأکله مثلاً لما یصدر عن المحدث بالأصغر لصلاته فی الصورة، و ما هی صورة الوضوء قد تعلّق به الأوامر المتعدّدة فی موارد مختلفة فلا یکون الإتیان به فی مورد</w:t>
      </w:r>
    </w:p>
    <w:p>
      <w:pPr>
        <w:pStyle w:val="BookText"/>
        <w:rPr/>
      </w:pPr>
      <w:r>
        <w:rPr>
          <w:rFonts w:ascii="IRNazanin" w:hAnsi="IRNazanin" w:eastAsia="IRNazanin"/>
          <w:color w:val="111111"/>
          <w:sz w:val="28"/>
          <w:sz w:val="28"/>
          <w:szCs w:val="28"/>
          <w:rtl w:val="true"/>
          <w:lang w:bidi="fa-IR"/>
        </w:rPr>
        <w:t>نعم، لو انکشف الخطأ بأن کان محدثاً بالأصغر فلم یکن وضوؤه تجدیدیاً و لا مجامعاً للأکبر رجعا إلی الأوّل، و قوی القول بالصحّة و إباحة جمیع الغایات به إذا کان قاصداً لامتثال الأمر الواقعی المتوجّه إلیه فی ذلک الحال بالوضوء، و إن اعتقد أنّه الأمر بالتجدیدی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فیکون من باب الخطأ فی التطبیق و تکون تلک الغایة مقصودة له علی نحو الداعی لا التقیید،بحیث لو کان الأمر الواقعی علی خلاف ما اعتقده لم یتوضّأ، أمّا لو کان علی نحو التقیید کذلک ففی صحّته حینئذٍ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مجزیاً عن الأمر به فی مورد آخر، لا یمکن المساعدة علیها؛ فإن ما هو المرتکز عند أذهان المتشرّعة أیضاً أنّ الوضوء من المحدث بالأکبر لا یکون طهارة، و أمّا عدم کونه وضوءاً و لا یعتبر فیه بقاء إلی أن یحدث من نواقضه شیء فلا ارتکاز علی خلافه و قد تقدّم أنّ منصرف الروایات فی القسم الثالث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الوضوء فی نفسه و إن کان أمراً قصدیاً بمعنی کونه من العناوین القصدیة إلّا أنّ کونه طهوراً أو وضوءاً تجدیدیاً مثلاً لا یکون من العناوین القصدیة، و لو تخیّل المکلّف أنّه علی وضوء و قصد تجدیده للصلاة التی دخل وقتها لامتثال الأمر الاستحبابی بالإعادة ثمّ ظهر أنّه کان علی حدث ینطبق علی وضوئه عنوان الطهور، حیث إنّ الطهور هو الوضوء بعد الحدث أو أنّه یترتب علی الوضوء القربی بعد الحدث، و هذا یکون من قبیل الاشتباه فی التطبیق، حیث إنّ المکلّف قد طبق علی وضوئه عنوان کونه تجدیدیاً مع أنّ المنطبق علیه هو الوضوء بعد الحدث المعبّر عنه بالطهور، و هذا الاشتباه لا یضرّ بعد حصول ما هو المأمور به نفسیّاً أو غیریاً، أو ما هو دخیل فی حصول ما هو مشروط به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الخطأ فی التطبیق یجری فی کل مورد لا یکون انطباق العنوان فیه</w:t>
      </w:r>
      <w:bookmarkStart w:id="243" w:name="pg12061_112549"/>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المأتی به دائراً مدار قصد ذلک العنوان، ففی هذه الموارد لو کان قصد التقرّب و الامتثال حاصلاً بأن کان العمل المزبور منسوباً إلی اللّٰه سبحانه بوجه یحکم بصحّة ما وقع فیکون تخیّل انطباق العنوان علی المأتی به و قصد امتثال الأمر المتعلّق به بذلک العنوان من التخلّف فی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واقعاً للوضوء فی حقّه لیس الأمر الاستحبابی بإعادته من المتطهّر،بل الأمر بالوضوء من المحدث فما دعاه إلی التوضّؤ لم یکن ثابتاً فی حقّه و ما کان ثابتاً لم یدعوه إلی التوضّؤ فکیف یحصل منه قصد الامتثال؟</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الأمر الواقعی بوجوده الواقعی داعیاً إلی العمل أبداً،بل الداعی له صورته الاعتقادیة أو الاحتمالیة، و لا اختلاف فی نظر العقل الحاکم فی مقام الامتثال و التقرّب بالعمل إلی اللّٰه بین کون الصورة الاعتقادیة أو المحتملة مصادفة للواقع أو مخالفة له کما فی موارد القصور، و هذا لا خفاء فیه فی الموارد التی لو کان المکلف عالماً بأنّ العنوان المنطبق علی المأتی به غیر ما اعتقده لقصد امتثال الأمر المتعلّق به بذلک العنوان</w:t>
      </w:r>
      <w:r>
        <w:rPr>
          <w:rFonts w:eastAsia="IRNazanin" w:cs="IRNazanin"/>
          <w:color w:val="111111"/>
          <w:sz w:val="28"/>
          <w:szCs w:val="28"/>
          <w:rtl w:val="true"/>
          <w:lang w:bidi="fa-IR"/>
        </w:rPr>
        <w:t>.</w:t>
      </w:r>
    </w:p>
    <w:p>
      <w:pPr>
        <w:pStyle w:val="Heading4"/>
        <w:numPr>
          <w:ilvl w:val="3"/>
          <w:numId w:val="1"/>
        </w:numPr>
        <w:rPr/>
      </w:pPr>
      <w:bookmarkStart w:id="244" w:name="__RefHeading___Toc1723282_417432637"/>
      <w:bookmarkStart w:id="245" w:name="_Toc89"/>
      <w:bookmarkEnd w:id="244"/>
      <w:r>
        <w:rPr>
          <w:rtl w:val="true"/>
        </w:rPr>
        <w:t>الفرق بین الإتیان بمتعلّق التکلیف من باب الاشتباه فی التطبیق و موارد التقیید</w:t>
      </w:r>
      <w:bookmarkEnd w:id="245"/>
    </w:p>
    <w:p>
      <w:pPr>
        <w:pStyle w:val="BookText"/>
        <w:rPr/>
      </w:pPr>
      <w:r>
        <w:rPr>
          <w:rFonts w:ascii="IRNazanin" w:hAnsi="IRNazanin" w:eastAsia="IRNazanin"/>
          <w:color w:val="111111"/>
          <w:sz w:val="28"/>
          <w:sz w:val="28"/>
          <w:szCs w:val="28"/>
          <w:rtl w:val="true"/>
          <w:lang w:bidi="fa-IR"/>
        </w:rPr>
        <w:t>و ممّا ذکر یظهر أنّ الاشتباه فی التطبیق لا یجری فی موارد العناوین القصدیة، و لو صلّی المکلّف صلاة الظهر باعتقاد أنّه لم یُصلِّها، و بعد الفراغ التفت إلی أنّه کان صلّاها قبل ذلک لما یحکم بصحّة المأتی بها عصراً، فإنّ صلاة العصر من العناوین القصدیة فلم تحصل من المکلف</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فلو قیل بأنّ الطهارة من المحدث بالأصغر یحصل بالوضوء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کحصول الزوجیّة و الملکیّة من إنشائهما، و کما أنّه لا بدّ فی إنشائهما من قصدهما کذلک لا بدّ فی حصول الطهارة بالوضوء من قصد الطهارة به فیحکم ببطلان الوضوء فیما لو اعتقد أنّه تجدیدی فلم یقصد الطهارة به، ثمّ ظهر کونه محدثاً بالأصغر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 الماتن قدس سره بأنّ الطهارة و إن کانت أمراً تحصل بالوضوء بنحو التسبیب إلّا أنّ ترتبها علی الوضوء یعنی الأفعال الخاصّة فیما إذا وقعت الأفعال بنحو قربی، و علیه فلا إشکال فی صحّة الوضوء فی الفرض فیما تقدّم، من کون الغایة مقصودة له علی نحو الداعی، و فسّره أنّه بحیث لو کان الأمر الواقعی علی خلاف ما قصده توضّأ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فی صحّته فیما إذا کانت الغایة مقصودة له بنحو التقیید، و فسّره أنّه بحیث لو کان الأمر الواقعی علی خلاف ما اعتقده لم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علیه أن یستشکل فی صحّة وضوء من اعتقد بأنّ امرأته حاملة و توضّأ من حدثه الأصغر لجماعها فلم یحصل الجماع و ظهر أیضاً أنّ امرأته غیر حاملة لمجیء حیضها قبل الدخول بها، فلا یجوز له الصلاة بذلک الوضوء فیما لو کان عالماً بعدم حمل امرأته لم یتوضّأ من حدثه الأصغر فی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لو اعتقد ضیق وقت الصلاة فتوضّأ لأجلها ثمّ بان سعة الوقت بحیث لو کان عالماً سعتها لم یتوضّأ فی ذلک الزمان، و لا أظنّ أن یناقش أحد فی صحّة الوضوء فی مثل 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کلّه ما تقدّم من أنّ طبیعی الوضوء لا یختلف أنواعاً لا من حیث موجباته و نواقضه و لا من حیث غایاته، و إنّما یکون قصد غایةً داعیاً له إلی الإتیان</w:t>
      </w:r>
      <w:bookmarkStart w:id="246" w:name="pg12061_112551"/>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بالوضوء یعنی بذلک الطبیعی، و هذا المقدار یکفی فی قصد التقرّب المعتبر فی صحّة الوضوء حتّی لو کان عالماً بعدم تلک الغایة خارجاً أو عدم إمکان فعلها لم یکن یتوضّأ أی لم یوجد ذلک الفرد یعنی الطبیعی فی ذلک الزمان لغایة أُخری</w:t>
      </w:r>
      <w:r>
        <w:rPr>
          <w:rFonts w:eastAsia="IRNazanin" w:cs="IRNazanin"/>
          <w:color w:val="111111"/>
          <w:sz w:val="28"/>
          <w:szCs w:val="28"/>
          <w:rtl w:val="true"/>
          <w:lang w:bidi="fa-IR"/>
        </w:rPr>
        <w:t>.</w:t>
      </w:r>
    </w:p>
    <w:p>
      <w:pPr>
        <w:pStyle w:val="Heading4"/>
        <w:numPr>
          <w:ilvl w:val="3"/>
          <w:numId w:val="1"/>
        </w:numPr>
        <w:rPr/>
      </w:pPr>
      <w:bookmarkStart w:id="247" w:name="__RefHeading___Toc1723284_417432637"/>
      <w:bookmarkStart w:id="248" w:name="_Toc90"/>
      <w:bookmarkEnd w:id="247"/>
      <w:r>
        <w:rPr>
          <w:rtl w:val="true"/>
        </w:rPr>
        <w:t>الفرق بین الداعی و التقیید</w:t>
      </w:r>
      <w:bookmarkEnd w:id="248"/>
    </w:p>
    <w:p>
      <w:pPr>
        <w:pStyle w:val="BookText"/>
        <w:rPr/>
      </w:pPr>
      <w:r>
        <w:rPr>
          <w:rFonts w:ascii="IRNazanin" w:hAnsi="IRNazanin" w:eastAsia="IRNazanin"/>
          <w:color w:val="111111"/>
          <w:sz w:val="28"/>
          <w:sz w:val="28"/>
          <w:szCs w:val="28"/>
          <w:rtl w:val="true"/>
          <w:lang w:bidi="fa-IR"/>
        </w:rPr>
        <w:t>هذا کله إذا قصد بالغسلات و المسحات الوضوء بلا تعلیق، حیث إنّ نفس الوضوء عنوان قصدی، و أمّا إذا علّق قصد الوضوء بالغسلات و المسحات علی حصول الغایة المقصودة خارجاً مع احتمال عدم حصولها فیحکم ببطلان الوضوء مطلقاً أو علی تقدیر عدم الغایة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الکلام فی المقام فیما إذا اعتقد المکلّف أنّ الواقع علی ما اعتقده و لا یحتمل خلافه، فإنّه فی هذه الصورة یقصد الامتثال بلا تعلیق فی نفس الامتثال، و لا تعلیق فی قصده الوضوء بالغسلات و المسحات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أنّ موارد التقیید فی مقام الامتثال تفترق عن موارد التخلّف فی الداعی بأنّه إذا لم یحصل مع اعتقاد الخلاف متعلّق التکلیف الواقعی، کما فی مسألة الإتیان لصلاة العصر بتخیّل أنّه صلّی الظهر قبل ذلک أو حصل المتعلّق، و لکن لم یتمّ قصد التقرّب و الامتثال فیه، کما إذا علّق قصده الامتثال علی تقدیر کون التکلیف ما قصده مع احتمال کون التکلیف الواقعی علی خلافه، و ظهر کون التکلیف الواقعی علی خلاف ما قصده، فهذا من تقیید الامتثال و لا یجزی العمل عما هو متعلّق التکلیف واقعاً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حصل مع اعتقاده خلاف الواقع ما هو متعلّق التکلیف الواقعی و 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التقرّب فی الإتیان به یحکم بصحّة العمل و یحسب اعتقاده المخالف للواقع من التخلف فی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قصد الوضوء بعد الجنابة لغایة ثمّ ظهر عدم جنابته و فرض أنّ قصده الوضوء بعد الجنابة لیس من قبیل تعدّد المطلوب،بل تعلّق القصد به علی نحو وحدة المطلوب فلا یکون الموجود خارجاً من الوضوء مقصوداً،بل حصل فی الخارج بلا قصد، و ما هو المقصود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الفرق بین کون الشیء تقییداً لمتعلّق القصد و الإرادة و کونه داعیاً لقصد الشیء هو أنّ الغایة المترتبة علی الشیء إذا کان لحاظها موجباً لإرادة الفعل تکون تلک الغایة بلحاظها داعیاً إلی الفعل، و لکن الغایة للشیء نفس تلک الغایة بوجودها؛ و لذا تتأخّر عن الفعل و الداعی بالتقدّم علی الفعل و تکون علّة لقصد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الغایة داخلة فی موضوع القصد و متعلّقه بأنّ قصد الوضوء الرافع لکراهة الأکل حال الجنابة بأن کان النهی الکراهتی عن أکل الجنب بلا وضوء موجباً لقصده ذلک الوضوء، فإن کان قصده الوضوء الموصوف المزبور بنحو وحدة المطلوب یکون تخلّف الوصف کما ظهر کونه کان غیر جنب موجباً للحکم ببطلان ذلک الوضوء؛ لأنّ الموجود خارجاً و هو الوضوء غیر المنطبق علیه الوصف لم یقصد، و ما قصد لم یحصل فی الخارج</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ذلک یعنی قصد الوضوء الموصوف بنحو تعدّد المطلوب یحکم بصحّة الوضوء المزبور؛ لأنّ نفس الوضوء أیضاً کان مقصوداً، فالمیزان الکلیّ بین 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الشیء داعیاً هو کون لحاظه علّة لقصد الفعل و إرادته، و المیزان فی کون شیء قیداً للمراد و موضوع الإرادة و القصد کونه داخلاً فی متعلّق الإرادة و وصفاً للفعل المراد أو لمتعلّق ذلک الفعل و لو کان هذا بنحو وحدة المطلوب، یحکم ببطلان العمل؛ لعدم حصول ما قصده و ما حصل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بنحو تعدّد المطلوب یحکم بصحة الموجود و لو مع تخلّف الوصف؛ لکونه مقصوداً علی الفرض و بذلک یظهر أنّ الداعی لما لم یکن بوجوده الخارجی داعیاً،بل کان بوجوده العلمی داعیاً لا یکون تخلّفه منافیاً لحصول المراد،بخلاف القید فإنّه إذا کان المقیّد متعلّق الإرادة و القصد بنحو وحدة المطلوب یکون تخلّف القید و الوصف منافیاً لحصول المراد، و کان الحاصل فی الخارج غیر مقصود فیحکم ببطلانه لصدوره بلا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زعم أنّ زیداً قد بلع فی عمره خمسین سنة و کان هذا الزعم موجباً لإرادته إکرامه فأکرمه، و ظهر أنّه لم یبلغ فی عمره خمسین فالإکرام الواقع فی الخارج صدر عن قصد، حیث إنّه قصد إکرامه و یحسب الزعم المزبور من التخلّف فی الداعی،بخلاف ما إذا أراد إکرام زید فی الخمسین من عمره بداع بأن تعلّق قصده بالإکرام الخاصّ فأکرمه بزعمه أنّ إکرامه فی الزمان المزبور کذلک، فظهر أنّه غیر بالغ خمسین فإنّ الموجود خارجاً غیر مقصود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فأکثر الموارد التی یتخلّف فیها الوصف لا یکون من التخلّف فی الداعی،بل الحکم فیها لأجل أنّ الموصوف مراد بنحو تعدد المطلوب؛ و لذا یکون بناء المحقّقین علی ثبوت الخیار فی موارد تخلّف الوصف، فإنّ البناء منهم للارتکاز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 علی کون قصده بنحو تعدّد المطلوب و لو کان القصد بنحو وحدة المطلوب؛ لکان المتعیّن هو الحکم بالبطلان، لا یمکن المساعدة علیه أصلاً فإنّه قد تقدّم أنّ التقیید إنّما یتصور فیما إذا کان فی البین عناوین قصدیّة کالأغسال، و أمّا إذا لم یکن فی البین إلّا عنوان قصدیّ واحد قد تعلّق الأمر به فی موارد مختلفة متعدّدة کالوضوء، حیث إنّ حدّه غسل الوجه و الیدین و مسح الرأس و الرجلین فلا یمکن فیه إلّا التعلیق فی قصده، أو قصد الامتثال المعتبر فیه و مع عدم التعلیق فیهما و لو باعتقاد لم یکن علی وفقه الواقع فلا موجب للحکم ببطلانه لحصول ما هو متعلّق التکلیف واقعاً و حصول قصد التقرّب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مثل البیع و ثبوت الخیار فیه فهو غیر منوط بتعدّد المطلوب أو وحدته و لو اشتری بنحو الکلیّ علی الذمّة الکتاب الفلانی المطبوع فی لبنان و دفع البائع إلی المشتری المطبوع فی غیره، لا یثبت له الخیار و إن کان ذکره الطبع فی لبنان بنحو تعدّد المطلوب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اشتری الکتاب الخارجی الموجود توصیفاً بأنّه الطبع الفلانی و صرّح بأنّه لا یرید نفس الکتاب؛ لأنّه عنده،بل قصده الوحید هذا الکتاب الموصوف بالطبع المزبور ثمّ ظهر خلافه یثبت فی حقّه خیار الفسخ و لا یبطل البیع، حیث إنّ العین الخارجیة لا تقبل التقیید و التعلیق فی شرائه و إن کان ممکناً، إلّا أنّه موجب لبطلان البیع فثبوت الخیار لکون مرجع اشتراط الوصف إلی اشتراط الخیار</w:t>
      </w:r>
      <w:r>
        <w:rPr>
          <w:rFonts w:eastAsia="IRNazanin" w:cs="IRNazanin"/>
          <w:color w:val="111111"/>
          <w:sz w:val="28"/>
          <w:szCs w:val="28"/>
          <w:rtl w:val="true"/>
          <w:lang w:bidi="fa-IR"/>
        </w:rPr>
        <w:t>.</w:t>
      </w:r>
      <w:bookmarkStart w:id="249" w:name="pg12061_112555"/>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الوضوء قصد موجبه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الوضوء قصد موجبه بأن یقصد الوضوء لأجل خروج البول أو لأجل النوم،بل لو قصد أحد الموجبات و تبیّن أنّ الواقع غیره صحّ إلّا أن یکون علی وجه التقیید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0" w:name="__RefHeading___Toc1723286_417432637"/>
      <w:bookmarkStart w:id="251" w:name="_Toc91"/>
      <w:bookmarkEnd w:id="250"/>
      <w:r>
        <w:rPr>
          <w:rtl w:val="true"/>
        </w:rPr>
        <w:t>عدم تعدّد الوضوء من جهة موجباته و لا من جهة غایاته</w:t>
      </w:r>
      <w:bookmarkEnd w:id="251"/>
    </w:p>
    <w:p>
      <w:pPr>
        <w:pStyle w:val="BookText"/>
        <w:rPr/>
      </w:pPr>
      <w:r>
        <w:rPr>
          <w:rFonts w:ascii="IRNazanin" w:hAnsi="IRNazanin" w:eastAsia="IRNazanin"/>
          <w:color w:val="111111"/>
          <w:sz w:val="28"/>
          <w:sz w:val="28"/>
          <w:szCs w:val="28"/>
          <w:rtl w:val="true"/>
          <w:lang w:bidi="fa-IR"/>
        </w:rPr>
        <w:t>قد تقدّم أنّ حدّ الوضوء هو غسل الوجه و الیدین و مسح الرأس و الرجلین، و أنّه لا یتعدّد لا من ناحیة موجباته،بل و لا من جهة غایاته،بأن یکون کالأغسال من الأنواع المتعدّدة، و علیه فإن قصد المکلّف الوضوء بنحو قربی یحصل ما هو الشرط فی جمیع الغایات الواجبة و المستحبّة المشروط صحّتها، أو کمالها من الوضوء أو الطهارة الحاصلة به فقصد موجب و عدم قصده غیر داخل فی قصد الوضوء و لا فی حصول التقرّب به؛ و لذا لو اعتقد أنّ حدثه من البول أو النوم و کان فی الواقع حدثه من غیرهما من نواقض الوضوء صحّ وضوؤه و یترتّب علیه تلک الغایات المشار إلیها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المتن من أنّه لو قصد أحد الموجبات و تبیّن أنّ الواقع غیره صح إلّا أن یکون علی وجه التقیید لا یمکن المساعدة علیه فی جهة الاستثناء، فإنّ مراده من التقیید بقرینة ما تقدّم أنّه لو کان عالماً بأنّ موجب حدثه الأمر الفلانی لم یتوضّأ کمن کان من عادته التوضّؤ بعد القیام من نومه و لو فی غیر وقت الصلاة بخلاف غیره من النواقض، و لو اعتقد نومه و توضّأ ثمّ ظهر أنّه بال و لم ینم فلا یحکم بصحّة الوضوء عند الماتن جزماً أو إشکالاً مع أنّه قد ظهر ممّا ذکرنا أنّه لا خلل لا فی قصده الوضوء و لا فی قصده التقرّب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الوضوء الواحد للأحداث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الوضوء الواحد للأحداث المتعدّدة إذا قصد رفع طبیعة الحدث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قصد رفع أحدها صحّ و ارتفع الجمیع إلّا إذا قصد رفع البعض دون البعض فإنّه یبطل؛ لأنّه یرجع إلی قصد عدم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للوضوء الواجب غایات متعدّدة فقصد الجمیع حصل امتثال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للوضوء الواجب غایات متعدّدة فقصد الجمیع حصل امتثال الجمیع، و أُثیب علیها کلّها، و إن قصد البعض حصل الامتثال بالنسبة إلیه و یثاب علیه، لکن یصحّ بالنسبة إلی الجمیع و یکون أداءً بالنسبة إلی ما لم یقصد، و کذا إذا کان للوضوء المستحبّ غایات عدیدة و إذا اجتمعت الغایات الواجبة أو المستحبّة أیضاً یجوز قصد الکلّ و یثاب علیها و قصد البعض دون البعض و لو کان ما قصده هو الغایة المندوبة، و یصحّ معه إتیان جمیع الغایات و لا یضرّ فی ذلک کون الوضوء عملاً واحداً لا یتّصف بالوجوب و الاستحباب معاً و مع وجود الغایة الواجبة لا یکون إلّا واجباً؛ لأنّه علی فرض صحّته لا ینافی جواز قصد الأمر الندبی و إن کان متّصفاً بالوجوب فالوجوب الوصفی لا ینافی الندب الغائی، لکنّ التحقیق</w:t>
      </w:r>
    </w:p>
    <w:p>
      <w:pPr>
        <w:pStyle w:val="BookText"/>
        <w:rPr/>
      </w:pPr>
      <w:r>
        <w:rPr>
          <w:rFonts w:ascii="IRNazanin" w:hAnsi="IRNazanin" w:eastAsia="IRNazanin"/>
          <w:color w:val="111111"/>
          <w:sz w:val="28"/>
          <w:sz w:val="28"/>
          <w:szCs w:val="28"/>
          <w:rtl w:val="true"/>
          <w:lang w:bidi="fa-IR"/>
        </w:rPr>
        <w:t>قد تقدّم أنّه لا یعتبر فی صحة الوضوء و لا فی کونه طهارة إلّا کونه محدثاً بالأصغر و توضّأ بقصد قربی، و لو توضأ لکونه طهارة من حدثه الأصغر أو تحصل الطهارة به من حدثه الأصغر صحّ، و یترتّب علیه جمیع ما یشترط الطهارة فی صحّته أو کماله، فقصد الطهارة أو رفع الحدث من أنحاء قصد التقرّب بالوضوء و إلّا توضّأ المحدث بالأصغر لقراءته القرآن یکون وضوؤه طهارة و رافعاً للحدث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فإنّ قصد المکلّف بوضوئه رفع الحدث من البول دون النوم فإن کان ذلک لاشتباهه و تخیّله مثلا أنّ علی المکلّف فی التوضّؤ قصد ما صدر منه من الموجب أوّلاً فلا کلام فی الصحّة لحصول الوضوء بنحو قربی، و إن کان ذلک بنحو التعهّد و التشریع فالحکم ببطلان وضوئه لعدم قصد التقرب فی العمل المشرّع به</w:t>
      </w:r>
      <w:r>
        <w:rPr>
          <w:rFonts w:eastAsia="IRNazanin" w:cs="IRNazanin"/>
          <w:color w:val="111111"/>
          <w:sz w:val="28"/>
          <w:szCs w:val="28"/>
          <w:rtl w:val="true"/>
          <w:lang w:bidi="fa-IR"/>
        </w:rPr>
        <w:t>.</w:t>
      </w:r>
      <w:bookmarkStart w:id="252" w:name="pg12061_112557"/>
    </w:p>
    <w:p>
      <w:pPr>
        <w:pStyle w:val="BookText"/>
        <w:rPr/>
      </w:pPr>
      <w:bookmarkEnd w:id="252"/>
      <w:r>
        <w:rPr>
          <w:rFonts w:ascii="IRNazanin" w:hAnsi="IRNazanin" w:eastAsia="IRNazanin"/>
          <w:color w:val="111111"/>
          <w:sz w:val="28"/>
          <w:sz w:val="28"/>
          <w:szCs w:val="28"/>
          <w:rtl w:val="true"/>
          <w:lang w:bidi="fa-IR"/>
        </w:rPr>
        <w:t>صحّة اتصافه فعلاً بالوجوب و الاستحباب من جهتین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3" w:name="__RefHeading___Toc1723288_417432637"/>
      <w:bookmarkStart w:id="254" w:name="_Toc92"/>
      <w:bookmarkEnd w:id="253"/>
      <w:r>
        <w:rPr>
          <w:rtl w:val="true"/>
        </w:rPr>
        <w:t>الوضوء للغایات المتعدّدة</w:t>
      </w:r>
      <w:bookmarkEnd w:id="254"/>
    </w:p>
    <w:p>
      <w:pPr>
        <w:pStyle w:val="BookText"/>
        <w:rPr/>
      </w:pPr>
      <w:r>
        <w:rPr>
          <w:rFonts w:ascii="IRNazanin" w:hAnsi="IRNazanin" w:eastAsia="IRNazanin"/>
          <w:color w:val="111111"/>
          <w:sz w:val="28"/>
          <w:sz w:val="28"/>
          <w:szCs w:val="28"/>
          <w:rtl w:val="true"/>
          <w:lang w:bidi="fa-IR"/>
        </w:rPr>
        <w:t>ذکر قدس سره ما حاصله أنّه إذا کان فی البین غایات متعدّدة واجبة فللمکلّف الإتیان بالوضوء بقصد امتثال جمیع الأوامر المتعلّقة بالوضوء غیریّاً قاصداً به الإتیان بجمیع تلک الغایات، کما أن له قصد امتثال بعض تلک الأوامر بالقصد إلی الإتیان بغایات فیها، و یعدّ الإتیان به امتثالاً بالإضافة إلی تلک الغایات المقصودة یصحّ له الإتیان بسائر الغایات، حیث إنّها مشروطة بالوضوء القربی فی صحّتها أو کمالها أو جوازها، و إذا اجتمعت غایات مندوبة فإن قصد امتثال الأوامر الغیریّة الاستحبابیّة بجمیعها یکون الوضوء امتثالاً لجمیعها و إن قصد البعض یکون امتثالاً لذلک البعض و یصحّ الإتیان بالباقی أیضاً، و أمّا إذا اجتمعت غایات مندوبة و واجبة فإن قصد امتثال الجمیع یکون مثاباً علیها، و إن قصد البعض یکون امتثالاً لذلک البعض و صحیحاً بالنسبة إلی باقی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الفرض إنّ الأمر کذلک فیما إذا قصد امتثال الوجوب الغیری بالإضافة إلی الغایة الواجبة، و أمّا إذا قصد امتثال الأمر الاستحبابی للوضوء فلا یمکن الحکم بصحّته؛ لأنّ مع وجود الغایة الواجبة لا یکون الوضوء متعلّقاً للأمر الندبی حتّی یقصد المکلف امتثاله، و أجاب الماتن قدس سره بجوابین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للمکلّف الوضوء و بقصد الإتیان بالغایة المندوبة بأن یکون الداعی له إلی التوضّؤ الإتیان بالغایة المندوبة کنافلة الفجر بعد طلوعه، فإنّ وضوءه هذا و إن کان متّصفاً بالواجب الغیری إلّا أنّه لا ینافی وصف الوجوب الغیری بکون الداعی إلی الوضوء الغایة المندوبة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الأمر الندبی بالوضوء داعیاً له إلی التوضّؤ مع کون الوضوء متعلّقاً للأمر الوجوبی أیضاً حیث یمکن اجتماع الوجوب و الندب فی الوضوء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کونه مقدّمة لغایة واجبة تجب، و من جهة کونه مقدّمة لغایة مندوبة یکون متعلّق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 أنّ عنوان المقدّمة لیس من العناوین التقییدیة حتّی یمکن اجتماع الحکمین المختلفین باختلاف عنوان المقدّمة مع أنّ المعتبر فی اجتماع الأمر و النهی أو غیره من کون الترکیب فی المجمع انضمامیاً لا اتحادیاً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الموجب للامتناع فی باب الاجتماع مع کون الترکیب اتحادیاً حتّی مع تعدّد العنوان التقییدی عدم إمکان کون فعل راجحاً بالإضافة إلی ترکه و مرجوحاً بالإضافة إلیه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الحکمان المتعلّقان بفعل لملاکین فیه یقتضی کلّ منهما أن یکون فعله راجحاً بالإضافة إلی ترکه أو بالعکس فلا وجه للامتناع، کما فی کون الشیء مقدّمة لکلّ من الواجبین کالوضوء بالإضافة إلی صلاتی الظهر و العصر، و تطهیر الثوب و البدن من الخبث لهما، غایة الأمر إذا کان أحد الحکمین إلزامیاً و الآخر غیر الزامی لا یثبت فیه ترخیص فی الترک، حیث إنّ الترخیص فی الترک فی متعلّق الأمر الندبی تمام المقتضی للإلزام فیه، و إذا ثبت فیه ملاک ملزم آخر مع ملاک غیر ملزم و إن یتعلّق به الطلب غیر الإلزامی أیضاً و لکن لا یثبت فیه الترخیص فی الترک، هذا بناءً علی اندکاک الطلبین و تأکّد الطلب الإلزامی بغیره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عدم الاندکاک بل یتعلّق به الطلبان أحدهما إلزامی و الآخر غیر الالزامی یثبت فی الفعل الترخیص فی الترک من جهة الطلب غیر الإلزامی، و لا یثبت فیه من الجهة الطلب الإلزامی، و علی کلّ فیمکن أن یکون ذات الطلب الندبی المتعلّق به داعیاً إلی المکلّف إلی الإتیان به</w:t>
      </w:r>
      <w:r>
        <w:rPr>
          <w:rFonts w:eastAsia="IRNazanin" w:cs="IRNazanin"/>
          <w:color w:val="111111"/>
          <w:sz w:val="28"/>
          <w:szCs w:val="28"/>
          <w:rtl w:val="true"/>
          <w:lang w:bidi="fa-IR"/>
        </w:rPr>
        <w:t>.</w:t>
      </w:r>
      <w:bookmarkStart w:id="255" w:name="pg12061_112561"/>
    </w:p>
    <w:p>
      <w:pPr>
        <w:pStyle w:val="Heading3"/>
        <w:numPr>
          <w:ilvl w:val="2"/>
          <w:numId w:val="1"/>
        </w:numPr>
        <w:rPr/>
      </w:pPr>
      <w:bookmarkStart w:id="256" w:name="__RefHeading___Toc1723290_417432637"/>
      <w:bookmarkStart w:id="257" w:name="_Toc93"/>
      <w:bookmarkEnd w:id="255"/>
      <w:bookmarkEnd w:id="256"/>
      <w:r>
        <w:rPr>
          <w:rtl w:val="true"/>
        </w:rPr>
        <w:t>فصل فی بعض مستحبات الوضوء</w:t>
      </w:r>
      <w:bookmarkEnd w:id="257"/>
    </w:p>
    <w:p>
      <w:pPr>
        <w:pStyle w:val="Heading4"/>
        <w:numPr>
          <w:ilvl w:val="3"/>
          <w:numId w:val="1"/>
        </w:numPr>
        <w:rPr/>
      </w:pPr>
      <w:bookmarkStart w:id="258" w:name="__RefHeading___Toc1723292_417432637"/>
      <w:bookmarkStart w:id="259" w:name="_Toc94"/>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یکون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بمدّ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بعض مستحبّات الوضوء</w:t>
      </w:r>
    </w:p>
    <w:p>
      <w:pPr>
        <w:pStyle w:val="Heading4"/>
        <w:numPr>
          <w:ilvl w:val="3"/>
          <w:numId w:val="1"/>
        </w:numPr>
        <w:rPr/>
      </w:pPr>
      <w:bookmarkStart w:id="260" w:name="__RefHeading___Toc1723294_417432637"/>
      <w:bookmarkStart w:id="261" w:name="_Toc95"/>
      <w:bookmarkEnd w:id="260"/>
      <w:r>
        <w:rPr>
          <w:rtl w:val="true"/>
        </w:rPr>
        <w:t>الأوّل</w:t>
      </w:r>
      <w:r>
        <w:rPr>
          <w:rtl w:val="true"/>
        </w:rPr>
        <w:t>:</w:t>
      </w:r>
      <w:r>
        <w:rPr>
          <w:rtl w:val="true"/>
        </w:rPr>
        <w:t>الوضوء بمدّ من الماء</w:t>
      </w:r>
      <w:bookmarkEnd w:id="261"/>
    </w:p>
    <w:p>
      <w:pPr>
        <w:pStyle w:val="BookText"/>
        <w:rPr/>
      </w:pPr>
      <w:r>
        <w:rPr>
          <w:rFonts w:ascii="IRNazanin" w:hAnsi="IRNazanin" w:eastAsia="IRNazanin"/>
          <w:color w:val="111111"/>
          <w:sz w:val="28"/>
          <w:sz w:val="28"/>
          <w:szCs w:val="28"/>
          <w:rtl w:val="true"/>
          <w:lang w:bidi="fa-IR"/>
        </w:rPr>
        <w:t>قد نسب استحباب الوضوء بمدّ إلی علمائنا و یستدلّ علی ذلک بصحیحة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یتوضّأ بمدّ و یغتسل بصاع، و المدّ رطل و نصف و الصاع ستة أرطال</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أبی بصیر و محمّد بن مسلم عن أبی جعفر علیه السلام أنّهما سمعاه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یغتسل بصاع من ماء و یتوضّأ بمدّ من ماء</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یتوضّأ بمدّ من ماء و یغتسل بصاع</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فإن ظاهر حکایة استمراره صلوات اللّٰه علیه و آله علی التوضّؤ بمدّ من الماء و اغتساله بصاع هو فضل الوضوء بالمدّ من الماء، و الغسل بصاع، و فی مرسلة الصدوق قدس سره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مدّ و الغسل صاع، و سیأتی أقوام بعدی یستقلّون ذلک فاُولئک علی خلاف سنّتی و الثابت علی سنتی معی فی حظیرة القدس</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مثل هذه</w:t>
      </w:r>
      <w:bookmarkStart w:id="262" w:name="pg12061_112562"/>
    </w:p>
    <w:p>
      <w:pPr>
        <w:pStyle w:val="BookText"/>
        <w:rPr/>
      </w:pPr>
      <w:bookmarkEnd w:id="262"/>
      <w:r>
        <w:rPr>
          <w:rFonts w:ascii="IRNazanin" w:hAnsi="IRNazanin" w:eastAsia="IRNazanin"/>
          <w:color w:val="111111"/>
          <w:sz w:val="28"/>
          <w:sz w:val="28"/>
          <w:szCs w:val="28"/>
          <w:rtl w:val="true"/>
          <w:lang w:bidi="fa-IR"/>
        </w:rPr>
        <w:t>و هو ربع الصاع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ستمائة و أربعة عشر مثقالاً و ربع مثقال، فالمدّ مائة و خمسون مثقالاً و ثلاثة مثاقیل و نصف مثقال و حمّصة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المرسلة تصلح لتأیید ما تقدّم</w:t>
      </w:r>
      <w:r>
        <w:rPr>
          <w:rFonts w:eastAsia="IRNazanin" w:cs="IRNazanin"/>
          <w:color w:val="111111"/>
          <w:sz w:val="28"/>
          <w:szCs w:val="28"/>
          <w:rtl w:val="true"/>
          <w:lang w:bidi="fa-IR"/>
        </w:rPr>
        <w:t>.</w:t>
      </w:r>
    </w:p>
    <w:p>
      <w:pPr>
        <w:pStyle w:val="Heading4"/>
        <w:numPr>
          <w:ilvl w:val="3"/>
          <w:numId w:val="1"/>
        </w:numPr>
        <w:rPr/>
      </w:pPr>
      <w:bookmarkStart w:id="263" w:name="__RefHeading___Toc1723296_417432637"/>
      <w:bookmarkStart w:id="264" w:name="_Toc96"/>
      <w:bookmarkEnd w:id="263"/>
      <w:r>
        <w:rPr>
          <w:rtl w:val="true"/>
        </w:rPr>
        <w:t>الثانی</w:t>
      </w:r>
      <w:r>
        <w:rPr>
          <w:rtl w:val="true"/>
        </w:rPr>
        <w:t>:</w:t>
      </w:r>
      <w:r>
        <w:rPr>
          <w:rtl w:val="true"/>
        </w:rPr>
        <w:t>مقدار الصاع</w:t>
      </w:r>
      <w:bookmarkEnd w:id="264"/>
    </w:p>
    <w:p>
      <w:pPr>
        <w:pStyle w:val="BookText"/>
        <w:rPr/>
      </w:pPr>
      <w:r>
        <w:rPr>
          <w:rFonts w:ascii="IRNazanin" w:hAnsi="IRNazanin" w:eastAsia="IRNazanin"/>
          <w:color w:val="111111"/>
          <w:sz w:val="28"/>
          <w:sz w:val="28"/>
          <w:szCs w:val="28"/>
          <w:rtl w:val="true"/>
          <w:lang w:bidi="fa-IR"/>
        </w:rPr>
        <w:t>علی المشهور حیث إنّهم ذکروا أنّ الصاع بستة أرطال مدنی و تسعة أرطال عراقی، فیکون المدّ رطلاً و نصف بالرطل المدنی، کما یشهد لذلک صحیحة زرارة و فیما رواه علی بن بلال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علیه السلام أسأله عن الفطرة و کم تدفع؟ قال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أرطال من تمر بالمدنی و ذلک تسعة أرطال بالبغدادی</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الحلبی الواردة فی زکاة الفطرة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الصاع أربعة أمداد</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بعض الروایات أنّ الصاع یساوی خمسة أمداد، و فی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یجزی من الماء للغسل؟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رسول اللّٰه صلی الله علیه و آله بصاع و توضّأ بمدّ، و کان الصاع علی عهده خمسة أمداد، و کان المدّ قدر رطل و ثلاثة أواق</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سلیمان بن حفص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بصاع من ماء و الوضوء بمدّ من ماء و صاع النبی صلی الله علیه و آله خمسة أمداد، و المدّ وزن مائتین و ثمانین درهماً</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مع ضعف الثانیة سنداً و معارضتها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عدم معهودیة العمل بهما من الأصحاب لا یمکن الاعتماد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المعروف أن الرطل المدنی یساوی مائة و خمسة و تسعون درهماً، و أنّ الرطل العراقی یساوی مائة و ثلاثین درهماً فیکون الصاع أی ستة أرطال المدنی مساویاً ألفاً و مائة و سبعین درهماً، و بما أنّ کلّ عشرة دراهم یساوی سبعة مثاقیل شرعیة فیصیر ستة أرطال مساویاً لثمانمائة و تسعة عشر مثقال، و حیث إنّ المثقال الصیرفی ینقص عن المثقال الشرعی بربع، فیکون الصاع یعنی ستة أرطال بالمدنی مساویاً لستمائة و أربعة عشر مثقالاً و ربع مثقال، و ربع الصاع، أی المدّ الواحد یصیر مائة و خمسین مثقالاً و ثلاثة مثاقیل و نصف مثاقیل و حمّصة و نصف کما فی المتن و إلیک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الرطل المدنی بالدراهم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یساوی هذا المقدار من الدراهم</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 یساوی هذا المقدار من المثقال الشرعی</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المثقال الشرعی عن الصیرفی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مثقال حمّصة و ذلک فإنّ ربع مثقال واحد یساوی ستّة حبات، و ربع ستّة حبات یساوی حبة و نصف، و المثقالان الباقیان یکون ربعهما نصف مثقال</w:t>
      </w:r>
      <w:r>
        <w:rPr>
          <w:rFonts w:eastAsia="IRNazanin" w:cs="IRNazanin"/>
          <w:color w:val="111111"/>
          <w:sz w:val="28"/>
          <w:szCs w:val="28"/>
          <w:rtl w:val="true"/>
          <w:lang w:bidi="fa-IR"/>
        </w:rPr>
        <w:t>.</w:t>
      </w:r>
      <w:bookmarkStart w:id="265" w:name="pg12061_112564"/>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الاستیاک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کان و لو بالإصبع و الأفضل عود الأراک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وضع الإناء الذی یُغترف منه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الإناء الذی یُغترف منه علی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66" w:name="__RefHeading___Toc1723298_417432637"/>
      <w:bookmarkStart w:id="267" w:name="_Toc97"/>
      <w:bookmarkEnd w:id="266"/>
      <w:r>
        <w:rPr>
          <w:rtl w:val="true"/>
        </w:rPr>
        <w:t>الثانی</w:t>
      </w:r>
      <w:r>
        <w:rPr>
          <w:rtl w:val="true"/>
        </w:rPr>
        <w:t>:</w:t>
      </w:r>
      <w:r>
        <w:rPr>
          <w:rtl w:val="true"/>
        </w:rPr>
        <w:t>الاستیاک</w:t>
      </w:r>
      <w:bookmarkEnd w:id="267"/>
    </w:p>
    <w:p>
      <w:pPr>
        <w:pStyle w:val="BookText"/>
        <w:rPr/>
      </w:pPr>
      <w:r>
        <w:rPr>
          <w:rFonts w:ascii="IRNazanin" w:hAnsi="IRNazanin" w:eastAsia="IRNazanin"/>
          <w:color w:val="111111"/>
          <w:sz w:val="28"/>
          <w:sz w:val="28"/>
          <w:szCs w:val="28"/>
          <w:rtl w:val="true"/>
          <w:lang w:bidi="fa-IR"/>
        </w:rPr>
        <w:t xml:space="preserve">نسب فی الحدائق عدم الخلاف فی ذلک إلی أصحابنا </w:t>
      </w:r>
      <w:r>
        <w:rPr>
          <w:rStyle w:val="FootnoteAnchor"/>
          <w:rtl w:val="true"/>
        </w:rPr>
        <w:footnoteReference w:id="564"/>
      </w:r>
      <w:r>
        <w:rPr>
          <w:rFonts w:ascii="IRNazanin" w:hAnsi="IRNazanin" w:eastAsia="IRNazanin"/>
          <w:color w:val="111111"/>
          <w:sz w:val="28"/>
          <w:sz w:val="28"/>
          <w:szCs w:val="28"/>
          <w:rtl w:val="true"/>
          <w:lang w:bidi="fa-IR"/>
        </w:rPr>
        <w:t>بمعنی أنّ السواک فی نفسه مستحبّ نفسی و خصوصاً للوضوء و الصلاة، و یستدلّ علی ذلک بصحیحة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وصیة النبی صلی الله علیه و آله لعلی علیه السلام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أُوصیک فی نفسک بخصال فاحفظها عنّی،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بالسواک عند کلّ وضوء</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السکونی عن جعفر عن أبیه عن آبائه علیهم السلام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التسوک بالإبهام و المسبّحة عند الوضوء سواک</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 ما یستاک به عود الأراک و هو شجر معروف و متعارف فی السواک بأغصانه لم یثبت بما یمکن الاعتماد علیه، نعم ففی النبویّ المرویّ فی مکارم الأخلاق أنّه کان صلی الله علیه و آله یستاک بالأراک و أمره بذلک جبرئیل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الرسالة الذهبیة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أمیر المؤمنین أنّ أجود ما استکت به لیف الأراک فإنّه یجلو الأسنان و یطیب النکهة و یشدّ اللثة، الحدیث</w:t>
      </w:r>
      <w:r>
        <w:rPr>
          <w:rFonts w:eastAsia="IRNazanin" w:cs="IRNazanin"/>
          <w:color w:val="111111"/>
          <w:sz w:val="28"/>
          <w:szCs w:val="28"/>
          <w:rtl w:val="true"/>
          <w:lang w:bidi="fa-IR"/>
        </w:rPr>
        <w:t>.</w:t>
      </w:r>
    </w:p>
    <w:p>
      <w:pPr>
        <w:pStyle w:val="Heading4"/>
        <w:numPr>
          <w:ilvl w:val="3"/>
          <w:numId w:val="1"/>
        </w:numPr>
        <w:rPr/>
      </w:pPr>
      <w:bookmarkStart w:id="268" w:name="__RefHeading___Toc1723300_417432637"/>
      <w:bookmarkStart w:id="269" w:name="_Toc98"/>
      <w:bookmarkEnd w:id="268"/>
      <w:r>
        <w:rPr>
          <w:rtl w:val="true"/>
        </w:rPr>
        <w:t>الثالث</w:t>
      </w:r>
      <w:r>
        <w:rPr>
          <w:rtl w:val="true"/>
        </w:rPr>
        <w:t>:</w:t>
      </w:r>
      <w:r>
        <w:rPr>
          <w:rtl w:val="true"/>
        </w:rPr>
        <w:t>وضع إناء الوضوء علی الیمین</w:t>
      </w:r>
      <w:bookmarkEnd w:id="2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الحدائق أنّ الأصحاب ذکروا ذلک و لم نقف له علی مستند فی</w:t>
      </w:r>
      <w:bookmarkStart w:id="270" w:name="pg12061_112565"/>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الاغتراف مرّة فی حدث النوم و البول و مرّتین فی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قبل الاغتراف مرّة فی حدث النوم و البول و مرّتین فی الغائط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أخبارنا کما اعترف بذلک جمع من أصحابنا </w:t>
      </w:r>
      <w:r>
        <w:rPr>
          <w:rStyle w:val="FootnoteAnchor"/>
          <w:rtl w:val="true"/>
        </w:rPr>
        <w:footnoteReference w:id="568"/>
      </w:r>
      <w:r>
        <w:rPr>
          <w:rFonts w:ascii="IRNazanin" w:hAnsi="IRNazanin" w:eastAsia="IRNazanin"/>
          <w:color w:val="111111"/>
          <w:sz w:val="28"/>
          <w:sz w:val="28"/>
          <w:szCs w:val="28"/>
          <w:rtl w:val="true"/>
          <w:lang w:bidi="fa-IR"/>
        </w:rPr>
        <w:t>،بل فی بعض الروایات الواردة فی حکایة وضوء النبی صلی الله علیه و آله کصحیحة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أحکی لکم وضوء رسول اللّٰه صلی الله علیه و آله ؟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فدعا بقعب فیه شیء من ماء فوضعه بین یدیه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القعب هو القدح من الإناء المصنوع من الخشب، و فی ظاهر عبارة الماتن أنّ الحکم بالاستحباب یختصّ بما یغترف منه الماء و لا یعمّ مثل الإبریق الذی یصبّ منه الماء</w:t>
      </w:r>
      <w:r>
        <w:rPr>
          <w:rFonts w:eastAsia="IRNazanin" w:cs="IRNazanin"/>
          <w:color w:val="111111"/>
          <w:sz w:val="28"/>
          <w:szCs w:val="28"/>
          <w:rtl w:val="true"/>
          <w:lang w:bidi="fa-IR"/>
        </w:rPr>
        <w:t>.</w:t>
      </w:r>
    </w:p>
    <w:p>
      <w:pPr>
        <w:pStyle w:val="Heading4"/>
        <w:numPr>
          <w:ilvl w:val="3"/>
          <w:numId w:val="1"/>
        </w:numPr>
        <w:rPr/>
      </w:pPr>
      <w:bookmarkStart w:id="271" w:name="__RefHeading___Toc1723302_417432637"/>
      <w:bookmarkStart w:id="272" w:name="_Toc99"/>
      <w:bookmarkEnd w:id="271"/>
      <w:r>
        <w:rPr>
          <w:rtl w:val="true"/>
        </w:rPr>
        <w:t>الرابع</w:t>
      </w:r>
      <w:r>
        <w:rPr>
          <w:rtl w:val="true"/>
        </w:rPr>
        <w:t>:</w:t>
      </w:r>
      <w:r>
        <w:rPr>
          <w:rtl w:val="true"/>
        </w:rPr>
        <w:t>غسل الیدین قبل الوضوء</w:t>
      </w:r>
      <w:bookmarkEnd w:id="272"/>
    </w:p>
    <w:p>
      <w:pPr>
        <w:pStyle w:val="BookText"/>
        <w:rPr/>
      </w:pPr>
      <w:r>
        <w:rPr>
          <w:rFonts w:ascii="IRNazanin" w:hAnsi="IRNazanin" w:eastAsia="IRNazanin"/>
          <w:color w:val="111111"/>
          <w:sz w:val="28"/>
          <w:sz w:val="28"/>
          <w:szCs w:val="28"/>
          <w:rtl w:val="true"/>
          <w:lang w:bidi="fa-IR"/>
        </w:rPr>
        <w:t xml:space="preserve">المحکی عن المعتبر الإجماع علی ذلک </w:t>
      </w:r>
      <w:r>
        <w:rPr>
          <w:rStyle w:val="FootnoteAnchor"/>
          <w:rtl w:val="true"/>
        </w:rPr>
        <w:footnoteReference w:id="570"/>
      </w:r>
      <w:r>
        <w:rPr>
          <w:rFonts w:ascii="IRNazanin" w:hAnsi="IRNazanin" w:eastAsia="IRNazanin"/>
          <w:color w:val="111111"/>
          <w:sz w:val="28"/>
          <w:sz w:val="28"/>
          <w:szCs w:val="28"/>
          <w:rtl w:val="true"/>
          <w:lang w:bidi="fa-IR"/>
        </w:rPr>
        <w:t>، و یستدلّ علی ذلک بصحیحة عبید اللّٰه بن علی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الوضوء کم یفرغ الرجل علی یده الیمنی قبل أن یدخلها فی الإناء؟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من حدث البول، و اثنتان من حدث الغائط و ثلاث من الجنابة</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حریز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الرجل یده من النوم مرّة و من الغائط و البول مرّتین</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و ظاهر الأُولی و إن کان الأمر بغسل الید الیمنی إلّا أنّه</w:t>
      </w:r>
      <w:bookmarkStart w:id="273" w:name="pg12061_112566"/>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المضمضة و الاستنشاق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و الاستنشاق کلّ منهما ثلاث مرّات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 عن الأخذ بظاهر الثانیة فی مطلوبیة غسل یدیه قبل اغترافهما فی الإناء؛ لأنّ ذکر الید الیمنی کان فی کلام السائل مع اختصاص السؤال به لفرض عدم اغتراف الماء بالیسری کما یأتی فی کیفیة الوضوء، و ذکر المرّتین للبول فی الثانیة لعلّه لفرض اجتماعه مع الغائط، و مع ذلک فظاهر الثانیة أنّ استحباب الغسل لا یکون من مستحبّات الوضوء،بل غسلهما مستحبّ فی نفسه بعد النوم و بعد البول و الغائط سواء توضّأ بعد ذلک بالاغتراف من الإناء أو توضّأ من غیر اغتراف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 نظر الروایات إلی فرض الوضوء بالاغتراف و الالتزام بالاستحباب؛ لما دلّ علی أنّ حدّ الوضوء غسل الوجه و الیدین و مسح الرأس و الرجلین، و لما دلّ علی عدم البأس باغتراف الماء من الإناء قبل غسل الید إذا لم یکن أصاب یده شیء کما فی صحیحة محمّد بن مسلم و غیرها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723304_417432637"/>
      <w:bookmarkStart w:id="275" w:name="_Toc100"/>
      <w:bookmarkEnd w:id="274"/>
      <w:r>
        <w:rPr>
          <w:rtl w:val="true"/>
        </w:rPr>
        <w:t>الخامس</w:t>
      </w:r>
      <w:r>
        <w:rPr>
          <w:rtl w:val="true"/>
        </w:rPr>
        <w:t>:</w:t>
      </w:r>
      <w:r>
        <w:rPr>
          <w:rtl w:val="true"/>
        </w:rPr>
        <w:t>المضمضة و الاستنشاق</w:t>
      </w:r>
      <w:bookmarkEnd w:id="2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الوضوء فإن نسیتهما فلا تعد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یحمل کونهما من الوضوء علی الاستحباب بقرینة الروایات المحدّدة للوضوء، و مقتضاها عدم الفرق فی الاستحباب بین تقدیمهما علی الوضوء أو فعلهما أثناءه، و ما ورد فی الروایات من نفی کونهما من الوضوء ظاهرها عدم کونهما من الأجزاء الواجبة لا عدم الإتیان بهما أثناء الوضوء، و لکنّ إثبات استحباب التثلیث 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بثلاث أکفّ و یکفی الکفّ الواحدة أیضاً لکلّ من الثلاث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التثلیث فی عهد أمیر المؤمنین علیه السلام إلی محمّد بن أبی بکر </w:t>
      </w:r>
      <w:r>
        <w:rPr>
          <w:rStyle w:val="FootnoteAnchor"/>
          <w:rtl w:val="true"/>
        </w:rPr>
        <w:footnoteReference w:id="575"/>
      </w:r>
      <w:r>
        <w:rPr>
          <w:rFonts w:ascii="IRNazanin" w:hAnsi="IRNazanin" w:eastAsia="IRNazanin"/>
          <w:color w:val="111111"/>
          <w:sz w:val="28"/>
          <w:sz w:val="28"/>
          <w:szCs w:val="28"/>
          <w:rtl w:val="true"/>
          <w:lang w:bidi="fa-IR"/>
        </w:rPr>
        <w:t>، و روایة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السواک بعد الوضوء؟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الاستیاک قبل أن یتوضّأ،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رأیت إن نسی حتّی یتوضّأ؟ قال یستاک ثمّ یتمضمض ثلاث مرات </w:t>
      </w:r>
      <w:r>
        <w:rPr>
          <w:rStyle w:val="FootnoteAnchor"/>
          <w:rtl w:val="true"/>
        </w:rPr>
        <w:footnoteReference w:id="576"/>
      </w:r>
      <w:r>
        <w:rPr>
          <w:rFonts w:ascii="IRNazanin" w:hAnsi="IRNazanin" w:eastAsia="IRNazanin"/>
          <w:color w:val="111111"/>
          <w:sz w:val="28"/>
          <w:sz w:val="28"/>
          <w:szCs w:val="28"/>
          <w:rtl w:val="true"/>
          <w:lang w:bidi="fa-IR"/>
        </w:rPr>
        <w:t>، و علی کلّ الحکم بالاستحباب ثلاثاً مبنیّ علی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التمضمض ثلاثاً و الاستنشاق ثلاثاً یصدق فیما إذا کان کلّ من ثلاث مرّات بالکفّ الواحد من الماء،بل إذا أمکن التمضمض و الاستنشاق ثلاثاً بکفّ واحدة کفی فی صدق ما أمر به ثلاثاً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فاستحباب کون کلّ من المضمضة و الاستنشاق بثلاثة أکفّ من الماء غیر وارد فی روایات الباب، و إنّما هو مذکور فی کلمات جماعة من الأصحاب و لعلّ هذا المقدار فی استحباب الفعل عند الماتن لما ادّعی من شمول أخبار التسامح لفتوی جماعة و أنّهم أیضاً ذکروا تقدیم المضمضة علی الاستنشاق، و هذا أیضاً غیر وارد إلّا فی روایة عبد الرحمن بن کثیر الهاشمی عن أبی عبد اللّه علیه السلام حیث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استنشق</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 لکن لا یمکن إثبات استحباب التقدیم حتّی بناءً علی التسامح فی أدلة السنن؛ لأنّه من المحتمل أن یکون تقدیم المضمضة علی الاستنشاق لجریان العادة فیهما علی فعلها مترتّبة، فیقع أحدهما أوّلاً و الآخر ثانیاً،</w:t>
      </w:r>
      <w:bookmarkStart w:id="276" w:name="pg12061_112568"/>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عند وضع الید فی الماء أو صبّه علی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عند وضع الید فی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صبّه علی الید و أقلّها بسم اللّٰه،و الأفضل 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مع الغمض عن سندها لا یمکن الاستدلال بها علی استحباب تقدیم المضمضة علی الاستنشاق، نعم لو قیل بعموم التسامح لصورة فتوی الجماعة فلا بأس بالحکم بالاستحباب</w:t>
      </w:r>
      <w:r>
        <w:rPr>
          <w:rFonts w:eastAsia="IRNazanin" w:cs="IRNazanin"/>
          <w:color w:val="111111"/>
          <w:sz w:val="28"/>
          <w:szCs w:val="28"/>
          <w:rtl w:val="true"/>
          <w:lang w:bidi="fa-IR"/>
        </w:rPr>
        <w:t>.</w:t>
      </w:r>
    </w:p>
    <w:p>
      <w:pPr>
        <w:pStyle w:val="Heading4"/>
        <w:numPr>
          <w:ilvl w:val="3"/>
          <w:numId w:val="1"/>
        </w:numPr>
        <w:rPr/>
      </w:pPr>
      <w:bookmarkStart w:id="277" w:name="__RefHeading___Toc1723306_417432637"/>
      <w:bookmarkStart w:id="278" w:name="_Toc101"/>
      <w:bookmarkEnd w:id="277"/>
      <w:r>
        <w:rPr>
          <w:rtl w:val="true"/>
        </w:rPr>
        <w:t>السادس</w:t>
      </w:r>
      <w:r>
        <w:rPr>
          <w:rtl w:val="true"/>
        </w:rPr>
        <w:t>:</w:t>
      </w:r>
      <w:r>
        <w:rPr>
          <w:rtl w:val="true"/>
        </w:rPr>
        <w:t>التسمیة عند وضع الید فی الماء</w:t>
      </w:r>
      <w:bookmarkEnd w:id="278"/>
    </w:p>
    <w:p>
      <w:pPr>
        <w:pStyle w:val="BookText"/>
        <w:rPr/>
      </w:pPr>
      <w:r>
        <w:rPr>
          <w:rFonts w:ascii="IRNazanin" w:hAnsi="IRNazanin" w:eastAsia="IRNazanin"/>
          <w:color w:val="111111"/>
          <w:sz w:val="28"/>
          <w:sz w:val="28"/>
          <w:szCs w:val="28"/>
          <w:rtl w:val="true"/>
          <w:lang w:bidi="fa-IR"/>
        </w:rPr>
        <w:t>و فی صحیحة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یدک فی الماء فقل بسم اللّٰه و باللّٰه اللهمّ اجعلنی من التوابین و اجعلنی من المتطهّرین</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غرف مِلأها ماءً فوضعها علی جبهته ثمّ قال بسم اللّٰه</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الأربعمائة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یتوضّأ الرجل حتّی یسمّی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یمسّ الماء بسم اللّٰه و باللّٰه اللهمّ اجعلنی من التوابین و اجعلنی من المتطهّرین</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مقتضی الأمر بالتسمیة کما فی مصحّحة الفضیل و غیرها و کون الأفضل بسم اللّٰه الرحمن الرحیم فإنّه الفرد الأکمل من التسمیة، و لما ورد فی مصحّحة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أنّک إذا ضربت یدک فی الماء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تناثرت الذنوب التی اکتسبتها یداک</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bookmarkStart w:id="279" w:name="pg12061_112569"/>
    </w:p>
    <w:p>
      <w:pPr>
        <w:pStyle w:val="BookText"/>
        <w:rPr/>
      </w:pPr>
      <w:bookmarkEnd w:id="279"/>
      <w:r>
        <w:rPr>
          <w:rFonts w:ascii="IRNazanin" w:hAnsi="IRNazanin" w:eastAsia="IRNazanin"/>
          <w:color w:val="111111"/>
          <w:sz w:val="28"/>
          <w:sz w:val="28"/>
          <w:szCs w:val="28"/>
          <w:rtl w:val="true"/>
          <w:lang w:bidi="fa-IR"/>
        </w:rPr>
        <w:t>و أفضل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اجعلنی من التوابین و 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الاغتراف بالیمنی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الاغتراف بالیمنی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للیمنی بأن یصبّه فی الیسری ثمّ یغسل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نظره کونه أفضل منهما اشتماله للدعاء، 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یدک فی الماء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اللهمّ اجعلنی من التوابین و اجعلنی من المتطهرین</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723308_417432637"/>
      <w:bookmarkStart w:id="281" w:name="_Toc102"/>
      <w:bookmarkEnd w:id="280"/>
      <w:r>
        <w:rPr>
          <w:rtl w:val="true"/>
        </w:rPr>
        <w:t>السابع</w:t>
      </w:r>
      <w:r>
        <w:rPr>
          <w:rtl w:val="true"/>
        </w:rPr>
        <w:t>:</w:t>
      </w:r>
      <w:r>
        <w:rPr>
          <w:rtl w:val="true"/>
        </w:rPr>
        <w:t>الاغتراف بالیمنی</w:t>
      </w:r>
      <w:bookmarkEnd w:id="281"/>
    </w:p>
    <w:p>
      <w:pPr>
        <w:pStyle w:val="BookText"/>
        <w:rPr/>
      </w:pPr>
      <w:r>
        <w:rPr>
          <w:rFonts w:ascii="IRNazanin" w:hAnsi="IRNazanin" w:eastAsia="IRNazanin"/>
          <w:color w:val="111111"/>
          <w:sz w:val="28"/>
          <w:sz w:val="28"/>
          <w:szCs w:val="28"/>
          <w:rtl w:val="true"/>
          <w:lang w:bidi="fa-IR"/>
        </w:rPr>
        <w:t>ورد فی غیر واحد من الروایات اغتراف رسول اللّٰه صلی الله علیه و آله الماء بیده الیمنی و صبّه علی وجهه و فی صحیحة عمر بن أُذنیة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فدنا رسول اللّٰه صلی الله علیه و آله من صاد و هو ماء یسیل من ساق العرش الأیمن فتلقّی رسول اللّٰه صلی الله علیه و آله الماء بیده الیمنی فمن أجل ذلک صار الوضوء بالیمین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بها الاغتراف بالیمنی حتّی لغسل الیمنی بأن یغترف الماء بالیمنی ثمّ یصبّ فی الیسری لغسل الیمنی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لا أحکی لکم وضوء رسول اللّٰه صلی الله علیه و آله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یده فی الإناء و لم یغسل یده فأخذ کفاً من</w:t>
      </w:r>
      <w:bookmarkStart w:id="282" w:name="pg12061_112570"/>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قراءة الأدعیة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الأدعیة المأثورة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 من المضمضة و الاستنشاق و غسل الوجه و الیدین مرّتین و مسح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فصبّه علی وجهه، ثمّ مسح جانبیه حتّی مسحه کلّه ثمّ أخذ کفاً آخر بیمینه فصبّه علی یساره ثمّ غسل به ذراعه الأیمن</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موثّقة بکیر و زرارة معاً أنّهما سألا أبا جعفر علیه السلام عن وضوء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بطست أو بتور فیه ماء فغسل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غمس کفّه الیمنی فی الماء فاغترف بها من الماء فغسل یده الیمنی من المرفق</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 لکن فی الروایات المتعدّدة أنّه غمس یده الیسری لغسل یده الیمنی </w:t>
      </w:r>
      <w:r>
        <w:rPr>
          <w:rStyle w:val="FootnoteAnchor"/>
          <w:rtl w:val="true"/>
        </w:rPr>
        <w:footnoteReference w:id="586"/>
      </w:r>
      <w:r>
        <w:rPr>
          <w:rFonts w:ascii="IRNazanin" w:hAnsi="IRNazanin" w:eastAsia="IRNazanin"/>
          <w:color w:val="111111"/>
          <w:sz w:val="28"/>
          <w:sz w:val="28"/>
          <w:szCs w:val="28"/>
          <w:rtl w:val="true"/>
          <w:lang w:bidi="fa-IR"/>
        </w:rPr>
        <w:t>، و لا بأس بأن یکون فعل ذلک فی بعض الموارد لبیان کون الاغتراف بالید الیمنی لغسلها غیر إلزامی، و بأنّ رسول اللّٰه صلی الله علیه و آله کان یترک الاغتراف بالیمنی بعضاً کترکه صلی الله علیه و آله غسل یدیه بعضاً قبل الإدخال فی الإناء لاغتراف الماء</w:t>
      </w:r>
      <w:r>
        <w:rPr>
          <w:rFonts w:eastAsia="IRNazanin" w:cs="IRNazanin"/>
          <w:color w:val="111111"/>
          <w:sz w:val="28"/>
          <w:szCs w:val="28"/>
          <w:rtl w:val="true"/>
          <w:lang w:bidi="fa-IR"/>
        </w:rPr>
        <w:t>.</w:t>
      </w:r>
    </w:p>
    <w:p>
      <w:pPr>
        <w:pStyle w:val="Heading4"/>
        <w:numPr>
          <w:ilvl w:val="3"/>
          <w:numId w:val="1"/>
        </w:numPr>
        <w:rPr/>
      </w:pPr>
      <w:bookmarkStart w:id="283" w:name="__RefHeading___Toc1723310_417432637"/>
      <w:bookmarkStart w:id="284" w:name="_Toc103"/>
      <w:bookmarkEnd w:id="283"/>
      <w:r>
        <w:rPr>
          <w:rtl w:val="true"/>
        </w:rPr>
        <w:t>الثامن</w:t>
      </w:r>
      <w:r>
        <w:rPr>
          <w:rtl w:val="true"/>
        </w:rPr>
        <w:t>:</w:t>
      </w:r>
      <w:r>
        <w:rPr>
          <w:rtl w:val="true"/>
        </w:rPr>
        <w:t>قراءة الأدعیة</w:t>
      </w:r>
      <w:bookmarkEnd w:id="2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وردت الأدعیة المشار إلیها فی روایة عبد الرحمن بن کثیر الهاشمی </w:t>
      </w:r>
      <w:r>
        <w:rPr>
          <w:rStyle w:val="FootnoteAnchor"/>
          <w:rtl w:val="true"/>
        </w:rPr>
        <w:footnoteReference w:id="587"/>
      </w:r>
      <w:r>
        <w:rPr>
          <w:rFonts w:ascii="IRNazanin" w:hAnsi="IRNazanin" w:eastAsia="IRNazanin"/>
          <w:color w:val="111111"/>
          <w:sz w:val="28"/>
          <w:sz w:val="28"/>
          <w:szCs w:val="28"/>
          <w:rtl w:val="true"/>
          <w:lang w:bidi="fa-IR"/>
        </w:rPr>
        <w:t>و قراءتها بعنوان مطلق الدعاء لا تأمّل فی استحبابها، و أمّا بعنوان الورود الخاصّ فلیکن بعنوان الرجاء إلّا بناءً علی التسامح فی أدلة السنن</w:t>
      </w:r>
      <w:r>
        <w:rPr>
          <w:rFonts w:eastAsia="IRNazanin" w:cs="IRNazanin"/>
          <w:color w:val="111111"/>
          <w:sz w:val="28"/>
          <w:szCs w:val="28"/>
          <w:rtl w:val="true"/>
          <w:lang w:bidi="fa-IR"/>
        </w:rPr>
        <w:t>.</w:t>
      </w:r>
      <w:bookmarkStart w:id="285" w:name="pg12061_112571"/>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غسل کلّ من الوجه و الیدین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کلّ من الوجه و الیدین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86" w:name="__RefHeading___Toc1723312_417432637"/>
      <w:bookmarkStart w:id="287" w:name="_Toc104"/>
      <w:bookmarkEnd w:id="286"/>
      <w:r>
        <w:rPr>
          <w:rtl w:val="true"/>
        </w:rPr>
        <w:t>التاسع</w:t>
      </w:r>
      <w:r>
        <w:rPr>
          <w:rtl w:val="true"/>
        </w:rPr>
        <w:t>:</w:t>
      </w:r>
      <w:r>
        <w:rPr>
          <w:rtl w:val="true"/>
        </w:rPr>
        <w:t>التثنیة فی الغسل</w:t>
      </w:r>
      <w:bookmarkEnd w:id="287"/>
    </w:p>
    <w:p>
      <w:pPr>
        <w:pStyle w:val="BookText"/>
        <w:rPr/>
      </w:pPr>
      <w:r>
        <w:rPr>
          <w:rFonts w:ascii="IRNazanin" w:hAnsi="IRNazanin" w:eastAsia="IRNazanin"/>
          <w:color w:val="111111"/>
          <w:sz w:val="28"/>
          <w:sz w:val="28"/>
          <w:szCs w:val="28"/>
          <w:rtl w:val="true"/>
          <w:lang w:bidi="fa-IR"/>
        </w:rPr>
        <w:t>لا ینبغی التأمّل فی أنّه إذا تمّ غسل الحدّ الواجب غسله من الوجه و الیدین یکون غسل الوجه و الیدین مع مسح الرأس و الرجلین وضوءاً، و هذا هو المقدار الواجب من الوضوء عند الکلّ، و الکلام فی أنّ تکرار الغسل ثانیاً علی الوجه قبل غسل الیدین، و کذا تکرار غسل الید الیمنی قبل غسل الیسری، و کذلک تکرار الغسل علی الیسری قبل مسح الرأس مشروع، و یحسب ذلک الغسل أیضاً من الوضوء بحیث یحوز المسح بنداوته أو أنّه لم یثبت مشروعیّة تکرار الغسل؟ و المشهور قدیماً و حدیثاً علی مشروعیّة التکرار، و المحکی عن بعض القدماء و جمع من المتأخّرین نفی المشروعیّة أو الاستشکال فیها، و العمدة فی ذلک اختلاف الأخبار و اختلاف النظر فی الجمع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الوارد فی بعض الروایات أنّ الوضوء مثنی مثنی و فی صحیحة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مثنی</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صفوان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مثنی مثنی</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عن الوضوء الذی افترضه اللّٰه علی عباده لمن جاء من الغائط أو بال؟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ذکره و یذهب الغائط ثمّ یتوضّأ مرّتین مرّتین</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مقابل ذلک الأخبار الواردة فی بیان وضوء النبی صلی الله علیه و آله حیث إنّه لم یرد فی شیء منها غسل الوجه مرّتین أو غسل الیدین مرّتین، و صحیحة عبد الکریم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وضوء علی علیه السلام إلّا مرة مرّة</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یجاب عن الأخبار الواردة فی وضوء رسول اللّٰه صلی الله علیه و آله أنّها فی مقام بیان ما یعتبر غسله و مسحه و أنّه صلی الله علیه و آله غسل و مسح علی النحو المتعارف عند الشیعة، و أنّ ما علیه العامّة أجنبیّ عن وضوئه صلی الله علیه و آله ، و أمّا کونها ناظرة إلی بیان الکم فی الغسل و أنّه صلی الله علیه و آله کم مرّة غسل الوجه؟ فلیست ناظرة إلی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أنّها بصدد بیان کیفیّة الغسل و المسح الواجب فی الوضوء، و أمّا بیان المستحبّات من الوضوء فلم یحرز أنّها بصدد حکایتها عن رسول اللّٰه؛ و لذا لم یتعرّض فیها لجملة من المستحبّات المتقدّمة من غسل الید و المضمضة و الاستنشاق و غیر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یجاب عن صحیحة عبد الکریم بن عمرو أنّه یمکن الالتزام باستحباب الغسل مرّتین فی حقّ غیر علی علیه السلام حیث إنّه علیه السلام یختصّ بهذا الحکم کما اختصّ بجواز دخوله علیه السلام المسجد جنباً، و یؤیّد ذلک ما فی روایة داود الرقی، عن أبی عبد اللّه علیه السلام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أوجبه اللّٰه فواحدة و أضاف إلیها رسول اللّٰه صلی الله علیه و آله واحدة لضعف الناس</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یعنی لعدم مراعاتهم نوعاً بأن لا یبقی من أعضاء الوضوء شیء من غیر غسل، فشرّع تعدّد الغسل؛ لئلّا یبقی شیء من مواضع الغسل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غسل و لا سباغ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ابن إدریس فی آخر السرائر عن نوادر أحمد بن محمد بن أبی نصر البزنطی عن عبد الکریم یعنی ابن عمرو عن ابن أبی یعفور عن أبی عبد اللّه علیه السلام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الفضل فی واحدة و من زاد علی ثنتین لم یؤجر، </w:t>
      </w:r>
      <w:r>
        <w:rPr>
          <w:rStyle w:val="FootnoteAnchor"/>
          <w:rtl w:val="true"/>
        </w:rPr>
        <w:footnoteReference w:id="593"/>
      </w:r>
      <w:r>
        <w:rPr>
          <w:rFonts w:ascii="IRNazanin" w:hAnsi="IRNazanin" w:eastAsia="IRNazanin"/>
          <w:color w:val="111111"/>
          <w:sz w:val="28"/>
          <w:sz w:val="28"/>
          <w:szCs w:val="28"/>
          <w:rtl w:val="true"/>
          <w:lang w:bidi="fa-IR"/>
        </w:rPr>
        <w:t>فظاهرها و إن کان نفی استحباب الغسل الثانی، حیث إنّ الفضل فی واحدة إلّا أنّ طریق ابن ادریس إلی نوادر البزنطی غیر محرز عندنا، فلا یمکن رفع الید بها عن الأخبار الظاهرة فی استحباب الغسل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یتمّ طریق ابن ادریس إلی نوادر البزنطی فلا ینبغی التأمّل فی ظهور صحیحة عبد الکریم بن عمرو فی نفی استحباب الزائد علی المرّة و أنّه لا یمکن کون الوضوء مرّة من مختصّات علی علیه السلام حیث ذکر سلام اللّٰه علیه ذلک فی جواب السؤال عن طبیعیّ الوضوء، و تعیین ما هو وظیفة السائل لزوماً أو استحباباً فذکر علیه السلام فی الجواب ما کان وضوء علی علیه السلام إلّا مرّة واحدة یعطی نفی الفضل عن الزائد علی المرّة، و یؤیّد ذلک مرسلة ابن أبی عمیر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واحدة فرض و اثنتان لا یؤجر و الثالثة بدعة</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فإنّ الاثنتان لو کان أمراً مرغوباً فیه فلا وجه لعدم الأجر علیه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مقتضی الجمع بین صحیحة عبد الکریم بن عمرو و نحوها و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من أنّ الوضوء مثنی مثنی، و توضّأ مرّتین مرّتین </w:t>
      </w:r>
      <w:r>
        <w:rPr>
          <w:rStyle w:val="FootnoteAnchor"/>
          <w:rtl w:val="true"/>
        </w:rPr>
        <w:footnoteReference w:id="595"/>
      </w:r>
      <w:r>
        <w:rPr>
          <w:rFonts w:ascii="IRNazanin" w:hAnsi="IRNazanin" w:eastAsia="IRNazanin"/>
          <w:color w:val="111111"/>
          <w:sz w:val="28"/>
          <w:sz w:val="28"/>
          <w:szCs w:val="28"/>
          <w:rtl w:val="true"/>
          <w:lang w:bidi="fa-IR"/>
        </w:rPr>
        <w:t>، هو الالتزام بأنّ الغسل الثانی و إن کان أمراً استحبابیّاً فی الوضوء إلّا أنّه نظیر الصوم فی یوم عاشوراء، و کسائر النوافل المبتدأة فی بعض الأوقات ذات مصلحة یترتب علی ترکه عنوان أصلح بحیث یکون الفضل فی الاقتصار علی الغسل بمرّة واحدة لا یمکن المساعدة علیها، فإنّ ذلک لا یقتضی أن لا یؤجر الإنسان بالغسل ثانیةً، مع أنّ ما رواه ابن ادریس فی آخر السرائر عن ابن أبی یعفور نفی الأجر علی الزائد علی الاثنین لا نفیه علی الاثنین کما هو ظاهر مرسلة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لا داعی إلی هذا التکلّف بعد ضعف ما دل علی إثبات الفضل و نفیه، و ما تقدّم من أنّ الوضوء مثنی، مثنی و توضّأ مرّتین یحتمل کون المراد منهما أنّ حقیقة الوضوء المشروع مثنی مثنی لغیر غسلتین و مسحتین، لا کما یقوله العامّة من أنّه فیه مسح واحد و هو مسح الرأس، و أنّ فیه مرّتین من الغسل و مرّتین من المسح یعنی مسح الرأس و الرجلین، فإنّه لا ینبغی التأمّل فی أنّ ما فرض اللّٰه علی العباد من الوضوء هذا المقدار، و یدلّ علی ذلک ما فی معتبرة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مثنی مثنی من زاد لم یؤجر علیه، و حکی لنا وضوء رسول اللّٰه صلی الله علیه و آله فغسل وجهه مرّة واحدة و ذراعیه مرّة واحدة و مسح رأسه بفضل وضوئه و رجلیه</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ذکر أنّ الوضوء مثنی مثنی فی الصدر و أنّ من زاد علیه لم یؤجر، ثمّ حکایة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وضوء رسول اللّٰه بالغسل مرّة فی مقام الاستشهاد، و أنّ معیار الزیادة علی الوضوء وضوء رسول اللّٰه صلی الله علیه و آله یعطی ما ذکر نظیر قوله علیه السلام فی صحیحة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للوضوء حدّاً من تعدّاه لم یؤجر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یتلدّد،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 وجهک و یدیک و تمسح رأسک و رجلیک </w:t>
      </w:r>
      <w:r>
        <w:rPr>
          <w:rStyle w:val="FootnoteAnchor"/>
          <w:rtl w:val="true"/>
        </w:rPr>
        <w:footnoteReference w:id="597"/>
      </w:r>
      <w:r>
        <w:rPr>
          <w:rFonts w:ascii="IRNazanin" w:hAnsi="IRNazanin" w:eastAsia="IRNazanin"/>
          <w:color w:val="111111"/>
          <w:sz w:val="28"/>
          <w:sz w:val="28"/>
          <w:szCs w:val="28"/>
          <w:rtl w:val="true"/>
          <w:lang w:bidi="fa-IR"/>
        </w:rPr>
        <w:t>، فإن ظاهرها کون الحد للوضوء طبیعی الغسل لکل من الوجه و الیدین الحاصل بصرف وجوده، و یؤیّد ما ذکرنا أنّه لو کان المراد بالمثنی مثنی التعدّد فی غسل کلّ عضو جری ذلک فی المسح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البین استحباب الإسباغ فی الوضوء، و هو أنّه إذا لم یتمّ بوضع الماء علی العضو و إجرائه علیه غسل تمام الحدّ أو شکّ فی ذلک یجوز إکماله و استیعاب الغسل و لو بإعادة الغسل، و یشهد لذلک مثل صحیحة علی بن جعفر و غیرها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ثواب الأعمال عن أبیه عن محمّد بن یحیی عن العمرکی عن علی بن جعفر عن أخیه موسی بن جعفر علیه السلام عن أبیه جعفر بن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من أسبغ وضوءه و أحسن صلاته </w:t>
      </w:r>
      <w:r>
        <w:rPr>
          <w:rStyle w:val="FootnoteAnchor"/>
          <w:rtl w:val="true"/>
        </w:rPr>
        <w:footnoteReference w:id="598"/>
      </w:r>
      <w:r>
        <w:rPr>
          <w:rFonts w:ascii="IRNazanin" w:hAnsi="IRNazanin" w:eastAsia="IRNazanin"/>
          <w:color w:val="111111"/>
          <w:sz w:val="28"/>
          <w:sz w:val="28"/>
          <w:szCs w:val="28"/>
          <w:rtl w:val="true"/>
          <w:lang w:bidi="fa-IR"/>
        </w:rPr>
        <w:t>، الحدیث و یؤیّده روایة داود بن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کم عدّة الطهارة؟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أوجبه اللّٰه فواحدة و أضاف إلیها رسول اللّٰه صلی الله علیه و آله واحدة لضعف الناس و من توضّأ ثلاثاً ثلاثاً فلا صلاة له </w:t>
      </w:r>
      <w:r>
        <w:rPr>
          <w:rStyle w:val="FootnoteAnchor"/>
          <w:rtl w:val="true"/>
        </w:rPr>
        <w:footnoteReference w:id="599"/>
      </w:r>
      <w:r>
        <w:rPr>
          <w:rFonts w:ascii="IRNazanin" w:hAnsi="IRNazanin" w:eastAsia="IRNazanin"/>
          <w:color w:val="111111"/>
          <w:sz w:val="28"/>
          <w:sz w:val="28"/>
          <w:szCs w:val="28"/>
          <w:rtl w:val="true"/>
          <w:lang w:bidi="fa-IR"/>
        </w:rPr>
        <w:t>،بناءً علی أنّ المراد من ضعف الناس من إحراز غسل تمام</w:t>
      </w:r>
      <w:bookmarkStart w:id="288" w:name="pg12061_112576"/>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أن یبدأ الرجل بظاهر ذراعیه فی الغسلة الأُولی و فی الثانیة بباطنهما و المرأة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یبدأ الرجل بظاهر ذراعیه فی الغسلة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بباطنهما و المرأة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 فی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فی التعبیر بالتأیید ضعف الروایة سنداً، و کون ظاهرها أو محتملها تشریع الغسلة الثانیة مطلقاً أی و لو مع الأُولی و أنّ ضعف الناس حکمة لتشریعه</w:t>
      </w:r>
      <w:r>
        <w:rPr>
          <w:rFonts w:eastAsia="IRNazanin" w:cs="IRNazanin"/>
          <w:color w:val="111111"/>
          <w:sz w:val="28"/>
          <w:szCs w:val="28"/>
          <w:rtl w:val="true"/>
          <w:lang w:bidi="fa-IR"/>
        </w:rPr>
        <w:t>.</w:t>
      </w:r>
    </w:p>
    <w:p>
      <w:pPr>
        <w:pStyle w:val="Heading4"/>
        <w:numPr>
          <w:ilvl w:val="3"/>
          <w:numId w:val="1"/>
        </w:numPr>
        <w:rPr/>
      </w:pPr>
      <w:bookmarkStart w:id="289" w:name="__RefHeading___Toc1723314_417432637"/>
      <w:bookmarkStart w:id="290" w:name="_Toc105"/>
      <w:bookmarkEnd w:id="289"/>
      <w:r>
        <w:rPr>
          <w:rtl w:val="true"/>
        </w:rPr>
        <w:t>العاشر</w:t>
      </w:r>
      <w:r>
        <w:rPr>
          <w:rtl w:val="true"/>
        </w:rPr>
        <w:t>:</w:t>
      </w:r>
      <w:r>
        <w:rPr>
          <w:rtl w:val="true"/>
        </w:rPr>
        <w:t>بدء الرجل بظاهر الذراعین و المرأة بباطنهما</w:t>
      </w:r>
      <w:bookmarkEnd w:id="290"/>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بدء الرجل فی غسل یدیه بظاهرهما و بدء المرأة فی غسلهما بباطنهما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ثبوت الاستحباب فی تکرار الغسل علی العضو و منه الیدین یستحبّ بدء الرجل فی الثانیة بباطنهما و المرأة بظاهرهما، أمّا المقام الأوّل فالمشهور علی ما فی المتن من التفصیل فی بدء الغسل بین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 علی ذلک بما رواه علی بن إبراهیم، عن أخیه إسحاق بن إبراهیم، عن محمد بن إسماعیل بن یزیع،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علی النساء فی الوضوء للصلاة أن یبدأن بباطن أذرعتهنّ و فی الرجال بظاهر الذراع</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هذه الروایة الصدوق قدس سره فی الفقیه مقطوعاً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 جلّ علی الناس فی الوضوء أن تبدأ المرأة بباطن ذراعها و الرجل بظاهر الذراع</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291" w:name="pg12061_112577"/>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أن یصبّ الماء علی أعلی کلّ عضو</w:t>
      </w:r>
      <w:r>
        <w:rPr>
          <w:rFonts w:eastAsia="IRNazanin" w:cs="IRNazanin"/>
          <w:color w:val="111111"/>
          <w:sz w:val="28"/>
          <w:szCs w:val="28"/>
          <w:rtl w:val="true"/>
          <w:lang w:bidi="fa-IR"/>
        </w:rPr>
        <w:t>]</w:t>
      </w:r>
    </w:p>
    <w:p>
      <w:pPr>
        <w:pStyle w:val="Heading4"/>
        <w:numPr>
          <w:ilvl w:val="3"/>
          <w:numId w:val="1"/>
        </w:numPr>
        <w:rPr/>
      </w:pPr>
      <w:bookmarkStart w:id="292" w:name="__RefHeading___Toc1723316_417432637"/>
      <w:bookmarkStart w:id="293" w:name="_Toc106"/>
      <w:bookmarkEnd w:id="292"/>
      <w:r>
        <w:rPr>
          <w:rtl w:val="true"/>
        </w:rPr>
        <w:t>الحادی عشر</w:t>
      </w:r>
      <w:r>
        <w:rPr>
          <w:rtl w:val="true"/>
        </w:rPr>
        <w:t>:</w:t>
      </w:r>
      <w:r>
        <w:rPr>
          <w:rtl w:val="true"/>
        </w:rPr>
        <w:t>أن یصبّ الماء علی أعلی کلّ عضو</w:t>
      </w:r>
      <w:r>
        <w:rPr>
          <w:rtl w:val="true"/>
        </w:rPr>
        <w:t>(</w:t>
      </w:r>
      <w:r>
        <w:rPr/>
        <w:t>1</w:t>
      </w:r>
      <w:r>
        <w:rPr>
          <w:rtl w:val="true"/>
        </w:rPr>
        <w:t xml:space="preserve">) </w:t>
      </w:r>
      <w:r>
        <w:rPr>
          <w:rtl w:val="true"/>
        </w:rPr>
        <w:t>و أمّا الغسل من الأعلی فواجب</w:t>
      </w:r>
      <w:r>
        <w:rPr>
          <w:rtl w:val="true"/>
        </w:rPr>
        <w:t>.</w:t>
      </w:r>
      <w:bookmarkEnd w:id="293"/>
    </w:p>
    <w:p>
      <w:pPr>
        <w:pStyle w:val="BookText"/>
        <w:rPr/>
      </w:pPr>
      <w:r>
        <w:rPr>
          <w:rFonts w:ascii="IRNazanin" w:hAnsi="IRNazanin" w:eastAsia="IRNazanin"/>
          <w:color w:val="111111"/>
          <w:sz w:val="28"/>
          <w:sz w:val="28"/>
          <w:szCs w:val="28"/>
          <w:rtl w:val="true"/>
          <w:lang w:bidi="fa-IR"/>
        </w:rPr>
        <w:t>و ظاهرها تعین بدء کلّ من المرأة و الرجل، فالمرأة بباطن ذراعیها و الرجل بظاهرهما إلّا أنّه بناءً علی التسامح فی أدلّة السنن فلا بأس بالحکم بالاستحباب لبلوغ الثواب علی کلّ من بدء المرأة و الرجل، أضف إلی ذلک الاتّفاق علی عدم وجوب البدء و لو کان البدء المزبور لازماً لکان من الواضحات فضلاً عن کونه علی خلاف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إسحاق بن إبراهیم لم یذکر له توثیق و هو قلیل الروایة جداً فالبدء المزبور یکون بقصد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فی کلام جملة من الأصحاب و اعترف جماعة علی عدم الوقوف علی مستند له، و الأمر فیه سهل بعد عدم ثبوت الاستحباب فی الغسلة الثانیة فضلاً عن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 علی أعلی کلّ عضو و غسله من الأعلی</w:t>
      </w:r>
    </w:p>
    <w:p>
      <w:pPr>
        <w:pStyle w:val="BookText"/>
        <w:rPr/>
      </w:pPr>
      <w:r>
        <w:rPr>
          <w:rFonts w:ascii="IRNazanin" w:hAnsi="IRNazanin" w:eastAsia="IRNazanin"/>
          <w:color w:val="111111"/>
          <w:sz w:val="28"/>
          <w:sz w:val="28"/>
          <w:szCs w:val="28"/>
          <w:rtl w:val="true"/>
          <w:lang w:bidi="fa-IR"/>
        </w:rPr>
        <w:t>و ربّما یستدلّ علی ذلک بما ورد فی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بقعب فیه شیء من ماء فوضعه بین یدیه ثمّ حسر عن ذراعیه، ثمّ غمس فیه کفّه الیمنی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إذا کانت الکفّ طاهرة، ثمّ غرف مِلأها ماءً فوضعها علی جبهته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وسد له علی أطراف لحیته، ثمّ أمرّ یده علی وجهه و ظاهر جبهته مرّة واحدة، ثمّ غمس یده الیسری فغرف بها مِلأها ثمّ وضعه علی مرفقه الیمنی و أمرّ کفّه علی ساعده حتّی جری الماء علی أطراف أصابعه، ثمّ</w:t>
      </w:r>
      <w:bookmarkStart w:id="294" w:name="pg12061_112578"/>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 أن یغسل ما یجب غسله من مواضع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یغسل ما یجب غسله من مواضع الوضوء بصبّ الماء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بغمسه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أن یکون ذلک مع إمرار الید علی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إمرار الید علی تلک المواضع و إن تحقّق الغسل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غرف بیمینه مِلأها فوضعه علی مرفقه الیسری</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الحدیث، و لکن فی دلالة مثلها علی استحباب الصبّ من الأعلی تأمّل ظاهر حیث یمکن أن یکون الصبّ المزبور بقصد الغسل للوضوء و معه یتعیّن الصبّ لاعتبار الغسل من الأعلی</w:t>
      </w:r>
      <w:r>
        <w:rPr>
          <w:rFonts w:eastAsia="IRNazanin" w:cs="IRNazanin"/>
          <w:color w:val="111111"/>
          <w:sz w:val="28"/>
          <w:szCs w:val="28"/>
          <w:rtl w:val="true"/>
          <w:lang w:bidi="fa-IR"/>
        </w:rPr>
        <w:t>.</w:t>
      </w:r>
    </w:p>
    <w:p>
      <w:pPr>
        <w:pStyle w:val="Heading4"/>
        <w:numPr>
          <w:ilvl w:val="3"/>
          <w:numId w:val="1"/>
        </w:numPr>
        <w:rPr/>
      </w:pPr>
      <w:bookmarkStart w:id="295" w:name="__RefHeading___Toc1723318_417432637"/>
      <w:bookmarkStart w:id="296" w:name="_Toc107"/>
      <w:bookmarkEnd w:id="295"/>
      <w:r>
        <w:rPr>
          <w:rtl w:val="true"/>
        </w:rPr>
        <w:t>الثانی عشر</w:t>
      </w:r>
      <w:r>
        <w:rPr>
          <w:rtl w:val="true"/>
        </w:rPr>
        <w:t>:</w:t>
      </w:r>
      <w:r>
        <w:rPr>
          <w:rtl w:val="true"/>
        </w:rPr>
        <w:t>الغسل بالصبّ لا بالغمس</w:t>
      </w:r>
      <w:bookmarkEnd w:id="296"/>
    </w:p>
    <w:p>
      <w:pPr>
        <w:pStyle w:val="BookText"/>
        <w:rPr/>
      </w:pPr>
      <w:r>
        <w:rPr>
          <w:rFonts w:ascii="IRNazanin" w:hAnsi="IRNazanin" w:eastAsia="IRNazanin"/>
          <w:color w:val="111111"/>
          <w:sz w:val="28"/>
          <w:sz w:val="28"/>
          <w:szCs w:val="28"/>
          <w:rtl w:val="true"/>
          <w:lang w:bidi="fa-IR"/>
        </w:rPr>
        <w:t>و یستدلّ علی ذلک أیضاً بالروایات الواردة فی بیان وضوء النبی صلی الله علیه و آله و لکنّ الاستدلال لا یخلو عن تأمّل؛ لعدم فرض فی تلک الروایات الماء فی إناء یمکن غمس الوجه و الیدین فیه بلا تکلّف، و إلّا لزم الالتزام باستحباب الصبّ بالید و أنّه أفضل من صبّ الماء من الإناء علی العضو</w:t>
      </w:r>
      <w:r>
        <w:rPr>
          <w:rFonts w:eastAsia="IRNazanin" w:cs="IRNazanin"/>
          <w:color w:val="111111"/>
          <w:sz w:val="28"/>
          <w:szCs w:val="28"/>
          <w:rtl w:val="true"/>
          <w:lang w:bidi="fa-IR"/>
        </w:rPr>
        <w:t>.</w:t>
      </w:r>
    </w:p>
    <w:p>
      <w:pPr>
        <w:pStyle w:val="Heading4"/>
        <w:numPr>
          <w:ilvl w:val="3"/>
          <w:numId w:val="1"/>
        </w:numPr>
        <w:rPr/>
      </w:pPr>
      <w:bookmarkStart w:id="297" w:name="__RefHeading___Toc1723320_417432637"/>
      <w:bookmarkStart w:id="298" w:name="_Toc108"/>
      <w:bookmarkEnd w:id="297"/>
      <w:r>
        <w:rPr>
          <w:rtl w:val="true"/>
        </w:rPr>
        <w:t>الثالث عشر</w:t>
      </w:r>
      <w:r>
        <w:rPr>
          <w:rtl w:val="true"/>
        </w:rPr>
        <w:t>:</w:t>
      </w:r>
      <w:r>
        <w:rPr>
          <w:rtl w:val="true"/>
        </w:rPr>
        <w:t>إمرار الید علی مواضع الغسل</w:t>
      </w:r>
      <w:bookmarkEnd w:id="2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ذلک أیضاً بالروایات الواردة فی بیان وضوء النبی صلی الله علیه و آله حیث قد وردت فی کلّها الاستعانة بالید فی غسل أعضاء الغسل من الوضوء، و فی الصحیح عن ابن محبوب، عن أبی جریر الرقاشی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أتوضّأ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تعمّق فی الوضوء و لا تلطم وجهک بالماء لطماً و لکن اغسله من أعلی وجهک إلی أسفله بالماء مسحاً، و کذلک فامسح الماء</w:t>
      </w:r>
      <w:bookmarkStart w:id="299" w:name="pg12061_112579"/>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حاضر القلب فی جمیع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حاضر القلب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ذراعیک و رأسک و قدمیک</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 یظهر من بعض الروایات استحباب الصفق بالماء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مرسلة ابن المغیرة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الرجل فلیصفق وجهه بالماء فإنّه إن کان ناعساً فزع و استیقظ و إن کان البرد فزع و لم یجد البرد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لکن هذا مع الإغماض عن أمر سنده لا ینافی الاستعانة فی الغسل بالید حیث إنّ مدلولها صفق شیء من الوجه بالماء لا تمامه کما لا یخفی</w:t>
      </w:r>
      <w:r>
        <w:rPr>
          <w:rFonts w:eastAsia="IRNazanin" w:cs="IRNazanin"/>
          <w:color w:val="111111"/>
          <w:sz w:val="28"/>
          <w:szCs w:val="28"/>
          <w:rtl w:val="true"/>
          <w:lang w:bidi="fa-IR"/>
        </w:rPr>
        <w:t>.</w:t>
      </w:r>
    </w:p>
    <w:p>
      <w:pPr>
        <w:pStyle w:val="Heading4"/>
        <w:numPr>
          <w:ilvl w:val="3"/>
          <w:numId w:val="1"/>
        </w:numPr>
        <w:rPr/>
      </w:pPr>
      <w:bookmarkStart w:id="300" w:name="__RefHeading___Toc1723322_417432637"/>
      <w:bookmarkStart w:id="301" w:name="_Toc109"/>
      <w:bookmarkEnd w:id="300"/>
      <w:r>
        <w:rPr>
          <w:rtl w:val="true"/>
        </w:rPr>
        <w:t>الرابع عشر</w:t>
      </w:r>
      <w:r>
        <w:rPr>
          <w:rtl w:val="true"/>
        </w:rPr>
        <w:t>:</w:t>
      </w:r>
      <w:r>
        <w:rPr>
          <w:rtl w:val="true"/>
        </w:rPr>
        <w:t>حضور القلب</w:t>
      </w:r>
      <w:bookmarkEnd w:id="301"/>
    </w:p>
    <w:p>
      <w:pPr>
        <w:pStyle w:val="BookText"/>
        <w:rPr/>
      </w:pPr>
      <w:r>
        <w:rPr>
          <w:rFonts w:ascii="IRNazanin" w:hAnsi="IRNazanin" w:eastAsia="IRNazanin"/>
          <w:color w:val="111111"/>
          <w:sz w:val="28"/>
          <w:sz w:val="28"/>
          <w:szCs w:val="28"/>
          <w:rtl w:val="true"/>
          <w:lang w:bidi="fa-IR"/>
        </w:rPr>
        <w:t>فإنّ حضور القلب فی جمیع أحواله یعدّ من مرتبة الکمال لإفراغ الشخص لعبادة معبوده جلّ و علا، و فی صحیحة عمر بن یزید،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مکتوب یا ابن آدم تفرّغ لعبادتی أملأ قلبک غنی و لا أکلک إلی طلبک و علی أن أسدّ فاقتک و أملأ قلبک خوفاً منّی</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روی عن أمیر المؤمنین و غیره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أخذوا فی الوضوء و تغیّرت ألوانهم و ارتعدت فرائصهم فیقال لهم علیهم السلام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علی من وقف بین یدی ذی العرش أن یتغیّر لونه و ترتعد فرائصه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302" w:name="pg12061_112580"/>
    </w:p>
    <w:p>
      <w:pPr>
        <w:pStyle w:val="BookText"/>
        <w:rPr/>
      </w:pPr>
      <w:bookmarkEnd w:id="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القدر حال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 أن یقرأ آیة الکرسی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آیة الکرسی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 أن یفتح عینه حال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یفتح عینه 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w:t>
      </w:r>
      <w:r>
        <w:rPr>
          <w:rFonts w:eastAsia="IRNazanin" w:cs="IRNazanin"/>
          <w:color w:val="111111"/>
          <w:sz w:val="28"/>
          <w:szCs w:val="28"/>
          <w:rtl w:val="true"/>
          <w:lang w:bidi="fa-IR"/>
        </w:rPr>
        <w:t>.</w:t>
      </w:r>
    </w:p>
    <w:p>
      <w:pPr>
        <w:pStyle w:val="Heading4"/>
        <w:numPr>
          <w:ilvl w:val="3"/>
          <w:numId w:val="1"/>
        </w:numPr>
        <w:rPr/>
      </w:pPr>
      <w:bookmarkStart w:id="303" w:name="__RefHeading___Toc1723324_417432637"/>
      <w:bookmarkStart w:id="304" w:name="_Toc110"/>
      <w:bookmarkEnd w:id="303"/>
      <w:r>
        <w:rPr>
          <w:rtl w:val="true"/>
        </w:rPr>
        <w:t>الخامس عشر</w:t>
      </w:r>
      <w:r>
        <w:rPr>
          <w:rtl w:val="true"/>
        </w:rPr>
        <w:t>:</w:t>
      </w:r>
      <w:r>
        <w:rPr>
          <w:rtl w:val="true"/>
        </w:rPr>
        <w:t>قراءة سورة القدر حال الوضوء</w:t>
      </w:r>
      <w:bookmarkEnd w:id="304"/>
    </w:p>
    <w:p>
      <w:pPr>
        <w:pStyle w:val="BookText"/>
        <w:rPr/>
      </w:pPr>
      <w:r>
        <w:rPr>
          <w:rFonts w:ascii="Amiri" w:hAnsi="Amiri" w:eastAsia="Amiri" w:cs="Amiri"/>
          <w:color w:val="111111"/>
          <w:sz w:val="28"/>
          <w:sz w:val="28"/>
          <w:szCs w:val="28"/>
          <w:rtl w:val="true"/>
          <w:lang w:bidi="ar-SA"/>
        </w:rPr>
        <w:t>روی المجلسی قدس سره فی کتاب البحار عن الفقه الرضوی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قرأ فی وضوئه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خرج من ذنوبه کیوم ولدته أُمّه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فیه أیضاً عن کتاب اختیار السید ابن الباقی و کتاب البلد الأمین بأنّ من قرأ بعد إسباغ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تمام الوضوء و تمام الصلاة و تمام رضوانک و تمام مغفرتک لم تمرّ بذنب أذنبه إلّا محته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723326_417432637"/>
      <w:bookmarkStart w:id="306" w:name="_Toc111"/>
      <w:bookmarkEnd w:id="305"/>
      <w:r>
        <w:rPr>
          <w:rtl w:val="true"/>
        </w:rPr>
        <w:t>السادس عشر</w:t>
      </w:r>
      <w:r>
        <w:rPr>
          <w:rtl w:val="true"/>
        </w:rPr>
        <w:t>:</w:t>
      </w:r>
      <w:r>
        <w:rPr>
          <w:rtl w:val="true"/>
        </w:rPr>
        <w:t>قراءة آیة الکرسی بعد الوضوء</w:t>
      </w:r>
      <w:bookmarkEnd w:id="306"/>
    </w:p>
    <w:p>
      <w:pPr>
        <w:pStyle w:val="BookText"/>
        <w:rPr/>
      </w:pPr>
      <w:r>
        <w:rPr>
          <w:rFonts w:ascii="IRNazanin" w:hAnsi="IRNazanin" w:eastAsia="IRNazanin"/>
          <w:color w:val="111111"/>
          <w:sz w:val="28"/>
          <w:sz w:val="28"/>
          <w:szCs w:val="28"/>
          <w:rtl w:val="true"/>
          <w:lang w:bidi="fa-IR"/>
        </w:rPr>
        <w:t>و روی فیه أیضاً عن جامع الأخبار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علی إثر وضوئه آیة الکرسی مرّة أعطاه اللّٰه ثواب أربعین عامّاً و رفع أربعین درجة و زوّجه اللّٰه أربعین حوراء</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723328_417432637"/>
      <w:bookmarkStart w:id="308" w:name="_Toc112"/>
      <w:bookmarkEnd w:id="307"/>
      <w:r>
        <w:rPr>
          <w:rtl w:val="true"/>
        </w:rPr>
        <w:t>السابع عشر</w:t>
      </w:r>
      <w:r>
        <w:rPr>
          <w:rtl w:val="true"/>
        </w:rPr>
        <w:t>:</w:t>
      </w:r>
      <w:r>
        <w:rPr>
          <w:rtl w:val="true"/>
        </w:rPr>
        <w:t>فتح العین حال الوضوء</w:t>
      </w:r>
      <w:bookmarkEnd w:id="30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 فی الفقیه مرسلاً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عیونکم عند الوضوء لعلها لا تری نار جهنم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مثلها روایة ابن عباس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bookmarkStart w:id="309" w:name="pg12061_112581"/>
    </w:p>
    <w:p>
      <w:pPr>
        <w:pStyle w:val="Heading3"/>
        <w:numPr>
          <w:ilvl w:val="2"/>
          <w:numId w:val="1"/>
        </w:numPr>
        <w:rPr/>
      </w:pPr>
      <w:bookmarkStart w:id="310" w:name="__RefHeading___Toc1723330_417432637"/>
      <w:bookmarkStart w:id="311" w:name="_Toc113"/>
      <w:bookmarkEnd w:id="309"/>
      <w:bookmarkEnd w:id="310"/>
      <w:r>
        <w:rPr>
          <w:rtl w:val="true"/>
        </w:rPr>
        <w:t>فصل فی مکروهاته</w:t>
      </w:r>
      <w:bookmarkEnd w:id="311"/>
    </w:p>
    <w:p>
      <w:pPr>
        <w:pStyle w:val="Heading4"/>
        <w:numPr>
          <w:ilvl w:val="3"/>
          <w:numId w:val="1"/>
        </w:numPr>
        <w:rPr/>
      </w:pPr>
      <w:bookmarkStart w:id="312" w:name="__RefHeading___Toc1723332_417432637"/>
      <w:bookmarkStart w:id="313" w:name="_Toc114"/>
      <w:bookmarkEnd w:id="312"/>
      <w:r>
        <w:rPr>
          <w:rtl w:val="true"/>
        </w:rPr>
        <w:t>اشارة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الاستعانة بالغیر فی المقدّمات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بالغیر فی المقدّمات القریبة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یصب الماء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مکروهات الوضوء</w:t>
      </w:r>
    </w:p>
    <w:p>
      <w:pPr>
        <w:pStyle w:val="Heading4"/>
        <w:numPr>
          <w:ilvl w:val="3"/>
          <w:numId w:val="1"/>
        </w:numPr>
        <w:rPr/>
      </w:pPr>
      <w:bookmarkStart w:id="314" w:name="__RefHeading___Toc1723334_417432637"/>
      <w:bookmarkStart w:id="315" w:name="_Toc115"/>
      <w:bookmarkEnd w:id="314"/>
      <w:r>
        <w:rPr>
          <w:rtl w:val="true"/>
        </w:rPr>
        <w:t>الأوّل</w:t>
      </w:r>
      <w:r>
        <w:rPr>
          <w:rtl w:val="true"/>
        </w:rPr>
        <w:t>:</w:t>
      </w:r>
      <w:r>
        <w:rPr>
          <w:rtl w:val="true"/>
        </w:rPr>
        <w:t>الاستعانة بالغیر</w:t>
      </w:r>
      <w:bookmarkEnd w:id="315"/>
    </w:p>
    <w:p>
      <w:pPr>
        <w:pStyle w:val="BookText"/>
        <w:rPr/>
      </w:pPr>
      <w:r>
        <w:rPr>
          <w:rFonts w:ascii="IRNazanin" w:hAnsi="IRNazanin" w:eastAsia="IRNazanin"/>
          <w:color w:val="111111"/>
          <w:sz w:val="28"/>
          <w:sz w:val="28"/>
          <w:szCs w:val="28"/>
          <w:rtl w:val="true"/>
          <w:lang w:bidi="fa-IR"/>
        </w:rPr>
        <w:t>المنسوب إلی المشهور کراهة الاستعانة بشخص آخر فی المقدّمات القریبة لوضوئه کصبّ الماء بید المتوضّئ، و یستدلّ علی ذلک بروایات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روایة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الرضا علیه السلام و بین یدیه إبریق یرید أن یتهیّأ منه للصلاة فدنوت منه لأصبّ علیه فأبی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حسن،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تنهانی أن أصبّ علی یدیک تکره أن أُوجر؟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تؤجر أنت و أُوزر أنا،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أتوضّأ للصلاة و هی العبادة فأکره أن یشرکنی فیها أحد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مرسلة الصدوق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إذا توضّأ لم یدع أحداً یصبّ علیه الماء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لم لا تدعهم یصبّون علیک الماء؟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أُشرک فی صلاتی أحداً، و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معتبرة السکونی عن أبی عبد اللّه عن آبائه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أُحب أن یشارکنی فیهما أحد وضوئی فإنّه من صلاتی</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الحرمة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التعلیل فی روایة الوشّاء یأبی عن حمل المنع عن الاستعانة بنحو اللزوم تکلیفاً أو وضعاً، و مناف لثبوت الأجر للصابّ، فالمتعیّن حمل الوزر فیها علی قلّة ثواب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ظاهر الآیة المبارکة المشارکة فی المعبود لا الاجتماع علی الإتیان بالخیر مع الغیر و لو أُغمض عن ذلک کلّه فقد ورد فی صحیحة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وضّأت أبا جعفر علیه السلام بجمع و قد بال فناولته ماءً فاستنجی، ثمّ صببت علیه کفّاً فغسل وجهه و کفّاً غسل به ذراعه الأیمن و کفّاً غسل به ذراعه الأیسر، ثمّ مسح بفضلة الندی رأسه و رجلیه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بعد فی أن یرتکب الإمام علیه السلام ما هو أقلّ ثواباً إیذاناً بجوازه، و أمّا الإعانة فی الوضوء بمجیء الغیر بالماء و نحوه من المقدّمات البعیدة فلا مجال لتوهّم المنع فیها، و قد ورد فی الروایات استدعاء الإمام علیه السلام الماء للتوضؤ کما فی موثّقة سماعة عن أبی الحسن علیه السلام الواردة فی استحباب إعادة الوضوء للمغرب </w:t>
      </w:r>
      <w:r>
        <w:rPr>
          <w:rStyle w:val="FootnoteAnchor"/>
          <w:rtl w:val="true"/>
        </w:rPr>
        <w:footnoteReference w:id="616"/>
      </w:r>
      <w:r>
        <w:rPr>
          <w:rFonts w:ascii="IRNazanin" w:hAnsi="IRNazanin" w:eastAsia="IRNazanin"/>
          <w:color w:val="111111"/>
          <w:sz w:val="28"/>
          <w:sz w:val="28"/>
          <w:szCs w:val="28"/>
          <w:rtl w:val="true"/>
          <w:lang w:bidi="fa-IR"/>
        </w:rPr>
        <w:t>، و غیرها من الروایات الواردة فی بیان وضوء رسول اللّٰه صلی الله علیه و آله فتأمّل</w:t>
      </w:r>
      <w:r>
        <w:rPr>
          <w:rFonts w:eastAsia="IRNazanin" w:cs="IRNazanin"/>
          <w:color w:val="111111"/>
          <w:sz w:val="28"/>
          <w:szCs w:val="28"/>
          <w:rtl w:val="true"/>
          <w:lang w:bidi="fa-IR"/>
        </w:rPr>
        <w:t>.</w:t>
      </w:r>
      <w:bookmarkStart w:id="316" w:name="pg12061_112583"/>
    </w:p>
    <w:p>
      <w:pPr>
        <w:pStyle w:val="BookText"/>
        <w:rPr/>
      </w:pPr>
      <w:bookmarkEnd w:id="316"/>
      <w:r>
        <w:rPr>
          <w:rFonts w:ascii="IRNazanin" w:hAnsi="IRNazanin" w:eastAsia="IRNazanin"/>
          <w:color w:val="111111"/>
          <w:sz w:val="28"/>
          <w:sz w:val="28"/>
          <w:szCs w:val="28"/>
          <w:rtl w:val="true"/>
          <w:lang w:bidi="fa-IR"/>
        </w:rPr>
        <w:t>و أمّا فی نفس الغسل فلا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التمندل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التمندل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مسح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الوجه فی ذلک فی الشرط التاسع من شرائط الوضوء، و نذکر أنّ العمدة فیما ورد فیه من الأمر بالوضوء أو بیان حدّ الوضوء ظاهره المباشرة</w:t>
      </w:r>
      <w:r>
        <w:rPr>
          <w:rFonts w:eastAsia="IRNazanin" w:cs="IRNazanin"/>
          <w:color w:val="111111"/>
          <w:sz w:val="28"/>
          <w:szCs w:val="28"/>
          <w:rtl w:val="true"/>
          <w:lang w:bidi="fa-IR"/>
        </w:rPr>
        <w:t>.</w:t>
      </w:r>
    </w:p>
    <w:p>
      <w:pPr>
        <w:pStyle w:val="Heading4"/>
        <w:numPr>
          <w:ilvl w:val="3"/>
          <w:numId w:val="1"/>
        </w:numPr>
        <w:rPr/>
      </w:pPr>
      <w:bookmarkStart w:id="317" w:name="__RefHeading___Toc1723336_417432637"/>
      <w:bookmarkStart w:id="318" w:name="_Toc116"/>
      <w:bookmarkEnd w:id="317"/>
      <w:r>
        <w:rPr>
          <w:rtl w:val="true"/>
        </w:rPr>
        <w:t>الثانی</w:t>
      </w:r>
      <w:r>
        <w:rPr>
          <w:rtl w:val="true"/>
        </w:rPr>
        <w:t>:</w:t>
      </w:r>
      <w:r>
        <w:rPr>
          <w:rtl w:val="true"/>
        </w:rPr>
        <w:t>التمندل</w:t>
      </w:r>
      <w:bookmarkEnd w:id="318"/>
    </w:p>
    <w:p>
      <w:pPr>
        <w:pStyle w:val="BookText"/>
        <w:rPr/>
      </w:pPr>
      <w:r>
        <w:rPr>
          <w:rFonts w:ascii="IRNazanin" w:hAnsi="IRNazanin" w:eastAsia="IRNazanin"/>
          <w:color w:val="111111"/>
          <w:sz w:val="28"/>
          <w:sz w:val="28"/>
          <w:szCs w:val="28"/>
          <w:rtl w:val="true"/>
          <w:lang w:bidi="fa-IR"/>
        </w:rPr>
        <w:t>المنسوب إلی المشهور أیضاً کراهة التمندل بعد الوضوء و ظاهرهم کراهة العبادة أی یکون الوضوء المزبور أقلّ ثواباً، و فی مرسلة الصدوق قدس سره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توضّأ و تمندل کتبت له حسنة و من توضّأ و لم یتمندل حتی یجف وضوؤه کتبت له ثلاثون حسنة</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 رواه فی ثواب الأعمال عن أبیه، عن سعد، عن سلمة بن الخطاب، عن إبراهیم بن محمد الثقفی، عن علی المعلی، عن إبراهیم بن محمد بن حمران، عن أبیه، عن أبی عبد اللّه علیه السلام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لضعف السند لا یمکن الحکم بالکراهة،بل مع الغمض عن سندها ففی البین روایات ظاهرة فی عدم الکراهة کصحیحة عبد اللّه بن سنان المرویة فی المحاسن عن علی بن الحکم، عن أبان بن عثمان، 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التمندل بعد الوضوء؟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علیه السلام خرقة فی المسجد لیس إلّا للوجه یتمندل بها</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مثل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التمسح</w:t>
      </w:r>
      <w:bookmarkStart w:id="319" w:name="pg12061_112584"/>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مکان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فی مکان الاستنجاء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بالمندیل قبل أن یجفّ؟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لا تنافی الکراهة، و قد حمل صحیحة عبد اللّه بن سنان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موثّقة إسماعیل بن الفضل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عبد اللّه علیه السلام توضّأ للصلاة ثمّ مسح وجهه بأسفل قمیصه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إسماعیل افعل هکذا فإنّی هکذا أفعل</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 لو کانت الروایة الدالّة علی الکراهة تامّة سنداً لکان الحمل علی التقیّة صحیحاً و إلّا فلا یمکن الاستحباب حتّی بناءً علی التسامح فی أدلّة السنن، فإنّ شمول أخبار من بلغ </w:t>
      </w:r>
      <w:r>
        <w:rPr>
          <w:rStyle w:val="FootnoteAnchor"/>
          <w:rtl w:val="true"/>
        </w:rPr>
        <w:footnoteReference w:id="622"/>
      </w:r>
      <w:r>
        <w:rPr>
          <w:rFonts w:ascii="IRNazanin" w:hAnsi="IRNazanin" w:eastAsia="IRNazanin"/>
          <w:color w:val="111111"/>
          <w:sz w:val="28"/>
          <w:sz w:val="28"/>
          <w:szCs w:val="28"/>
          <w:rtl w:val="true"/>
          <w:lang w:bidi="fa-IR"/>
        </w:rPr>
        <w:t>لصورة تعارض ما ورد فی ثواب عمل غیر 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المرسلة عدم اختصاص الکراهة بالتمندل،بل تجفیف أعضاء الوضوء و لو بغیره کما هو مقتضی ذیلها</w:t>
      </w:r>
      <w:r>
        <w:rPr>
          <w:rFonts w:eastAsia="IRNazanin" w:cs="IRNazanin"/>
          <w:color w:val="111111"/>
          <w:sz w:val="28"/>
          <w:szCs w:val="28"/>
          <w:rtl w:val="true"/>
          <w:lang w:bidi="fa-IR"/>
        </w:rPr>
        <w:t>.</w:t>
      </w:r>
    </w:p>
    <w:p>
      <w:pPr>
        <w:pStyle w:val="Heading4"/>
        <w:numPr>
          <w:ilvl w:val="3"/>
          <w:numId w:val="1"/>
        </w:numPr>
        <w:rPr/>
      </w:pPr>
      <w:bookmarkStart w:id="320" w:name="__RefHeading___Toc1723338_417432637"/>
      <w:bookmarkStart w:id="321" w:name="_Toc117"/>
      <w:bookmarkEnd w:id="320"/>
      <w:r>
        <w:rPr>
          <w:rtl w:val="true"/>
        </w:rPr>
        <w:t>الثالث</w:t>
      </w:r>
      <w:r>
        <w:rPr>
          <w:rtl w:val="true"/>
        </w:rPr>
        <w:t>:</w:t>
      </w:r>
      <w:r>
        <w:rPr>
          <w:rtl w:val="true"/>
        </w:rPr>
        <w:t>الوضوء فی مکان الاستنجاء</w:t>
      </w:r>
      <w:bookmarkEnd w:id="3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رواه فی المستدرک عن جامع الأخبار عن النبی صلی الله علیه و آله أنّه عدّ ممّا یورث الفقر غسل الأعضاء فی موضع الاستنجاء </w:t>
      </w:r>
      <w:r>
        <w:rPr>
          <w:rStyle w:val="FootnoteAnchor"/>
          <w:rtl w:val="true"/>
        </w:rPr>
        <w:footnoteReference w:id="623"/>
      </w:r>
      <w:r>
        <w:rPr>
          <w:rFonts w:ascii="IRNazanin" w:hAnsi="IRNazanin" w:eastAsia="IRNazanin"/>
          <w:color w:val="111111"/>
          <w:sz w:val="28"/>
          <w:sz w:val="28"/>
          <w:szCs w:val="28"/>
          <w:rtl w:val="true"/>
          <w:lang w:bidi="fa-IR"/>
        </w:rPr>
        <w:t>، و غسل الأعضاء یعمّ غسلها للوضوء، و ما یقال من أنّ صحیحة أبی عبیدة الحذّاء الواردة فی وضوء أبی جعفر علیه السلام بجمع و روایة عبد الرحمن بن کثیر تنافی ذلک لم یعلم وجهه، حیث لم یفرض فیهما کون الوضوء فی موضع الاستنجاء،بل الوارد فیهما فعل الاستنجاء و الوضوء معاً</w:t>
      </w:r>
      <w:r>
        <w:rPr>
          <w:rFonts w:eastAsia="IRNazanin" w:cs="IRNazanin"/>
          <w:color w:val="111111"/>
          <w:sz w:val="28"/>
          <w:szCs w:val="28"/>
          <w:rtl w:val="true"/>
          <w:lang w:bidi="fa-IR"/>
        </w:rPr>
        <w:t>.</w:t>
      </w:r>
      <w:bookmarkStart w:id="322" w:name="pg12061_112585"/>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الوضوء من الآنیة المفضّضة أو المذهّبة أو المنقوشة بالصور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من الآنیة المفضّضة أو المذهّبة أو المنقوشة بالصور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الوضوء بالمیاه المکروهة کالمشمّس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بالمیاه المکروهة کالمشمّس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فالروایة لإرسالها لا تثبت الکراهة، نعم یکره إرسال ماء الوضوء أو الغسل إلی الکنیف لمکاتبة الصفار عن أبی محمّد علیه السلام هل یجوز أن یغسل المیّت و الماء الذی یصبّ علیه یدخل إلی بئر کنیف أو الرجل یتوضّأ وضوء الصلاة ینصبّ ماء وضوئه فی کنیف؟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ذلک فی بلالیع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723340_417432637"/>
      <w:bookmarkStart w:id="324" w:name="_Toc118"/>
      <w:bookmarkEnd w:id="323"/>
      <w:r>
        <w:rPr>
          <w:rtl w:val="true"/>
        </w:rPr>
        <w:t>الرابع</w:t>
      </w:r>
      <w:r>
        <w:rPr>
          <w:rtl w:val="true"/>
        </w:rPr>
        <w:t>:</w:t>
      </w:r>
      <w:r>
        <w:rPr>
          <w:rtl w:val="true"/>
        </w:rPr>
        <w:t>الوضوء من الآنیة المفضّضة أو المذهّبة أو</w:t>
      </w:r>
      <w:r>
        <w:rPr>
          <w:rtl w:val="true"/>
        </w:rPr>
        <w:t>...</w:t>
      </w:r>
      <w:bookmarkEnd w:id="324"/>
    </w:p>
    <w:p>
      <w:pPr>
        <w:pStyle w:val="BookText"/>
        <w:rPr/>
      </w:pPr>
      <w:r>
        <w:rPr>
          <w:rFonts w:ascii="IRNazanin" w:hAnsi="IRNazanin" w:eastAsia="IRNazanin"/>
          <w:color w:val="111111"/>
          <w:sz w:val="28"/>
          <w:sz w:val="28"/>
          <w:szCs w:val="28"/>
          <w:rtl w:val="true"/>
          <w:lang w:bidi="fa-IR"/>
        </w:rPr>
        <w:t xml:space="preserve">و فی موثّقة إسحاق بن عمّار عن أبی عبد اللّه علیه السلام عن الطست یکون فیه التماثیل أو الکوز أو التور یکون فیه التماثیل أو فضة لا یتوضّأ منه و لا فیه </w:t>
      </w:r>
      <w:r>
        <w:rPr>
          <w:rStyle w:val="FootnoteAnchor"/>
          <w:rtl w:val="true"/>
        </w:rPr>
        <w:footnoteReference w:id="625"/>
      </w:r>
      <w:r>
        <w:rPr>
          <w:rFonts w:ascii="IRNazanin" w:hAnsi="IRNazanin" w:eastAsia="IRNazanin"/>
          <w:color w:val="111111"/>
          <w:sz w:val="28"/>
          <w:sz w:val="28"/>
          <w:szCs w:val="28"/>
          <w:rtl w:val="true"/>
          <w:lang w:bidi="fa-IR"/>
        </w:rPr>
        <w:t>، و تقدّم فی بحث الأوانی جواز الوضوء من الآنیة المفضّضة و المذهّبة و علیه یحمل النهی علی الکراهة، و یستفاد من الموثّقة جواز الوضوء بارتماس العضو فی الماء کما لا یخفی</w:t>
      </w:r>
      <w:r>
        <w:rPr>
          <w:rFonts w:eastAsia="IRNazanin" w:cs="IRNazanin"/>
          <w:color w:val="111111"/>
          <w:sz w:val="28"/>
          <w:szCs w:val="28"/>
          <w:rtl w:val="true"/>
          <w:lang w:bidi="fa-IR"/>
        </w:rPr>
        <w:t>.</w:t>
      </w:r>
    </w:p>
    <w:p>
      <w:pPr>
        <w:pStyle w:val="Heading4"/>
        <w:numPr>
          <w:ilvl w:val="3"/>
          <w:numId w:val="1"/>
        </w:numPr>
        <w:rPr/>
      </w:pPr>
      <w:bookmarkStart w:id="325" w:name="__RefHeading___Toc1723342_417432637"/>
      <w:bookmarkStart w:id="326" w:name="_Toc119"/>
      <w:bookmarkEnd w:id="325"/>
      <w:r>
        <w:rPr>
          <w:rtl w:val="true"/>
        </w:rPr>
        <w:t>الخامس</w:t>
      </w:r>
      <w:r>
        <w:rPr>
          <w:rtl w:val="true"/>
        </w:rPr>
        <w:t>:</w:t>
      </w:r>
      <w:r>
        <w:rPr>
          <w:rtl w:val="true"/>
        </w:rPr>
        <w:t>الوضوء بالمیاه المکروهة</w:t>
      </w:r>
      <w:bookmarkEnd w:id="32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 إلی المشهور کراهة الوضوء بالماء المسخّن بالشمس بمعنی قلّة ثوابه، و یستدلّ علی ذلک بمعتبرة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تسخّنه الشمس لا تتوضّئوا به و لا تغتسلوا و لا تعجنوا به فإنّه یورث البرص</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و مقتضی التعلیل أن یکون النهی المزبور کما ذکر، لا کونه</w:t>
      </w:r>
    </w:p>
    <w:p>
      <w:pPr>
        <w:pStyle w:val="BookText"/>
        <w:rPr/>
      </w:pPr>
      <w:r>
        <w:rPr>
          <w:rFonts w:ascii="IRNazanin" w:hAnsi="IRNazanin" w:eastAsia="IRNazanin"/>
          <w:color w:val="111111"/>
          <w:sz w:val="28"/>
          <w:sz w:val="28"/>
          <w:szCs w:val="28"/>
          <w:rtl w:val="true"/>
          <w:lang w:bidi="fa-IR"/>
        </w:rPr>
        <w:t>و ماء الغسالة من الحدث الأکبر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الماء الآجن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البئر قبل نزح المقدّرات، و الماء القلیل الذی ماتت فیه الحیة أو العقرب أو الوزغ و سؤر الحائض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تحریمیاً و لا إرشاداً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یحتاج إلی إثبات الوضوء به إلی التمسّک بمرسلة محمّد بن سنان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الإنسان بالماء الذی یوضع فی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لیقال إنّها ضعیفة سنداً من غیر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المنع عن الوضوء بماء الغسل من الجنابة فی 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یتوضّأ بالماء المستعمل،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الذی یغسل به الثوب أو یغتسل به الرجل من الجنابة لا یجوز أن یتوضّأ منه و أشباهه، و أمّا الذی یتوضّأ الرجل به فیغسل به وجهه و یده فی شیء نظیف فلا بأس أن یأخذه غیره و یتوضّأ به </w:t>
      </w:r>
      <w:r>
        <w:rPr>
          <w:rStyle w:val="FootnoteAnchor"/>
          <w:rtl w:val="true"/>
        </w:rPr>
        <w:footnoteReference w:id="628"/>
      </w:r>
      <w:r>
        <w:rPr>
          <w:rFonts w:ascii="IRNazanin" w:hAnsi="IRNazanin" w:eastAsia="IRNazanin"/>
          <w:color w:val="111111"/>
          <w:sz w:val="28"/>
          <w:sz w:val="28"/>
          <w:szCs w:val="28"/>
          <w:rtl w:val="true"/>
          <w:lang w:bidi="fa-IR"/>
        </w:rPr>
        <w:t>، و قد ذکرنا سابقاً ضعف الروایة سنداً بأحمد بن هلال بل دلالة، فإنّ الذیل فیها ربّما یکون قرینة علی ما إذا لم یکن بدن المغتسل نظیفاً علی ما ورد فی آداب غسل الجنابة من غسل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صحیحة الحلبی عن أبی عبد اللّه علیه السلام فی الماء الآجن یتوضّأ منه إلّا أن تجد ماءً غیره فتنزه منه </w:t>
      </w:r>
      <w:r>
        <w:rPr>
          <w:rStyle w:val="FootnoteAnchor"/>
          <w:rtl w:val="true"/>
        </w:rPr>
        <w:footnoteReference w:id="629"/>
      </w:r>
      <w:r>
        <w:rPr>
          <w:rFonts w:ascii="IRNazanin" w:hAnsi="IRNazanin" w:eastAsia="IRNazanin"/>
          <w:color w:val="111111"/>
          <w:sz w:val="28"/>
          <w:sz w:val="28"/>
          <w:szCs w:val="28"/>
          <w:rtl w:val="true"/>
          <w:lang w:bidi="fa-IR"/>
        </w:rPr>
        <w:t>، و المراد من الآجن المتغیّر لونه أو طعمه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مقتضی الأوامر الواردة بنزح ماء البئر و فی صحیحة زرارة و محمد بن مسلم و برید بن معاویة عن أبی عبد اللّه علیه السلام أو أبی جعفر علیهما السلام فی البئر تقع فیه الدابة</w:t>
      </w:r>
    </w:p>
    <w:p>
      <w:pPr>
        <w:pStyle w:val="BookText"/>
        <w:rPr/>
      </w:pPr>
      <w:r>
        <w:rPr>
          <w:rFonts w:ascii="IRNazanin" w:hAnsi="IRNazanin" w:eastAsia="IRNazanin"/>
          <w:color w:val="111111"/>
          <w:sz w:val="28"/>
          <w:sz w:val="28"/>
          <w:szCs w:val="28"/>
          <w:rtl w:val="true"/>
          <w:lang w:bidi="fa-IR"/>
        </w:rPr>
        <w:t>و الفأر و الفرس و البغل و الحمار و الحیوان الجلال و آکل المیتة،بل کل حیوان لا یؤکل لحمه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الفأرة و الکلب و الخنزیر و الطیر فیموت،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ثمّ ینزح من البئر دلاءً ثمّ اشرب منه و توضأ</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و نحوها غیرها بضمیمة ما ورد فی صحّة الوضوء إذا کان قبل النزح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ورد النهی عن التوضّؤ بسؤر الحائض فی عدّة روایات </w:t>
      </w:r>
      <w:r>
        <w:rPr>
          <w:rStyle w:val="FootnoteAnchor"/>
          <w:rtl w:val="true"/>
        </w:rPr>
        <w:footnoteReference w:id="631"/>
      </w:r>
      <w:r>
        <w:rPr>
          <w:rFonts w:ascii="IRNazanin" w:hAnsi="IRNazanin" w:eastAsia="IRNazanin"/>
          <w:color w:val="111111"/>
          <w:sz w:val="28"/>
          <w:sz w:val="28"/>
          <w:szCs w:val="28"/>
          <w:rtl w:val="true"/>
          <w:lang w:bidi="fa-IR"/>
        </w:rPr>
        <w:t>مع ملاحظة ما ورد من نفی البأس عن الوضوء بسؤرها إذا کانت مأمونة أو کانت تغسل یدیها بأن لا یعلم تنجّس سؤرها</w:t>
      </w:r>
      <w:r>
        <w:rPr>
          <w:rFonts w:eastAsia="IRNazanin" w:cs="IRNazanin"/>
          <w:color w:val="111111"/>
          <w:sz w:val="28"/>
          <w:szCs w:val="28"/>
          <w:rtl w:val="true"/>
          <w:lang w:bidi="fa-IR"/>
        </w:rPr>
        <w:t>.</w:t>
      </w:r>
      <w:bookmarkStart w:id="327" w:name="pg12061_112589"/>
    </w:p>
    <w:p>
      <w:pPr>
        <w:pStyle w:val="Heading3"/>
        <w:numPr>
          <w:ilvl w:val="2"/>
          <w:numId w:val="1"/>
        </w:numPr>
        <w:rPr/>
      </w:pPr>
      <w:bookmarkStart w:id="328" w:name="__RefHeading___Toc1723344_417432637"/>
      <w:bookmarkStart w:id="329" w:name="_Toc120"/>
      <w:bookmarkEnd w:id="327"/>
      <w:bookmarkEnd w:id="328"/>
      <w:r>
        <w:rPr>
          <w:rtl w:val="true"/>
        </w:rPr>
        <w:t>فصل فی أفعال الوضوء</w:t>
      </w:r>
      <w:bookmarkEnd w:id="329"/>
    </w:p>
    <w:p>
      <w:pPr>
        <w:pStyle w:val="Heading4"/>
        <w:numPr>
          <w:ilvl w:val="3"/>
          <w:numId w:val="1"/>
        </w:numPr>
        <w:rPr/>
      </w:pPr>
      <w:bookmarkStart w:id="330" w:name="__RefHeading___Toc1723346_417432637"/>
      <w:bookmarkStart w:id="331" w:name="_Toc121"/>
      <w:bookmarkEnd w:id="330"/>
      <w:r>
        <w:rPr>
          <w:rtl w:val="true"/>
        </w:rPr>
        <w:t>اشارة</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الوجه، و حدّه من قصاص الشعر إلی الذقن طولاً، و ما اشتمل علیه الإبهام و الوسطی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أفعال الوضوء</w:t>
      </w:r>
    </w:p>
    <w:p>
      <w:pPr>
        <w:pStyle w:val="Heading4"/>
        <w:numPr>
          <w:ilvl w:val="3"/>
          <w:numId w:val="1"/>
        </w:numPr>
        <w:rPr/>
      </w:pPr>
      <w:bookmarkStart w:id="332" w:name="__RefHeading___Toc1723348_417432637"/>
      <w:bookmarkStart w:id="333" w:name="_Toc122"/>
      <w:bookmarkEnd w:id="332"/>
      <w:r>
        <w:rPr>
          <w:rtl w:val="true"/>
        </w:rPr>
        <w:t>الأوّل</w:t>
      </w:r>
      <w:r>
        <w:rPr>
          <w:rtl w:val="true"/>
        </w:rPr>
        <w:t>:</w:t>
      </w:r>
      <w:r>
        <w:rPr>
          <w:rtl w:val="true"/>
        </w:rPr>
        <w:t>غسل الوجه، و تحدیده</w:t>
      </w:r>
      <w:bookmarkEnd w:id="333"/>
    </w:p>
    <w:p>
      <w:pPr>
        <w:pStyle w:val="Heading5"/>
        <w:numPr>
          <w:ilvl w:val="4"/>
          <w:numId w:val="1"/>
        </w:numPr>
        <w:rPr/>
      </w:pPr>
      <w:bookmarkStart w:id="334" w:name="__RefHeading___Toc1723350_417432637"/>
      <w:bookmarkStart w:id="335" w:name="_Toc123"/>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قد تقدّم أنّ الوضوء هو غسل الوجه و الیدین و مسح الرأس و الرجلین، و لا خلاف فی أنّ حدّ الوجه الواجب غسله من قصاص الشعر إلی الذقن طولاً، و ما اشتمل علیه الإبهام و الوسطی عرضاً، و یشهد لذلک صحیحة زرارة بن أعین لأبی جعفر الباقر علیه السلام أخبرنی عن حدّ الوجه الذی ینبغی أن یوضّأ الذی قال اللّٰه عز و 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الذی قال اللّٰه عز و جل و أمر بغسله الذی لا ینبغی لأحد أن یزید علیه و لا ینقص منه إن زاد علیه لم یؤجر و إن نقص منه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 الوسطی و الإبهام من قصاص شعر الرّأس إلی الذقن و ما جرت علیه الإصبعان مستدیراً فهو من الوجه، و ما سوی ذلک فلیس من الوجه،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الصدغ من الوجه؟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الوجه فی أسفله یشبه الدائرة لاستدارة اللحیتین عبّر علیه السلام ما جرت علیه الإصبعان من الوجه مستدیراً؛ لأنّ الإصبعین و إن تستوعبان مقداراً من تحت اللحیتین إلّا أنّه لا اعتبار بذلک المقدار لعدم کونه من الوجه بمعناه العرفی، و من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ینتهی إلیه الإصبعان عند وضع الید علی قصاص الشعر حیث إنّ ما ینتهی إلیه رءوسهما خارج عن الوجه بمعناه العرفی و لیس له حقیقة شرعیة قطعاً، فالمراد أنّ ما یستوعبه الإصبعان من الوجه بمعناه العرفی یجب غسله فی الوضوء کما هو مقتضی 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جرت،بقوله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الوجه، و لا ینافی ما ذکر إضافة السبابة إلی الإصبعان فی صحیحة زرارة علی روایة الکلینی </w:t>
      </w:r>
      <w:r>
        <w:rPr>
          <w:rStyle w:val="FootnoteAnchor"/>
          <w:rtl w:val="true"/>
        </w:rPr>
        <w:footnoteReference w:id="633"/>
      </w:r>
      <w:r>
        <w:rPr>
          <w:rFonts w:ascii="IRNazanin" w:hAnsi="IRNazanin" w:eastAsia="IRNazanin"/>
          <w:color w:val="111111"/>
          <w:sz w:val="28"/>
          <w:sz w:val="28"/>
          <w:szCs w:val="28"/>
          <w:rtl w:val="true"/>
          <w:lang w:bidi="fa-IR"/>
        </w:rPr>
        <w:t>لعدم اختلاف التحدید بذلک بعد کون السبابة أقصر من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الوجه فی طرف أعلاه أیضاً یشبه الاستدارة و لکن کونه شبیهاً له أم لا، لا یهمّ،بل المهم المراد تعیین المراد من قصاص الشعر، و هل هو مبدأ شعر الرأس من طرف الناصیة و مسامتها من الجبینین أو من النزعتین أیضاً بأن یعتبر فی الوضوء غسل النزعتین، فقد أشرنا إلی خروجهما من الوجه بمعناه العرفی، و لو لم یکن قصاص الشعر ظاهراً فی الأوّل و لا أقل فی عدم ظهوره فی العموم بأن یعمّ القصاص من النزعتین أیضاً لیدخلا فی المحدود فیرجع فی اعتبار لزوم غسلهما إلی أصالة البراءة، هذا مع الغمض عمّا یقال فی المقام من التسالم علی عدم اعتبار غسلهما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البهائی من أنّه حمل قوله علیه السلام ما جرت علیه الإصبعان مستدیراً علی الدائرة الهندسیّة و کأنّه یفرض فی الوجه دائرة هندسیة یکون قطرها الإصبعان فهذه الدائرة الهندسیة یجب غسلها عند الوضوء و یخرج عنها النزعتان </w:t>
      </w:r>
      <w:r>
        <w:rPr>
          <w:rStyle w:val="FootnoteAnchor"/>
          <w:rtl w:val="true"/>
        </w:rPr>
        <w:footnoteReference w:id="634"/>
      </w:r>
      <w:r>
        <w:rPr>
          <w:rFonts w:ascii="IRNazanin" w:hAnsi="IRNazanin" w:eastAsia="IRNazanin"/>
          <w:color w:val="111111"/>
          <w:sz w:val="28"/>
          <w:sz w:val="28"/>
          <w:szCs w:val="28"/>
          <w:rtl w:val="true"/>
          <w:lang w:bidi="fa-IR"/>
        </w:rPr>
        <w:t>فیه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فإنّ الوجه لیس له حقیقة شرعیة،بل هو بمعناه العرفی یکون ممّا یعتبر غسله فی الوضوء، و لا یفهم من الوجه عرفاً تلک الدائرة مع أنّ لازم فرضها أن یخرج شیء من أعلی الوجه أو أسفله عن حدّ الغسل الواجب؛ لأن ما بین قصاص شعر الرأس إلی الذقن أطول من الإصبعین أو أقصر غالباً، و الداعی له إلی الحمل المزبور و الخروج عمّا فهمه المشهور هو أنّه لو کان المراد من جریان الإصبعین ما تقدّم لزم دخول النزعتین فی المحدود، و کذلک الصدغین و دخول الأوّل خلاف الإجماع، و دخول الثانی منافٍ لقوله علیه السلام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الصدغ لیس من الوجه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لکن قد ذکرنا خروج النزعتین عن الوجه بمعناه العرفی و الواجب غسله ما جرت علیه الإصبعان من الوجه کما هو مقتضی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الصدغین فإن کان المراد منهما ما بین العینین و الأُذنین فمقدار منها داخل فی المحدود، و إن أُرید الشعر المتدلّی من الرأس بین العین و الأُذن فیکون خارجاً عن تحدید المشهور أیضاً، و لعلّ قوله علیه السلام فی ذیل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الصدغ لیس من الوجه </w:t>
      </w:r>
      <w:r>
        <w:rPr>
          <w:rStyle w:val="FootnoteAnchor"/>
          <w:rtl w:val="true"/>
        </w:rPr>
        <w:footnoteReference w:id="636"/>
      </w:r>
      <w:r>
        <w:rPr>
          <w:rFonts w:ascii="IRNazanin" w:hAnsi="IRNazanin" w:eastAsia="IRNazanin"/>
          <w:color w:val="111111"/>
          <w:sz w:val="28"/>
          <w:sz w:val="28"/>
          <w:szCs w:val="28"/>
          <w:rtl w:val="true"/>
          <w:lang w:bidi="fa-IR"/>
        </w:rPr>
        <w:t>قرینة علی إرادة المعنی الثانی، و لو أُرید منه المعنی الأوّل یکون المنفی عن الوجه بقرینة التحدید الوارد فی صدرها و کون المراد الوجه بمعناه العرفی تمام الصدغ</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الجملة، ظاهر الصحیحة بل صریحها أنّ کلاًّ من الوسطی و الإبهام یکون مبدأ دورانهما و جریانهما قصاص شعر الرأس و المنتهی الذقن، و لا یمکن ذلک مع فرض الإبهام و الوسطی قطراً للدائرة الهندسیة التی ذکرها البهائی </w:t>
      </w:r>
      <w:r>
        <w:rPr>
          <w:rStyle w:val="FootnoteAnchor"/>
          <w:rtl w:val="true"/>
        </w:rPr>
        <w:footnoteReference w:id="637"/>
      </w:r>
      <w:r>
        <w:rPr>
          <w:rFonts w:ascii="IRNazanin" w:hAnsi="IRNazanin" w:eastAsia="IRNazanin"/>
          <w:color w:val="111111"/>
          <w:sz w:val="28"/>
          <w:sz w:val="28"/>
          <w:szCs w:val="28"/>
          <w:rtl w:val="true"/>
          <w:lang w:bidi="fa-IR"/>
        </w:rPr>
        <w:t>، أضف إلی ذلک</w:t>
      </w:r>
      <w:bookmarkStart w:id="336" w:name="pg12061_112592"/>
    </w:p>
    <w:p>
      <w:pPr>
        <w:pStyle w:val="BookText"/>
        <w:rPr/>
      </w:pPr>
      <w:bookmarkEnd w:id="336"/>
      <w:r>
        <w:rPr>
          <w:rFonts w:ascii="IRNazanin" w:hAnsi="IRNazanin" w:eastAsia="IRNazanin"/>
          <w:color w:val="111111"/>
          <w:sz w:val="28"/>
          <w:sz w:val="28"/>
          <w:szCs w:val="28"/>
          <w:rtl w:val="true"/>
          <w:lang w:bidi="fa-IR"/>
        </w:rPr>
        <w:t>و الأنزع و الأغمّ و من خرج وجهه أو یده عن المتعارف یرجع کلّ منهم إلی المتعارف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فیلاحظ أنّ الید المتعارفة فی الوجه المتعارف إلی أیّ موضع تصل، و أنّ الوجه المتعارف أین قصاصه فیغسل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لو فرض تساوی الإبهام و الوسطی ما بین الذقن و قصاص الشعر من الناصیة فلا ینبغی التأمل فی أنّ إدارتهما علی الدائرة المفروضة علی سطح الوجه یوجب خروج بعض الجبینین من تلک الدائرة مع أنّ الجبینین یدخلان فی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فإن شکّ فی کون شیء داخلاً فی الحدّ أم لا، فقد ذکر أنّ مقتضی أصالة البراءة عدم اعتبار غسله بناءً علی أنّ الطهارة عنوان لنفس الوضوء، و أمّا بناءً علی کونها أمر یحصل بالوضوء و یکون المورد من موارد الاشتغال</w:t>
      </w:r>
      <w:r>
        <w:rPr>
          <w:rFonts w:eastAsia="IRNazanin" w:cs="IRNazanin"/>
          <w:color w:val="111111"/>
          <w:sz w:val="28"/>
          <w:szCs w:val="28"/>
          <w:rtl w:val="true"/>
          <w:lang w:bidi="fa-IR"/>
        </w:rPr>
        <w:t>.</w:t>
      </w:r>
    </w:p>
    <w:p>
      <w:pPr>
        <w:pStyle w:val="Heading5"/>
        <w:numPr>
          <w:ilvl w:val="4"/>
          <w:numId w:val="1"/>
        </w:numPr>
        <w:rPr/>
      </w:pPr>
      <w:bookmarkStart w:id="337" w:name="__RefHeading___Toc1723352_417432637"/>
      <w:bookmarkStart w:id="338" w:name="_Toc124"/>
      <w:bookmarkEnd w:id="337"/>
      <w:r>
        <w:rPr>
          <w:rtl w:val="true"/>
        </w:rPr>
        <w:t>الأنزع و الأغم و</w:t>
      </w:r>
      <w:r>
        <w:rPr>
          <w:rtl w:val="true"/>
        </w:rPr>
        <w:t>...</w:t>
      </w:r>
      <w:bookmarkEnd w:id="338"/>
    </w:p>
    <w:p>
      <w:pPr>
        <w:pStyle w:val="BookText"/>
        <w:rPr/>
      </w:pPr>
      <w:r>
        <w:rPr>
          <w:rFonts w:ascii="IRNazanin" w:hAnsi="IRNazanin" w:eastAsia="IRNazanin"/>
          <w:color w:val="111111"/>
          <w:sz w:val="28"/>
          <w:sz w:val="28"/>
          <w:szCs w:val="28"/>
          <w:rtl w:val="true"/>
          <w:lang w:bidi="fa-IR"/>
        </w:rPr>
        <w:t>ذکر قدس سره أنّ الأنزع و هو من لا یکون علی قصاصه شعر، و الأغمّ و هو من علی جبهته شعر أو من خرج وجهه عن المتعارف بحیث لا یسع إبهامه و وسطاه تمام وجهه، أو کان الأمر بالعکس بأن یکون وجهه صغیراً جدّاً بحیث یصل إبهامه و وسطاه ما هو خارج الحدّ کما إذا وصل إصبعیه أُذناه فکلّ ذلک یرجع فی المقدار المغسول من الوجه إلی المتعارف، فیلاحظ أنّ أی المواضع من الوجه المتعارف من ذی الید المتعارف خارج عن المحدود فلا یغسل الخارج عن المتعارف تلک المواضع من وجهه، و أیّ المواضع تدخل فی المحدود فیغسل تلک المواضع و إن لا تصل إصبعیه إلی بعض تلک المواضع أو وصلا بأزید من تلک المواضع لصغر وجهه أو کبر یدیه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بالإضافة إلی الأنزع و الأغمّ فلا ینبغی التأمّل فی أنّ عدم الشعر فی مقدّم الرأس لا یوجب أن یتوسع الناصیة،بأن یقال إنّ عدم الشعر فی مقدّم رأسه</w:t>
      </w:r>
      <w:bookmarkStart w:id="339" w:name="pg12061_112593"/>
    </w:p>
    <w:p>
      <w:pPr>
        <w:pStyle w:val="BookText"/>
        <w:rPr/>
      </w:pPr>
      <w:bookmarkEnd w:id="339"/>
      <w:r>
        <w:rPr>
          <w:rFonts w:ascii="IRNazanin" w:hAnsi="IRNazanin" w:eastAsia="IRNazanin"/>
          <w:color w:val="111111"/>
          <w:sz w:val="28"/>
          <w:sz w:val="28"/>
          <w:szCs w:val="28"/>
          <w:rtl w:val="true"/>
          <w:lang w:bidi="fa-IR"/>
        </w:rPr>
        <w:t>و یجب إجراء الماء فلا یکفی المسح به، و حدّه أن یجری من جزء إلی جزء آخر و لو بإعانة الید و یجزی استیلاء الماء علیه و إن لم یجرِ إذا صدق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یوجب أن یصدق أنه أیضاً ناصیة و جبین کما أنّ نبات الشعر علی الجبینین و الجبهة یوجب أن یصدق علی جبینه و ناصیته أنّه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تکون الناصیة و الجبین من شخص أکبر من الناصیة و الجبین من الآخر حتّی بمقدار غیر متعارف إلّا أنّ الملاک علی صدق الجبینین و الجبهة لا علی نبات الشعر و عدم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یحتمل أن یکون الوجه بحسب المواضع التی یجب غسلها منه مختلفاً باختلاف المکلفین بأن یکون موضع منه داخلاً فی الوجه الواجب غسله بالإضافة إلی مکلّف، و لا یکون من الوجه بالإضافة إلی مکلّف آخر، و قد یقال متعارف الناس أیضاً فی إصبعیه و وجهه مختلف، و إذا کان الواجب علی کلّ مکلّف من متعارف الناس غسل ما یستوعبه إصبعاه من وجهه یکون الموضع منه داخلاً فی الغسل الواجب غسلة بالإضافة إلی مکلّف و لا یدخل فی الوجه الواجب غسله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بأنّه یلتزم بأنّ المقدار الواجب غسله هو المقدار الذی یستوعبه الإصبعان من أقلّ المتعارفین، و یکون الخارج عن ذلک المقدار غیر واجب غسله علی غیرهم أیضاً؛ لعدم احتمال تعدّد المراد من الوجه، نعم بما أنّه یلزم علی المکلّف غسل مقدار زائد من الحدّ إحرازاً لغسل المقدار الواجب فلا تظهر للاختلاف المتعارف ثمرة</w:t>
      </w:r>
      <w:r>
        <w:rPr>
          <w:rFonts w:eastAsia="IRNazanin" w:cs="IRNazanin"/>
          <w:color w:val="111111"/>
          <w:sz w:val="28"/>
          <w:szCs w:val="28"/>
          <w:rtl w:val="true"/>
          <w:lang w:bidi="fa-IR"/>
        </w:rPr>
        <w:t>.</w:t>
      </w:r>
    </w:p>
    <w:p>
      <w:pPr>
        <w:pStyle w:val="Heading5"/>
        <w:numPr>
          <w:ilvl w:val="4"/>
          <w:numId w:val="1"/>
        </w:numPr>
        <w:rPr/>
      </w:pPr>
      <w:bookmarkStart w:id="340" w:name="__RefHeading___Toc1723354_417432637"/>
      <w:bookmarkStart w:id="341" w:name="_Toc125"/>
      <w:bookmarkEnd w:id="340"/>
      <w:r>
        <w:rPr>
          <w:rtl w:val="true"/>
        </w:rPr>
        <w:t>اعتبار إجراء الماء فی الغسل</w:t>
      </w:r>
      <w:bookmarkEnd w:id="3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اعتبار جریان الماء علی العضو و لو بمعونة الید إلی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638"/>
      </w:r>
      <w:r>
        <w:rPr>
          <w:rFonts w:ascii="IRNazanin" w:hAnsi="IRNazanin" w:eastAsia="IRNazanin"/>
          <w:color w:val="111111"/>
          <w:sz w:val="28"/>
          <w:sz w:val="28"/>
          <w:szCs w:val="28"/>
          <w:rtl w:val="true"/>
          <w:lang w:bidi="fa-IR"/>
        </w:rPr>
        <w:t>، و ربّما یستدلّ علی ذلک بأنّ مقابلة الغسل بالمسح تقتضی اعتباره حیث لا یصدق الغسل إلّا بجریان الماء و انتقاله منه بخلاف المسح فإنّه یصدق بمجرد انتقال الأجزاء المائیّة المعبّر عنها بالرطوبة و البلل من الماسح إلی الممسوح بإمرار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أیضاً صحیحة محمّد بن مسلم عن أحدهما علیهما السلام الواردة فی غسل الجنابة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فإنّها و إن کانت واردة فی غسل الجنابة إلّا أنّه لا یحتمل الفرق بین غسل الجنابة و الوضوء فی هذه الجهة، 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کان تحت الشعر؟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فإنّ ظاهرها کفایة غسل الشعر بجریان الماء علیه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المستفاد من بعض الروایات أنّه یکفی فی غسل الأعضاء مسحها بالماء و إن لم یجرِ الماء بشیء علی العضو، و أنّ الفرق بین أعضاء الغسل و المسح أنّه لا یجزی فی أعضاء المسح یعنی الرأس و الرجلین غیره، و أنّه یتعیّن إجراء الجزء الماسح علی الممسوح بالبلّة،بخلاف أعضاء الغسل فإنّه لا یتعیّن فیها إلّا وصول الأجزاء المائیة إلی تمام العضو، سواء کان ذلک بصب الماء علی العضو أو بإجراء الماء أو بالمسح کما فی صحیحة زرارة و محمّد بن مسلم، عن أبی جعفر علیه 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الوضوء حدّ من حدود اللّٰه لیعلم اللّٰه من یطیعه و من یعصیه، و إنّ المؤمن لا ینجّسه شیء إنّما یکفیه مثل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 عن أبی جعفر علیه السلام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إسحاق بن عمّار، عن جعفر، عن أبیه بأنّ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من الجنابة و الوضوء یجزی منه ما أجزأ من الدهن الذی یبلّ الجسد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إذا وصلت النداوة بالمسح إلی تمام العضو کما هو الحال فی إدهان العضو کفی ذلک فی غسل العضو، و لا یعتبر فی صدق الغسل جریان الماء علی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أنّ المراد من هذه الأخبار بیان أنّ مجرّد إیصال النداوة إلی العضو و لو بأن یبلّ المکلّف یده و یمسح علی أعضاء الوضوء کما قد یتفق ذلک فی الادهان کافٍ فی غسل الوضوء،بل ظاهر بعضها و محتمل بعضها الآخر أن تکون ناظرة إلی بیان عدم اعتبار الغسل اللازم فی رفع الخبث فی الوضوء و الغسل،بأن یعتبر جریان الماء علی العضو بنفسه،بل یکفی فی الوضوء غسل أعضائه و لو بإیصال الماء المنصب علی العضو بتمام ذلک العضو و لو بمعونة الید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علیه السلام فی صحیحة زرارة و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ینجّسه شیء أی لا ینجّسه شیء من النواقض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یکفیه مثل الدهن </w:t>
      </w:r>
      <w:r>
        <w:rPr>
          <w:rStyle w:val="FootnoteAnchor"/>
          <w:rtl w:val="true"/>
        </w:rPr>
        <w:footnoteReference w:id="643"/>
      </w:r>
      <w:r>
        <w:rPr>
          <w:rFonts w:ascii="IRNazanin" w:hAnsi="IRNazanin" w:eastAsia="IRNazanin"/>
          <w:color w:val="111111"/>
          <w:sz w:val="28"/>
          <w:sz w:val="28"/>
          <w:szCs w:val="28"/>
          <w:rtl w:val="true"/>
          <w:lang w:bidi="fa-IR"/>
        </w:rPr>
        <w:t>،بأن یکون غسل العضو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کالإدهان بمعونة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صحیحة زرارة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وتر یحبّ الوتر فقد یجزیک من الوضوء ثلاث 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للوجه و اثنتان للذراعین</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من الظاهر أنّ المراد بالإجزاء بیان أقل مرتبة الواجب، و لو کان إیصال النداوة إلی البشرة بمسح الید المبللة کافیاً لکان نصف غرفة کافیاً لغسل الوجه و الیدین معاً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المتحصّل مقابلة المسح للغسل فی بیان حدّ الوضوء تعیّن الغسل فی الوجه و الیدین و تعیّن المسح فی الرأس و الرجلین کما هو ظاهر الآیة </w:t>
      </w:r>
      <w:r>
        <w:rPr>
          <w:rStyle w:val="FootnoteAnchor"/>
          <w:rtl w:val="true"/>
        </w:rPr>
        <w:footnoteReference w:id="645"/>
      </w:r>
      <w:r>
        <w:rPr>
          <w:rFonts w:ascii="IRNazanin" w:hAnsi="IRNazanin" w:eastAsia="IRNazanin"/>
          <w:color w:val="111111"/>
          <w:sz w:val="28"/>
          <w:sz w:val="28"/>
          <w:szCs w:val="28"/>
          <w:rtl w:val="true"/>
          <w:lang w:bidi="fa-IR"/>
        </w:rPr>
        <w:t>المبارکة، و أنّه لا یعتبر الغسل اللازم فی الخبث حیث إنّ مسح الماء المنصب علی بعض العضو المتنجّس إلی بعضه الآخر بالید، حیث إنّ الماء المنصب و إجراءه بالید ینافی ما دلّ علی تنجّس الطاهر أی الید الماسحة بملاقاة المتنجّس بالرطوبة المسریة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صحیحة محمّد الحلبی،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الوضوء إن وجدت ماءً و إلّا فإنّه یکفیک الیسیر</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فإنّ ثلاث غرفات لیس فی صورة عدم وجدان الماء فإنّ الأخبار الواردة فی بیان الوضوء من رسول اللّٰه صلی الله علیه و آله کلّها دالّة علی وضوئه صلی الله علیه و آله بثلاث غرفات فالیسیر منها کما تدلّ علیه الصحیحة مقتضاه کفایة إیصال النداوة إلی العضو بتمامه و لو بمسح الید المبلّلة علیه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إسباغ الوضوء صبّ الغرفة الملأة من الماء علی</w:t>
      </w:r>
      <w:bookmarkStart w:id="342" w:name="pg12061_112597"/>
    </w:p>
    <w:p>
      <w:pPr>
        <w:pStyle w:val="BookText"/>
        <w:rPr/>
      </w:pPr>
      <w:bookmarkEnd w:id="342"/>
      <w:r>
        <w:rPr>
          <w:rFonts w:ascii="IRNazanin" w:hAnsi="IRNazanin" w:eastAsia="IRNazanin"/>
          <w:color w:val="111111"/>
          <w:sz w:val="28"/>
          <w:sz w:val="28"/>
          <w:szCs w:val="28"/>
          <w:rtl w:val="true"/>
          <w:lang w:bidi="fa-IR"/>
        </w:rPr>
        <w:t>و یجب الابتداء بالأعلی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الغسل من الأعلی إلی الأسفل عرفاً، و لا یجوز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العضو و غسله بها فیکون المراد بالیسیر الغرفة غیر الملأة فلا تنافی هذه الصحیحة ما تقدّم،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343" w:name="__RefHeading___Toc1723356_417432637"/>
      <w:bookmarkStart w:id="344" w:name="_Toc126"/>
      <w:bookmarkEnd w:id="343"/>
      <w:r>
        <w:rPr>
          <w:rtl w:val="true"/>
        </w:rPr>
        <w:t>الابتداء فی الغسل بالأعلی</w:t>
      </w:r>
      <w:bookmarkEnd w:id="344"/>
    </w:p>
    <w:p>
      <w:pPr>
        <w:pStyle w:val="BookText"/>
        <w:rPr/>
      </w:pPr>
      <w:r>
        <w:rPr>
          <w:rFonts w:ascii="IRNazanin" w:hAnsi="IRNazanin" w:eastAsia="IRNazanin"/>
          <w:color w:val="111111"/>
          <w:sz w:val="28"/>
          <w:sz w:val="28"/>
          <w:szCs w:val="28"/>
          <w:rtl w:val="true"/>
          <w:lang w:bidi="fa-IR"/>
        </w:rPr>
        <w:t xml:space="preserve">علی المشهور بین المتقدّمین و المتأخرین، و عن السیّد المرتضی و ابن إدریس إلی جواز النکس </w:t>
      </w:r>
      <w:r>
        <w:rPr>
          <w:rStyle w:val="FootnoteAnchor"/>
          <w:rtl w:val="true"/>
        </w:rPr>
        <w:footnoteReference w:id="647"/>
      </w:r>
      <w:r>
        <w:rPr>
          <w:rFonts w:ascii="IRNazanin" w:hAnsi="IRNazanin" w:eastAsia="IRNazanin"/>
          <w:color w:val="111111"/>
          <w:sz w:val="28"/>
          <w:sz w:val="28"/>
          <w:szCs w:val="28"/>
          <w:rtl w:val="true"/>
          <w:lang w:bidi="fa-IR"/>
        </w:rPr>
        <w:t xml:space="preserve">، و هو المحکی عن الشهید و صاحب المعالم و البهائی </w:t>
      </w:r>
      <w:r>
        <w:rPr>
          <w:rStyle w:val="FootnoteAnchor"/>
          <w:rtl w:val="true"/>
        </w:rPr>
        <w:footnoteReference w:id="648"/>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ما علیه المشهور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الاشتغال لعدم إحراز حصول ما هو شرط فی صحّة الصلاة و نحوها بالغسل نکساً، و لکن لا یخفی أنّ قاعدة الاشتغال لا مجال للتمسک بها بعد قیام الدلیل علی أنّ الوضوء غسل الوجه و الیدین، فإنّ مقتضی إطلاقه أنّ المعتبر فی الوضوء غسل الوجه بأیّ کیفیة، و کذلک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مثل ذلک لا یکون فی مقام البیان من جهة کیفیّة الغسل و المسح یدفعها استدلال الإمام علیه السلام بالآیة علی کون المعتبر فی مسح الرأس مسح بعضها کاشف عن عدم إهمال الآیة، و إن الإهمال فی خطاب الحکم خلاف الأصل لا یرفع الید عنه إلّا بقیام القرینة علی خلافه، و لو أُغمض عن ذلک و بنی علی عدم الإطلاق یکون الرجوع إلی قاعدة الاشتغال مبنیاً علی کون الطهارة المشروطة فی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نحوها أمراً مسبباً عن الوضوء، و أمّا بناء علی کونها عنواناً لنفس الوضوء یکون المرجع عند الشک فی شرطیّة الغسل من الأعلی أصالة البراءة علی ما هو المقرر فی بحث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صحیحة زرارة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لنا أبو جعفر علیه السلام وضوء رسول اللّٰه صلی الله علیه و آله فدعا بقدح من ماء فأدخل یده الیمنی فأخذ کفّاً من ماء فأسدلها علی وجهه من أعلی الوجه، ثمّ مسح بیده الجانبین جمیعاً، ثمّ أعاد الیسری فی الإناء فأسدلها علی الیمنی، ثمّ مسح جوانبها، ثمّ أعاد الیمنی فی الإناء، ثمّ صبّها علی الیسری فصنع بها کما صنع بالیمنی، ثمّ مسح ببقیة ما بقی فی یدیه رأسه و رجلیه و لم یعدهما فی الإناء </w:t>
      </w:r>
      <w:r>
        <w:rPr>
          <w:rStyle w:val="FootnoteAnchor"/>
          <w:rtl w:val="true"/>
        </w:rPr>
        <w:footnoteReference w:id="650"/>
      </w:r>
      <w:r>
        <w:rPr>
          <w:rFonts w:ascii="IRNazanin" w:hAnsi="IRNazanin" w:eastAsia="IRNazanin"/>
          <w:color w:val="111111"/>
          <w:sz w:val="28"/>
          <w:sz w:val="28"/>
          <w:szCs w:val="28"/>
          <w:rtl w:val="true"/>
          <w:lang w:bidi="fa-IR"/>
        </w:rPr>
        <w:t xml:space="preserve">، و نحوها صحیحة أُخری </w:t>
      </w:r>
      <w:r>
        <w:rPr>
          <w:rStyle w:val="FootnoteAnchor"/>
          <w:rtl w:val="true"/>
        </w:rPr>
        <w:footnoteReference w:id="651"/>
      </w:r>
      <w:r>
        <w:rPr>
          <w:rFonts w:ascii="IRNazanin" w:hAnsi="IRNazanin" w:eastAsia="IRNazanin"/>
          <w:color w:val="111111"/>
          <w:sz w:val="28"/>
          <w:sz w:val="28"/>
          <w:szCs w:val="28"/>
          <w:rtl w:val="true"/>
          <w:lang w:bidi="fa-IR"/>
        </w:rPr>
        <w:t>، حیث إنّ غسله علیه السلام وجهه المبارک من الأعلی فی مقام حکایة وضوء رسول اللّٰه صلی الله علیه و آله و تصدّی الراوی لتلک الخصوصیّة من وضوئه علیه السلام ظاهره فهمه اعتبارها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غایة ما یستفاد منها أنّ غسل الوجه من رسول اللّٰه صلی الله علیه و آله کان من الأعلی إلی الأسفل، و أمّا تعیّن هذا النحو من الغسل فلا یستفاد منها و لعلّ اختیاره لکون الغسل کذلک أفضل من الغسل نکساً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تعرّض الراوی لخصوصیة الغسل من الأعلی لا یدلّ علی کونه علیه السلام فی بیان اعتبار تلک الخصوصیة فی الوضوء کما یشهد لذلک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بیده الجانبین جمیعاً أو من الجانبین، حیث إنّه یکفی مسح جانبی الوجه فی ضمن مسح تمامه 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مقتضی ما تقدم فی تحدید الوجه و سائر الإطلاقات فی غسل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یمکن أن یکون الداعی للإمام علیه السلام فی حکایة وضوء رسول اللّٰه صلی الله علیه و آله بیان اعتبار المسح فی کلّ من الرأس و الرجلین بنداوة الوضوء حیث ذکر زرارة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ببقیة ما بقی فی یدیه رأسه و رجلیه و لم یعدهما فی الإناء، و ما عن المنتهی و الذکری بعد ذکر الصحیحة روی أنّه قال بعد ما 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وضوء لا یقبل اللّٰه الصلاة إلّا به </w:t>
      </w:r>
      <w:r>
        <w:rPr>
          <w:rStyle w:val="FootnoteAnchor"/>
          <w:rtl w:val="true"/>
        </w:rPr>
        <w:footnoteReference w:id="652"/>
      </w:r>
      <w:r>
        <w:rPr>
          <w:rFonts w:ascii="IRNazanin" w:hAnsi="IRNazanin" w:eastAsia="IRNazanin"/>
          <w:color w:val="111111"/>
          <w:sz w:val="28"/>
          <w:sz w:val="28"/>
          <w:szCs w:val="28"/>
          <w:rtl w:val="true"/>
          <w:lang w:bidi="fa-IR"/>
        </w:rPr>
        <w:t>، لا یخرج عن الروایة المرسلة مع کونها إشارة إلی الوضوء بتمام خصوصیّاته غیر محتمل لما تقدّمت الإشارة إلی بعض الخصوصیات غیر الواجبة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غرض الإمام علیه السلام من حکایته وضوء رسول اللّٰه صلی الله علیه و آله أن یتوضّأ المتشرعة بوضوئه بعد أن یعلموا ما هو المعتبر فی الوضوء، و ثبوت عدم لزوم خصوصیّة واردة لا یوجب رفع الید عن غیرها من الخصوصیات، و یؤیّد ذلک روایة أبی جریر الرقاشی المرویة فی قرب 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أتوضّأ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تغمس فی الوضوء و لا تلطم وجهک بالماء لطماً و لکن اغسله من أعلی وجهک إلی أسفله بالماء مسحاً و کذلک فامسح بالماء علی ذراعیک و رأسک و قدمیک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فإنّ ظهورها فی اعتبار الغسل من الأعلی لا یقبل المناقشة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الغسل بنحو المسح غیر معتبر فی الوضوء قطعاً فیکون الغسل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الأعلی أیضاً کذلک فی کونه علی الفضل دون الاعتبار و الاشتراط لا یمکن المساعدة علیه، فإنّ قیام الدلیل علی کفایة الغسل بنحو لطم الماء و الصبّ علی تمام العضو لا یوجب رفع الید عن ظهورها فی کون البدء من الأعلی متعیّناً، فالعمدة ضعف الروایة سنداً؛ و لذا قلنا بأنّها صالحة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تقدیر اعتبار الغسل من الأعلی وجوباً أو احتیاطاً فهل المراد به مجرّد الابتداء بالأعلی بغسل أعلی الوجه و لو بمقدار یسیر، ثمّ لا یعتبر الترتیب فی غسل باقی الوجه، أو أنّ المراد به الأعلی فالأعلی بحیث لا ینتقل إلی الجزء التالی من الوجه إلّا و قد غسل جمیع الأجزاء التی کانت مسامتة لما قبله؟</w:t>
      </w:r>
    </w:p>
    <w:p>
      <w:pPr>
        <w:pStyle w:val="BookText"/>
        <w:rPr/>
      </w:pPr>
      <w:r>
        <w:rPr>
          <w:rFonts w:ascii="IRNazanin" w:hAnsi="IRNazanin" w:eastAsia="IRNazanin"/>
          <w:color w:val="111111"/>
          <w:sz w:val="28"/>
          <w:sz w:val="28"/>
          <w:szCs w:val="28"/>
          <w:rtl w:val="true"/>
          <w:lang w:bidi="fa-IR"/>
        </w:rPr>
        <w:t>و بعبارة أُخری، رعایة الترتیب بحسب الخطوط العرضیة و الطولیة من الوجه أو رعایة الترتیب بحسب الخطوط الطولیّة فقط بحیث لا ینتقل إلی غسل الجزء الثانی إلّا و قد غسل ما قبله من الخطوط الطولیة، أو أنّ المراد الصدق العرفی؟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التأمل فی أنّ الأوّل خلاف ما تقدّم فإنّ مقتضاه غسل الوجه من الأعلی من تمامه، کما أنّه لا یحتمل الثانی فإنّه مضافاً إلی أنه فی نفسه ممّا لا یحتمل لصعوبته و عدم البیان له ینافیه بعض ما ورد من الوضوءات البیانیّة حیث ذکر فیها أنّه علیه السلام وضع الماء علی جبهته ثمّ مسح جانبی الوجه، و من الظاهر أنّ مع إسدال الماء من الجبهة یغسل بعض الوجه قبل غسله من الجانبین فبقی الاحتمالان الثالث و الرابع، و ظاهر ما تقدم هو الأخیر، فإنّ مجرّد الترتیب فی الخط الطولی ربما لا یوجب صدق الغسل من الأعلی، کما إذا وضع الماء علی أحد جبینیه ثمّ مسح الذیل ثمّ شرع فی غسل جبهته ثمّ جبینه الأُخری کذلک مع أنّ مع إسدال الماء فی</w:t>
      </w:r>
      <w:bookmarkStart w:id="345" w:name="pg12061_112601"/>
    </w:p>
    <w:p>
      <w:pPr>
        <w:pStyle w:val="BookText"/>
        <w:rPr/>
      </w:pPr>
      <w:bookmarkEnd w:id="345"/>
      <w:r>
        <w:rPr>
          <w:rFonts w:ascii="IRNazanin" w:hAnsi="IRNazanin" w:eastAsia="IRNazanin"/>
          <w:color w:val="111111"/>
          <w:sz w:val="28"/>
          <w:sz w:val="28"/>
          <w:szCs w:val="28"/>
          <w:rtl w:val="true"/>
          <w:lang w:bidi="fa-IR"/>
        </w:rPr>
        <w:t>و لا یجب غسل ما تحت 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غسل ظاهره سواء شعر اللحیة و الشارب و الحاجب بشرط صدق إحاطة الشعر علی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الطولیّ ربّما یجری الماء علی بعض الموضع العرضی من الوجه ممّا لم یغسل أعلاه کما لا یخفی</w:t>
      </w:r>
      <w:r>
        <w:rPr>
          <w:rFonts w:eastAsia="IRNazanin" w:cs="IRNazanin"/>
          <w:color w:val="111111"/>
          <w:sz w:val="28"/>
          <w:szCs w:val="28"/>
          <w:rtl w:val="true"/>
          <w:lang w:bidi="fa-IR"/>
        </w:rPr>
        <w:t>.</w:t>
      </w:r>
    </w:p>
    <w:p>
      <w:pPr>
        <w:pStyle w:val="Heading5"/>
        <w:numPr>
          <w:ilvl w:val="4"/>
          <w:numId w:val="1"/>
        </w:numPr>
        <w:rPr/>
      </w:pPr>
      <w:bookmarkStart w:id="346" w:name="__RefHeading___Toc1723358_417432637"/>
      <w:bookmarkStart w:id="347" w:name="_Toc127"/>
      <w:bookmarkEnd w:id="346"/>
      <w:r>
        <w:rPr>
          <w:rtl w:val="true"/>
        </w:rPr>
        <w:t>لا یجب غسل ما تحت الشعر</w:t>
      </w:r>
      <w:bookmarkEnd w:id="347"/>
    </w:p>
    <w:p>
      <w:pPr>
        <w:pStyle w:val="BookText"/>
        <w:rPr/>
      </w:pPr>
      <w:r>
        <w:rPr>
          <w:rFonts w:ascii="IRNazanin" w:hAnsi="IRNazanin" w:eastAsia="IRNazanin"/>
          <w:color w:val="111111"/>
          <w:sz w:val="28"/>
          <w:sz w:val="28"/>
          <w:szCs w:val="28"/>
          <w:rtl w:val="true"/>
          <w:lang w:bidi="fa-IR"/>
        </w:rPr>
        <w:t>لا ینبغی التأمّل فی أنّ ظاهر الوجه الواجب غسله بضمیمة ما ورد فی تحدید الوجه هی البشرة من قصاص الشعر إلی الذقن طولاً، و ما یشمله الإصبعان الإبهام و الوسطی عرضاً، حیث إنّ الوجه یصدق علی نفس البشرة من المقدار المحدود سواء نبت علیه الشعر أم لا، و غسل الشعر من دون أن یصل الماء إلی ما تحته من البشرة لا یعدّ غسلاً للوجه حقیقةً، کما أنّ غسل شعر الرأس من دون أن یصل الماء إلی ما تحته من البشرة لا یکون حقیقةً من غسل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خلاف معروف أو منقول فی أنّه لا یعتبر فی غسل الوجه إیصال الماء إلی البشرة فیما إذا کان الشعر محیطاً لها، و یشهد لذلک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ما کان تحت الشعر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أحدهما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 أ یبطن لحیته؟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التبطین إحاطة الشعر بحیث تکون البشرة مستورة، و ظاهر الصحیحتین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غسل الشعر بجریان الماء علیه و غسله، و یؤیّد ما فی روایة أبی جریر الرقاشی من النهی عن العمق فی الوضوء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یقع الکلام فی أنّه هل یکون غسل الشعر المحیط علی البشرة مجزیاً عن غسل البشرة بحیث یکون للمکلّف غسل البشرة أو الشعر المحیط بها أو یتعیّن غسل الشعر و لا یکون غسل البشرة مجزیاً، و یستظهر ذلک بما فی صحیحة زرارة حیث إنّه قد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للعباد أن یغسلوه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فإنّ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نفی المشروعیة لغسل البشرة و کون غسلها من الوضوء، و لکن قیل إنّ هذا فی نسخة التهذیب، و أمّا ما فی الفقیه المطبوعة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 العباد أن یغسلوه</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منه إلّا نفی الوجوب و التعین، فلا ینافی جوازه و کفایته عن غسل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المراد بالتعیّن فی المقام الاعتبار و الجزئیة للوضوء، فیکون ما ورد فی غسل الشعر حاکماً لما دلّ علی أنّ الوضوء هو غسل الوجه و الیدین، و بأنّ المراد من الوجه المواضع من قصاص الشعر إلی الذقن طولاً، و ما یشمله الإصبعان عرضاً سواء کانت المواضع بشرة أو شعراً محیطاً بها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لیس فی البین مع ما تقدّم ما یدلّ علی کون غسل ما أحاطه الشعر داخلاً فی الوضوء تعییناً أو تخییراً من غیر فرق بین کون الوارد فی الصحیحة فلیس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أو فلیس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لزم غسل البشرة الظاهرة فی خلاله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إذا کان محیطاً لموضعه من البشرة بحیث کانت البشرة مستورة به فقد تقدّم أنّ غسل ذلک الشعر الداخل فی حدّ الوجه معتبر فی غسل الوجه و أنّه لا یعتبر غسل نفس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الشعر محیطاً للبشرة، إمّا لنبات الشعر علی البشرة متفرّقة بحیث لا یکون مانعاً عن رؤیة البشرة أو لکون الشعر من الوجه خفیفاً فی نفسه کالشعر النابت علی الخدود، أو خفیفاً للقصّ و نحوه، ففی جمیع ذلک یجب غسل البشرة؛ لما تقدّم من أنّ ظاهر الوجه ما ینبت علیه الشعر من المواضع لا نفس الشعر، فإنّه یصدق أنّه نبت علی وجهه الشعر، فما دل علی کون غسل الوجه مقوّم للوضوء ظاهره غسل البشرة کما تقدّم، غایة الأمر رفع الید عن ذلک بما تقدّم بالإضافة إلی الشعر المحیط و أنّه لا یعتبر فی الوضوء غسل البشرة المستورة و المحیط بها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اعتبار غسل الشعر المزبور مع البشرة أم یکفی غسل البشرة و إیصال الماء إلیها، فقد یقال بلزوم غسل الشعر؛ لکونه تابعاً للوجه فالأمر بغسله أمر بغسله بتوابعه، و یقال أیضاً من أنّ غسله مقتضی الاشتغال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إحراز الطهارة، و قد یقال لا یظهر من أنّ الأمر بغسل الشیء غسل تابعه و أنّ التابع یتبع المتبوع فی الحکم، کما أنّ قاعدة الاشتغال تبتنی علی کون الطهارة أمراً مسبباً، و أمّا إذا قیل بأنّها عنوان للغسل و المسح من المحدث بالأصغر یکون المورد من موارد البراءة کما هو المقرر فی بحث الأقل و الأکثر الارتباطیین،بل الوجه فی لزوم غسل الشعر ما ورد فی صحیحة زرارة من الوجه اللازم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دارت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الإصبعان من قصاص الشعر إلی الذقن </w:t>
      </w:r>
      <w:r>
        <w:rPr>
          <w:rStyle w:val="FootnoteAnchor"/>
          <w:rtl w:val="true"/>
        </w:rPr>
        <w:footnoteReference w:id="659"/>
      </w:r>
      <w:r>
        <w:rPr>
          <w:rFonts w:ascii="IRNazanin" w:hAnsi="IRNazanin" w:eastAsia="IRNazanin"/>
          <w:color w:val="111111"/>
          <w:sz w:val="28"/>
          <w:sz w:val="28"/>
          <w:szCs w:val="28"/>
          <w:rtl w:val="true"/>
          <w:lang w:bidi="fa-IR"/>
        </w:rPr>
        <w:t>فإنّ ما دارت، یعمّ البشرة و الشعر النابت علیها، غایة الأمر قد رفع الید عن هذا الظهور بالإضافة إلی الشعر المحیط للبشرة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 أنّ ما دارت علیه الإصبعان من قصاص الشعر إلی الذقن قد قیّد فیها بکونه من الوجه، و من الظاهر أنّ الشعر لا یکون من الوجه العرفی، و لو لم یثبت هذه النسخة بدعوی عدم هذا القید فی نسخة الفقیه، و بعض نسخ الوسائل، فلا أقل من احتمال وجوده، و مع هذا الاحتمال لا یتمّ الاستدلال المزبور، و الأظهر هو الحکم بلزوم غسل الشعر الخفیف و القصیر من مواضع الوجه أیضاً، فإنّ المتفاهم العرفی من غسل الوجه غسل ذلک الشعر التابع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اتحاد التابع و المتبوع فی جمیع الأحکام لا ینافی الظهور فی الاتحاد فی بعض الموارد کما فی غسل الجسد من إصابة النجس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کون الشعر محیطاً للبشرة بنحو الشبهة المفهومیة کما إذا شکّ فی أنّ الشعر المحیط علی البشرة ما یسترها بحیث لا یری ما تحته من البشرة بوجه، أو أنّه لا یعتبر فی کونه محیطاً لذلک، فمقتضی ما تقدّم من ظهور الأدلّة الأولیة فی غسل الوجه فی غسل البشرة، و یرفع الید عن الظهور المزبور فی مقدار دلالة المخصّص أو المقیّد و هو المقدار المتیقّن و المحرز کون مدلول الشعر المحیط و یؤخذ به فی غیره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فیه بنحو الشبهة الموضوعیة فقد یقال بلزوم الجمع بین غسل الشعر و البشرة للعلم الإجمالی بلزوم غسل أحدهما، و لکن لا یخفی ما فیه؛ لانحلال</w:t>
      </w:r>
      <w:bookmarkStart w:id="348" w:name="pg12061_112605"/>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إدخال شیء من أطراف الحدّ من باب المقدّمة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إدخال شیء من أطراف الحدّ من باب المقدّمة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الإجمالی بلزوم غسل الشعر علی کلّ تقدیر أمّا تبعاً أو مستقلاً، و الشکّ فی لزوم غسل البشرة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بکون المقام من موارد الاحتیاط للزوم إحراز الطهارة المسببة عن الوضوء أو یجری الاستصحاب فی عدم إحاطة الشعر کما هو فی کلّ إنسان، حیث یکون نبات الشعر فی وجهه تدریجیّاً و الاستصحاب الجاری فی ناحیة عدم کون المشکوک فرداً من عنوان الخاص أو المقیّد یدرجه فی حکم العام أو المطلق</w:t>
      </w:r>
      <w:r>
        <w:rPr>
          <w:rFonts w:eastAsia="IRNazanin" w:cs="IRNazanin"/>
          <w:color w:val="111111"/>
          <w:sz w:val="28"/>
          <w:szCs w:val="28"/>
          <w:rtl w:val="true"/>
          <w:lang w:bidi="fa-IR"/>
        </w:rPr>
        <w:t>.</w:t>
      </w:r>
    </w:p>
    <w:p>
      <w:pPr>
        <w:pStyle w:val="Heading5"/>
        <w:numPr>
          <w:ilvl w:val="4"/>
          <w:numId w:val="1"/>
        </w:numPr>
        <w:rPr/>
      </w:pPr>
      <w:bookmarkStart w:id="349" w:name="__RefHeading___Toc1723360_417432637"/>
      <w:bookmarkStart w:id="350" w:name="_Toc128"/>
      <w:bookmarkEnd w:id="349"/>
      <w:r>
        <w:rPr>
          <w:rtl w:val="true"/>
        </w:rPr>
        <w:t>وجوب إدخال شیء ممّا خرج عن الحدّ</w:t>
      </w:r>
      <w:bookmarkEnd w:id="350"/>
    </w:p>
    <w:p>
      <w:pPr>
        <w:pStyle w:val="BookText"/>
        <w:rPr/>
      </w:pPr>
      <w:r>
        <w:rPr>
          <w:rFonts w:ascii="IRNazanin" w:hAnsi="IRNazanin" w:eastAsia="IRNazanin"/>
          <w:color w:val="111111"/>
          <w:sz w:val="28"/>
          <w:sz w:val="28"/>
          <w:szCs w:val="28"/>
          <w:rtl w:val="true"/>
          <w:lang w:bidi="fa-IR"/>
        </w:rPr>
        <w:t>لا ینبغی التأمّل فی أنّ المراد بالمقدّمة المقدّمة الوجودیة بحیث یکون غسل مقدار من أطراف الحدّ واجباً غیریّاً، و الوجه فی ذلک أنّ غسل مقدار من أطراف الحدّ مع غسل الداخل فی الحدّ متلازمان عادیان، و لا یکون أحد المتلازمین مقدّمة وجودیة للآخر،بل لا بدّ من إرادة المقدّمة العلمیة و لإحراز غسل تمام الداخل فی الحدّ، و هذه المقدّمة تجری فی حقّ من یحتمل کون إصبعیه أقل المتعارف، فإنّه لا یتیسر له عادة غسل مقدار إصبعیه خاصّة،بل یکون غسله عادة إمّا أقل من إصبعیه أو أکثر منه، فیکون غسل الأکثر من إصبعیه موجباً لإحراز غسل المقدار المحدود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أحرز أنّ إصبعیه أوسع من أقلّ المتعارف فلا یکون غسل الأقلّ من مقدار إصبعیه منافیاً لإحراز الغسل بالمقدار الواجب،بل مع احتمال کون إصبعیه أوسع یمکن الاکتفاء بالأقل بناءً علی أنّ الطهارة عنوان لغسل الوجه و الیدین و مسح الرأس و الرجلین فإنّه علی هذا یکون غسله بالأقلّ من إصبعیه لکون الشبهة بین الأقل</w:t>
      </w:r>
    </w:p>
    <w:p>
      <w:pPr>
        <w:pStyle w:val="BookText"/>
        <w:rPr/>
      </w:pPr>
      <w:r>
        <w:rPr>
          <w:rFonts w:ascii="IRNazanin" w:hAnsi="IRNazanin" w:eastAsia="IRNazanin"/>
          <w:color w:val="111111"/>
          <w:sz w:val="28"/>
          <w:sz w:val="28"/>
          <w:szCs w:val="28"/>
          <w:rtl w:val="true"/>
          <w:lang w:bidi="fa-IR"/>
        </w:rPr>
        <w:t>و کذا جزء من باطن الأنف و نحوه، و ما لا یظهر من الشفتین بعد الانطباق من الباطن فلا یجب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بالشبهة المصداقیة، نعم بناءً علی کون الطهارة أمراً مسبباً فلا بدّ من رعایة الاحتیاط لإحراز الطهارة التی هی شرط للصلاة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ما تقدّم من المقدمة العلمیّة فی غسل شیء من باطن الأنف لیحرز غسل ظاهره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ینبغی التأمّل کما أنّه لا خلاف فی أنّ ما یجب غسله فی الوضوء و غیره و حتّی فی إزالة الخبث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اعتبار غسل الظاهر خاصّة فی بحث التطهیر من النجاسات و الاستنجاء، و یدلّ علی ذلک فی الوضوء ما تقدّم فی صحیحة زرارة من أنّ المقدار الواجب فی غسل الوجه ما دارت علیه الإصبعان من قصاص الشعر إلی الذقن، و ما جرت علیه الإصبعان من الوجه </w:t>
      </w:r>
      <w:r>
        <w:rPr>
          <w:rStyle w:val="FootnoteAnchor"/>
          <w:rtl w:val="true"/>
        </w:rPr>
        <w:footnoteReference w:id="660"/>
      </w:r>
      <w:r>
        <w:rPr>
          <w:rFonts w:ascii="IRNazanin" w:hAnsi="IRNazanin" w:eastAsia="IRNazanin"/>
          <w:color w:val="111111"/>
          <w:sz w:val="28"/>
          <w:sz w:val="28"/>
          <w:szCs w:val="28"/>
          <w:rtl w:val="true"/>
          <w:lang w:bidi="fa-IR"/>
        </w:rPr>
        <w:t>، و من الظاهر أنّ ما یجری علیه الإصبعان هو ظاهر الأنف و ظاهر الشفتین و لو فی فرض إطباقهما، و ما فی معتبرة زرارة عن أبی جعفر علیه السلام الواردة فی نفی وجوب المضمضة و الاستنشاق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علیک أن تغسل ما ظهر</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 ما فی روایة أبی بصیر عن أبی عبد اللّه علیه السلام الواردة أیضاً فی نفی وجوبهما </w:t>
      </w:r>
      <w:r>
        <w:rPr>
          <w:rStyle w:val="FootnoteAnchor"/>
          <w:rtl w:val="true"/>
        </w:rPr>
        <w:footnoteReference w:id="662"/>
      </w:r>
      <w:r>
        <w:rPr>
          <w:rFonts w:ascii="IRNazanin" w:hAnsi="IRNazanin" w:eastAsia="IRNazanin"/>
          <w:color w:val="111111"/>
          <w:sz w:val="28"/>
          <w:sz w:val="28"/>
          <w:szCs w:val="28"/>
          <w:rtl w:val="true"/>
          <w:lang w:bidi="fa-IR"/>
        </w:rPr>
        <w:t>، و کذا فی معتبرة أبی بکر الحضرمی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لیس هما من الوضوء هما من الجوف</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351" w:name="pg12061_112607"/>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الخارج عن الحدّ کمسترسل اللحیة فی الطول و ما هو خارج عن ما بین الإبهام و الوسطی فی العرض لا یجب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الخارج عن الحدّ کمسترسل اللحیة فی الطول و ما هو خارج عن ما بین الإبهام و الوسطی فی العرض لا یجب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للمرأة لحیة فهی کالرجل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للمرأة لحیة فهی کالرجل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 باطن العین و الأنف و الفم إلّا شیء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غسل باطن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الأنف و الفم إلّا شیء منها من باب المقدّمة</w:t>
      </w:r>
      <w:r>
        <w:rPr>
          <w:rFonts w:eastAsia="IRNazanin" w:cs="IRNazanin"/>
          <w:color w:val="111111"/>
          <w:sz w:val="28"/>
          <w:szCs w:val="28"/>
          <w:rtl w:val="true"/>
          <w:lang w:bidi="fa-IR"/>
        </w:rPr>
        <w:t>.</w:t>
      </w:r>
    </w:p>
    <w:p>
      <w:pPr>
        <w:pStyle w:val="Heading5"/>
        <w:numPr>
          <w:ilvl w:val="4"/>
          <w:numId w:val="1"/>
        </w:numPr>
        <w:rPr/>
      </w:pPr>
      <w:bookmarkStart w:id="352" w:name="__RefHeading___Toc1723362_417432637"/>
      <w:bookmarkStart w:id="353" w:name="_Toc129"/>
      <w:bookmarkEnd w:id="352"/>
      <w:r>
        <w:rPr>
          <w:rtl w:val="true"/>
        </w:rPr>
        <w:t>اللحیة و ما استرسل منها</w:t>
      </w:r>
      <w:bookmarkEnd w:id="353"/>
    </w:p>
    <w:p>
      <w:pPr>
        <w:pStyle w:val="BookText"/>
        <w:rPr/>
      </w:pPr>
      <w:r>
        <w:rPr>
          <w:rFonts w:ascii="IRNazanin" w:hAnsi="IRNazanin" w:eastAsia="IRNazanin"/>
          <w:color w:val="111111"/>
          <w:sz w:val="28"/>
          <w:sz w:val="28"/>
          <w:szCs w:val="28"/>
          <w:rtl w:val="true"/>
          <w:lang w:bidi="fa-IR"/>
        </w:rPr>
        <w:t>قد تقدّم أنّ الواجب غسله فی الوضوء هو غسل الوجه بما دارت علیه الإصبعان من قصاص الشعر إلی الذقن، غایة الأمر قام الدلیل علی أنّ غسل الشعر النابت فی الحدّ إذا کان محیطاً یغسل ذلک الشعر المحیط و لا یعتبر غسل نفس البشرة، فلا عبرة بالبشرة الخارجة عن الحد و لا بالشعر الخارج عنه</w:t>
      </w:r>
      <w:r>
        <w:rPr>
          <w:rFonts w:eastAsia="IRNazanin" w:cs="IRNazanin"/>
          <w:color w:val="111111"/>
          <w:sz w:val="28"/>
          <w:szCs w:val="28"/>
          <w:rtl w:val="true"/>
          <w:lang w:bidi="fa-IR"/>
        </w:rPr>
        <w:t>.</w:t>
      </w:r>
    </w:p>
    <w:p>
      <w:pPr>
        <w:pStyle w:val="Heading5"/>
        <w:numPr>
          <w:ilvl w:val="4"/>
          <w:numId w:val="1"/>
        </w:numPr>
        <w:rPr/>
      </w:pPr>
      <w:bookmarkStart w:id="354" w:name="__RefHeading___Toc1723364_417432637"/>
      <w:bookmarkStart w:id="355" w:name="_Toc130"/>
      <w:bookmarkEnd w:id="354"/>
      <w:r>
        <w:rPr>
          <w:rtl w:val="true"/>
        </w:rPr>
        <w:t>إذا کان للمرأة لحیة</w:t>
      </w:r>
      <w:bookmarkEnd w:id="355"/>
    </w:p>
    <w:p>
      <w:pPr>
        <w:pStyle w:val="BookText"/>
        <w:rPr/>
      </w:pPr>
      <w:r>
        <w:rPr>
          <w:rFonts w:ascii="IRNazanin" w:hAnsi="IRNazanin" w:eastAsia="IRNazanin"/>
          <w:color w:val="111111"/>
          <w:sz w:val="28"/>
          <w:sz w:val="28"/>
          <w:szCs w:val="28"/>
          <w:rtl w:val="true"/>
          <w:lang w:bidi="fa-IR"/>
        </w:rPr>
        <w:t>و ذلک فإنّ ما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أحاط به الشعر فلیس للعباد أن یغسلوه و لا یبحثوا عنه بل یجری علیه الماء </w:t>
      </w:r>
      <w:r>
        <w:rPr>
          <w:rStyle w:val="FootnoteAnchor"/>
          <w:rtl w:val="true"/>
        </w:rPr>
        <w:footnoteReference w:id="664"/>
      </w:r>
      <w:r>
        <w:rPr>
          <w:rFonts w:ascii="IRNazanin" w:hAnsi="IRNazanin" w:eastAsia="IRNazanin"/>
          <w:color w:val="111111"/>
          <w:sz w:val="28"/>
          <w:sz w:val="28"/>
          <w:szCs w:val="28"/>
          <w:rtl w:val="true"/>
          <w:lang w:bidi="fa-IR"/>
        </w:rPr>
        <w:t>، یعمّ الشعر النابت علی وجه المرأة أیضاً، فإن اتّفق لها الشعر المحیط للبشرة یکون علیها غسل ذلک الشعر کالرجل، نعم صحیحة محمّد بن مسلم عن أحدهما علیه السلام لا تعمّ المرأة،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یتوضأ أ یبطن لحیته،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الواجب فی الغسل من الحدث کالغسل من الخبث غسل</w:t>
      </w:r>
      <w:bookmarkStart w:id="356" w:name="pg12061_112608"/>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أحاط به الشعر لا یجزی غسل المحاط عن المحیط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أحاط به الشعر لا یجزی غسل المحاط عن المحیط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الرقاق المعدودة من البشرة یجب غسلها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الرقاق المعدودة من البشرة یجب غسلها معها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الشعر محیط أم لا یجب الاحتیاط بغسله مع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الشعر محیط أم لا یجب الاحتیاط بغسله مع البشرة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ممّا فی الحدّ ما لم یغسل و لو مقدار رأس إبرة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الوضوء فیجب أن یلاحظ آماقه و أطراف عینه لا یکون علیها شیء من القیح أو الکحل المانع، و کذا یلاحظ حاجبه لا یکون علیه شیء من الوسخ و أن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 أنّ جوف الأنف و الفم من البواطن، نعم لإحراز غسل الظاهر یغسل شیء من بعض البواطن لجریان العادة بعدم إمکان إحراز غسل الظاهر بتمامه إلّا بذلک فیکون غسل شیء من البواطن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ما ورد فی اعتبار غسل الشعر المحیط حاکم أو مخصص لما دلّ علی اعتبار غسل البشرة من الوجه و معه لا موجب للحکم بإجزاء غسل البشرة عن غسل الشعر المحیط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الشعر المعدود من تابع البشرة و مع عدم إحاطته للبشرة کما هو الفرض یعتبر غسله مع البشرة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مقتضی الاستصحاب فی عدم إحاطة الشعر هو غسل البشرة مع الشعر المزبور</w:t>
      </w:r>
      <w:r>
        <w:rPr>
          <w:rFonts w:eastAsia="IRNazanin" w:cs="IRNazanin"/>
          <w:color w:val="111111"/>
          <w:sz w:val="28"/>
          <w:szCs w:val="28"/>
          <w:rtl w:val="true"/>
          <w:lang w:bidi="fa-IR"/>
        </w:rPr>
        <w:t>.</w:t>
      </w:r>
    </w:p>
    <w:p>
      <w:pPr>
        <w:pStyle w:val="Heading5"/>
        <w:numPr>
          <w:ilvl w:val="4"/>
          <w:numId w:val="1"/>
        </w:numPr>
        <w:rPr/>
      </w:pPr>
      <w:bookmarkStart w:id="357" w:name="__RefHeading___Toc1723366_417432637"/>
      <w:bookmarkStart w:id="358" w:name="_Toc131"/>
      <w:bookmarkEnd w:id="357"/>
      <w:r>
        <w:rPr>
          <w:rtl w:val="true"/>
        </w:rPr>
        <w:t>فی إزالة المانع و الشک فی وجوده</w:t>
      </w:r>
      <w:bookmarkEnd w:id="3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فرق بین مقدار رأس الإبرة و الأزید فی صدق عدم غسل تمام الحدّ</w:t>
      </w:r>
      <w:bookmarkStart w:id="359" w:name="pg12061_112609"/>
    </w:p>
    <w:p>
      <w:pPr>
        <w:pStyle w:val="BookText"/>
        <w:rPr/>
      </w:pPr>
      <w:bookmarkEnd w:id="359"/>
      <w:r>
        <w:rPr>
          <w:rFonts w:ascii="IRNazanin" w:hAnsi="IRNazanin" w:eastAsia="IRNazanin"/>
          <w:color w:val="111111"/>
          <w:sz w:val="28"/>
          <w:sz w:val="28"/>
          <w:szCs w:val="28"/>
          <w:rtl w:val="true"/>
          <w:lang w:bidi="fa-IR"/>
        </w:rPr>
        <w:t>علی حاجب المرأة وسمة أو خطاط له جرم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تیقّن وجود ما یشکّ فی مانعیّته یجب تحصیل الیقین بزواله أو وصول الماء إلی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تیقّن وجود ما یشکّ فی مانعیّته یجب تحصیل الیقین بزواله أو وصول الماء إلی البشرة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أصل وجوده یجب الفحص أو المبالغة حتّی یحصل الاطمئنان بعدمه أو زواله أو وصول الماء إلی البشرة علی فرض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الوجه، و لا فرق فی عدم غسل شیء من الوجه أو غیره بین کونه للحاجب فی ذلک الموضع أو غیره، و حیث إنّه لا بدّ من إحراز غسل الحدّ من الوجه بتمامه، فعلی المکلّف مع احتماله الحاجب و المانع فی بعض المواضع أن یلاحظها کآماقه أی أطراف عینه من ناحیة الأنف و سائر أطرافه بأن لا یکون علیها شیء من القیح أو الکحل المانع من وصول الماء إلی البشرة أو الشعر اللازم غسله، و کذا فی احتمال سائر الموانع من الوسخ المانع عن وصول المانع إلی البشرة، و لا موجب لحمل هذا الکلام علی صورة العلم بوجود الأُمور المزبورة و احتمال کونها مانعة عن وصول الماء إلی البشرة، و الوجه فی عدم الموجب ما یذکره المصنف فی المسألة الآتیة أنّه لو شکّ فی أصل وجود ما یحتمل مانعیّته یجب الفحص عنه حتّی یحرز عدم المانع أو وصول الماء الی البشرة</w:t>
      </w:r>
      <w:r>
        <w:rPr>
          <w:rFonts w:eastAsia="IRNazanin" w:cs="IRNazanin"/>
          <w:color w:val="111111"/>
          <w:sz w:val="28"/>
          <w:szCs w:val="28"/>
          <w:rtl w:val="true"/>
          <w:lang w:bidi="fa-IR"/>
        </w:rPr>
        <w:t>.</w:t>
      </w:r>
    </w:p>
    <w:p>
      <w:pPr>
        <w:pStyle w:val="Heading5"/>
        <w:numPr>
          <w:ilvl w:val="4"/>
          <w:numId w:val="1"/>
        </w:numPr>
        <w:rPr/>
      </w:pPr>
      <w:bookmarkStart w:id="360" w:name="__RefHeading___Toc1723368_417432637"/>
      <w:bookmarkStart w:id="361" w:name="_Toc132"/>
      <w:bookmarkEnd w:id="360"/>
      <w:r>
        <w:rPr>
          <w:rtl w:val="true"/>
        </w:rPr>
        <w:t>الشکّ فی الحاجب فی موضع الغسل</w:t>
      </w:r>
      <w:bookmarkEnd w:id="361"/>
    </w:p>
    <w:p>
      <w:pPr>
        <w:pStyle w:val="BookText"/>
        <w:rPr/>
      </w:pPr>
      <w:r>
        <w:rPr>
          <w:rFonts w:ascii="IRNazanin" w:hAnsi="IRNazanin" w:eastAsia="IRNazanin"/>
          <w:color w:val="111111"/>
          <w:sz w:val="28"/>
          <w:sz w:val="28"/>
          <w:szCs w:val="28"/>
          <w:rtl w:val="true"/>
          <w:lang w:bidi="fa-IR"/>
        </w:rPr>
        <w:t>الشکّ فی الحاجب علی العضو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یحرز وجود شیء علی العضو یحتمل أن یکون مانعاً عن وصول الماء إلی البشرة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وجود شیء علی العضو یکون حاجباً عن وصول الماء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النحو الأوّل فلا ینبغی التأمّل فی أنّ مقتضی قاعدة إحراز الامتثال للتکلیف المعلوم فی نفسه و فی متعلّقه إحراز غسل لکل موضع یدخل فی الوجه المحدود بما تقدّم سابقاً، و لکن قد یقال یظهر من بعض الروایات أنّه مع احتمال وصول الماء إلی البشرة من موضع علیه ما یحتمل مانعیته کفی ذلک، و لا یعتبر إحراز الوصول، و فی صحیحة علی بن جعفر، عن أخیه موسی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علیها السوار و الدملج فی بعض ذراعها لا تدری یجری الماء تحته أم لا کیف تصنع إذا توضّأت أو اغتسلت؟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تحرّکه حتّی یدخل الماء تحته أو تنزعه، و عن الخاتم الضیق لا یدری هل یجری الماء تحته إذا توضّأ أم لا کیف یصنع؟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علم أنّ الماء لا یدخله فلیخرجه إذا توضأ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الذیل أنّه إذا لم یعلم أنّ الماء لا یدخله لا یلزم إخراج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ذلک بأنّ الصدر قرینة علی عدم إرادة ترک نزع الخاتم مع احتمال وصول الماء إلی ما تحته فإنّه من المقطوع عدم الفرق بین الخاتم و السوار و الدملج، و قد ذکر علیه السلام فی السوار و الدملج تحریکهما أو إخراجهما مع احتمال عدم وصول الماء إلی ما تحتها،بل المراد منه أنّه إذا علم أنّ تحریک الخاتم لا یفید،بل معه أیضاً یحتمل عدم وصول الماء إلی ما تحته تعیّن نزعه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هذا مع عدم ملائمته لظهور الذیل مبنی علی أنّ یکون ما ذکر فی الصدر و الذیل من الجمع فی المروی، و ظاهرها کونهما من الجمع فی الروایة کما فی غیر واحد من الموارد التی تنقل إلینا من مسائل علی بن جعفر عن أخیه علیه السلام ،</w:t>
      </w:r>
      <w:bookmarkStart w:id="362" w:name="pg12061_112611"/>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الثقبة فی الأنف موضع الحلقة أو الخزامة لا یجب غسل باطنها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الثقبة فی الأنف موضع الحلقة أو الخزامة لا یجب غسل باطنها،بل یکفی ظاهرها سواء کانت الحلقة فیها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غسل الیدین من المرفقین إلی أطراف الأصابع مقدّماً للیمنی علی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من المرفقین إلی أطراف الأصابع مقدّماً للیمنی علی الیسری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تکون الروایة الأُولی التی یعبر عنها بالصدر معارضة بالثانیة التی یعبر عنها بالذیل و یؤخذ بما هو مقتضی القاعدة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فیه بالإجماع علی عدم الاعتناء باحتمال وجود المانع و الحاجب، و لکن الإجماع غیر ثابت فی المقام قطعاً، و من المحتمل جدّاً أن یکون المدرک للقائلین بعدم الاعتناء أصالة عدم المانع أو سیرة المتشرّعة بعدم الفحص، و یدفعهما أنّ أصالة عدم المانع بمعنی الاستصحاب فی عدمه لا یثبت وصول الماء إلی البشرة، و ما عن الشیخ قدس سره من خفاء الواسطة فیه ما لا یخفی، و ثبوت السیرة فی موارد عدم الاطمینان بعدم الحاجب و المانع أو الغفلة عنه غیر معلوم، و مقتضی القاعدة الأوّلیة التی ذکرنا فی صدر الکلام الفحص و إحراز وصول الماء إلی البشرة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الثقبة موضع الحلقة أو الخزامة موضعها لا یجب غسلها یعنی داخلها لما تقدّم من أنّ الواجب هو غسل الظاهر</w:t>
      </w:r>
      <w:r>
        <w:rPr>
          <w:rFonts w:eastAsia="IRNazanin" w:cs="IRNazanin"/>
          <w:color w:val="111111"/>
          <w:sz w:val="28"/>
          <w:szCs w:val="28"/>
          <w:rtl w:val="true"/>
          <w:lang w:bidi="fa-IR"/>
        </w:rPr>
        <w:t>.</w:t>
      </w:r>
    </w:p>
    <w:p>
      <w:pPr>
        <w:pStyle w:val="Heading4"/>
        <w:numPr>
          <w:ilvl w:val="3"/>
          <w:numId w:val="1"/>
        </w:numPr>
        <w:rPr/>
      </w:pPr>
      <w:bookmarkStart w:id="363" w:name="__RefHeading___Toc1723370_417432637"/>
      <w:bookmarkStart w:id="364" w:name="_Toc133"/>
      <w:bookmarkEnd w:id="363"/>
      <w:r>
        <w:rPr>
          <w:rtl w:val="true"/>
        </w:rPr>
        <w:t>الثانی</w:t>
      </w:r>
      <w:r>
        <w:rPr>
          <w:rtl w:val="true"/>
        </w:rPr>
        <w:t>:</w:t>
      </w:r>
      <w:r>
        <w:rPr>
          <w:rtl w:val="true"/>
        </w:rPr>
        <w:t>غسل الیدین من المرفقین إلی أطراف الأصابع</w:t>
      </w:r>
      <w:bookmarkEnd w:id="364"/>
    </w:p>
    <w:p>
      <w:pPr>
        <w:pStyle w:val="Heading5"/>
        <w:numPr>
          <w:ilvl w:val="4"/>
          <w:numId w:val="1"/>
        </w:numPr>
        <w:rPr/>
      </w:pPr>
      <w:bookmarkStart w:id="365" w:name="__RefHeading___Toc1723372_417432637"/>
      <w:bookmarkStart w:id="366" w:name="_Toc134"/>
      <w:bookmarkEnd w:id="365"/>
      <w:r>
        <w:rPr>
          <w:rtl w:val="true"/>
        </w:rPr>
        <w:t>اشارة</w:t>
      </w:r>
      <w:bookmarkEnd w:id="3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قدس سره فی الواجب الثانی من الوضوء غسل الیدین من المرفقین إلی أطراف الأصابع و أن یقدّم غسل الیمنی علی غسل الیسری، و اعتبار تقدّم الیمنی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الیسری ممّا لا خلاف فیه، و دعوی الإجماع علیه مذکورة فی کلام جماعة </w:t>
      </w:r>
      <w:r>
        <w:rPr>
          <w:rStyle w:val="FootnoteAnchor"/>
          <w:rtl w:val="true"/>
        </w:rPr>
        <w:footnoteReference w:id="667"/>
      </w:r>
      <w:r>
        <w:rPr>
          <w:rFonts w:ascii="IRNazanin" w:hAnsi="IRNazanin" w:eastAsia="IRNazanin"/>
          <w:color w:val="111111"/>
          <w:sz w:val="28"/>
          <w:sz w:val="28"/>
          <w:szCs w:val="28"/>
          <w:rtl w:val="true"/>
          <w:lang w:bidi="fa-IR"/>
        </w:rPr>
        <w:t>، و یشهد لذلک مضافاً إلی التسالم بعض الروایات منها صحیحة 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یتوضّأ فیبدأ بالشمال قبل الیمین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الیمین و یعید الیسار</w:t>
      </w:r>
      <w:r>
        <w:rPr>
          <w:rFonts w:eastAsia="IRNazanin" w:cs="IRNazanin"/>
          <w:color w:val="111111"/>
          <w:sz w:val="28"/>
          <w:szCs w:val="28"/>
          <w:rtl w:val="true"/>
          <w:lang w:bidi="fa-IR"/>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موثّقة أبی بصیر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نسیت فغسلت ذراعیک قبل وجهک فأعد غسل وجهک، ثمّ اغسل ذراعیک بعد الوجه فإن بدأت بذراعک الأیسر قبل الأیمن فأعد علی غسل الأیمن ثمّ اغسل الیسار</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 الرجل أن یغسل یمینه فغسل شماله و مسح رأسه و رجلیه فذکر بعد ذلک غسل یمینه و شماله و مسح رأسه و رجلیه</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الحدیث، إلی غیر ذلک، و فی بعض الروایات الواردة فیمن بدأ السعی بالمروة قبل الصفا أنّه یعید و یبدأ بالصفا أ لا تری أنّه لو توضّأ و بدأ بالشمال قبل غسل الیمنی یعید الوضوء علی الیمنی ثمّ علی الیسری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ما ورد فیمن سعی قبل الطواف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الاستشهاد و التنظیر فیهما یقتضی أن یکون الترتیب فی الوضوء أمراً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الابتداء بالمرفق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الغسل منه إلی الأسفل عرفاً فلا یجزی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ورد فی الوضوءات البیانیة من أنّه علیه السلام غسل الیمنی ثمّ الیسری </w:t>
      </w:r>
      <w:r>
        <w:rPr>
          <w:rStyle w:val="FootnoteAnchor"/>
          <w:rtl w:val="true"/>
        </w:rPr>
        <w:footnoteReference w:id="673"/>
      </w:r>
      <w:r>
        <w:rPr>
          <w:rFonts w:ascii="IRNazanin" w:hAnsi="IRNazanin" w:eastAsia="IRNazanin"/>
          <w:color w:val="111111"/>
          <w:sz w:val="28"/>
          <w:sz w:val="28"/>
          <w:szCs w:val="28"/>
          <w:rtl w:val="true"/>
          <w:lang w:bidi="fa-IR"/>
        </w:rPr>
        <w:t>علی ما تقدم من 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کون الغسل من المرفق إلی الأصابع فهو یتضمّن اعتبار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الغسل من المرفق إلی من دون جواز النکس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کون المرفق مغسولاً و داخلاً فی غسل الید أصالة لا من باب المقدمة لإحراز غسل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 منسوب إلی المشهور </w:t>
      </w:r>
      <w:r>
        <w:rPr>
          <w:rStyle w:val="FootnoteAnchor"/>
          <w:rtl w:val="true"/>
        </w:rPr>
        <w:footnoteReference w:id="674"/>
      </w:r>
      <w:r>
        <w:rPr>
          <w:rFonts w:ascii="IRNazanin" w:hAnsi="IRNazanin" w:eastAsia="IRNazanin"/>
          <w:color w:val="111111"/>
          <w:sz w:val="28"/>
          <w:sz w:val="28"/>
          <w:szCs w:val="28"/>
          <w:rtl w:val="true"/>
          <w:lang w:bidi="fa-IR"/>
        </w:rPr>
        <w:t xml:space="preserve">، و المحکیّ عن المرتضی و ابن ادریس جواز النکس علی کراهیة </w:t>
      </w:r>
      <w:r>
        <w:rPr>
          <w:rStyle w:val="FootnoteAnchor"/>
          <w:rtl w:val="true"/>
        </w:rPr>
        <w:footnoteReference w:id="675"/>
      </w:r>
      <w:r>
        <w:rPr>
          <w:rFonts w:ascii="IRNazanin" w:hAnsi="IRNazanin" w:eastAsia="IRNazanin"/>
          <w:color w:val="111111"/>
          <w:sz w:val="28"/>
          <w:sz w:val="28"/>
          <w:szCs w:val="28"/>
          <w:rtl w:val="true"/>
          <w:lang w:bidi="fa-IR"/>
        </w:rPr>
        <w:t>و لعلهما أخذا ذلک من إطلاق الآیة بعد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غایة للمغسول لا للغسل و بعض ما ورد فی أنّ الوضوء غسل الوجه و الیدین بعد تقییده بکون المراد من الیدین بکونهما إلی المرفقین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فالصحیح ما علیه المشهور من تعیّن الغسل من المرفقین و عدم جواز النکس؛ لما ورد فی بعض الروایات البیانیة من أنّه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غمس یده الیسری فغرف بها ملأ علی مرفقه الیمنی فأمرّ کفه علی ساعده حتّی جری الماء علی أطراف أصابعه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زرارة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فغرف بها غرفة فأفرغ علی ذراعه الیمنی فغسل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ذراعه من المرفق إلی الکفّ لا یردّها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رواه الشیخ فی الصحیح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غمس کفّه الیمنی فی الماء فاغترف بها من الماء فغسل یده الیمنی من المرفق إلی الأصابع لا یرد الماء إلی المرفقین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 هذه الروایات و إن کانت حکایة فعل و ربّما یورد علی الاستدلال بها بأن حکایة الفعل لا تدلّ علی التعیّن، و لعلّه من التخییر فی أحد فردی الغسل أو لکونه أفضل، إلّا أنا قد ذکرنا أنّ الغرض من فعله علیه السلام تعلیم الإتیان بالماهیّة المخترعة لیؤخذ بالإتیان المزبور فلا یرفع الید عن خصوصیة فیها إلّا مع قیام القرینة علی عدم لزوم تلک الخصوصیّة، و مع عدمها خصوصاً بملاحظة العنایة لنقلها لخصوصیّة یتعیّن الأخذ بها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أیضاً علی تعیّن الخصوصیّة ما فی ذیل صحیحة زرارة بن أعین الواردة فی حدّ أعضاء الغسل و المسح المحکیّة عن الفقیه من قوله علیه السلام و لا تردّ الشعر فی غسل الیدین فإنّ ظاهر النهی عن ردّ الشعر فی غسل الید کونه کنایة عن النکس فی غسلهما حیث یرد الشعر بذلک النحو من الغسل نظیر ردّ الماء إلی المرفق فیما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ما رواه فی المستدرک عن العیاشی فی تفسیره عن صفوان عن أبی الحسن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أیدیکم إلی المرافق فکیف الغسل؟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أن یأخذ الماء بیده الیمنی فیصبّه فی الیسری ثمّ یفضه علی المرفق ثمّ یمسح</w:t>
      </w:r>
      <w:bookmarkStart w:id="367" w:name="pg12061_112615"/>
    </w:p>
    <w:p>
      <w:pPr>
        <w:pStyle w:val="BookText"/>
        <w:rPr/>
      </w:pPr>
      <w:bookmarkEnd w:id="367"/>
      <w:r>
        <w:rPr>
          <w:rFonts w:ascii="IRNazanin" w:hAnsi="IRNazanin" w:eastAsia="IRNazanin"/>
          <w:color w:val="111111"/>
          <w:sz w:val="28"/>
          <w:sz w:val="28"/>
          <w:szCs w:val="28"/>
          <w:rtl w:val="true"/>
          <w:lang w:bidi="fa-IR"/>
        </w:rPr>
        <w:t>و المرفق مرکّب من شیء من الذراع و شیء من العضد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الکفّ،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ذلک مرّتین،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الشعر؟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عنده آخر فعل و إلّا فلا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723374_417432637"/>
      <w:bookmarkStart w:id="369" w:name="_Toc135"/>
      <w:bookmarkEnd w:id="368"/>
      <w:r>
        <w:rPr>
          <w:rtl w:val="true"/>
        </w:rPr>
        <w:t>المراد من المرفق</w:t>
      </w:r>
      <w:bookmarkEnd w:id="369"/>
    </w:p>
    <w:p>
      <w:pPr>
        <w:pStyle w:val="BookText"/>
        <w:rPr/>
      </w:pPr>
      <w:r>
        <w:rPr>
          <w:rFonts w:ascii="IRNazanin" w:hAnsi="IRNazanin" w:eastAsia="IRNazanin"/>
          <w:color w:val="111111"/>
          <w:sz w:val="28"/>
          <w:sz w:val="28"/>
          <w:szCs w:val="28"/>
          <w:rtl w:val="true"/>
          <w:lang w:bidi="fa-IR"/>
        </w:rPr>
        <w:t xml:space="preserve">و قیل إنّه رأس عظم الذراع و هو ظاهر المنتهی </w:t>
      </w:r>
      <w:r>
        <w:rPr>
          <w:rStyle w:val="FootnoteAnchor"/>
          <w:rtl w:val="true"/>
        </w:rPr>
        <w:footnoteReference w:id="680"/>
      </w:r>
      <w:r>
        <w:rPr>
          <w:rFonts w:ascii="IRNazanin" w:hAnsi="IRNazanin" w:eastAsia="IRNazanin"/>
          <w:color w:val="111111"/>
          <w:sz w:val="28"/>
          <w:sz w:val="28"/>
          <w:szCs w:val="28"/>
          <w:rtl w:val="true"/>
          <w:lang w:bidi="fa-IR"/>
        </w:rPr>
        <w:t xml:space="preserve">، و غیره بأنّه طرف الساعد الداخل فی العضد، و قیل إنّه الحدّ المشترک بینهما کما عن المحقّق القمی فی الغنائم و استظهره من أهل اللغة أو نفس الطرفین المتداخلین، و استظهره أیضاً فی الغنائم من العرف و محاورات الشرع و من الفقهاء </w:t>
      </w:r>
      <w:r>
        <w:rPr>
          <w:rStyle w:val="FootnoteAnchor"/>
          <w:rtl w:val="true"/>
        </w:rPr>
        <w:footnoteReference w:id="681"/>
      </w:r>
      <w:r>
        <w:rPr>
          <w:rFonts w:ascii="IRNazanin" w:hAnsi="IRNazanin" w:eastAsia="IRNazanin"/>
          <w:color w:val="111111"/>
          <w:sz w:val="28"/>
          <w:sz w:val="28"/>
          <w:szCs w:val="28"/>
          <w:rtl w:val="true"/>
          <w:lang w:bidi="fa-IR"/>
        </w:rPr>
        <w:t>و الظاهر أنّه عین القول بأنّه مجمع الذراع و شیء من العضد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الظاهر عدم ترتّب ثمرة عملیّة للاختلاف المزبور حیث إنّه لا بدّ من غسل البشرة المحیطة بمجمع العظمین علی تقدیر دخول المرفق فی الحدّ، سواء قیل بأنّ المرفق اسم لنفس المجمع من عظم الساعد و العضد أو قیل بأنّه اسم لطرف الساعد الداخل فی العضد أو قیل بأنّه اسم للحدّ المشترک بینهما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إثبات کونه داخلاً فی الحدّ الواجب غسله بالأصالة، حیث إنّ الغایة المذکورة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داخلاً کالمبدإ فی الفعل کما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القرآن من أوله إلی آخره،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 بِعَبْدِهِ لَیْلاً مِنَ الْمَسْجِدِ الْحَرٰامِ إِلَی الْمَسْجِدِ الْأَقْصَی</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غسله بتمامه و شیء آخر من العضد من باب المقدّمة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تکون خارجة کما فی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 الروایات البیانیّة أنّه علیه السلام غسل یده من المرفق إلی الأصابع أو وضع الماء علی مرفقه الیمنی و نحو ذلک، فقد تقدّم وجه استظهاره التعیّن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منها غسل المرفق و لکن لا یستفاد منها کون لزوم غسله بالأصالة لا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بتعیّن غسل المرفق بالأصالة لما فی صحیحة زرارة المتقدّمة بعد ذکر حدّ الوجه الذی قال اللّٰه عزّ و جلّ و أمر بغسله، و حدّ غسل الیدین من المرفق إلی أطراف الأصابع فإنّ ظاهرها کما أنّ الغسل من قصاص الشعر إلی الذقن مقوّم للوضوء، کذلک الغسل فی الیدین من المرفق إلی أطراف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التسالم بین الأصحاب و ما یذکر فی تفسیر الآیة من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استعمالها فی معناها،بل المراد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یدخل فیه الغایة فی حکم المغیا و أنّ المذکور فی الآیة تحدید للمغسول لا بیان لکیفیّة غسله، و ما ورد فی أنّ تنزیلها فاغسلوا وجوهکم و أیدیکم من المرافق کون المراد من الغسل، الغسل من المرفق و إن لم یدلّ علیه اللفظ</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المستفاد من روایات الوضوءات البیانیّة أنّ الواجب من غسل الید غسل الید من المرفق إلی أطراف الأصابع، و أنّ مقتضی ما ورد فی ذیل 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زرارة بن أعین المحکیّة فی الفقیه تحدید غسل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المرفق إلی الأصابع </w:t>
      </w:r>
      <w:r>
        <w:rPr>
          <w:rStyle w:val="FootnoteAnchor"/>
          <w:rtl w:val="true"/>
        </w:rPr>
        <w:footnoteReference w:id="684"/>
      </w:r>
      <w:r>
        <w:rPr>
          <w:rFonts w:ascii="IRNazanin" w:hAnsi="IRNazanin" w:eastAsia="IRNazanin"/>
          <w:color w:val="111111"/>
          <w:sz w:val="28"/>
          <w:sz w:val="28"/>
          <w:szCs w:val="28"/>
          <w:rtl w:val="true"/>
          <w:lang w:bidi="fa-IR"/>
        </w:rPr>
        <w:t>، کون التحدید فیها بالإضافة إلی الیدین، کالتحدید فی صدرها بالإضافة إلی الوجه من قصاص الشعر إلی الذقن کون المبدأ و المنتهی داخلاً فی الغسل الواجب، و علیه بما أنّه لا یتّفق غسل المرفق عادة إما بالأقل أو الأکثر، یتعیّن فی إحراز غسل المرفق بتمامه غسل شیء زائد من العضد أی اختیار الأکثر و یحسب هذا من المقدّمة العلمیّة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ما ورد فی الوضوءات البیانیّة لا دلالة لها علی أنّ دخول المرفق فی الغسل بالأصالة أو للمقدّمة العلمیّة، و ما تقدّم من تحدید غسل الیدین بما فی ذیل صحیحة زرارة فهو أیضاً لا یمکن المساعدة علیه؛ لعدم إحراز کونه ذیلاً للصحیحة،بل من المحتمل لو لم نقل بظهوره فی کونه من کلام الصدوق حیث إنّ زرارة لم یسأل فیها إلّا عن حدّ الوجه الواجب غسله بأمر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أنّ الکلینی قدس سره </w:t>
      </w:r>
      <w:r>
        <w:rPr>
          <w:rStyle w:val="FootnoteAnchor"/>
          <w:rtl w:val="true"/>
        </w:rPr>
        <w:footnoteReference w:id="685"/>
      </w:r>
      <w:r>
        <w:rPr>
          <w:rFonts w:ascii="IRNazanin" w:hAnsi="IRNazanin" w:eastAsia="IRNazanin"/>
          <w:color w:val="111111"/>
          <w:sz w:val="28"/>
          <w:sz w:val="28"/>
          <w:szCs w:val="28"/>
          <w:rtl w:val="true"/>
          <w:lang w:bidi="fa-IR"/>
        </w:rPr>
        <w:t xml:space="preserve">قد روی الصحیحة بالمقدار الوارد فی الوسائل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حدّ الوجه لا یکون قرینة علی أنّ الإمام علیه السلام لم یتبع الجواب عنه بذکر حدّ الیدین و کیفیّة غسلهما، و اقتصار الکلینی علی ما أورده فی الوسائل لا یدلّ إلّا علی وصول الصحیحة إلیها بذلک المقدار أو أنّه لم ینقلها إلّا بذلک المقدار مع أنّ الفقیه قد نقل قبل حدّ غسل الیدین،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w:t>
      </w:r>
      <w:bookmarkStart w:id="370" w:name="pg12061_112618"/>
    </w:p>
    <w:p>
      <w:pPr>
        <w:pStyle w:val="BookText"/>
        <w:rPr/>
      </w:pPr>
      <w:bookmarkEnd w:id="370"/>
      <w:r>
        <w:rPr>
          <w:rFonts w:ascii="Amiri" w:hAnsi="Amiri" w:eastAsia="Amiri" w:cs="Amiri"/>
          <w:color w:val="111111"/>
          <w:sz w:val="28"/>
          <w:sz w:val="28"/>
          <w:szCs w:val="28"/>
          <w:rtl w:val="true"/>
          <w:lang w:bidi="ar-SA"/>
        </w:rPr>
        <w:t>و کلّ ما هو فی الحدّ یجب غسله و إن کان لحماً زائداً أو إصبعاً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أحاط به الشعر،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أحاط به الشعر فلیس للعباد أن یطلبوه و لا یبحثوا عنه، و لکن یجری علیه الماء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فهم صاحب الوسائل أنّ ما ذکر فی ذیل حدّ الوجه من لزوم غسل الشعر و عدم اعتبار غسل البشرة تحته روایة أُخری لزرارة و إنّ نقله فی ذیل حدّ الوجه فی الفقیه من قبیل الجمع بین الروایتین؛ و لذا نقل الذیل عن الصدوق بسنده عن زرارة، عن أبی جعفر علیه السلام من غیر أن یذکر فی حدیث کما هو دأبه فی موارد التقطیع فی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لم یحرز أنّ ما فی الفقیه من حدّ غسل الیدین من ذیل روایة زرارة، عن أبی جعفر علیه السلام یشکل إثبات اعتبار غسل نفس المرفق فی الوضوء أصالة لا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الإجماع و التسالم علی وجوب غسله فی الوضوء لا تفید فی المقام؛ لأنّه لم یظهر أنّ بید الأصحاب کان لاعتبار غسل المرفق غیر ما وصل إلینا من الروایات الواردة فی الوضوءات البیانیّة</w:t>
      </w:r>
      <w:r>
        <w:rPr>
          <w:rFonts w:eastAsia="IRNazanin" w:cs="IRNazanin"/>
          <w:color w:val="111111"/>
          <w:sz w:val="28"/>
          <w:szCs w:val="28"/>
          <w:rtl w:val="true"/>
          <w:lang w:bidi="fa-IR"/>
        </w:rPr>
        <w:t>.</w:t>
      </w:r>
    </w:p>
    <w:p>
      <w:pPr>
        <w:pStyle w:val="Heading5"/>
        <w:numPr>
          <w:ilvl w:val="4"/>
          <w:numId w:val="1"/>
        </w:numPr>
        <w:rPr/>
      </w:pPr>
      <w:bookmarkStart w:id="371" w:name="__RefHeading___Toc1723376_417432637"/>
      <w:bookmarkStart w:id="372" w:name="_Toc136"/>
      <w:bookmarkEnd w:id="371"/>
      <w:r>
        <w:rPr>
          <w:rtl w:val="true"/>
        </w:rPr>
        <w:t>حکم توابع الید</w:t>
      </w:r>
      <w:bookmarkEnd w:id="3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خلاف ظاهر معروف أو منقول و یقتضیه ما تقدّم من ظهور غسل الیدین کالوجه فی غسلهما بتوابعهما فإن قام دلیل علی خلاف ذلک کما فی الشعَر الکثیف من الوجه فیرفع الید عن الظهور المزبور و یؤخذ فی غیره بما تقدّم، و یستدلّ علی</w:t>
      </w:r>
      <w:bookmarkStart w:id="373" w:name="pg12061_112619"/>
    </w:p>
    <w:p>
      <w:pPr>
        <w:pStyle w:val="BookText"/>
        <w:rPr/>
      </w:pPr>
      <w:bookmarkEnd w:id="373"/>
      <w:r>
        <w:rPr>
          <w:rFonts w:ascii="IRNazanin" w:hAnsi="IRNazanin" w:eastAsia="IRNazanin"/>
          <w:color w:val="111111"/>
          <w:sz w:val="28"/>
          <w:sz w:val="28"/>
          <w:szCs w:val="28"/>
          <w:rtl w:val="true"/>
          <w:lang w:bidi="fa-IR"/>
        </w:rPr>
        <w:t>و یجب غسل الشعر مع البشرة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ورد فی صحیحة زرارة و بکیر بن أعین أنهما سألا أبا جعفر علیه السلام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أن یدع شیئاً من وجهه إلّا غسله و أمر بغسل الیدین إلی المرفقین فلیس له أن یدع من یدیه إلی المرفقین شیئاً إلّا غسله؛ لأنّ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العمدة الظهور المزبور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أن یدع من یدیه إلی المرفقین شیئاً ما یکون شیئاً، من الید بقرینة تعلیله علیه السلام لزوم الغسل المزبور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بین أن یکون الشیء الزائد خارجاً عن الحدّ، کما إذا کان إصبعه الزائد أطول من سائر الأصابع أو لم یکن خارجاً عنه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723378_417432637"/>
      <w:bookmarkStart w:id="375" w:name="_Toc137"/>
      <w:bookmarkEnd w:id="374"/>
      <w:r>
        <w:rPr>
          <w:rtl w:val="true"/>
        </w:rPr>
        <w:t>فی حکم الشعر علی الید و الأقطع</w:t>
      </w:r>
      <w:bookmarkEnd w:id="375"/>
    </w:p>
    <w:p>
      <w:pPr>
        <w:pStyle w:val="BookText"/>
        <w:rPr/>
      </w:pPr>
      <w:r>
        <w:rPr>
          <w:rFonts w:ascii="IRNazanin" w:hAnsi="IRNazanin" w:eastAsia="IRNazanin"/>
          <w:color w:val="111111"/>
          <w:sz w:val="28"/>
          <w:sz w:val="28"/>
          <w:szCs w:val="28"/>
          <w:rtl w:val="true"/>
          <w:lang w:bidi="fa-IR"/>
        </w:rPr>
        <w:t>قد تقدّم أنّ ظاهر الأمر بغسل الیدین غسلهما مع ما یتبعهما، و من التابع لهما الشعر النابت علیهما سواء کان خفیفاً کما هو الغالب أو کثیفاً و لو فی بعض موضع الید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کما أنّ الشعر المحیط للبشرة من الوجه یعتبر غسله فی الوضوء و لا یعتبر غسل بشرته کذلک فی الشعر المحیط من بشرة الیدین کما حکی ذلک عن کاشف الغطاء </w:t>
      </w:r>
      <w:r>
        <w:rPr>
          <w:rStyle w:val="FootnoteAnchor"/>
          <w:rtl w:val="true"/>
        </w:rPr>
        <w:footnoteReference w:id="689"/>
      </w:r>
      <w:r>
        <w:rPr>
          <w:rFonts w:ascii="IRNazanin" w:hAnsi="IRNazanin" w:eastAsia="IRNazanin"/>
          <w:color w:val="111111"/>
          <w:sz w:val="28"/>
          <w:sz w:val="28"/>
          <w:szCs w:val="28"/>
          <w:rtl w:val="true"/>
          <w:lang w:bidi="fa-IR"/>
        </w:rPr>
        <w:t>،بدعوی أنّ العموم فی صحیحة زرارة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w:t>
      </w:r>
    </w:p>
    <w:p>
      <w:pPr>
        <w:pStyle w:val="BookText"/>
        <w:rPr/>
      </w:pPr>
      <w:r>
        <w:rPr>
          <w:rFonts w:ascii="IRNazanin" w:hAnsi="IRNazanin" w:eastAsia="IRNazanin"/>
          <w:color w:val="111111"/>
          <w:sz w:val="28"/>
          <w:sz w:val="28"/>
          <w:szCs w:val="28"/>
          <w:rtl w:val="true"/>
          <w:lang w:bidi="fa-IR"/>
        </w:rPr>
        <w:t>و من قطعت یده من فوق المرفق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غسل العضد، و إن کان أولی، و کذا إن قطع تمام المرفق، و إن قطعت ممّا دون المرفق یجب علیه غسل ما بقی، فإن قطعت من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إخراج عظم الذراع من العضد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ما کان من العضد جزءاً من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قد تقدّم أنّ الصحیحة المزبورة ذیل للصحیحة الواردة فی تحدید الوجه الواجب غسله فی الوضوء علی ما أخرجها فی الفقیه </w:t>
      </w:r>
      <w:r>
        <w:rPr>
          <w:rStyle w:val="FootnoteAnchor"/>
          <w:rtl w:val="true"/>
        </w:rPr>
        <w:footnoteReference w:id="691"/>
      </w:r>
      <w:r>
        <w:rPr>
          <w:rFonts w:ascii="IRNazanin" w:hAnsi="IRNazanin" w:eastAsia="IRNazanin"/>
          <w:color w:val="111111"/>
          <w:sz w:val="28"/>
          <w:sz w:val="28"/>
          <w:szCs w:val="28"/>
          <w:rtl w:val="true"/>
          <w:lang w:bidi="fa-IR"/>
        </w:rPr>
        <w:t xml:space="preserve">، فالسؤال فیها راجع إلی الشعر المحیط للوجه، فالعموم فیها بلحاظ مواضع الحدّ من الوجه و علیه فلو لم یکن هذا أمراً ثابتاً و لا أقل من احتماله، و مجرّد إخراج الشیخ قدس سره الذیل </w:t>
      </w:r>
      <w:r>
        <w:rPr>
          <w:rStyle w:val="FootnoteAnchor"/>
          <w:rtl w:val="true"/>
        </w:rPr>
        <w:footnoteReference w:id="692"/>
      </w:r>
      <w:r>
        <w:rPr>
          <w:rFonts w:ascii="IRNazanin" w:hAnsi="IRNazanin" w:eastAsia="IRNazanin"/>
          <w:color w:val="111111"/>
          <w:sz w:val="28"/>
          <w:sz w:val="28"/>
          <w:szCs w:val="28"/>
          <w:rtl w:val="true"/>
          <w:lang w:bidi="fa-IR"/>
        </w:rPr>
        <w:t>بصورة روایة مستقلّة لا یمنع الظهور أو لا أقل من أنّه لا یمنع الاحتمال، حیث إنّ التقطیع من الشیخ قدس سره فی التهذیبین أمر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العموم المزبور لا یمکن الالتزام بعمومه بأن لا یعتبر غسل البشرة المحیط بها الشعر حتّی لو کان الغسل من الخبث فیقتصر علی المتیقن و هو الشعر المحیط لبشرة الوجه فی الغسل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یقطع تمام المرفق أو من فوق المرفق، و أُخری یقطع ممّا دون المرفق، و ثالثة یقطع من بعض المرفق،بحیث یبقی بعضه الآخر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 فقد ذکر قدس سره کما علیه المشهور،بل ذکر أنّه ممّا لا 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عدم وجوب غسل العضد و لا موضع القطع منه، و إن ذکر بعضهم کالماتن أنّ الغسل أولی، نعم نقل فی البیان </w:t>
      </w:r>
      <w:r>
        <w:rPr>
          <w:rStyle w:val="FootnoteAnchor"/>
          <w:rtl w:val="true"/>
        </w:rPr>
        <w:footnoteReference w:id="693"/>
      </w:r>
      <w:r>
        <w:rPr>
          <w:rFonts w:ascii="IRNazanin" w:hAnsi="IRNazanin" w:eastAsia="IRNazanin"/>
          <w:color w:val="111111"/>
          <w:sz w:val="28"/>
          <w:sz w:val="28"/>
          <w:szCs w:val="28"/>
          <w:rtl w:val="true"/>
          <w:lang w:bidi="fa-IR"/>
        </w:rPr>
        <w:t xml:space="preserve">عن المفید قدس سره تعیّن غسل العضد و هو المحکی عن الکاتب </w:t>
      </w:r>
      <w:r>
        <w:rPr>
          <w:rStyle w:val="FootnoteAnchor"/>
          <w:rtl w:val="true"/>
        </w:rPr>
        <w:footnoteReference w:id="694"/>
      </w:r>
      <w:r>
        <w:rPr>
          <w:rFonts w:ascii="IRNazanin" w:hAnsi="IRNazanin" w:eastAsia="IRNazanin"/>
          <w:color w:val="111111"/>
          <w:sz w:val="28"/>
          <w:sz w:val="28"/>
          <w:szCs w:val="28"/>
          <w:rtl w:val="true"/>
          <w:lang w:bidi="fa-IR"/>
        </w:rPr>
        <w:t>أیضاً و لعلّه لصحیحة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الأقطع الید و الرجل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ذلک المکان الذی قطع منه</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الأقطع؟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قطع منه</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لعلّهما روایة واحدة حصل الاختلاف فی ظهورهما من النقل فی المعنی، حیث إنّ ظاهر الأُولی غسل موضع القطع، و الثانیة غسل العضو المقطوع منه، و علیه فالمقدار المعلوم من مدلولها غسل موضع القطع، و لا بدّ من حمل الأمر بغسل موضع القطع فیما إذا کان فوق المرفق علی الاستحباب؛ لکون فوق المرفق خارج عن حدّ الید الواجب غسله، و لو التزم بکون غسل فوق المرفق بدل لزم الالتزام بوجوب غسل موضع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القطع من المنکب فیغسل موضع القطع منه بدلاً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الحال فی صحیحة محمد بن مسلم، عن أبی جعفر علیه 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سألته عن الأقطع الید و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الأمر بغسل الرجل إمّا محمول علی التقیّة، أو أنّ المراد به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القطع من المرفق بمعنی إخراج عظم الذراع عن العضد فقد ذکر جماعة أنّه یجب غسل ما کان من عظم العضد جزءاً من المرفق، و لکنّ الوجوب مبنیّ علی کون المرفق اسماً لمجموع العظمین من منتهی الساعد و مبدأ العضد، و أمّا بناءً علی أنّه رأس عظم الساعد أو کون وجوب غسل المرفق کان بالتبع لا بالأصالة فلا موجب لتعیّن غسله، نعم، ربّما یستدلّ علی وجوب غسله علی کلّ تقدیر استظهاراً من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قطعت یده من المرفق کیف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بقی من عضده</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الاستظهار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المرفق، و من 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لما بقی من المرفق، فتکون النتیجة لزوم غسل مبدأ العضد الباقی و لو کان المقطوع مجموع عظم الساعد و العضد علی ما تقدّم من الماتن أنّه المرفق لکان المتعیّن أن یقول بغسل عضده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القطع من دون المرفق فیجب غسل الباقی بلا خلاف معروف أو منقول لا لقاعدة المیسور، لیقال إنّه لم یثبت لها دلیل، و لا لاستصحاب اعتبار غسله لیقال إنّه لا بد من فرض القطع و إمکان غسل الباقی فی أثناء الوقت مضافاً إلی أنّه من الشبهة الحکمیة،بل الوجه التمسک بالإطلاق فی الآیة المبارکة فإنّ کل إنسان مکلّف</w:t>
      </w:r>
      <w:bookmarkStart w:id="376" w:name="pg12061_112623"/>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له ید زائدة دون المرفق وجب غسلها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له ید زائدة دون المرفق وجب غسلها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کاللحم الزائد، و إن کانت فوقه فإن علم زیادتها لا یجب غسلها و یکفی غسل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غسل یده إلی المرفق، و ید المقطوع من دون المرفق هو الباقی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الید تطلق علی الکفّ و قد تطلق إلی المرفق و قد تطلق إلی المنکب، و المراد بالآیة هو الثانی، و بما أنّ خطاب الأمر بغسل الوجه و الیدین انحلالی بالإضافة إلی کلّ مکلّف، فمع بقاء شیء من دون المرفق لمکلّف یصدق أنّ الباقی یده فیعمّه الأمر بغسله</w:t>
      </w:r>
      <w:r>
        <w:rPr>
          <w:rFonts w:eastAsia="IRNazanin" w:cs="IRNazanin"/>
          <w:color w:val="111111"/>
          <w:sz w:val="28"/>
          <w:szCs w:val="28"/>
          <w:rtl w:val="true"/>
          <w:lang w:bidi="fa-IR"/>
        </w:rPr>
        <w:t>.</w:t>
      </w:r>
    </w:p>
    <w:p>
      <w:pPr>
        <w:pStyle w:val="Heading5"/>
        <w:numPr>
          <w:ilvl w:val="4"/>
          <w:numId w:val="1"/>
        </w:numPr>
        <w:rPr/>
      </w:pPr>
      <w:bookmarkStart w:id="377" w:name="__RefHeading___Toc1723380_417432637"/>
      <w:bookmarkStart w:id="378" w:name="_Toc138"/>
      <w:bookmarkEnd w:id="377"/>
      <w:r>
        <w:rPr>
          <w:rtl w:val="true"/>
        </w:rPr>
        <w:t>فی حکم الید الزائدة</w:t>
      </w:r>
      <w:bookmarkEnd w:id="378"/>
    </w:p>
    <w:p>
      <w:pPr>
        <w:pStyle w:val="BookText"/>
        <w:rPr/>
      </w:pPr>
      <w:r>
        <w:rPr>
          <w:rFonts w:ascii="IRNazanin" w:hAnsi="IRNazanin" w:eastAsia="IRNazanin"/>
          <w:color w:val="111111"/>
          <w:sz w:val="28"/>
          <w:sz w:val="28"/>
          <w:szCs w:val="28"/>
          <w:rtl w:val="true"/>
          <w:lang w:bidi="fa-IR"/>
        </w:rPr>
        <w:t>لما تقدّم من أنّ ظاهر الأمر بغسل الید کالأمر بغسل الوجه غسلها مع توابعها، و بتعبیر آخر الید الزائدة ممّا دون المرفق کاللحم الزائد فی الید فی أنّ متعلق الأمر غسلها بتوابعها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ذلک بما فی صحیحة زرارة و بکیر بن أعین عن أبی جعفر علیه السلام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بغسل الیدین إلی المرفقین فلیس له أن یدع من یدیه إلی المرفقین شیئاً إلّا غسله</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و ما تقدّم من أنّ تعلیل الحکم المذکور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700"/>
      </w:r>
      <w:r>
        <w:rPr>
          <w:rFonts w:ascii="IRNazanin" w:hAnsi="IRNazanin" w:eastAsia="IRNazanin"/>
          <w:color w:val="111111"/>
          <w:sz w:val="28"/>
          <w:sz w:val="28"/>
          <w:szCs w:val="28"/>
          <w:rtl w:val="true"/>
          <w:lang w:bidi="fa-IR"/>
        </w:rPr>
        <w:t>لا یوجب إلّا اختصاص الشیء بما کان من الید و المفروض أنّ الزائد من جزء الید و إن یطلق علیه الزیادة بملاحظة الأیدی من غالب المکلفین فإن لم یتمّ ما تقدّم من ظهور غسل الید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بتوابعها فیمکن الوجوب من الصحیحة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الید الزائدة لا تعدّ من توابع الید،بل تحسب زائدة و الأمر بغسل الید فی الآیة المبارکة بقرینة تحدیدها إلی المرفق لا تعمّ الید المزبورة المتّصلة بعظم الساعد مثلاً، و أوضح من ذلک ما إذا کانت الید الزائدة ممّا فوق المرفق متّصلاً بعظم العضد و کما أنّ الید المزبورة خارجة عن المفروضة فی الآیة کذلک الموجودة من دون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الدخیل فی الوضوء غسل الیدین من کلّ مکلف و لو وجب غسل کلّ من الید الأصلیّة و الزائدة لکان الداخل فی الوضوء غسل الأیدی الثلاث من مکلّف واحد، و لکن لا یخفی ما فیه فإنّ الدخیل فی الوضوء غسل الید الیمنی أو الیسری إلی المرفق و إذا کانت الید الیمنی إلی المرفق من مکلّف مشتملة علی الید الزائدة فمقتضی الآیة المبارکة و غیرها غسل یمناه إلی المرفق بتوابعه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الالتزام بأنّ أیّ مقدار من الید الزائدة من دون المرفق لا یتبع الید الأصلیّة لا یمکن المساعدة علیه، و احتمال لزوم الغسل بمقدار یتصل بالساعد دون الباقی بعید جدّاً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یمکن دعوی أنّ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یعمّ تمام ما یکون فی الحدّ المزبور، سواء کان جزءاً أصلیّاً أو زائداً بالإضافة إلی الید من غالب المکلّفین، نعم، إذا کانت الزائدة ممّا فوق المرفق فلا تدخل تلک فی الآیة و لا فی الصحیحة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یعلم الزائدة من الأصلیّة وجب غسلهما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مسح الرأس و الرجل بهما من باب الاحتیاط، و إن کانتا أصلیتین یجب غسلهما أیضاً و یکفی المسح بإحداهما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الیدین إذا اتصلتا بالمرفق بأن لا تمتاز إحداهما عن الأُخری بأن کان لکلّ منهما ساعد و کفّ و یتّصل ساعدهما بالعضد بالمرفق الواحد فتمییز إحداهما بالأصالة و الأُخری بالزائدة، یقال بالأثر للید من القوة و البطش، فإن اختصّ هذا الأثر بإحداهما تکون أصلیّة و الأُخری زائدة، و أمّا إذا کان کلّ منهما علی حدّ سواء من حیث الأثر تکونا أصلیتین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إحداهما أصلیّة و الأُخری زائدة و اشتبهت الزائدة بالأصلیّة یجب الجمع فی مسح الرأس و الرجلین بکلّ منهما من باب المقدّمة العلمیّة بعد غسل کل منهما من باب المقدّمة العلمیّة أیضاً، و مع عدم الاشتباه و کونهما أصلیتین یجب غسل کلّ منهما بالأصالة؛ لکون کلّ منهما یداً، و یکفی مسح الرأس و الرجل بإحداهما لحصول مسمّی المسح بالمسح بإحداهما، و لکن لا یخفی ما فیه فإنّ مع کون الیدین المتصلتین علی المرفق بشکل واحد و تمیّز الأصلیّة عن الزائدة بالقوة و البطش من أثر الید لا یقع الاشتباه حتّی یحتاج إلی المقدّمة العلمیّة، و مع تساویهما فی الأثر فتکونا بالأصالة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الاشتباه فرضه کما تری و یمکن أن یقال إنّ المراد من اشتباه الأصلیّة بالزائدة أن یمتاز کلّ منهما عن الأُخری ببعض خصوصیات للید من الآخرین بحیث یحتمل معه فی کلّ منهما الأصلیّة و الزیادة فیتعیّن فی الفرض غسلهما من باب المقدّمة العلمیّة و المسح بهما کذلک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لکلّ منهما تمام خصوصیات الید أو لم یکن لشیء منهما تلک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الخصوصیّات یجب غسلهما بالأصالة و یکفی مسح الرأس أو الرجل بإحداهما هذا مع الإغماض عن أنّه لا فرق فی اختلافهما فی الأثر فی صدق الید علی کلّ منهما سواء کانتا متساویتین فی الأثر أم لا فیجب غسل کلّ منهما إلی المرفق، و یشهد لذلک صدق الید علی الید المشلولة، و قد تقدّم أنّ مقتضی الآیة المبارکة غسل الید إلی المرفق سواء کانت واحدة أو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یمکن دعوی أنّ الید الزائدة إذا کانت من فوق المرفق أیضاً فمع صدق الید علیه حقیقة یتعین غسلها و لا یضرّ عدم المرفق له فإنّ کون الید زائدة فهو بالإضافة إلی الآخرین، و أمّا نفس ذی الأیدی فله أیدی ثلاث فیجب علیه غسلها و عدم المرفق لإحدی أیدیه نظیر المکلّف الذی له یدان و لکن لیس لإحدی یدیه أو لکل منهما مرفق فإنّه کما یجب علیه غسل یدیه إلی مقدار المرفق من السائرین فکذلک ذی الأیدی الثلاث، و ما فی الآیة من التحدید إلی المرفق تحدید لمقدار المغسول لا لتحدید الغسل، و لکن لا یخفی ما فیه فإنّه لا یستفاد من الآیة إلّا الغسل علی من لیده 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ذی المرفق فلا بدّ من إثبات وجوب الغسل إلی موضع المرفق علی الآخرین من العلم بعدم وجوب سقوط الصلاة عنه و عدم مشروعیة التیمم فی حقّه بخلاف ذی الأیدی الثلاث، فإنّ کون الیدین متّصلتین إلی مرفق واحد أو کونه ذا مرفقین فی عضد واحد یکون کلّ من أیدیها داخلاً فی مدلول الآیة المبارکة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بالإضافة إلی إحداها مرفقاً کما إذا کانت متّصلة بموضع من عضده فلیس للآیة المبارکة دلالة علی اعتبار غسلها حتّی مع الالتزام بأنّ التحدید فی الآیة للمغسول لا للغسل کما التزمنا به، کما لا دلیل لا منها و لا من غیرها دلالة علی</w:t>
      </w:r>
      <w:bookmarkStart w:id="379" w:name="pg12061_11262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تحت الأظفار إذا لم یکن زائداً علی المتعارف لا یجب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تحت الأظفار إذا لم یکن زائداً علی المتعارف لا یجب إزالته إلّا إذا کان ما تحته معدوداً من الظاهر، فإنّ الأحوط إزالته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زائداً علی المتعارف وجبت إزالته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قصّ أظفاره فصار ما تحتها ظاهراً وجب غسله بعد إزالة الوسخ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شبه الید بلا عضد و لا ذراع متّصل بالمنکب من موضع العضد، کما یتّفق فی بعض من یکون ناقصاً من حیث الید فی یمینه و شماله</w:t>
      </w:r>
      <w:r>
        <w:rPr>
          <w:rFonts w:eastAsia="IRNazanin" w:cs="IRNazanin"/>
          <w:color w:val="111111"/>
          <w:sz w:val="28"/>
          <w:szCs w:val="28"/>
          <w:rtl w:val="true"/>
          <w:lang w:bidi="fa-IR"/>
        </w:rPr>
        <w:t>.</w:t>
      </w:r>
    </w:p>
    <w:p>
      <w:pPr>
        <w:pStyle w:val="Heading5"/>
        <w:numPr>
          <w:ilvl w:val="4"/>
          <w:numId w:val="1"/>
        </w:numPr>
        <w:rPr/>
      </w:pPr>
      <w:bookmarkStart w:id="380" w:name="__RefHeading___Toc1723382_417432637"/>
      <w:bookmarkStart w:id="381" w:name="_Toc139"/>
      <w:bookmarkEnd w:id="380"/>
      <w:r>
        <w:rPr>
          <w:rtl w:val="true"/>
        </w:rPr>
        <w:t>فی الوسخ تحت الأظفار</w:t>
      </w:r>
      <w:bookmarkEnd w:id="381"/>
    </w:p>
    <w:p>
      <w:pPr>
        <w:pStyle w:val="BookText"/>
        <w:rPr/>
      </w:pPr>
      <w:r>
        <w:rPr>
          <w:rFonts w:ascii="IRNazanin" w:hAnsi="IRNazanin" w:eastAsia="IRNazanin"/>
          <w:color w:val="111111"/>
          <w:sz w:val="28"/>
          <w:sz w:val="28"/>
          <w:szCs w:val="28"/>
          <w:rtl w:val="true"/>
          <w:lang w:bidi="fa-IR"/>
        </w:rPr>
        <w:t>ظاهر کلامه قدس سره أنّه إذا کان بعض الوسخ المتعارف تحت الأظفار فی الموضع الظاهر من رءوس الأنامل فالأحوط إزالة ذلک الوسخ لیغسل البشرة من ذلک الموضع الظاهر، و التعبیر بالأحوط دون الحکم بلزوم الإزالة لما یذکر من السیرة الجاریة من غالب المتشرعة فی عدم الاعتناء بالوسخ القلیل تحت الأظفار حتّی فیما إذا کان تحتها معدوداً من الظاهر کما یتّفق ممّن یطیل أظفاره، و هذا بخلاف ما إذا کان الوسخ کثیراً خارجاً عن المتعارف فإنّهم یعتنون بإزالة الوسخ الکثیر، أضف إلی ذلک عدم التعرّض فی شیء من الروایات لإزالة ذلک الوسخ، و لکن لا یخفی أنّ إثبات السیرة المتشرّعة علی ذلک لا یخلو عن صعوبة خصوصاً ممّا یری فی کثیر من مثل العمال بعدم اعتنائهم بالوسخ القلیل تحت أظفارهم أو سائر مواضع أیدیهم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یوهم عبارته قدس سره أنّ الوسخ إذا کان کثیراً یجب إزالته حتّی فیما إذا کان موضعه من البواطن و لکن لا وجه له، فإنّ الوسخ المزبور کالوسخ فی باطن الأنف و إزالة الوسخ لغسل البشرة و مع کونه فی الباطن ینتفی اعتبار غسله، نعم إذا قصّ</w:t>
      </w:r>
      <w:bookmarkStart w:id="382" w:name="pg12061_112628"/>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إلی الزندین و الاکتفاء عن غسل الکفین بالغسل المستحبّ قبل الوجه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 بین العوام من غسل الیدین إلی الزندین و الاکتفاء عن غسل الکفین بالغسل المستحبّ قبل الوجه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لحم من الیدین وجب غسل ما ظهر بعد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لحم من الیدین وجب غسل ما ظهر بعد القطع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غسل ذلک اللحم أیضاً ما دام لم ینفصل، و إن کان اتّصاله بجلدة رقیقة، و لا یجب قطعه أیضاً لیغسل ما تحت تلک الجلدة و إن کان أحوط لو عدّ ذلک اللحم شیئاً خارجیّاً و لم یحسب جزءاً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الأظفار و صار ذلک الموضع ظاهراً وجب إزالته لغسل ذلک الموضع الذی صار ظاهراً</w:t>
      </w:r>
      <w:r>
        <w:rPr>
          <w:rFonts w:eastAsia="IRNazanin" w:cs="IRNazanin"/>
          <w:color w:val="111111"/>
          <w:sz w:val="28"/>
          <w:szCs w:val="28"/>
          <w:rtl w:val="true"/>
          <w:lang w:bidi="fa-IR"/>
        </w:rPr>
        <w:t>.</w:t>
      </w:r>
    </w:p>
    <w:p>
      <w:pPr>
        <w:pStyle w:val="Heading5"/>
        <w:numPr>
          <w:ilvl w:val="4"/>
          <w:numId w:val="1"/>
        </w:numPr>
        <w:rPr/>
      </w:pPr>
      <w:bookmarkStart w:id="383" w:name="__RefHeading___Toc1723384_417432637"/>
      <w:bookmarkStart w:id="384" w:name="_Toc140"/>
      <w:bookmarkEnd w:id="383"/>
      <w:r>
        <w:rPr>
          <w:rtl w:val="true"/>
        </w:rPr>
        <w:t>ترک غسل الکف مع الید</w:t>
      </w:r>
      <w:bookmarkEnd w:id="384"/>
    </w:p>
    <w:p>
      <w:pPr>
        <w:pStyle w:val="BookText"/>
        <w:rPr/>
      </w:pPr>
      <w:r>
        <w:rPr>
          <w:rFonts w:ascii="IRNazanin" w:hAnsi="IRNazanin" w:eastAsia="IRNazanin"/>
          <w:color w:val="111111"/>
          <w:sz w:val="28"/>
          <w:sz w:val="28"/>
          <w:szCs w:val="28"/>
          <w:rtl w:val="true"/>
          <w:lang w:bidi="fa-IR"/>
        </w:rPr>
        <w:t>تقدّم أنّ الواجب فی غسل الیدین غسل کلّ منهما من المرفق إلی أطراف الأصابع، و قد تضمّنت بعض الأخبار الواردة فی الوضوءات البیانیّة من وضعه علیه السلام الماء علی مرفقه فمرّ کفّه علی ساعده حتّی جری الماء علی أطراف أصابعه، کما تضمّنت الأخبار اعتبار کون المسح ببلّة الوضوء فی الکفّین، و مقتضی کلّ ذلک اعتبار غسل کلّ من الیدین من المرفقین إلی أطراف الأصابع منهما، و مع ترک ذلک بما هو أشار إلیه الماتن یحکم ببطلان الوضوء، و قد ورد فی صحیحة زرارة و بکیر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یدع من یدیه إلی المرفقین شیئاً إلّا غسله</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723386_417432637"/>
      <w:bookmarkStart w:id="386" w:name="_Toc141"/>
      <w:bookmarkEnd w:id="385"/>
      <w:r>
        <w:rPr>
          <w:rtl w:val="true"/>
        </w:rPr>
        <w:t>فی اللحم المقطوع</w:t>
      </w:r>
      <w:bookmarkEnd w:id="38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الواجب فی الوضوء غسل ظاهر الأعضاء علی ما تقدّم فی عدم اعتبار</w:t>
      </w:r>
      <w:bookmarkStart w:id="387" w:name="pg12061_112629"/>
    </w:p>
    <w:p>
      <w:pPr>
        <w:pStyle w:val="BookText"/>
        <w:rPr/>
      </w:pPr>
      <w:bookmarkEnd w:id="3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الشقوق التی تحدث علی ظهر الکفّ من جهة البرد إن کانت وسیعة یری جوفها وجب إیصال الماء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الشقوق التی تحدث علی ظهر الکفّ من جهة البرد إن کانت وسیعة یری جوفها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إیصال الماء فیها و إلّا فلا، و مع الشک لا یجب عملاً بالاستصحاب و إن کان الأحوط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باطن الأنف و مطبق الشفتین و لا فرق فی صدق الظاهر کونه ظاهراً من الأول أو صار ظاهراً بقاءً کما فی موضع القطع من الید، و علیه إذا انقطع لحم من الیدین غسل ما ظهر من موضع ذلک اللحم، و لیس المراد من صیرورته ظاهراً مجرّد کونه بحیث یری،بل المراد أنّه یعدّ ذلک الموضع کسائر مواضع العضو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اللحم المقطوع غیر منفصل فإنّه ما دام لم ینفصل یجب غسله أیضاً و لو کان اتّصاله بموضعه بجلدة رقیقة، فإنّ المقطوع و إن یخرج بالقطع من جزء الجسد إلّا أنّه من توابعه، و قد تقدّم أنّ ظاهر الأمر بغسل عضو غسله بتوابعه ما لم تقم القرینة علی خلاف ذلک، نعم موضع الجلدة الرقیقة من الباطن؛ و لذا لا یجب قطع اللحم المزبور حتّی یظهر ما تحت تلک الجلدة حتّی لو ادّعی أنّ اللحم المقطوع یعدّ شیئاً خارجیّاً فإنّ کونه شیئاً خارجیّاً أثره عدم وجوب غسله لا دخول ما تحت الجلدة فی عنوان الظاهر حتّی یجب قطع اللحم بتلک الجلدة مقدّمة لإیصال الماء تحت الجلدة، فقد ظهر أنّ مجرّد عدّ اللحم المقطوع شیئاً خارجیاً لا یوجب کون موضع الجلدة محسوباً من الظاهر لیقال إنّ اللحم المزبور مانع عن وصول الماء إلی ذلک الظاهر فیقطع لرفع الحاجب عن ذلک الموضع الظاهر</w:t>
      </w:r>
      <w:r>
        <w:rPr>
          <w:rFonts w:eastAsia="IRNazanin" w:cs="IRNazanin"/>
          <w:color w:val="111111"/>
          <w:sz w:val="28"/>
          <w:szCs w:val="28"/>
          <w:rtl w:val="true"/>
          <w:lang w:bidi="fa-IR"/>
        </w:rPr>
        <w:t>.</w:t>
      </w:r>
    </w:p>
    <w:p>
      <w:pPr>
        <w:pStyle w:val="Heading5"/>
        <w:numPr>
          <w:ilvl w:val="4"/>
          <w:numId w:val="1"/>
        </w:numPr>
        <w:rPr/>
      </w:pPr>
      <w:bookmarkStart w:id="388" w:name="__RefHeading___Toc1723388_417432637"/>
      <w:bookmarkStart w:id="389" w:name="_Toc142"/>
      <w:bookmarkEnd w:id="388"/>
      <w:r>
        <w:rPr>
          <w:rtl w:val="true"/>
        </w:rPr>
        <w:t>حکم الشقوق علی ظهر الکف</w:t>
      </w:r>
      <w:bookmarkEnd w:id="38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مجرّد سعة الشقوق و رؤیة جوفها لا یوجب دخولها فی الظاهر المأمور بغسلها و خروجها عن عنوان الجوف و الباطن علی ما یشهد لاعتبار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 عدم وجوب غسل الجوف روایة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علیک أن تغسل ما ظهر</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ما ورد فی نفی اعتبار المضمضة و الاستنشاق فی الوضوء معللاً بکونهما من الجوف و غیر ذلک ممّا تقدّم، أ لا تری أنّه لو قصّ مقدار من بعض الأنف و یری جوفه فلا یدخل ذلک الجوف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شک فی کون الشقاق الحادث من الجوف أو من الظاهر بالشبهة المفهومیّة یکون المرجع فی وجوب إیصال الماء فیها إلی البراءة و لا مجال لاستصحاب کونه من الجوف و الباطن؛ لأنّ الاستصحاب لا مجری له فی الشبهة المفهومیّة، و هذا بناءً علی ما هو الصحیح من أنّ الوضوء اسم لنفس الغسل و المسح لا الطهارة المسببة منهما، و إلّا لکان المرجع هو الاشتغال و لزوم إحراز الطهارة، و لو فرض أنّ الشبهة مصداقیّة فلا بأس باستصحاب عدم کون الموضع المفروض من الظاهر و بقائه علی کونه جوفاً فیترتّب علی ذلک عدم اعتبار غسله، نعم، لو قیل بأنّ الطهارة المشروطة بها الصلاة و نحوها أمر تکوینی یحصل بالوضوء فلا یبقی مجال أیضاً للاستصحاب المزبور کما لا یخفی وجهه علی المتدبّر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وصول النوبة إلی الأصل العملی و لکن عدم وصول النوبة إلیه فی مورد الشبهة المفهومیّة للجوف فإنّ مقتضی ظاهر قوله علیه السلام فی صحیحة زرارة و بکیر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یدع من یدیه إلی المرفقین شیئاً إلّا غسله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غسل کلّ شیء قابل للغسل فی الحدّ المزبور کما أنّ الأمر بغسل الوجه أیضاً کذلک،بل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یعلو البشرة مثل الجدری عند الاحتراق ما دام باقیاً یکفی غسل 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انخرق، و لا یجب إیصال الماء تحت الجلدة،بل لو قطع بعض الجلدة و بقی البعض الآخر یکفی غسل ظاهر ذلک البعض و لا یجب قطعه بتمامه، و لو ظهر ما تحت الجلدة بتمامه لکنّ الجلدة متصلة قد تلزق و قد لا تلزق یجب غسل ما تحتها، و إن کانت لازقة یجب رفعها أو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ذلک من نفس الآیة المبارکة الدالّة علی غسل الوجه و الیدین، غایة الأمر یرفع الید عن الإطلاق المزبور بالإضافة إلی ما هو الجوف یقیناً علی ما هو المقرر فی محلّه من أنّه فی موارد إجمال المقیّد المفصّل یرجع إلی الإطلاق فی خطاب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الوضوء غسل الظاهر و کما أنّ شمول الجوف للمشکوک غیر محرز کذلک شمول معنی الظاهر له لیحکم بوجوب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شمول معنی الظاهر للمفروض مشکوک و لکن إجماله لا یمنع عن الأخذ بمثل صحیحة زرارة و بکیر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یدع شیئاً من یدیه إلی المرفقین شیئاً إلّا غسله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لأنّ فی مورد إجمال دلیل الحاکم یؤخذ بظاهر خطاب المحکوم علی ما تقرّر فی بحث الأُصول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الظاهر من البشرة فعلاً ما یعلو مثل الجدری دون ما تحته حتّی ما لو انخرق فإن انخراقه کالانخراق فی موضع الحلقة من الأنف،بل مع الانخراق لا یعتبر إیصال الماء تحت الجلدة، و لو قطع بعض الجلدة و ظهر ما تحتها و بقی بعضها الآخر یعتبر الغسل فیما ظهر بانقطاع الجلدة و تکون الجلدة فی المقدار الباقی الظاهر من بشرته</w:t>
      </w:r>
      <w:r>
        <w:rPr>
          <w:rFonts w:eastAsia="IRNazanin" w:cs="IRNazanin"/>
          <w:color w:val="111111"/>
          <w:sz w:val="28"/>
          <w:szCs w:val="28"/>
          <w:rtl w:val="true"/>
          <w:lang w:bidi="fa-IR"/>
        </w:rPr>
        <w:t>.</w:t>
      </w:r>
      <w:bookmarkStart w:id="390" w:name="pg12061_112632"/>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ینجمد علی الجرح عند البرء و یصیر کالجلد لا یجب 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ینجمد علی الجرح عند البرء و یصیر کالجلد لا یجب رفعه و إن حصل البرء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غسل ظاهره و إن کان رفعه سهلاً، و أمّا الدواء الذی انجمد علیه و صار کالجلد فما دام لم یمکن رفعه یکون بمنزلة الجبیرة یکفی غسل ظاهره و إن أمکن رفعه بسهولة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ظهر تمام ما تحت الجلدة و کانت الجلدة متّصلة قد تلزق الجلدة و قد لا تلزق یجب غسل ما تحت الجلدة الظاهرة علی ما تقدّم فی اللحم المقطوع، نعم یجری علی موضع اتّصال الجلدة ما تقدّم فی موضع اتّصال اللحم المقطوع بالجلدة، و مجرد التزاق الجلدة بعضاً لا یوجب الفرق بینهما فیجب رفعها و قطعها مع التزاقها عند الوضوء حیث یحسب التزاقها فی البعض من الحجب لما تحتها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لازم کون الجلدة حاجباً أن لا یتعیّن غسل نفس الجلدة ما دامت متّصلة لکونها من توابع الید ما دام لم ینفصل نظیر الشعر الکثیف علی بعض مواضع الید فإنّه یجب إیصال الماء تحته مع لزوم غسل الشعر المزبور</w:t>
      </w:r>
      <w:r>
        <w:rPr>
          <w:rFonts w:eastAsia="IRNazanin" w:cs="IRNazanin"/>
          <w:color w:val="111111"/>
          <w:sz w:val="28"/>
          <w:szCs w:val="28"/>
          <w:rtl w:val="true"/>
          <w:lang w:bidi="fa-IR"/>
        </w:rPr>
        <w:t>.</w:t>
      </w:r>
    </w:p>
    <w:p>
      <w:pPr>
        <w:pStyle w:val="Heading5"/>
        <w:numPr>
          <w:ilvl w:val="4"/>
          <w:numId w:val="1"/>
        </w:numPr>
        <w:rPr/>
      </w:pPr>
      <w:bookmarkStart w:id="391" w:name="__RefHeading___Toc1723390_417432637"/>
      <w:bookmarkStart w:id="392" w:name="_Toc143"/>
      <w:bookmarkEnd w:id="391"/>
      <w:r>
        <w:rPr>
          <w:rtl w:val="true"/>
        </w:rPr>
        <w:t>ما ینجمد علی الجرح</w:t>
      </w:r>
      <w:bookmarkEnd w:id="392"/>
    </w:p>
    <w:p>
      <w:pPr>
        <w:pStyle w:val="BookText"/>
        <w:rPr/>
      </w:pPr>
      <w:r>
        <w:rPr>
          <w:rFonts w:ascii="IRNazanin" w:hAnsi="IRNazanin" w:eastAsia="IRNazanin"/>
          <w:color w:val="111111"/>
          <w:sz w:val="28"/>
          <w:sz w:val="28"/>
          <w:szCs w:val="28"/>
          <w:rtl w:val="true"/>
          <w:lang w:bidi="fa-IR"/>
        </w:rPr>
        <w:t>فإنّ المنجمد علی الجرح کسائر ما یعلو عن العضو یحسب جزءاً ما دام لم ینفصل بالقطع أو بغیره فیکون غسله کغسل سائر مواضع العضو، سواء کان فصله صعباً أو سهلاً،بخلاف الدواء المنجمد علی العضو فإنّه یجری علی الدواء المزبور حکم الجبیرة کما دلّ علیه مثل صحیحة الحسن بن علی الوشاء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الحسن علیه السلام عن الدواء إذا کان علی یدی الرجل أ یجزیه أن یمسح علی طلا الدواء؟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یجزیه أن یمسح علیه</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یأتی فی الجبائر أنّه یتعیّن رفعها</w:t>
      </w:r>
      <w:bookmarkStart w:id="393" w:name="pg12061_112633"/>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علی البشرة إن لم یکن جرماً مرئیاً لا یجب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الوسخ علی البشرة إن لم یکن جرماً مرئیاً لا یجب إزالته و إن کان عند المسح بالکیس فی الحمام أو غیره یجتمع و یکون کثیراً ما دام یصدق علیه غسل البشرة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مثل البیاض الذی یتبیّن علی الید من الجصّ أو النورة إذا کان یصل الماء إلی ما تحته و یصدق معه غسل البشرة، نعم لو شک فی کونه حاجباً أم لا وجب إزالته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الذی لا یحصل له القطع بالغسل یرجع إلی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الوسواسی الذی لا یحصل له القطع بالغسل یرجع إلی المتعارف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رفعها میسوراً</w:t>
      </w:r>
      <w:r>
        <w:rPr>
          <w:rFonts w:eastAsia="IRNazanin" w:cs="IRNazanin"/>
          <w:color w:val="111111"/>
          <w:sz w:val="28"/>
          <w:szCs w:val="28"/>
          <w:rtl w:val="true"/>
          <w:lang w:bidi="fa-IR"/>
        </w:rPr>
        <w:t>.</w:t>
      </w:r>
    </w:p>
    <w:p>
      <w:pPr>
        <w:pStyle w:val="Heading5"/>
        <w:numPr>
          <w:ilvl w:val="4"/>
          <w:numId w:val="1"/>
        </w:numPr>
        <w:rPr/>
      </w:pPr>
      <w:bookmarkStart w:id="394" w:name="__RefHeading___Toc1723392_417432637"/>
      <w:bookmarkStart w:id="395" w:name="_Toc144"/>
      <w:bookmarkEnd w:id="394"/>
      <w:r>
        <w:rPr>
          <w:rtl w:val="true"/>
        </w:rPr>
        <w:t>حکم الوسخ علی البشرة</w:t>
      </w:r>
      <w:bookmarkEnd w:id="395"/>
    </w:p>
    <w:p>
      <w:pPr>
        <w:pStyle w:val="BookText"/>
        <w:rPr/>
      </w:pPr>
      <w:r>
        <w:rPr>
          <w:rFonts w:ascii="IRNazanin" w:hAnsi="IRNazanin" w:eastAsia="IRNazanin"/>
          <w:color w:val="111111"/>
          <w:sz w:val="28"/>
          <w:sz w:val="28"/>
          <w:szCs w:val="28"/>
          <w:rtl w:val="true"/>
          <w:lang w:bidi="fa-IR"/>
        </w:rPr>
        <w:t>قد تقدّم أنّ المعتبر فی الوضوء غسل الوجه و الیدین و یحصل غسلهما بوصول الماء إلی البشرة و جریانه علیها، و علیه یحصل هذا الغسل المعتبر مع عدم کون الوسخ مانعاً عن وصول الماء إلی البشرة سواء کان الوسخ بحیث یجتمع علی تقدیر المسح بالکیس فی الحمام أو غیره، أو کان مثل البیاض الذی یتبیّن علی الید من الجصّ و نحوه، و سواء یری الوسخ کاللون للبشرة أو یری له جرمیّة و لکن بحیث لا یمنع عن وصول الماء إلی البشرة و مع احتمال کونه مانعاً عن وصوله مع رؤیة الجرمیّة له لتعیّن إزالته من باب المقدّمة و إحراز غسل البشرة المعتبر فی الوضوء و الغسل</w:t>
      </w:r>
      <w:r>
        <w:rPr>
          <w:rFonts w:eastAsia="IRNazanin" w:cs="IRNazanin"/>
          <w:color w:val="111111"/>
          <w:sz w:val="28"/>
          <w:szCs w:val="28"/>
          <w:rtl w:val="true"/>
          <w:lang w:bidi="fa-IR"/>
        </w:rPr>
        <w:t>.</w:t>
      </w:r>
    </w:p>
    <w:p>
      <w:pPr>
        <w:pStyle w:val="Heading5"/>
        <w:numPr>
          <w:ilvl w:val="4"/>
          <w:numId w:val="1"/>
        </w:numPr>
        <w:rPr/>
      </w:pPr>
      <w:bookmarkStart w:id="396" w:name="__RefHeading___Toc1723394_417432637"/>
      <w:bookmarkStart w:id="397" w:name="_Toc145"/>
      <w:bookmarkEnd w:id="396"/>
      <w:r>
        <w:rPr>
          <w:rtl w:val="true"/>
        </w:rPr>
        <w:t>وضوء الوسواسی</w:t>
      </w:r>
      <w:bookmarkEnd w:id="3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أنّه لا یجب علی الوسواسی غیر الغسل الذی یصدر عن متعارف الناس حیث لا یعتبر فی وضوئه إلّا الغسل المعتبر من متعارف الناس،بل لو شکّ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نفذت شوکة فی الید أو غیرها من مواضع الوضوء أو الغسل لا یجب إخراجها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نفذت شوکة فی الید أو غیرها من مواضع الوضوء أو الغسل لا یجب إخراجها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محلّها علی فرض الإخراج محسوباً من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الغسل الصادر عن سائر الناس حصل منه و لم یحصل له الاطمینان بحصوله فإن کان شکّه بما هو وسواس فلا اعتبار به فی جریان الاستصحاب فی ناحیة عدم حصوله، و لا یعتبر فی حقّه الاطمئنان بحصوله لا لانصراف الشکّ فی خطابات الاستصحاب إلی الشکّ من متعارف الناس حتّی یقال إنّ الانصراف غیر محرز،بل لعموم فی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مبتلی بالوضوء و الصلاة،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عاقل،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حصل له شک کما إذا لم یحرک خاتمه الضیق فی إصبعه، و احتمل عدم وصول الماء تحته فلا بدّ له من الاعتناء، کما هو مقتضی الاستصحاب مع عدم شمول الصحیحة لهذا الفرض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المعتبر فی الوضوء غسل البشرة من العضو و المفروض أنّ الشوکة النافذة غیر مانعة عن غسل البشرة لیجب إخراجها مقدّمة لغسل موضعها من البشرة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موضعها محسوباً من الظاهر کما إذا کانت الشوکة ذات ضخامة و مع إخراجها یری موضعها، نظیر ما تقدّم فرضه فی شقوق الید التی یری جوفها یجب إخراجها علی ما تقدّم لغسل ذلک الموضع</w:t>
      </w:r>
      <w:r>
        <w:rPr>
          <w:rFonts w:eastAsia="IRNazanin" w:cs="IRNazanin"/>
          <w:color w:val="111111"/>
          <w:sz w:val="28"/>
          <w:szCs w:val="28"/>
          <w:rtl w:val="true"/>
          <w:lang w:bidi="fa-IR"/>
        </w:rPr>
        <w:t>.</w:t>
      </w:r>
      <w:bookmarkStart w:id="398" w:name="pg12061_112635"/>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الوضوء بالارتماس مع مراعاة الأعلی فالأعلی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الوضوء بالارتماس مع مراعاة الأعلی فالأعلی لکن فی الید الیسری لا بد أن یقصد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حال الإخراج من الماء حتّی لا یلزم المسح بالماء الجدید،بل و کذا فی الید الیمنی إلّا أن یبقی شیئاً من الید الیسری لیغسله بالید الیمنی حتّی یکون ما یبقی علیها من الرطوبة من ماء الوضوء</w:t>
      </w:r>
      <w:r>
        <w:rPr>
          <w:rFonts w:eastAsia="IRNazanin" w:cs="IRNazanin"/>
          <w:color w:val="111111"/>
          <w:sz w:val="28"/>
          <w:szCs w:val="28"/>
          <w:rtl w:val="true"/>
          <w:lang w:bidi="fa-IR"/>
        </w:rPr>
        <w:t>.</w:t>
      </w:r>
    </w:p>
    <w:p>
      <w:pPr>
        <w:pStyle w:val="Heading5"/>
        <w:numPr>
          <w:ilvl w:val="4"/>
          <w:numId w:val="1"/>
        </w:numPr>
        <w:rPr/>
      </w:pPr>
      <w:bookmarkStart w:id="399" w:name="__RefHeading___Toc1723396_417432637"/>
      <w:bookmarkStart w:id="400" w:name="_Toc146"/>
      <w:bookmarkEnd w:id="399"/>
      <w:r>
        <w:rPr>
          <w:rtl w:val="true"/>
        </w:rPr>
        <w:t>الوضوء الارتماسی</w:t>
      </w:r>
      <w:bookmarkEnd w:id="400"/>
    </w:p>
    <w:p>
      <w:pPr>
        <w:pStyle w:val="BookText"/>
        <w:rPr/>
      </w:pPr>
      <w:r>
        <w:rPr>
          <w:rFonts w:ascii="IRNazanin" w:hAnsi="IRNazanin" w:eastAsia="IRNazanin"/>
          <w:color w:val="111111"/>
          <w:sz w:val="28"/>
          <w:sz w:val="28"/>
          <w:szCs w:val="28"/>
          <w:rtl w:val="true"/>
          <w:lang w:bidi="fa-IR"/>
        </w:rPr>
        <w:t xml:space="preserve">لا ینبغی التأمّل فی جواز الوضوء بارتماس العضو فی الماء أخذاً بإطلاق الأمر بغسل الوجه و الیدین فإنّ الغسل یحصل بصب الماء علی العضو و بإدخال العضو فی الماء و یظهر جواز الغسل للوجه و الیدین فی الوضوء من موثّقة إسحاق بن عمّار عن أبی عبد اللّه علیه السلام عن الطشت یکون فیه التماثیل أو الکوز أو التور یکون فیه التماثیل أو فضّة لا یتوضّأ و لا فیه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النهی فیها و إن یحمل علی الکراهة کما تقدّم فی بحث استعمال أوانی الذهب و الفضة، إلّا أنّ ظاهرها علی کلّ تقدیر أنّ الوضوء یکون بأخذ الماء منه أو بجعل الوضوء فیه، و أن یحتمل کون المراد من الوضوء فیه جعل الإناء المزبور إناءً لغسالة الوضوء لا غسل العضو فیه رمساً نظیر ما ورد فی الوضوء بغسالة الوضوء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یدعی أن جریان الماء مقوّم لعنوان الغسل و مع الارتماس لا بدّ من تحریک العضو فی الماء لیحصل جریان الماء علی العضو و لکن لا یخفی ما فیها، فإنّ دخل الجریان فی صورة صبّ الماء علی العضو لا فیما إذا أدخل العضو فی الماء کالغسل فی سائر الأشیاء، و بما أنّ المعتبر فی غسل الوجه و الیدین فی الوضوء الغسل من الأعلی فلو أدخل العضو فی الماء شیئاً فشیئاً یحصل الغسل من الأعلی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حصول جریان الماء علی العضو بذلک مجرّد دعوی، نعم بناءً علی عدم اعتباره یحصل بذلک الغسل من الأعلی، و بما أنّ هذا یوجب المسح بالماء الجدید فذکر الماتن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الید الیسری أن یقصد الغسل حال الإخراج من الماء حتّی لا یلزم المسح بالماء الجدید، ثمّ عدل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فی الید الیمنی أیضاً قصد الوضوء حال الإخراج حتّی یکون فی الید الیمنی أیضاً بلل الوضوء، و إن أراد غسل الیمنی بتمامها بالارتماس حال الإدخال فعلیه أن یبقی شیئاً من الید الیسری فی غسلها ارتماساً حتّی یغسل ذلک الباقی بالید الیمنی حتّی یکون مسحه بالیمنی و الیسری من رطوبة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غسل الوضوء بنحو الارتماس فی الوجه و الیدین و إن کان لا بأس به لإطلاق الأمر بغسلها إلّا أنّه یتعیّن قصد الوضوء عند إدخال العضو فی الأعلی بنحو الأعلی فالأعلی، کما أنّه یتعیّن أن یبقی شیئاً من الید الیسری لیغسله خارج الماء بالید الیمنی لیکون علی الیدین البلة المعتبرة فی مسح الرأس و الرجلین، و ذلک فإنّ ظاهر الأمر بغسل الوجه و الیدین الأمر بالغسل الحدوثی، و الغسل الحدوثی لا یکون بقصد الوضوء عند إخراج العضو من الماء مبتدئاً بالأعلی فالأعلی، فإنّ هذا من إنهاء الغسل البقائی تدریجاً و لا یحسب هذا الإخراج غسلاً ثانیاً لیقال إنّ الغسل الثانی یقصد به الوضوء و یکون من الأعلی أ لا تری أنّه لو اعتبر فی تطهیر الشیء الغسل مرتین لما یکفی استمرار الغسل الأوّلی علی ما تقدّم فی تطهیر مثل الثوب و البدن من نجاسة البول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لزوم إبقاء شیء من الید الیسری غیر مغسول لیغسله فی الخارج بالید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الیمنی فهو لاعتبار المسح علی الرأس و الرجلین بالبلة الباقیة علی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إدخال العضو فی الماء غسل حدوثی فما دام لم یخرج العضو عن الماء فذلک الغسل الحادث باقٍ، فیکون بعد إخراج العضو عن الماء البلّة علیه من بلّة الغسل وضوءاً فلا حاجة إلی إبقاء شیء من الید الیسری غیر 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المسح البلّة من غسل الوضوء الحدوثی حیث یأتی أنّ ظاهر الاعتبار فی المسح أن لا یکون الماء الممسوح به ماء جدیداً، و من الظاهر أنّ الغسل البقائی لا ینافی کون مائه ماءً جدیداً، و فی صحیحة زرارة و بکیر أنّهما سألا أبا جعفر علیه السلام إلی أن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ببلل کفّه لم یحدث لهما ماءً جدیداً</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 قریب منها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ظهور الأمر بغسل الوجه و الیدین فی الأمر بالغسل الحدوثی فلا بدّ من رفع الید عنه و الالتزام بکفایة الغسل البقائی بشهادة صحیحة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لا یکون علی وضوء فیصیبه المطر حتّی یبتلّ رأسه و لحیته و جسده و یداه و رجلاه هل یجریه ذلک من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غسله فإنّ ذلک یجزیه</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حیث إنّ من المعلوم أنّ الغسل بعد أن یبتلّ تمام الوجه و الیدین بتلک البلة یکون غسلاً بقائیاً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من الروایة کون المراد من الغسل، الغسل بعد ابتلال الأعضاء بتلک البلّة،بل الظاهر أنّ قوله علیه السلام هذا المقدار من المطر کافٍ فی غسل الأعضاء إذا</w:t>
      </w:r>
      <w:bookmarkStart w:id="401" w:name="pg12061_112638"/>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بماء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بماء المطر کما إذا قام تحت السماء حین نزوله فقصد بجریانه علی وجهه غسل الوجه مع مراعاة الأعلی فالأعلی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بالنسبة إلی یدیه، و کذلک إذا قام تحت المیزاب أو نحوه و لو لم ینوِ من الأوّل لکن بعد جریانه علی جمیع محالّ الوضوء مسح بیده علی وجهه بقصد غسله، و کذا علی یدیه إذا حصل الجریان کفی أیضاً، و کذا لو ارتمس فی الماء ثمّ خرج و فعل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غسلها عند ابتلالها أوّلاً، أو عند وقوع المطر علیها ثانیاً، مع مراعاة الانفصال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الروایة فی مقام إجزاء ماء المطر فی التوضّؤ به کما لا یخفی، مع أنّ الغسل البقائی فی مورد رمس الأعضاء لا یکون من الغسل الوضوئی حیث إنّه یعتبر فی الغسل الوضوئی الترتیب و الغسل من الأعلی، و هذا الغسل لا یمکن بقاؤه برمس تمام العضو فی المقام بعد إدخاله فی الماء من الأعلی فالأعلی حیث إنّ إحاطة الماء علی تمام العضو بقاءً علی حدّ سواء کما لا یخفی</w:t>
      </w:r>
      <w:r>
        <w:rPr>
          <w:rFonts w:eastAsia="IRNazanin" w:cs="IRNazanin"/>
          <w:color w:val="111111"/>
          <w:sz w:val="28"/>
          <w:szCs w:val="28"/>
          <w:rtl w:val="true"/>
          <w:lang w:bidi="fa-IR"/>
        </w:rPr>
        <w:t>.</w:t>
      </w:r>
    </w:p>
    <w:p>
      <w:pPr>
        <w:pStyle w:val="Heading5"/>
        <w:numPr>
          <w:ilvl w:val="4"/>
          <w:numId w:val="1"/>
        </w:numPr>
        <w:rPr/>
      </w:pPr>
      <w:bookmarkStart w:id="402" w:name="__RefHeading___Toc1723398_417432637"/>
      <w:bookmarkStart w:id="403" w:name="_Toc147"/>
      <w:bookmarkEnd w:id="402"/>
      <w:r>
        <w:rPr>
          <w:rtl w:val="true"/>
        </w:rPr>
        <w:t>الوضوء بماء المطر</w:t>
      </w:r>
      <w:bookmarkEnd w:id="40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عدم الإشکال فی حصول ما هو المعتبر فی الصلاة و غیرها من الوضوء الذی یعتبر فیه الغسل الحدوثی فیما إذا قصد الوضوء عند جریان الماء علی وجهه أو یدیه، و أمّا إذا جری المطر علی وجهه أو یدیه ثمّ قصد الوضوء بعد استیلاء الماء علی تمام الحدّ من الوجه و الیدین،بل و حتّی قبل الاستیلاء علی تمامه فإنّ مجرّد إجراء الید علی العضو و لو بإجراء البلّة الموجودة فی العضو إلی سائر مواضعه لا یعدّ غسلاً آخر</w:t>
      </w:r>
      <w:r>
        <w:rPr>
          <w:rFonts w:eastAsia="IRNazanin" w:cs="IRNazanin"/>
          <w:color w:val="111111"/>
          <w:sz w:val="28"/>
          <w:szCs w:val="28"/>
          <w:rtl w:val="true"/>
          <w:lang w:bidi="fa-IR"/>
        </w:rPr>
        <w:t>.</w:t>
      </w:r>
      <w:bookmarkStart w:id="404" w:name="pg12061_112639"/>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الظاهر أو الباطن فالأحوط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الظاهر حتّی یجب غسله أو الباطن فلا فالأحوط غسله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سابقاً من الباطن و شکّ فی أنّه صار ظاهراً أم لا، کما أنّه یتعیّن غسله لو کان سابقاً من الظاهر ثمّ شکّ فی أنّه صار باطناً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الفصل فی البین و وقوع بلّة أُخری علی العضو و إجرائها إلی جمیع مواضعه ربّما یعدّ غسلا آخر کما أشرنا إلی ذلک فی التعلیقة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فما ذکر الماتن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قام تحت المیزاب و نحوه و لو لم ینو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مبنیّ علی عدم اعتبار الغسل الحدوثی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ما عن بعض من کفایة مجرد قصد الوضوء بعد وصول الماء علی جمیع مواضع الوضوء أیضا کما تری</w:t>
      </w:r>
      <w:r>
        <w:rPr>
          <w:rFonts w:eastAsia="IRNazanin" w:cs="IRNazanin"/>
          <w:color w:val="111111"/>
          <w:sz w:val="28"/>
          <w:szCs w:val="28"/>
          <w:rtl w:val="true"/>
          <w:lang w:bidi="fa-IR"/>
        </w:rPr>
        <w:t>.</w:t>
      </w:r>
    </w:p>
    <w:p>
      <w:pPr>
        <w:pStyle w:val="Heading5"/>
        <w:numPr>
          <w:ilvl w:val="4"/>
          <w:numId w:val="1"/>
        </w:numPr>
        <w:rPr/>
      </w:pPr>
      <w:bookmarkStart w:id="405" w:name="__RefHeading___Toc1723400_417432637"/>
      <w:bookmarkStart w:id="406" w:name="_Toc148"/>
      <w:bookmarkEnd w:id="405"/>
      <w:r>
        <w:rPr>
          <w:rtl w:val="true"/>
        </w:rPr>
        <w:t>حکم ما شکّ فی کونه من الظاهر</w:t>
      </w:r>
      <w:bookmarkEnd w:id="406"/>
    </w:p>
    <w:p>
      <w:pPr>
        <w:pStyle w:val="BookText"/>
        <w:rPr/>
      </w:pPr>
      <w:r>
        <w:rPr>
          <w:rFonts w:ascii="IRNazanin" w:hAnsi="IRNazanin" w:eastAsia="IRNazanin"/>
          <w:color w:val="111111"/>
          <w:sz w:val="28"/>
          <w:sz w:val="28"/>
          <w:szCs w:val="28"/>
          <w:rtl w:val="true"/>
          <w:lang w:bidi="fa-IR"/>
        </w:rPr>
        <w:t>قد ذکرنا أنّ غسل الجوف غیر معتبر فی غسل الوجه و الیدین و علیه فإن شک فی کون موضع من العضو من الظاهر أو الباطن بالشبهة الموضوعیة و کان فی السابق من الظاهر فمقتضی الاستصحاب بقاؤه علی کونه غیر الجوف فیعمّه ما دلّ علی اعتبار غسل الظاهر و کلّ شیء من الوجه و الیدین إلّا الجوف، و أمّا إذا کان فی السابق جوفاً الجوف فمقتضاه عدم اعتبار غسله فی الوضوء و بقائه علی ما کان من عدم اعتبار غسله فی الوضوء، سواء قیل إنّ الطهارة المشروط بها الصلاة عنوان لنفس الوضوء أو قیل بأنّها أمر اعتباری نفسانی مترتّب علی الوضوء و الغسل و التیمّم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قیل بأنّ الطهارة أمر مسببی واقعی لها وجود تکوینی کشف عن وجودها الشارع عند التوضّؤ و الغسل و التیمّم فلا یترتّب علی استصحاب بقاء الشیء علی کونه ظاهراً أو جوفاً حصولها أو عدمها فلا بدّ فی کلتا الصورتین الاحتیاط لإحراز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حصولها حیث لا یترتّب علی استصحاب الشیء إلّا حکمها الشرعی لا حصول معلوله أو عدمه، و لکن کون الطهارة و الحدث أمران واقعیان قد تقدّم ضعفه، و أنّ ظاهر الأدلة کون الوضوء بنفسه طهارة کما أنّ حصول النواقض اعتبر حدثاً باقیاً إلی أن یتوضّأ أو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یعلم الحالة السابقة للمشکوک فی کونه ظاهراً أو باطناً فذکر الماتن قدس سره أنّ الأحوط الغسل، و لعلّه لإحراز الطهارة المسببة من الوضوء المشروط بها الصلاة و نحوها، و یمکن أن یقال أیضاً بوجوب غسله أخذاً بما دلّ علی لزوم غسل الوجه و الیدین إلی المرفقین و أنّه لا یجوز ترک شیء من الوجه و الیدین بلا غسل، و قد خرج من ذلک ما یکون جوفاً منهما و بناءً علی جریان الاستصحاب فی الأعدام الأزلیة یجری فی المشکوک عدم کونه جوفاً فیدخل تحت العام، و تعلیق وجوب الغسل علی الظاهر من الوجه و غیره لا یوجب جریان الاستصحاب فی ناحیة عدم کون المشکوک ظاهراً؛ لعدم ثبوت هذا التقیید لضعف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الغمض عن ذلک فیجری الاستصحاب المزبور و ینفی وجوب غسله و لا یعارض باستصحاب عدم کونه جوفاً؛ لأنّه لا یثبت کون المشکوک ظاهراً، و مع الفحص عن ذلک و تسلیم المعارضة فالمرجع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 من کون الطهارة عنواناً لنفس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البراءة عن اعتبار الغسل الموضع المزبور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الشبهة الموضوعیة، و أمّا فی مورد الشکّ فی کون موضع ظاهراً أو جوفاً بالشبهة المفهومیّة فالمرجع العموم الوارد فی غسل الوجه و الیدین و عدم ترک شیء منهما بلا غسل بعد إجمال الخطاب المخصّص علی ما تقدّم سابقاً</w:t>
      </w:r>
      <w:r>
        <w:rPr>
          <w:rFonts w:eastAsia="IRNazanin" w:cs="IRNazanin"/>
          <w:color w:val="111111"/>
          <w:sz w:val="28"/>
          <w:szCs w:val="28"/>
          <w:rtl w:val="true"/>
          <w:lang w:bidi="fa-IR"/>
        </w:rPr>
        <w:t>.</w:t>
      </w:r>
      <w:bookmarkStart w:id="407" w:name="pg12061_112641"/>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مسح الرأس بما بقی من البلّة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بما بقی من البلّة فی الید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8" w:name="__RefHeading___Toc1723402_417432637"/>
      <w:bookmarkStart w:id="409" w:name="_Toc149"/>
      <w:bookmarkEnd w:id="408"/>
      <w:r>
        <w:rPr>
          <w:rtl w:val="true"/>
        </w:rPr>
        <w:t>الثالث</w:t>
      </w:r>
      <w:r>
        <w:rPr>
          <w:rtl w:val="true"/>
        </w:rPr>
        <w:t>:</w:t>
      </w:r>
      <w:r>
        <w:rPr>
          <w:rtl w:val="true"/>
        </w:rPr>
        <w:t>مسح الرأس</w:t>
      </w:r>
      <w:bookmarkEnd w:id="409"/>
    </w:p>
    <w:p>
      <w:pPr>
        <w:pStyle w:val="Heading5"/>
        <w:numPr>
          <w:ilvl w:val="4"/>
          <w:numId w:val="1"/>
        </w:numPr>
        <w:rPr/>
      </w:pPr>
      <w:bookmarkStart w:id="410" w:name="__RefHeading___Toc1723404_417432637"/>
      <w:bookmarkStart w:id="411" w:name="_Toc150"/>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لا خلاف فی اعتبار مسح الرأس فی الوضوء،بل ینبغی أن یعدّ ذلک من الضروریات عند المسلمین و یدلّ علیه الکتاب المجید حیث ذکر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و الروایات الدالّة علیه کثیرة</w:t>
      </w:r>
      <w:r>
        <w:rPr>
          <w:rFonts w:eastAsia="IRNazanin" w:cs="IRNazanin"/>
          <w:color w:val="111111"/>
          <w:sz w:val="28"/>
          <w:szCs w:val="28"/>
          <w:rtl w:val="true"/>
          <w:lang w:bidi="fa-IR"/>
        </w:rPr>
        <w:t>.</w:t>
      </w:r>
    </w:p>
    <w:p>
      <w:pPr>
        <w:pStyle w:val="Heading5"/>
        <w:numPr>
          <w:ilvl w:val="4"/>
          <w:numId w:val="1"/>
        </w:numPr>
        <w:rPr/>
      </w:pPr>
      <w:bookmarkStart w:id="412" w:name="__RefHeading___Toc1723406_417432637"/>
      <w:bookmarkStart w:id="413" w:name="_Toc151"/>
      <w:bookmarkEnd w:id="412"/>
      <w:r>
        <w:rPr>
          <w:rtl w:val="true"/>
        </w:rPr>
        <w:t>اعتبار المسح ببلّة الوضوء</w:t>
      </w:r>
      <w:bookmarkEnd w:id="413"/>
    </w:p>
    <w:p>
      <w:pPr>
        <w:pStyle w:val="BookText"/>
        <w:rPr/>
      </w:pPr>
      <w:r>
        <w:rPr>
          <w:rFonts w:ascii="IRNazanin" w:hAnsi="IRNazanin" w:eastAsia="IRNazanin"/>
          <w:color w:val="111111"/>
          <w:sz w:val="28"/>
          <w:sz w:val="28"/>
          <w:szCs w:val="28"/>
          <w:rtl w:val="true"/>
          <w:lang w:bidi="fa-IR"/>
        </w:rPr>
        <w:t>نعم، یقع الکلام فی بعض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ما أشار إلیه الماتن من اعتبار کون مسحه ببلّة الید حیث إن المشهور بین أصحابنا اعتبار کون المسح ببلّة الید من الوضوء و عدم کفایة المسح بماء جدید،بل لم یحکَ الخلاف فی ذلک إلّا عن ابن الجنید </w:t>
      </w:r>
      <w:r>
        <w:rPr>
          <w:rStyle w:val="FootnoteAnchor"/>
          <w:rtl w:val="true"/>
        </w:rPr>
        <w:footnoteReference w:id="711"/>
      </w:r>
      <w:r>
        <w:rPr>
          <w:rFonts w:ascii="IRNazanin" w:hAnsi="IRNazanin" w:eastAsia="IRNazanin"/>
          <w:color w:val="111111"/>
          <w:sz w:val="28"/>
          <w:sz w:val="28"/>
          <w:szCs w:val="28"/>
          <w:rtl w:val="true"/>
          <w:lang w:bidi="fa-IR"/>
        </w:rPr>
        <w:t>حیث إنّ ظاهر المحکی عنه جواز المسح بالماء الجدید مطلقاً أو فیما لم یکن علیه بلّة الوضوء، و من الظاهر عدم الاعتناء بخلافاته فی المسائل عند أصحابنا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لذلک الروایات الواردة فی حکایة وضوء النبیّ الأکرم و ما ورد فی وضوء علیّ علیه السلام 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 ببلّة یساره و بقیّة بلّة یمناه</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و نحوها غیرها، و قد تقدّم أنّ الغرض من تصدّیه علیه السلام للتوضّؤ بوضوء رسول اللّٰه صلی الله علیه و آله تعلیم الوضوء المعتبر فی الصلاة و نحوها، و أنّ الماهیّات المخترعة للشارع إذا بیّن للناس و لو بالفعل فیؤخذ بخصوصیّات الفعل إلّا إذا قامت قرینة معتبرة علی أنّ تلک الخصوصیّة غیر معتبرة فی الماهیة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المزبورة لزوماً، و فی صحیحة عمر بن یزید الحاکیة لقضیّة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امسح رأسک بفضل ما بقی فی یدک من الماء و رجلیک إلی کعبیک</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فإنّه لا یحتمل أن یکون الواجب لآحاد المکلفین فی صلاتهم أو غیرها مختلفاً عما أمر به رسوله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أنّها لیست فی مقام بیان الحکم فلا یمکن أن یؤخذ بإطلاق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ما بقی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ذکر العدل له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بماء آخر، یقتضی اعتبار المسح بخصوص البلّة الباقیة فی الیدین، یدفعها أنّ تضمّن صدر الروایة لحکایة أمر لا دخل له لبیان الحکم لا یقتضی أن لا یکون ذیلها فی مقام البیان و أنّه علیه السلام فی ذیلها بصدد تعلیم الوضوء الذی أمر اللّٰه به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زرارة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وتر یحبّ الوتر فقد یجزیک من الوضوء ثلاث غرفات إلی أن قال ببلّ د یمناک ناصیتک و ما بقی من بلّة یمناک ظهر قدمک الیمنی، و تمسح ببلّة یسراک ظهر قدمک الیسری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أنّه من المحتمل أن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معطوفاً علی ثلاث غرفات یعنی یجزیک المسح ببلّة یمناک و علیه فلا یدلّ علی تعیّن المسح بالبلّة الباقیة؛ لأنّ ظاهر الإجزاء هو الإتیان بأقلّ مرتبته کما هو الحال بالإضافة إلی ثلاث غرفات علی ما تقدّم، یدفعها بأنّ العطف علی ثلاث غرفات یحتاج إلی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المصدریة و التقدیر خلاف الظاهر و ظاهره کونه حکماً ابتدائیّاً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الاعتبار بما رواه فی الموثق ابن مسکان عن مالک بن أعین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مسح رأسه ثمّ ذکر أنّه لم یسمح رأسه فإن کان فی لحیته بلل فلیأخذ منه و لیمسح رأسه، و إن لم یکن فی لحیته بلل فلینصرف و لیعد الوضوء</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فیقال إنّ الأمر بإعادة الوضوء مع عدم البلل فی اللحیة ظاهره اعتبار کون المسح بالبلّة، و لکن یمکن المناقشة فی الاستدلال بها بأنّ الأمر بإعادة الوضوء لعلّه لفقد الموالاة، اللهم إلّا أن یقال یدفع الاحتمال إطلاق الأمر بالإعادة و عدم تقییده بما إذا کان الجفاف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المرتکز فی أذهان المتشرّعة من الإمامیة من اعتبار المسح ببلة الوضوء و عدم جواز إجزاء المسح بالماء الجدید ممّا لا تأمّل فیه و 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مقابل ما تقدّم بعض الروایات ممّا یحتمل أن یکون المستند لابن الجنید </w:t>
      </w:r>
      <w:r>
        <w:rPr>
          <w:rStyle w:val="FootnoteAnchor"/>
          <w:rtl w:val="true"/>
        </w:rPr>
        <w:footnoteReference w:id="716"/>
      </w:r>
      <w:r>
        <w:rPr>
          <w:rFonts w:ascii="IRNazanin" w:hAnsi="IRNazanin" w:eastAsia="IRNazanin"/>
          <w:color w:val="111111"/>
          <w:sz w:val="28"/>
          <w:sz w:val="28"/>
          <w:szCs w:val="28"/>
          <w:rtl w:val="true"/>
          <w:lang w:bidi="fa-IR"/>
        </w:rPr>
        <w:t>فی تجویزه المسح بالماء الجدید منها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مسح الرأس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بما بقی علی یدی من الندی رأسی؟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تضع یدک فی الماء ثمّ تمسح</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أ یجزی الرجل أن یمسح قدمیه بفضل رأسه؟ 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بماء جدید؟ 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718"/>
      </w:r>
      <w:r>
        <w:rPr>
          <w:rFonts w:ascii="IRNazanin" w:hAnsi="IRNazanin" w:eastAsia="IRNazanin"/>
          <w:color w:val="111111"/>
          <w:sz w:val="28"/>
          <w:sz w:val="28"/>
          <w:szCs w:val="28"/>
          <w:rtl w:val="true"/>
          <w:lang w:bidi="fa-IR"/>
        </w:rPr>
        <w:t>و ظاهر الروایتین تنافی الأخبار المتقدّمة حیث إنّ ظاهر الأُولی کالثانیة تعیّن المسح بالماء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الجدید و لا یمکن حملها علی تجویز المسح بالماء الجدید، و ما تقدّم من المسح ببلة الکفّ علی الأفضلیّة حیث إنّ النهی فیهما عن المسح بالبلّة تنافی أیضاً هذه الأفضلیّة،بل المتعیّن حملهما علی التقیّة فی مقام المعارضة، حیث إنّ العامّة یقولون بالمسح بالماء الجدید، و تظهر رعایة التقیّة من نفس صحیحة معمّر بن خلّاد </w:t>
      </w:r>
      <w:r>
        <w:rPr>
          <w:rStyle w:val="FootnoteAnchor"/>
          <w:rtl w:val="true"/>
        </w:rPr>
        <w:footnoteReference w:id="719"/>
      </w:r>
      <w:r>
        <w:rPr>
          <w:rFonts w:ascii="IRNazanin" w:hAnsi="IRNazanin" w:eastAsia="IRNazanin"/>
          <w:color w:val="111111"/>
          <w:sz w:val="28"/>
          <w:sz w:val="28"/>
          <w:szCs w:val="28"/>
          <w:rtl w:val="true"/>
          <w:lang w:bidi="fa-IR"/>
        </w:rPr>
        <w:t>، حیث ظاهرها مسح تمام الرأس بمجموع الیدین کما علیه العامّة، و السؤال عن عدم تجدید الماء لمسح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عن مسح الرجلین فیها تنافی حملها علی التقیّة حیث إنّ العامّة یرون اعتبار غسل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جماعة من العامّة التخییر بین غسلهما و مسحهما فلا شهادة فیها علی عدم کونها لرعایة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کون المراد من مسح الرجلین غسلهما غیر صحیح؛ لأنّ مسحهما بفضل مسح الرأس لا یعدّ غسلاً، و لا کون المراد من مسح الرجلین مسح الخفّین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الحال فی روایة جعفر بن عمارة بن أبی عمارة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أمسح رأسی ببلل 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لرأسک ماءً جدیداً</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بالإضافة إلی ما ظاهره تعیّن المسح بالماء الجدید، و أمّا بالإضافة إلی ما ظاهره جواز المسح بالماء الجدید و لو فی صورة عدم البلل للمسح کصحیحة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عمّن نسی أن یمسح رأسه حتّی قام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و یمسح رأسه و رجلیه</w:t>
      </w:r>
      <w:r>
        <w:rPr>
          <w:rFonts w:eastAsia="IRNazanin" w:cs="IRNazanin"/>
          <w:color w:val="111111"/>
          <w:sz w:val="28"/>
          <w:szCs w:val="28"/>
          <w:rtl w:val="true"/>
          <w:lang w:bidi="fa-IR"/>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توضّأ و نسی أن یمسح رأسه حتّی قام فی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و یمسح رأسه ثمّ یعید</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الانصراف فیهما الانصراف عن الصلاة و تدارک المسح بما یعتبر فی الوضوء المسح من بلّة الوضوء، و لو کان له بلّة من الوضوء السابق فهو، و إلّا یکون مسحه الرأس بإعادة الغسل علی الوجه و الیدین، و لو لم یکن هذا ظاهرهما فلا بدّ من حملهما علیه بقرینة ما تقدّم فی الموثقة عن ابن مسکان عن مالک بن أعین </w:t>
      </w:r>
      <w:r>
        <w:rPr>
          <w:rStyle w:val="FootnoteAnchor"/>
          <w:rtl w:val="true"/>
        </w:rPr>
        <w:footnoteReference w:id="723"/>
      </w:r>
      <w:r>
        <w:rPr>
          <w:rFonts w:ascii="IRNazanin" w:hAnsi="IRNazanin" w:eastAsia="IRNazanin"/>
          <w:color w:val="111111"/>
          <w:sz w:val="28"/>
          <w:sz w:val="28"/>
          <w:szCs w:val="28"/>
          <w:rtl w:val="true"/>
          <w:lang w:bidi="fa-IR"/>
        </w:rPr>
        <w:t>و غیره ممّا تقدّم علی اعتبار المسح ببلّة الوضوء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رواه أبی بصیر صریح فی جواز المسح بالماء الجدید عند عدم البلّة، فإنّه نقل عن أبی عبد اللّه علیه السلام فی رجل نسی أن یمسح علی رأسه فذکر و هو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استیقن ذلک انصرف فمسح علی رأسه و علی رجلیه و استقبل الصلاة، و إن شکّ فلم یدر مسح أو لم یمسح فلیتناول من لحیته إن کانت مبتلّة و لیمسح علی رأسه و إن کان أمامه ماء فلیتناول منه فلیمسح به رأسه</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 لکن هذه الروایة منافیة لصحیحة زرارة الدالّة علی عدم الاعتناء بالشکّ فی النقص فی الوضوء بعد الدخول فی الصلاة،</w:t>
      </w:r>
      <w:bookmarkStart w:id="414" w:name="pg12061_112646"/>
    </w:p>
    <w:p>
      <w:pPr>
        <w:pStyle w:val="BookText"/>
        <w:rPr/>
      </w:pPr>
      <w:bookmarkEnd w:id="414"/>
      <w:r>
        <w:rPr>
          <w:rFonts w:ascii="IRNazanin" w:hAnsi="IRNazanin" w:eastAsia="IRNazanin"/>
          <w:color w:val="111111"/>
          <w:sz w:val="28"/>
          <w:sz w:val="28"/>
          <w:szCs w:val="28"/>
          <w:rtl w:val="true"/>
          <w:lang w:bidi="fa-IR"/>
        </w:rPr>
        <w:t>و یجب أن یکون علی الربع المقدّم من الرأس فلا یجزی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و الأحوط الناصیة و هی ما بین البیاضین من الجانبین فوق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لضعف سندها أیضاً بمحمد بن سنان لا یمکن الاعتماد علیها حتّی فی الحکم بالمسح بالماء الجدید فی مورد الحکم بصحّة الوضوء لقاعدة الفراغ بالدخول فی الصلاة</w:t>
      </w:r>
      <w:r>
        <w:rPr>
          <w:rFonts w:eastAsia="IRNazanin" w:cs="IRNazanin"/>
          <w:color w:val="111111"/>
          <w:sz w:val="28"/>
          <w:szCs w:val="28"/>
          <w:rtl w:val="true"/>
          <w:lang w:bidi="fa-IR"/>
        </w:rPr>
        <w:t>.</w:t>
      </w:r>
    </w:p>
    <w:p>
      <w:pPr>
        <w:pStyle w:val="Heading5"/>
        <w:numPr>
          <w:ilvl w:val="4"/>
          <w:numId w:val="1"/>
        </w:numPr>
        <w:rPr/>
      </w:pPr>
      <w:bookmarkStart w:id="415" w:name="__RefHeading___Toc1723408_417432637"/>
      <w:bookmarkStart w:id="416" w:name="_Toc152"/>
      <w:bookmarkEnd w:id="415"/>
      <w:r>
        <w:rPr>
          <w:rtl w:val="true"/>
        </w:rPr>
        <w:t>المسح علی الربع المقدّم من الرأس</w:t>
      </w:r>
      <w:bookmarkEnd w:id="416"/>
    </w:p>
    <w:p>
      <w:pPr>
        <w:pStyle w:val="BookText"/>
        <w:rPr/>
      </w:pPr>
      <w:r>
        <w:rPr>
          <w:rFonts w:ascii="IRNazanin" w:hAnsi="IRNazanin" w:eastAsia="IRNazanin"/>
          <w:color w:val="111111"/>
          <w:sz w:val="28"/>
          <w:sz w:val="28"/>
          <w:szCs w:val="28"/>
          <w:rtl w:val="true"/>
          <w:lang w:bidi="fa-IR"/>
        </w:rPr>
        <w:t>بلا خلاف معروف أو منقول و یشهد له ما ورد فی الروایات الواردة فی حکایة وضوء النبیّ صلی الله علیه و آله من مسحه علیه السلام علی مقدّم رأسه بالتقریب المتقدّم و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علی مقدّمه</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و نحوها غیرها، و ظاهرها تحدید مسح الرأس الواجب فی الوضوء بالمسح علی مقدّمه فیحمل إطلاق مسح الرأس فی الآیة و غیرها من بعض الروایات، نعم فی صحیحة الحسین 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المسح علی الرأس؟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عکنة فی قفا أبی یمرّ علیها یده، و سألته عن الوضوء بمسح الرأس مقدّمه و مؤخّره؟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عکنة فی رقبة أبی یمسح علیها </w:t>
      </w:r>
      <w:r>
        <w:rPr>
          <w:rStyle w:val="FootnoteAnchor"/>
          <w:rtl w:val="true"/>
        </w:rPr>
        <w:footnoteReference w:id="726"/>
      </w:r>
      <w:r>
        <w:rPr>
          <w:rFonts w:ascii="IRNazanin" w:hAnsi="IRNazanin" w:eastAsia="IRNazanin"/>
          <w:color w:val="111111"/>
          <w:sz w:val="28"/>
          <w:sz w:val="28"/>
          <w:szCs w:val="28"/>
          <w:rtl w:val="true"/>
          <w:lang w:bidi="fa-IR"/>
        </w:rPr>
        <w:t>، و لکن مع أنّ إمرار الید علی عکنة لا یدلّ علی مسحه او لعلّ الإمرار لإدخال الید تحت العمامة و نحوها یحملان علی التقیّة؛ لما تقدّم من تعیّن المسح علی مقدّم الرأس نصّاً و فتوی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الوارد فی صحیحة زرارة المتقدمة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یمناک ناصیتک </w:t>
      </w:r>
      <w:r>
        <w:rPr>
          <w:rStyle w:val="FootnoteAnchor"/>
          <w:rtl w:val="true"/>
        </w:rPr>
        <w:footnoteReference w:id="727"/>
      </w:r>
      <w:r>
        <w:rPr>
          <w:rFonts w:ascii="IRNazanin" w:hAnsi="IRNazanin" w:eastAsia="IRNazanin"/>
          <w:color w:val="111111"/>
          <w:sz w:val="28"/>
          <w:sz w:val="28"/>
          <w:szCs w:val="28"/>
          <w:rtl w:val="true"/>
          <w:lang w:bidi="fa-IR"/>
        </w:rPr>
        <w:t>، و قد تقدّم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إخباریة فی مقام الإنشاء و غیر معطوفة علی ثلاث غرفات، فیکون ظاهرها تعیّن مسح الناصیة، و یقال إنّ الناصیة هی ما بین النزعتین من الرأس المعبّر عنها فی بعض الکلمات بقصاص الشعر، و الربع المقدّم من الرأس فی مقابل مؤخّره یشمل غیر الناصیة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روایة عبد اللّه بن الحسین بن زید بن علی، عن أبیه،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تمسح المرأة بالرأس کما یمسح الرجال إنّما المرأة إذا أصبحت مسحت رأسها و تضع الخمار عنها فإذا کان الظهر و العصر و المغرب و العشاء تمسح بناصیتها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 و لذا ذکر فی الجواهر أوّلاً تعیّن المسح بالناصیة و إن عدل فی آخره و جعل المسح بها أحوط و أولی، و إنّ ذکر المسألة لا یخلو عن الإشکال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وجه دلالة روایة عبد اللّه بن الحسین أو وجه تأییدها کون المعیّن فی موضع المسح من الرأس هی الناصیة، و أمّا الناصیة فلا یبعد أن یکون المراد بها مقدّم الرأس فی مقابل مؤخّره و یمینه و یساره فلا یکون بین صحیحة محمّد بن مسلم و بین الأمر بمسح الناصیة تناف و لا تغایر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مقدّم الرأس فی صحیحة محمّد بن مسلم و غیرها ظاهره مقابل المؤخر و الیمین و الیسار، و الناصیة لو لم تکن ظاهرة فی المقدّم بهذا المعنی فلا أقل من إجمالها فتحمل علی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ظهورها فی خصوص قصاص الشعر 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المراد بمقدّم الرأس هی الناصیة المفسّرة بمقدّمة الرأس و قصاص الشعر فیکون المتعیّن مسح الناصیة، و هی ما بین البیاضین فوق الجبهة لا یمکن المساعدة علیها، فإنّ ظاهر مقدّم الرأس مقابل مؤخّره و یمینه و یساره کما تقدّم، و ما فی القاموس </w:t>
      </w:r>
      <w:r>
        <w:rPr>
          <w:rStyle w:val="FootnoteAnchor"/>
          <w:rtl w:val="true"/>
        </w:rPr>
        <w:footnoteReference w:id="730"/>
      </w:r>
      <w:r>
        <w:rPr>
          <w:rFonts w:ascii="IRNazanin" w:hAnsi="IRNazanin" w:eastAsia="IRNazanin"/>
          <w:color w:val="111111"/>
          <w:sz w:val="28"/>
          <w:sz w:val="28"/>
          <w:szCs w:val="28"/>
          <w:rtl w:val="true"/>
          <w:lang w:bidi="fa-IR"/>
        </w:rPr>
        <w:t>ظاهره کون مقدمة الرأس فی أحد معانیها لا أنّ مقدّم الرأس أحد معانیه، فإنّ دعوی دلالتها علی الأمر بالمسح بالإضافة إلی الزائد علی الناصیة فی حال عدم المحذور فی رفع الخمار و الاکتفاء بمسح الناصیة فی حال المحذور، و لازم ذلک تعین مسح الناصیة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الإجمال فی کلّ من مقدّم الرأس و الناصیة فلا ینبغی التأمّل فی عدم إجمالهما فی مدلولهما الالتزامی و هو عدم إجزاء المسح بمؤخّر الرأس أو یمینه أو یساره فیرفع بهذا المقدار عن إطلاق الآیة المبارکة الدالّة علی اعتبار مسح بعض الرأس و یؤخذ به فی الباقی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 ما ذکر فی المقام من أنّ صحیحة محمّد بن مسلم و إن کانت مقیّدة لإطلاق الآیة المبارکة حیث تدلّ علی عدم إجزاء المسح بغیر مقدّم الرأس، إلّا أنّ صحیحة زرارة أخصّ بالإضافة إلی کلّ من الآیة المبارکة، و صحیحة محمّد بن مسلم حیث إنّها تدلّ علی تعیّن المسح بالناصیة الظاهرة فی قصاص الشعر و ما بین النزعتین فیحمل ما ذکر من الأمر بالمسح بالناصیة علی أفضل الأفراد جمعاً لا یمکن المساعدة علیه، فإنّه لو ثبت ظهور الناصیة فی خصوص قصاص الشعر و ما بین</w:t>
      </w:r>
      <w:bookmarkStart w:id="417" w:name="pg12061_112649"/>
    </w:p>
    <w:p>
      <w:pPr>
        <w:pStyle w:val="BookText"/>
        <w:rPr/>
      </w:pPr>
      <w:bookmarkEnd w:id="417"/>
      <w:r>
        <w:rPr>
          <w:rFonts w:ascii="IRNazanin" w:hAnsi="IRNazanin" w:eastAsia="IRNazanin"/>
          <w:color w:val="111111"/>
          <w:sz w:val="28"/>
          <w:sz w:val="28"/>
          <w:szCs w:val="28"/>
          <w:rtl w:val="true"/>
          <w:lang w:bidi="fa-IR"/>
        </w:rPr>
        <w:t>و یکفی المسمّی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بقدر عرض إصبع واحدة أو أقل، و الأفضل بل الأحوط أن یکون بمقدار عرض ثلاث أصابع بل الأولی أن یکون بالثلاثة، و من طرف الطول أیضاً یکفی المسمّی و إن کان الأفضل أن یکون بطول إصبع، و علی هذا فلو أراد إدراک الأفضل ینبغی أن یضع ثلاث أصابع علی الناصیة و یمسح بمقدار إصبع من الأعلی إلی الأسفل و إن کان لا یجب کونه کذلک</w:t>
      </w:r>
    </w:p>
    <w:p>
      <w:pPr>
        <w:pStyle w:val="BookText"/>
        <w:rPr/>
      </w:pPr>
      <w:r>
        <w:rPr>
          <w:rFonts w:ascii="IRNazanin" w:hAnsi="IRNazanin" w:eastAsia="IRNazanin"/>
          <w:color w:val="111111"/>
          <w:sz w:val="28"/>
          <w:sz w:val="28"/>
          <w:szCs w:val="28"/>
          <w:rtl w:val="true"/>
          <w:lang w:bidi="fa-IR"/>
        </w:rPr>
        <w:t>النزعتین لکان المتعیّن تقیید صحیحة محمّد بن مسلم بهذه الصحیحة علی ما هو قانون الجمع بین المطلق و المقیّد فی موارد وحدة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الجمع بالتقیید فیما إذا کان متعلّق التکلیف فی خطاب مطلقاً و تعلّق التکلیف فی خطاب آخر بذات ذلک المطلق مقیّداً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اعتق رقبة مؤمنة، و أمّا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 اعتق عبداً، فلا ظهور للثانی فی کونها قرینة علی التقیید فی الخطاب الأوّل و المقام من هذا القبیل، و علیه یکون المسح بالناصیة أولی و أحوط</w:t>
      </w:r>
      <w:r>
        <w:rPr>
          <w:rFonts w:eastAsia="IRNazanin" w:cs="IRNazanin"/>
          <w:color w:val="111111"/>
          <w:sz w:val="28"/>
          <w:szCs w:val="28"/>
          <w:rtl w:val="true"/>
          <w:lang w:bidi="fa-IR"/>
        </w:rPr>
        <w:t>.</w:t>
      </w:r>
    </w:p>
    <w:p>
      <w:pPr>
        <w:pStyle w:val="Heading5"/>
        <w:numPr>
          <w:ilvl w:val="4"/>
          <w:numId w:val="1"/>
        </w:numPr>
        <w:rPr/>
      </w:pPr>
      <w:bookmarkStart w:id="418" w:name="__RefHeading___Toc1723410_417432637"/>
      <w:bookmarkStart w:id="419" w:name="_Toc153"/>
      <w:bookmarkEnd w:id="418"/>
      <w:r>
        <w:rPr>
          <w:rtl w:val="true"/>
        </w:rPr>
        <w:t>کفایة مسمّی المسح فی الرأس</w:t>
      </w:r>
      <w:bookmarkEnd w:id="41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غیر واحد دعوی الإجماع علی کفایة المسمّی فی المسح علی الرأس طولاً و عرضاً بمعنی أنّه إذا مسح شیئاً من مقدم رأسه و ناصیته کفی ذلک فی تحقّق ما هو المعتبر فی الوضوء، و یستدلّ علی ذلک بما فی صحیحة زرارة و بکیر من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مسح بشیء من رأسه أو بشیء من قدمیه ما بین الکعبین إلی أطراف الأصابع فقد أجزأه </w:t>
      </w:r>
      <w:r>
        <w:rPr>
          <w:rStyle w:val="FootnoteAnchor"/>
          <w:rtl w:val="true"/>
        </w:rPr>
        <w:footnoteReference w:id="731"/>
      </w:r>
      <w:r>
        <w:rPr>
          <w:rFonts w:ascii="IRNazanin" w:hAnsi="IRNazanin" w:eastAsia="IRNazanin"/>
          <w:color w:val="111111"/>
          <w:sz w:val="28"/>
          <w:sz w:val="28"/>
          <w:szCs w:val="28"/>
          <w:rtl w:val="true"/>
          <w:lang w:bidi="fa-IR"/>
        </w:rPr>
        <w:t>، و فی صحیحتهما الأُخری عن أبی جعفر علیه السلام أنّه قال فی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علی النعلین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تدخل یدک تحت الشراک، و إذا مسحت بشیء من رأسک أو بشیء من قدمیک ما بین کعبیک إلی أطراف الأصابع فقد أجزأک</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علی مقدّمه</w:t>
      </w:r>
      <w:r>
        <w:rPr>
          <w:rFonts w:eastAsia="IRNazanin" w:cs="IRNazanin"/>
          <w:color w:val="111111"/>
          <w:sz w:val="28"/>
          <w:szCs w:val="28"/>
          <w:rtl w:val="true"/>
          <w:lang w:bidi="fa-IR"/>
        </w:rPr>
        <w:t xml:space="preserve">» </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و ظاهرهما مسح تمام مقدّم الرأس و الناصیة، و ما قیل من أنّهما کقولک مسحت زیداً أو ضربته یصدق مع عدم استیعاب المسح و الضرب لا یمکن المساعدة علیه، حیث إنّه مع عدم استیعاب المسح و الضرب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بعض زید أو ضربت بعضه، بخلاف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بعض مقدّم رأسی أو ناصیتی فعدم الظهور فی الاستیعاب فی المثال المزبور لا ینافی ظهوره فیه فی مورد الکلام، و صحیحة محمّد بن مسلم و زرارة مع ظهورهما فی الاستیعاب لا ینافی ما تقدّم من صحیحتی زرارة و بکیر بن أعین حیث إنّ مسح تمام مقدّم الرأس و الناصیة مسح شیء من الرأس لا کلّه، فتکونان کالمقیّد بالإضافة إلی صحیحتی زرارة و بکیر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و کذا صحیحة زرارة ناظرة إلی تحدید موضع المسح من الرأس و أنّه مقدّمه و الناصیة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صحیحتا زرارة و بکیر مدلولهما نفی التحدید فی ناحیة نفس مسح الرأس لا نفی التحدید فی موضعه، کیف و قد ذکر الحدّ فیهما لموضع مسح الرجلین،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لهما دلالة علی نفی موضع المسح من الرأس فهی بالإطلاق فیرفع الید عنه بالتحدید الوارد فی صحیحة محمّد بن مسلم و زرارة و غیرهما جمعاً بین الطائفتین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یستدلّ أیضاً لکفایة مسمّی المسح علی مقدّم الرأس و الناصیة بصحیحة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تخبرنی من أین علمت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المسح ببعض الرأس و بعض الرجلین؟ فضحک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زرارة قاله رسول اللّٰه و نزل به الکتاب من اللّٰه عز و جل؛ لأنّ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کلّه ینبغی أن یغسل،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الیدین إلی المرفقین بالوجه فعرفنا أنّه ینبغی لهما أن یغسلا إلی المرفقین، ثمّ فصّل بین الکلام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لمکان الباء، ثمّ وصل الرجلین بالرأس کما وصل الیدین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حین وصلهما بالرأس أنّ المسح علی بعضهما ثمّ فسّر ذلک رسول اللّٰه صلی الله علیه و آله للناس فضیّعوه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یورد علی الاستدلال بها أنّها فی مقام نفی اعتبار مسح الرأس کلّه فی الوضوء کما علیه العامّة،بل المعتبر مسح بعضه کما عیّن ذلک البعض فی جملة من الروایات بمقدّم الرأس و الناصیة، و أمّا اعتبار الاستیعاب فی مسح ذلک البعض أو کفایة مسمّی المسح علیه فلا دلالة للصحیحة علی ذلک و یمکن الجزم بظهور الصحیحة فی ذلک بملاحظة ما تقدّم من الروایات الظاهرة فی کون موضع المسح من الرأس مقدّمه و الناصیة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علی إجزاء مسمّی المسح بإطلاق الآیة المبارکة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 هذه الصحیحة الدالّة علی أنّ المراد من الآیة لیس مسح کلّ الرأس،بل بعضه فیکون مقتضاها مسح أیّ بعض منه، غایة الأمر یقیّد بعدم کون ذلک البعض من غیر المقدّم و الناصیة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یستفاد من الصحیحة أنّ الباء فی الآیة المبارکة یستفاد منها بعض الرأس و کأنّه سبحانه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ببعض رءوسکم، و بما أنّ البعض لم یرد علیه تقیید إلّا أن لا یکون من غیر المقدم و الناصیة فیؤخذ بإطلاق البعض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کما لا یمکن إثبات أنّ المعتبر فی مسح الرأس مسمّاه بالصحیحة؛ لأنّ زرارة کان یعلم ما هو المعتبر فیه عند الإمام علیه السلام و لم یسأله عن کفایة مسح بعض الرأس و إنّما سأله عن منشأ علمه علیه السلام باعتبار البعض المزبور دون الکل کما علیه العامّة، فأجابه علیه السلام من قول رسول اللّٰه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الکتاب کذلک لا یمکن إثبات اعتبار المسمّی من الکتاب؛ لأنّ الإمام علیه السلام لم یذکر فی الجواب أنّ المراد الاستعمالی للکتاب المجید و امسحوا ببعض رءوسکم لیؤخذ بإطلاقه،بل غایة ما یستفاد من جوابه علیه السلام أنّ الفصل بین اغسلوا وجوهکم و امسحوا برؤسکم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العلم، و کما أن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العلم یمکن باختلاف المراد الاستعمالی فیها، کذلک یمکن أن یکون باختلاف المراد الجدّی فیه عن المراد الجدّی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فی الفصل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المتعلقین فی الکلام فیه دلالة علی الفصل فی المراد الجدّی منها؛ و لذا لا وقع للإشکال علی الصحیحة بما قیل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ترد بمعنی التبعیض فی مورد، و لا الجواب عنه بأنّ استفادة البعض یمکن 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الإلصاق، أو کون الباء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الاستعانة بأن یکون الکلام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مسحت یدی بالحائط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علی ما یمسح الشیء به و کان الرأس ما یمسح به بلة الید أو الید، و فی مثل ذلک کما یکون ما یمسح به لوسخ الید أو رطوبتها بعض الحائط، کذلک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فالرأس و إن کان فی الحقیقة ممسوحاً إلّا أنّه فرض فی الآیة ما یمسح به البلّة، و ما ذکرنا هو المناسب للتفسیر الذی ذکره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فسّر ذلک رسول اللّٰه للناس فضیّعوه</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نسب إلی جماعة القول باعتبار المسح بمقدار إصبع واحدة </w:t>
      </w:r>
      <w:r>
        <w:rPr>
          <w:rStyle w:val="FootnoteAnchor"/>
          <w:rtl w:val="true"/>
        </w:rPr>
        <w:footnoteReference w:id="738"/>
      </w:r>
      <w:r>
        <w:rPr>
          <w:rFonts w:ascii="IRNazanin" w:hAnsi="IRNazanin" w:eastAsia="IRNazanin"/>
          <w:color w:val="111111"/>
          <w:sz w:val="28"/>
          <w:sz w:val="28"/>
          <w:szCs w:val="28"/>
          <w:rtl w:val="true"/>
          <w:lang w:bidi="fa-IR"/>
        </w:rPr>
        <w:t xml:space="preserve">، و إلی بعض اعتبار المسح بمقدار ثلاث أصابع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علی ذلک بروایة حمّاد عن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توضّأ و هو معتم فثقل علیه نزع العمامة لمکان البرد؟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إصبعه</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مرسلته عن أحدهما علیه السلام فی الرجل یتوضّأ و علیه العمامة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العمامة بقدر ما یدخل إصبعه فیمسح علی مقدّم رأسه</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لکن لا یخفی أنّه مع الغض عن السند یمکن الأمر بإدخال الإصبع لحصول المسمّی لا لاعتبار کون مقداره الممسوح بمقدار الإصبع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المتعین بملاحظة ما تقدّم من دلالة صحیحتی زرارة و بکیر علی کفایة مسمّی المسح، و أن إدخال الإصبع لا یلازم کون الممسوح من الرأس بمقداره؛ لأنّ الإصبع من باطنها بنحو الاستدارة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یستدلّ علی اعتبار کون الممسوح بمقدار ثلاث أصابع فهو 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یجزیها من مسح الرأس أن تمسح مقدّمه قدر ثلاث أصابع و لا تلقی عنها خمارها</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معمّر بن عمر،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أصابع و کذلک الرجل</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،بدعوی أنّ کلمة الإجزاء ظاهرها أنّ ما ذکر أقلّ مراتب الواجب و بذلک یرفع الید عن إطلاق صحیحتی زرارة و بکیر بتقیید شیء من رأسک بمقدار ثلاث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التقدیر ینافی ما تقدّم ممّا دلّ علی إجزاء المسح بالإصبع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السند فیما تقدّم ضعیف فدلالته علی إجزاء المسح بالإصبع الواحدة کان بالإطلاق حیث إنّ الإصبع فیما تقدّم اسم الجنس فتقیّد بالثلاث</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الأظهر کفایة مسمّی المسح حیث لم یقید فی صحیحة زرارة و لا فی روایة معمّر بن عمر کون قدر ثلاث أصابع من عرض الرأس،بل تعمّان ما إذا مسح</w:t>
      </w:r>
      <w:bookmarkStart w:id="420" w:name="pg12061_112655"/>
    </w:p>
    <w:p>
      <w:pPr>
        <w:pStyle w:val="BookText"/>
        <w:rPr/>
      </w:pPr>
      <w:bookmarkEnd w:id="420"/>
      <w:r>
        <w:rPr>
          <w:rFonts w:ascii="IRNazanin" w:hAnsi="IRNazanin" w:eastAsia="IRNazanin"/>
          <w:color w:val="111111"/>
          <w:sz w:val="28"/>
          <w:sz w:val="28"/>
          <w:szCs w:val="28"/>
          <w:rtl w:val="true"/>
          <w:lang w:bidi="fa-IR"/>
        </w:rPr>
        <w:t>فیجزی النکس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ثلاث أصابع من طول مقدّم الرأس و الناصیة و کون المسح برءوس الأصابع أو رأس الإصبع، و هذا یساوی تحقّق المسمّی کما لا یخفی؛ و لذا نلتزم بکفایة المسمّی فی عرض الرأس و طوله کما ذکره الماتن، و أنّ رعایة ثلاث أصابع أی مقدارها عرضاً و طولاً احتیاط مستحبّ، کما أنّ کون هذا المقدار من الناصیة لا من فوقها من مقدّم الرأس أفضل کما تقدّم، و أمّا ما فی کلام الماتن من کون الأفضل أن یکون بطول إصبع فظاهره أنّه حمل روایة معمّر بن عمر و صحیحة زرارة علی قدر ثلاث أصابع علی عرض الرأس بأن أدخل تمام الأصابع الثلاث تحت الخمار طولاً فیکون مقدار الممسوح من الرأس طولاً بمقدار إصبع واحدة و لکن قد تقدّم ما فیه</w:t>
      </w:r>
      <w:r>
        <w:rPr>
          <w:rFonts w:eastAsia="IRNazanin" w:cs="IRNazanin"/>
          <w:color w:val="111111"/>
          <w:sz w:val="28"/>
          <w:szCs w:val="28"/>
          <w:rtl w:val="true"/>
          <w:lang w:bidi="fa-IR"/>
        </w:rPr>
        <w:t>.</w:t>
      </w:r>
    </w:p>
    <w:p>
      <w:pPr>
        <w:pStyle w:val="Heading5"/>
        <w:numPr>
          <w:ilvl w:val="4"/>
          <w:numId w:val="1"/>
        </w:numPr>
        <w:rPr/>
      </w:pPr>
      <w:bookmarkStart w:id="421" w:name="__RefHeading___Toc1723412_417432637"/>
      <w:bookmarkStart w:id="422" w:name="_Toc154"/>
      <w:bookmarkEnd w:id="421"/>
      <w:r>
        <w:rPr>
          <w:rtl w:val="true"/>
        </w:rPr>
        <w:t>النکس فی المسح علی الرأس</w:t>
      </w:r>
      <w:bookmarkEnd w:id="42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المنسوب إلی الشهرة عدم جواز النکس فی المسح علی الرأس بدعوی انصراف ما ورد فی مسح الرأس أی مقدّمه و الناصیة إلی المسح من الأعلی؛ لکون ذلک هو المتعارف من المسح علی الرأس، و أنّه یظهر من صحیحة یونس اختصاص جواز النکس فی المسح بالرجلین و لا یعمّ الرأس،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رأی أبا الحسن علیه السلام بمنی یمسح ظهر القدمین من أعلی القدم إلی الکعب و من الکعب إلی أعلی القدم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مسح الرجلین موسّع من شاء مسح مقبلاً و من شاء مسح مدبراً فإنّه من الأمر الموسّع إن شاء اللّٰه تعالی</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بهذا یرفع الید عن الإطلاق فی صحیحة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الإطلاق غیر ثابت فإنّ الشیخ قدس سره قد روی بهذا السند عن حمّاد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بمسح القدمین مقبلاً و مدبراً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اتحاد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لو شک فی جواز النکس فی المسح علی الرأس فمقتضی قاعدة الاشتغال و لزوم إحراز الطهارة المشروط بها الصلاة و غیرها عدم الاکتفاء بالنکس و تعیّن المسح من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دعوی الانصراف لا وجه له فإنّه لا بدّ من ثبوت التعارف و الغلبة فی مطلق ما یطلق مسح الرأس بالید من الاستعمالات العرفیة، و دعوی ذلک جزاف و ثبوت التعارف فی خصوص الوضوء فهو حاصل بعد الأمر بمسح الرأس فلا یفید فی دعوی انصراف ذلک الأمر، و علی تقدیر الإغماض فمجرّد التعارف علی تقدیره لا یوجبه، و صحیحة یونس لا دلالة لها علی اختصاص جواز النکس بالقدمین حتّی بناءً علی مفهوم الوصف؛ فإنّ الرجلین من قبیل ذکر متعلق الشیء یعنی المسح لا من قبیل الوصف، و کذلک الأمر فی الصحیحة الثانیة لحمّاد بن عثمان، و مجرّد اتّحاد السند مع الصحیحة الأُولی لا یدلّ علی أنها روایة واحدة، حیث إنّ ظاهر النقل أنّ حمّاد بن عثمان قد سمع کلا القولین من الإمام علیه السلام و لا تنافی بینهما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ربما یقال إنّ الراوی فی الصحیحة هو حمّاد بن عیسی کما یحکی من بعض نسخ الوسائل و بعض نسخ التهذیب، و علیه فکونهما روایتین لا کلام فیه، و لکن لا یخفی أنّ حمّاد الراوی عنه ابن أبی عمیر هو حمّاد بن عثمان فلا یعتنی بما فی بعض النسخ</w:t>
      </w:r>
      <w:r>
        <w:rPr>
          <w:rFonts w:eastAsia="IRNazanin" w:cs="IRNazanin"/>
          <w:color w:val="111111"/>
          <w:sz w:val="28"/>
          <w:szCs w:val="28"/>
          <w:rtl w:val="true"/>
          <w:lang w:bidi="fa-IR"/>
        </w:rPr>
        <w:t>.</w:t>
      </w:r>
      <w:bookmarkStart w:id="423" w:name="pg12061_112657"/>
    </w:p>
    <w:p>
      <w:pPr>
        <w:pStyle w:val="BookText"/>
        <w:rPr/>
      </w:pPr>
      <w:bookmarkEnd w:id="423"/>
      <w:r>
        <w:rPr>
          <w:rFonts w:ascii="IRNazanin" w:hAnsi="IRNazanin" w:eastAsia="IRNazanin"/>
          <w:color w:val="111111"/>
          <w:sz w:val="28"/>
          <w:sz w:val="28"/>
          <w:szCs w:val="28"/>
          <w:rtl w:val="true"/>
          <w:lang w:bidi="fa-IR"/>
        </w:rPr>
        <w:t>و لا یجب کونه علی البشرة فیجوز أن یمسح علی الشعر النابت فی المقدّم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یتجاوز بمدّه عن حدّ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من کون المقام من موارد الرجوع إلی قاعدة الاشتغال فقد تقدّم أنّ الطهارة عنوان لنفس الوضوء و المرجع عند الشک فی اعتبار شیء فیه المقام کسائر موارد دوران الأمر بین الأقل و الأکثر هی البراءة مع أنّه لا تصل النوبة إلی الأصل العملی مع ثبوت الإطلاق فی جواز النکس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بأنّ المسح من الأعلی إلی الأسفل أفضل و عن بعضهم أنّ النکس فی المسح یکره </w:t>
      </w:r>
      <w:r>
        <w:rPr>
          <w:rStyle w:val="FootnoteAnchor"/>
          <w:rtl w:val="true"/>
        </w:rPr>
        <w:footnoteReference w:id="747"/>
      </w:r>
      <w:r>
        <w:rPr>
          <w:rFonts w:ascii="IRNazanin" w:hAnsi="IRNazanin" w:eastAsia="IRNazanin"/>
          <w:color w:val="111111"/>
          <w:sz w:val="28"/>
          <w:sz w:val="28"/>
          <w:szCs w:val="28"/>
          <w:rtl w:val="true"/>
          <w:lang w:bidi="fa-IR"/>
        </w:rPr>
        <w:t>و شیء منهما لا یمکن المساعدة علیه إلّا أن یراد المسح مقبلاً احتیاط فی مسح الرأس المعتبر فی الوضوء، و أنّ المسح مدبراً خلاف الاحتیاط کما ذکر فی المتن</w:t>
      </w:r>
      <w:r>
        <w:rPr>
          <w:rFonts w:eastAsia="IRNazanin" w:cs="IRNazanin"/>
          <w:color w:val="111111"/>
          <w:sz w:val="28"/>
          <w:szCs w:val="28"/>
          <w:rtl w:val="true"/>
          <w:lang w:bidi="fa-IR"/>
        </w:rPr>
        <w:t>.</w:t>
      </w:r>
    </w:p>
    <w:p>
      <w:pPr>
        <w:pStyle w:val="Heading5"/>
        <w:numPr>
          <w:ilvl w:val="4"/>
          <w:numId w:val="1"/>
        </w:numPr>
        <w:rPr/>
      </w:pPr>
      <w:bookmarkStart w:id="424" w:name="__RefHeading___Toc1723414_417432637"/>
      <w:bookmarkStart w:id="425" w:name="_Toc155"/>
      <w:bookmarkEnd w:id="424"/>
      <w:r>
        <w:rPr>
          <w:rtl w:val="true"/>
        </w:rPr>
        <w:t>المسح علی شعر مقدّم الرأس</w:t>
      </w:r>
      <w:bookmarkEnd w:id="425"/>
    </w:p>
    <w:p>
      <w:pPr>
        <w:pStyle w:val="BookText"/>
        <w:rPr/>
      </w:pPr>
      <w:r>
        <w:rPr>
          <w:rFonts w:ascii="IRNazanin" w:hAnsi="IRNazanin" w:eastAsia="IRNazanin"/>
          <w:color w:val="111111"/>
          <w:sz w:val="28"/>
          <w:sz w:val="28"/>
          <w:szCs w:val="28"/>
          <w:rtl w:val="true"/>
          <w:lang w:bidi="fa-IR"/>
        </w:rPr>
        <w:t>قد تقدّم أنّ المذکور فی الآیة الأمر بالمسح بالرأس و فی الروایات اعتبار مسح الرأس المحمول علی مقدّمه و الناصیة لما تقدّم، و من الظاهر أنّ الرأس و مقدّمه و الناصیة أسامی لنفس العضو کالوجه و الیدین و الرجلین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ینبغی التأمّل کما لا خلاف بین الأصحاب فی کفایة مسح شعر مقدم الرأس و الناصیة، و أنّه لا یعتبر وصول الید الماسحة و مسّها للبشرة لا لما قیل من أنّ الناصیة ظاهرها الشعر النابت علی مقدم الرأس کما فی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بِالنَّوٰاصِی وَ الْأَقْدٰامِ</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و غیره؛ فإنّه کما ذکرنا أنّ الناصیة کمقدم الرأس اسم لنفس العضو، و قد یطلق و یراد به الشعر النابت علیها بقرینة الأخذ و نحوه أو یراد ذلک بنحو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الإضمار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الرأس أو مقدّمه و الناصیة یکون عادة مع نبات الشعر الساتر للبشرة و معه لا یکون وصول الید الماسحة لنفس البشرة و إن یمکن ذلک فیمن کان أصلع أو کان قد حلق رأسه، و یتعارف إطلاق المسح علی الرأس فیما مسح شعره فیکون الأمر بمسح الناصیة أو مقدّم الرأس ظاهراً فی الأعم من مسح البشرة أو الشعر النابت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شموله علی الشعر الخارج بمدّه عن مقدّم الرأس و الناصیة و إن کان فعلاً لعدم مدّه مجتمعاً علی مقدم الرأس و الناصیة غیر ظاهر بأنّ یجزی المسح علی المقدار الزائد، و کذلک إذا کان الشعر نابتاً علی مؤخّر الرأس أو علی عینه أو منتهی مقدم الرأس و کان متدلّیاً علی مقدّمه بنفسه أو بعلاج فإنّ إجزاء المسح علیه غیر ظاهر من مسح مقدّم الرأس و الناصیة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القرینة التی ذکرنا لا یقتضی أزید ممّا ذکرنا من جواز المسح علی الشعر الذی یکون علی مقدّم الرأس و الناصیة علی کلّ تقدیر من مدّ ذلک الشعر و عدم مدّه، و یرفع الید عن الظهور الأصلی من مسح الرأس بمقدار دلالة هذه القرینة، و أمّا الزائد فلا موجب للحکم بالإجزاء فیه و لعلّ ما ذکر الإمام علیه السلام فی صحیحة زرارة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یجزیها من مسح الرأس أن تمسح مقدّمه قدر ثلاث أصابع</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مع تحقق مسمّی المسح المعتبر بأقلّ من ذلک لإحراز وقوع المسح علی مقدار الشعر النابت</w:t>
      </w:r>
      <w:bookmarkStart w:id="426" w:name="pg12061_112659"/>
    </w:p>
    <w:p>
      <w:pPr>
        <w:pStyle w:val="BookText"/>
        <w:rPr/>
      </w:pPr>
      <w:bookmarkEnd w:id="426"/>
      <w:r>
        <w:rPr>
          <w:rFonts w:ascii="IRNazanin" w:hAnsi="IRNazanin" w:eastAsia="IRNazanin"/>
          <w:color w:val="111111"/>
          <w:sz w:val="28"/>
          <w:sz w:val="28"/>
          <w:szCs w:val="28"/>
          <w:rtl w:val="true"/>
          <w:lang w:bidi="fa-IR"/>
        </w:rPr>
        <w:t>فلا یجوز المسح علی المقدار المتجاوز و إن کان مجتمعاً فی الناصیة، و کذا لا یجوز علی النابت فی غیر المقدّم و إن کان واقعاً علی المقدّم، و لا یجوز المسح علی الحائل من العمامة أو القناع أو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شیئاً رقیقاً لم یمنع عن وصول الرطوبة إلی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مقدّمه لا المتدلّیة إلی المقدّم من غیره</w:t>
      </w:r>
      <w:r>
        <w:rPr>
          <w:rFonts w:eastAsia="IRNazanin" w:cs="IRNazanin"/>
          <w:color w:val="111111"/>
          <w:sz w:val="28"/>
          <w:szCs w:val="28"/>
          <w:rtl w:val="true"/>
          <w:lang w:bidi="fa-IR"/>
        </w:rPr>
        <w:t>.</w:t>
      </w:r>
    </w:p>
    <w:p>
      <w:pPr>
        <w:pStyle w:val="Heading5"/>
        <w:numPr>
          <w:ilvl w:val="4"/>
          <w:numId w:val="1"/>
        </w:numPr>
        <w:rPr/>
      </w:pPr>
      <w:bookmarkStart w:id="427" w:name="__RefHeading___Toc1723416_417432637"/>
      <w:bookmarkStart w:id="428" w:name="_Toc156"/>
      <w:bookmarkEnd w:id="427"/>
      <w:r>
        <w:rPr>
          <w:rtl w:val="true"/>
        </w:rPr>
        <w:t>المسح علی الشعر المتجاوز عن المقدار</w:t>
      </w:r>
      <w:bookmarkEnd w:id="428"/>
    </w:p>
    <w:p>
      <w:pPr>
        <w:pStyle w:val="BookText"/>
        <w:rPr/>
      </w:pPr>
      <w:r>
        <w:rPr>
          <w:rFonts w:ascii="IRNazanin" w:hAnsi="IRNazanin" w:eastAsia="IRNazanin"/>
          <w:color w:val="111111"/>
          <w:sz w:val="28"/>
          <w:sz w:val="28"/>
          <w:szCs w:val="28"/>
          <w:rtl w:val="true"/>
          <w:lang w:bidi="fa-IR"/>
        </w:rPr>
        <w:t>قد تقدّم أنّ الرأس و مقدّمه و الناصیة ظاهرها نفس العضو کما أنّ ظاهر مسحها بالید وصول الید الماسحة إلیها، غایة الأمر رفعنا الید عن هذا الظهور بالإضافة إلی الشعر النابت علی مقدّم الرأس و الناصیة بالقرینة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أیضاً ما تقدّم ممّا دلّ علی إدخال الإصبع تحت العمامة </w:t>
      </w:r>
      <w:r>
        <w:rPr>
          <w:rStyle w:val="FootnoteAnchor"/>
          <w:rtl w:val="true"/>
        </w:rPr>
        <w:footnoteReference w:id="751"/>
      </w:r>
      <w:r>
        <w:rPr>
          <w:rFonts w:ascii="IRNazanin" w:hAnsi="IRNazanin" w:eastAsia="IRNazanin"/>
          <w:color w:val="111111"/>
          <w:sz w:val="28"/>
          <w:sz w:val="28"/>
          <w:szCs w:val="28"/>
          <w:rtl w:val="true"/>
          <w:lang w:bidi="fa-IR"/>
        </w:rPr>
        <w:t xml:space="preserve">، و ما دلّ علی مسح المرأة من مقدّم رأسها قدر ثلاث أصابع و لا تلقی خمارها </w:t>
      </w:r>
      <w:r>
        <w:rPr>
          <w:rStyle w:val="FootnoteAnchor"/>
          <w:rtl w:val="true"/>
        </w:rPr>
        <w:footnoteReference w:id="752"/>
      </w:r>
      <w:r>
        <w:rPr>
          <w:rFonts w:ascii="IRNazanin" w:hAnsi="IRNazanin" w:eastAsia="IRNazanin"/>
          <w:color w:val="111111"/>
          <w:sz w:val="28"/>
          <w:sz w:val="28"/>
          <w:szCs w:val="28"/>
          <w:rtl w:val="true"/>
          <w:lang w:bidi="fa-IR"/>
        </w:rPr>
        <w:t>، الظاهر فی إدخال الأصابع تحت الخمار، و فی صحیحة علی بن جعفر، عن أخیه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المرأة هل یصلح لها أن تمسح علی الخمار؟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حتّی تمسح علی رأسها</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ذلک أیضاً بمرفوعة محمّد بن یحیی، عن أبی عبد اللّه علیه السلام فی الذی یخضب رأسه بالحنّاء ثمّ یبدو له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حتّی یصیب بشرة رأسه الماء</w:t>
      </w:r>
      <w:r>
        <w:rPr>
          <w:rFonts w:eastAsia="IRNazanin" w:cs="IRNazanin"/>
          <w:color w:val="111111"/>
          <w:sz w:val="28"/>
          <w:szCs w:val="28"/>
          <w:rtl w:val="true"/>
          <w:lang w:bidi="fa-IR"/>
        </w:rPr>
        <w:t xml:space="preserve">»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عدم جواز المسح علی الحنّاء و غیرها من الحائل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بها، و المراد بالبشرة فیها بقرینة ما تقدّم مقابل الحائل الخارجی لا الشعر علی الرأس کما لا یخفی، و لکن للرفع فی سندها قابلة للتایید لا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ذلک صحیحة محمّد بن مسلم، عن أبی عبد اللّه علیه السلام فی الرجل بحلق رأسه ثمّ یطلیه بالحنّاء ثمّ یتوضّأ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یمسح رأسه و الحنّاء علیه</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یخضّب رأسه بالحنّاء ثمّ یبدو له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أنّه لا یحتمل الفرق بین الحنّاء و الطین و نحوه بأن لا یجوز المسح علی الطین و نحوه و یجوز علی الحنّاء،بل یمکن دعوی عدم الفرق بین الطین و سائر الحائل حتّی العمامة فیتعیّن حمل الصحیحتین علی التقیّة، و عن بعض احتمال حملهما علی وجود لون الحنّاء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یحتمل أن یکون المراد من الطلی بالحنّاء لونه، و ثانیاً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یحتمل کون لونه مانعاً عن المسح المعتبر فی الوضوء کالغسل المعتبر فیه مع ما ورد فی الروایات من الترغیب إلی الخضاب، و نظیره احتمال حملهما علی صورة الضرورة و کون طلی الرأس بالحنّاء للعلاج فیه أنّه لم یفرض الضرورة و العلاج لا فی السؤال و لا فی الجواب، و لا یقاس بما ورد فی طلی الدواء و المرارة فإنّ طلی الدواء و المرارة دلالتها علی الضرورة ظاهرة</w:t>
      </w:r>
      <w:r>
        <w:rPr>
          <w:rFonts w:eastAsia="IRNazanin" w:cs="IRNazanin"/>
          <w:color w:val="111111"/>
          <w:sz w:val="28"/>
          <w:szCs w:val="28"/>
          <w:rtl w:val="true"/>
          <w:lang w:bidi="fa-IR"/>
        </w:rPr>
        <w:t>.</w:t>
      </w:r>
      <w:bookmarkStart w:id="429" w:name="pg12061_112661"/>
    </w:p>
    <w:p>
      <w:pPr>
        <w:pStyle w:val="BookText"/>
        <w:rPr/>
      </w:pPr>
      <w:bookmarkEnd w:id="429"/>
      <w:r>
        <w:rPr>
          <w:rFonts w:ascii="IRNazanin" w:hAnsi="IRNazanin" w:eastAsia="IRNazanin"/>
          <w:color w:val="111111"/>
          <w:sz w:val="28"/>
          <w:sz w:val="28"/>
          <w:szCs w:val="28"/>
          <w:rtl w:val="true"/>
          <w:lang w:bidi="fa-IR"/>
        </w:rPr>
        <w:t>نعم، فی حال الاضطرار لا مانع من المسح علی المانع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کالبرد أو إذا کان شیئاً لا یمکن رفعه و یجب أن یکون المسح بباطن الکفّ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یکون بالیمنی، و الأولی أن یکون بالأصابع</w:t>
      </w:r>
      <w:r>
        <w:rPr>
          <w:rFonts w:eastAsia="IRNazanin" w:cs="IRNazanin"/>
          <w:color w:val="111111"/>
          <w:sz w:val="28"/>
          <w:szCs w:val="28"/>
          <w:rtl w:val="true"/>
          <w:lang w:bidi="fa-IR"/>
        </w:rPr>
        <w:t>.</w:t>
      </w:r>
    </w:p>
    <w:p>
      <w:pPr>
        <w:pStyle w:val="Heading5"/>
        <w:numPr>
          <w:ilvl w:val="4"/>
          <w:numId w:val="1"/>
        </w:numPr>
        <w:rPr/>
      </w:pPr>
      <w:bookmarkStart w:id="430" w:name="__RefHeading___Toc1723418_417432637"/>
      <w:bookmarkStart w:id="431" w:name="_Toc157"/>
      <w:bookmarkEnd w:id="430"/>
      <w:r>
        <w:rPr>
          <w:rtl w:val="true"/>
        </w:rPr>
        <w:t>المسح علی المانع عند الاضطرار</w:t>
      </w:r>
      <w:bookmarkEnd w:id="431"/>
    </w:p>
    <w:p>
      <w:pPr>
        <w:pStyle w:val="BookText"/>
        <w:rPr/>
      </w:pPr>
      <w:r>
        <w:rPr>
          <w:rFonts w:ascii="IRNazanin" w:hAnsi="IRNazanin" w:eastAsia="IRNazanin"/>
          <w:color w:val="111111"/>
          <w:sz w:val="28"/>
          <w:sz w:val="28"/>
          <w:szCs w:val="28"/>
          <w:rtl w:val="true"/>
          <w:lang w:bidi="fa-IR"/>
        </w:rPr>
        <w:t>یأتی الکلام فی بحث الجبائر أنّه مع عدم التمکّن علی المسح بالبشرة أو کان علی العضو جبیرة أو دواء یجوز المسح علی الحائل ممّا لا یتمکن من رفعه للبرد و الخوف من الضرر، و کذا علی الجبیرة و الدواء للروایات الواردة فی ذلک، و فی غیره یؤخذ بمقتضی ما ورد فی تعیّن التیمم مع عدم التمکّن من الوضوء</w:t>
      </w:r>
      <w:r>
        <w:rPr>
          <w:rFonts w:eastAsia="IRNazanin" w:cs="IRNazanin"/>
          <w:color w:val="111111"/>
          <w:sz w:val="28"/>
          <w:szCs w:val="28"/>
          <w:rtl w:val="true"/>
          <w:lang w:bidi="fa-IR"/>
        </w:rPr>
        <w:t>.</w:t>
      </w:r>
    </w:p>
    <w:p>
      <w:pPr>
        <w:pStyle w:val="Heading5"/>
        <w:numPr>
          <w:ilvl w:val="4"/>
          <w:numId w:val="1"/>
        </w:numPr>
        <w:rPr/>
      </w:pPr>
      <w:bookmarkStart w:id="432" w:name="__RefHeading___Toc1723420_417432637"/>
      <w:bookmarkStart w:id="433" w:name="_Toc158"/>
      <w:bookmarkEnd w:id="432"/>
      <w:r>
        <w:rPr>
          <w:rtl w:val="true"/>
        </w:rPr>
        <w:t>اعتبار المسح بباطن الکف</w:t>
      </w:r>
      <w:bookmarkEnd w:id="433"/>
    </w:p>
    <w:p>
      <w:pPr>
        <w:pStyle w:val="BookText"/>
        <w:rPr/>
      </w:pPr>
      <w:r>
        <w:rPr>
          <w:rFonts w:ascii="IRNazanin" w:hAnsi="IRNazanin" w:eastAsia="IRNazanin"/>
          <w:color w:val="111111"/>
          <w:sz w:val="28"/>
          <w:sz w:val="28"/>
          <w:szCs w:val="28"/>
          <w:rtl w:val="true"/>
          <w:lang w:bidi="fa-IR"/>
        </w:rPr>
        <w:t>ذکر قدس سره اعتبار کون مسح مقدّم الرأس و الناصیة بباطن الکفّ فلا یجزی المسح بظهرها، و احتاط وجوباً فی کون مسح الرأس بباطن الکفّ من الید الیمنی و جعل المسح علیه بباطن الأصابع من الکفّ الیمنی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اعتبار کون المسح بالکفّ فلا یجزی بالذراع أو بالزند فقد ذکر بعضهم دعوی الإجماع علی ذلک من أصحابنا، و یمکن الاستدلال علی ذلک بما فی صحیحة عمر بن أُذنیة الحاکیة فی صدرها قضیّة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امسح رأسک بفضل ما بقی فی یدک من الماء و رجلیک إلی کعبیک</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فی بعض الروایات الواردة فی حکایة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ببلّة ما بقی فی یده رأسه و رجلیه و لم یعدهما فی الإناء</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فی صحیحة محمّد بن مسلم التی من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کفا آخر فغسل به ذراعه الأیسر ثمّ مسح رأسه و رجلیه بما بقی فی یدیه</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إلی غیر ذلک، فإن المتفاهم من المسح بما بقی فی یدیه و عدم إدخالهما فی الإناء ثانیاً هو المسح بالکف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و إن یطلق الید و یراد منه إلی المرفق أو المنکب أو إلی بعض الذراع، إلّا أنّ الظاهر منه فی مثل المسح بما علی یدیه أو فی یدیه من الماء أو الندی المسح بما دون الزند إلی أطراف الأصابع 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بیده أو بما فی یدیه من الرطوبة رأس الیتیم، فإنّه لا یتبادر منه ما یعمّ مسح الرأس بذراعه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فی موثّقة زرارة و بکیر بن أعین حیث سألا أبا جعفر علیه السلام عن حکایة وضوء رسول اللّٰه صلی الله علیه و آله من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إلی الکعبین بفضل کفیه لم یجدد ماءً</w:t>
      </w:r>
      <w:r>
        <w:rPr>
          <w:rFonts w:eastAsia="IRNazanin" w:cs="IRNazanin"/>
          <w:color w:val="111111"/>
          <w:sz w:val="28"/>
          <w:szCs w:val="28"/>
          <w:rtl w:val="true"/>
          <w:lang w:bidi="fa-IR"/>
        </w:rPr>
        <w:t xml:space="preserve">» </w:t>
      </w:r>
      <w:r>
        <w:rPr>
          <w:rStyle w:val="FootnoteAnchor"/>
          <w:rtl w:val="true"/>
        </w:rPr>
        <w:footnoteReference w:id="760"/>
      </w:r>
      <w:r>
        <w:rPr>
          <w:rFonts w:ascii="Amiri" w:hAnsi="Amiri" w:eastAsia="Amiri" w:cs="Amiri"/>
          <w:color w:val="111111"/>
          <w:sz w:val="28"/>
          <w:sz w:val="28"/>
          <w:szCs w:val="28"/>
          <w:rtl w:val="true"/>
          <w:lang w:bidi="ar-SA"/>
        </w:rPr>
        <w:t>حیث إنّ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یجدد لکفّیه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دعوی أنّ هذه الروایات ظاهرها کون المسح علی الرأس و الرجلین ببلّة الوضوء لا کون الید و الکف العضو الماسح خلاف الظاهر کما ذکرنا، حیث إنّ ظاهرها بیان المسح بالید و الکفّ المبلّلة ببلّة الوضوء من غیر أن یجدد للکفّ و الید ماءً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المفروض فی مثل هذه الروایات کون المسح بالید فی مسح الرأس و الرجلین، و فی صحیحة زرارة و بکیر بن أعین،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 یدک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الشراک و إذا مسحت بشیء من رأسک أو بشیء من قدمیک</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الخ حیث إنّ ظاهر النهی عن إدخال الید تحت الشراک فی مقام توهّم اعتباره فرض اعتبار کون المسح بالید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استظهار اعتبار کون المسح بباطن الید و الکفّ من هذه الروایات، حیث لو مسح الإمام علیه السلام فی شیء من موارد الحکایة عن وضوء رسول اللّٰه الرأس أو الرجلین بظاهر الکفّ لتصدّی الرواة لنقل تلک الخصوصیة، و عدم تعرّضهم لنقلها مع کونه علی خلاف المتعارف من مسح الشیء بالید خصوصاً الرأس و الرجلین فی الوضوء کافٍ فی الحکم بأنّ المعتبر هو المسح بالباطن، و لا مجال فی مثل ذلک بالتمسک بالإطلاقات الآمرة بالمسح؛ لما تقدّم من تعیّن الأخذ بما فی هذه الروایات ما لم تقم قرینة علی خلافها، و الإطلاق فی الأمر بالمسح لا یصلح لأنّه فی مقام بیان المراد من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ما فی صحیحة زرارة و بکیر من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ببلل کفّه لم یحدث لهما ماءً جدیداً،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أصابعه تحت الشراک</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و نحوه ظاهر فی بیان المسح بالکف، و أنّه لم یجدّد للعضو الماسح بللاً و ماءً آخر فیؤخذ بالظهور، و لا یکون إطلاق الأمر بمسح الرأس و مقدّمه و الناصیة صالحاً لرفع الید عن الظهور المزبور؛ فإنّ الأخبار المزبورة کالمقیدة لمثل تلک الإطلاقات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اعتبار کون المسح بالید الیمنی فیمکن أن یستظهر ذلک من صحیحة زرارة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ناصیتک ببلة یمناک</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حیث تقدّم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ببلة یمناک الخ، جملة إخباریة فی مقام الإنشاء و غیر معطوف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غرفات، لیقال إنّ إجزاء المسح ببلّة الیمنی لا یدلّ علی تعیّنه، و ربّما یقال إنّه یؤخذ بما نسب إلی المشهور من الالتزام باستحباب مسح الرأس بالید الیمنی، و یرفع الید عن الظهور المزبور علی تقدیره؛ لما ورد فی بعض الروایات الحاکیة لوضوء رسول اللّٰه ما یظهر جواز المسح بالیسار 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مقدّم رأسه و ظهر قدمیه ببلّة یساره و بقیة بلّة یمناه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و لکن لا یخفی أنّ ظاهر ذلک أیضاً فرض مسح الرأس ببلّة الیمنی حیث لم یرد فیه و مسح مقدّمه رأسه و ظهر قدمیه ببلّة یساره و یمناه،بل الوارد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بلّة یمناه، و ظاهره أنّ البلّة الیمنی قد صرف بعضها علی مسح الرأس و بباقیها یمسح مع بلّة یساره ظاهر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فلو لم یکن الحکم بأنّ المسح علی الرأس بالبلّة الأُولی متعیّن فلا ریب فی أنّه أحوط و لا تصل النوبة إلی التمسّک بإطلاقات المسح</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 فی المتن من أنّ المسح بالأصابع أولی فلا أعرف له وجهاً، و ما ورد فی إدخال الإصبع تحت العمامة أو ثلاثة أصابع تحت الخمار فهو فی مقام بیان عدم لزوم الاستیعاب فی مسح الرأس و جواز الاکتفاء بما ذکر، و ما فی صحیحة زرارة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أصابعه تحت الشراک</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لا یدلّ علی فرض مسح القدمین</w:t>
      </w:r>
      <w:bookmarkStart w:id="434" w:name="pg12061_112665"/>
    </w:p>
    <w:p>
      <w:pPr>
        <w:pStyle w:val="BookText"/>
        <w:rPr/>
      </w:pPr>
      <w:bookmarkEnd w:id="4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الرأس لا فرق بین أن یکون طولاً أو عرضاً أو منحرفاً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مسح الرأس لا فرق بین أن یکون طولاً أو عرضاً أو منحرفاً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مسح الرجلین من رءوس الأصابع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من رءوس الأصابع إلی الکعبین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بالأصابع؛ لأنّ إدخال الکفّ تحت الشراک یکون بإدخال الأصابع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یؤخذ فی المقام بإطلاقات الأمر بالمسح حیث لم یرد حتّی فی شیء من الروایات الحاکیة لوضوء رسول اللّٰه إلّا المسح بالید و الکفّ فراجع</w:t>
      </w:r>
      <w:r>
        <w:rPr>
          <w:rFonts w:eastAsia="IRNazanin" w:cs="IRNazanin"/>
          <w:color w:val="111111"/>
          <w:sz w:val="28"/>
          <w:szCs w:val="28"/>
          <w:rtl w:val="true"/>
          <w:lang w:bidi="fa-IR"/>
        </w:rPr>
        <w:t>.</w:t>
      </w:r>
    </w:p>
    <w:p>
      <w:pPr>
        <w:pStyle w:val="Heading5"/>
        <w:numPr>
          <w:ilvl w:val="4"/>
          <w:numId w:val="1"/>
        </w:numPr>
        <w:rPr/>
      </w:pPr>
      <w:bookmarkStart w:id="435" w:name="__RefHeading___Toc1723422_417432637"/>
      <w:bookmarkStart w:id="436" w:name="_Toc159"/>
      <w:bookmarkEnd w:id="435"/>
      <w:r>
        <w:rPr>
          <w:rtl w:val="true"/>
        </w:rPr>
        <w:t>جواز المسح طولاً أو عرضاً</w:t>
      </w:r>
      <w:bookmarkEnd w:id="436"/>
    </w:p>
    <w:p>
      <w:pPr>
        <w:pStyle w:val="BookText"/>
        <w:rPr/>
      </w:pPr>
      <w:r>
        <w:rPr>
          <w:rFonts w:ascii="IRNazanin" w:hAnsi="IRNazanin" w:eastAsia="IRNazanin"/>
          <w:color w:val="111111"/>
          <w:sz w:val="28"/>
          <w:sz w:val="28"/>
          <w:szCs w:val="28"/>
          <w:rtl w:val="true"/>
          <w:lang w:bidi="fa-IR"/>
        </w:rPr>
        <w:t>المراد المسح فی طول مقدّم الرأس و الناصیة أو عرضه، فإنّ جواز المسح علی طوله أو عرضه،بل منحرفاً بأن یمسح من أحد طرفی مقدّم الرأس إلی طرفه الآخر منحرفاً مقتضی إطلاقات الأمر بمسح الناصیة و المسح علی مقدم الرأس،بل الإطلاق المقامی فی الأخبار الحاکیة لوضوء رسول اللّٰه صلی الله علیه و آله</w:t>
      </w:r>
      <w:r>
        <w:rPr>
          <w:rFonts w:eastAsia="IRNazanin" w:cs="IRNazanin"/>
          <w:color w:val="111111"/>
          <w:sz w:val="28"/>
          <w:szCs w:val="28"/>
          <w:rtl w:val="true"/>
          <w:lang w:bidi="fa-IR"/>
        </w:rPr>
        <w:t>.</w:t>
      </w:r>
    </w:p>
    <w:p>
      <w:pPr>
        <w:pStyle w:val="Heading4"/>
        <w:numPr>
          <w:ilvl w:val="3"/>
          <w:numId w:val="1"/>
        </w:numPr>
        <w:rPr/>
      </w:pPr>
      <w:bookmarkStart w:id="437" w:name="__RefHeading___Toc1723424_417432637"/>
      <w:bookmarkStart w:id="438" w:name="_Toc160"/>
      <w:bookmarkEnd w:id="437"/>
      <w:r>
        <w:rPr>
          <w:rtl w:val="true"/>
        </w:rPr>
        <w:t>الرابع</w:t>
      </w:r>
      <w:r>
        <w:rPr>
          <w:rtl w:val="true"/>
        </w:rPr>
        <w:t>:</w:t>
      </w:r>
      <w:r>
        <w:rPr>
          <w:rtl w:val="true"/>
        </w:rPr>
        <w:t>مسح الرجلین من رءوس الأصابع إلی الکعبین</w:t>
      </w:r>
      <w:bookmarkEnd w:id="438"/>
    </w:p>
    <w:p>
      <w:pPr>
        <w:pStyle w:val="Heading5"/>
        <w:numPr>
          <w:ilvl w:val="4"/>
          <w:numId w:val="1"/>
        </w:numPr>
        <w:rPr/>
      </w:pPr>
      <w:bookmarkStart w:id="439" w:name="__RefHeading___Toc1723426_417432637"/>
      <w:bookmarkStart w:id="440" w:name="_Toc161"/>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المشهور بین أصحابنا و المدّعی علیه الإجماع فی کلمات بعضهم أنّه یعتبر الاستیعاب فی مسح الرجلین من حیث الطول من ظهر القدمین من رءوس الأصابع إلی الکعبین، و أمّا فی عرض ظاهرهما فیکفی مسمّی المسح</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احتمل بعض الأصحاب </w:t>
      </w:r>
      <w:r>
        <w:rPr>
          <w:rStyle w:val="FootnoteAnchor"/>
          <w:rtl w:val="true"/>
        </w:rPr>
        <w:footnoteReference w:id="766"/>
      </w:r>
      <w:r>
        <w:rPr>
          <w:rFonts w:ascii="IRNazanin" w:hAnsi="IRNazanin" w:eastAsia="IRNazanin"/>
          <w:color w:val="111111"/>
          <w:sz w:val="28"/>
          <w:sz w:val="28"/>
          <w:szCs w:val="28"/>
          <w:rtl w:val="true"/>
          <w:lang w:bidi="fa-IR"/>
        </w:rPr>
        <w:t xml:space="preserve">عدم لزوم الاستیعاب فی جهة طولهما أیضاً، و اختاره فی المفاتیح </w:t>
      </w:r>
      <w:r>
        <w:rPr>
          <w:rStyle w:val="FootnoteAnchor"/>
          <w:rtl w:val="true"/>
        </w:rPr>
        <w:footnoteReference w:id="767"/>
      </w:r>
      <w:r>
        <w:rPr>
          <w:rFonts w:ascii="IRNazanin" w:hAnsi="IRNazanin" w:eastAsia="IRNazanin"/>
          <w:color w:val="111111"/>
          <w:sz w:val="28"/>
          <w:sz w:val="28"/>
          <w:szCs w:val="28"/>
          <w:rtl w:val="true"/>
          <w:lang w:bidi="fa-IR"/>
        </w:rPr>
        <w:t xml:space="preserve">، و فی ریاض المسائل نفی البعد عنه </w:t>
      </w:r>
      <w:r>
        <w:rPr>
          <w:rStyle w:val="FootnoteAnchor"/>
          <w:rtl w:val="true"/>
        </w:rPr>
        <w:footnoteReference w:id="768"/>
      </w:r>
      <w:r>
        <w:rPr>
          <w:rFonts w:ascii="IRNazanin" w:hAnsi="IRNazanin" w:eastAsia="IRNazanin"/>
          <w:color w:val="111111"/>
          <w:sz w:val="28"/>
          <w:sz w:val="28"/>
          <w:szCs w:val="28"/>
          <w:rtl w:val="true"/>
          <w:lang w:bidi="fa-IR"/>
        </w:rPr>
        <w:t>، و اختاره فی الحدائق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أولاً و لکن ذکر فی آخر کلامه أنّ الأحوط الاستیعاب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یستظهر الاستیعاب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770"/>
      </w:r>
      <w:r>
        <w:rPr>
          <w:rFonts w:ascii="IRNazanin" w:hAnsi="IRNazanin" w:eastAsia="IRNazanin"/>
          <w:color w:val="111111"/>
          <w:sz w:val="28"/>
          <w:sz w:val="28"/>
          <w:szCs w:val="28"/>
          <w:rtl w:val="true"/>
          <w:lang w:bidi="fa-IR"/>
        </w:rPr>
        <w:t>بناءً علی قراءة النصب حیث یکون ظاهرها تحدید المسح الواجب فی الرجلین بکون مسحهما إلی الکعبین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ظاهرها ذلک حتّی بناءً علی قراءة الخفض فإنّ مفادها و إن کان مسح بعض الرجلین و لکنّ مسحهما من رءوس الأصابع إلی الکعبین مسح لبعضهما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التحدید إلی الکعبین غایة للممسوح لا للمسح، لا لأنّ التفکیک بین تحدید الرجلین إلی الکعبین عن تحدید الیدین إلی المرفقین بعید، و أنّ التحدید فی الثانی تحدید للمغسول و کذلک الأوّل غایة للممسوح، لیقال بأنّ هذه دعوی ظهور سیاقی و لا نسلّم هذا الظهور،بل لما دلّ علی جواز النکس فی المسح و فی مسح القدمین حیث یعلم منه أنّ أطراف الأصابع إلی الکعبین بیان لموضع المسح من القدمین، و علیه فلا دلالة للآیة علی استیعاب المسح لذلک الموضع المحدود طولاً، کما لا یعتبر الاستیعاب عرضاً لمکان الباء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کما أنّ موضع المسح من الرأس محدود بمقدّم الرأس و الناصیة و لکن المعتبر فی الوضوء مسمّی المسح من الموضع، کذلک موضع المسح من الرجلین محدود بین أطراف الأصابع إلی الکعب و لکنّ المعتبر فی الوضوء مسمّی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 من ذلک الموضع، و فی صحیحة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وصل الرجلین بالرأس کما وصل الیدین بالوجه،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حین وصلهما بالرأس أنّ المسح علی بعضهما ثمّ فسّر ذلک رسول اللّٰه صلی الله علیه و آله للناس فضیّعوه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أنّه ما ذکر فی استظهار الاستیعاب فی مسح الرجلین طولاً من الآیة المبارکة مع تسلیم أنّ التحدید فیها تحدید للممسوح لا للمسح،بدعوی أنّ المستفاد من روایات جواز النکس فی الوضوء هو أنّ الغایة فی الآیة غایة للممسوح و مع ذلک یستفاد منها الاستیعاب فإنّه 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اکنس المسجد من هذا الموضع إلی کذا، یستفاد منه استیعاب الکنس مع کون التحدید راجع إلی موضع الکنس و المرافق فی الآیة غایة للمغسول و مع ذلک یستفاد الاستیعاب فی الغسل، کذلک فی الأمر بمسح الرجلین إلی الکعبین لا یمکن المساعدة علیه؛ و ذلک لأنّ الظهور المزبور مسلّم فیما إذا لم یکن فی الکلام دالّ علی التبعیض، و ذکر فی ناحیة الأمر بالمسح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منه التبعیض و وصل الرجلین بالمسح کما فی الصحیحة، و لا یفرّق فی ذلک بین قراءة نصب الأرجل أو خفضها فإنّ النصب للعطف علی محل الأرجل لا لعدم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 الأرجل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البعض فی مسح الرجلین إلی الکعبین باعتبار البعض فی عرض المسح لا طوله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المدّعی عدم ظهور الآیة فی ذلک البعض و أنّه من حیث عرض موضع الممسوح أو فی طوله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یقال بما ذکرنا سابقاً أنّ الظهور الاستعمالی للآیة لا یختلف 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فی مثل المقام الزیادة غایة الأمر ما بیّن فی الروایات هو أنّ اختلاف الأمر بالغسل و الأمر بالمسح فی الصورة لاختلاف المراد فی ناحیة الغسل و المسح من قبیل القرینة علی المراد الجدّی، و المتیقّن ممّا دلّ علی إرادة البعض إنّما هو فی جهة عرض موضع المسح و المسح لا فی جهة طوله أیضاً علی ما یأتی فیؤخذ فی جهة الطول بظهور الآیة فی الاستیعاب حتّی بناءً علی کون الغایة غایةً لموضع المسح من القدم، و بما استدلّ بعض المتأخرین علی عدم لزوم المسح علی الرجل طولاً کمسحهما عرضاً بما فی صحیحة زرارة و بکیر بن أعین،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مسحت بشیء من رأسک أو بشیء من قدمیک ما بین کعبیک إلی أطراف الأصابع فقد أجزأک</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و فی صحیحتهما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مسح بشیء من رأسه أو بشیء من قدمیه ما بین الکعبین إلی أطراف الأصابع فقد أجزأه</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یجاب عن الاستدلال بأنّ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کعبیک 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الکعبین 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بیان للشیء الذی یکون مسحه مجزیاً لا أنّه بیان للقدمین، حیث إنّ کون الموصول بیاناً للجار و المجرور معاً فی الکلام خلاف الظاهر، و علی تقدیر عدم تسلیم خلاف الظهور فلا ینبغی التأمّل فی احتمال ذلک و علیه یؤخذ مع إجمالهما بالظهور للآیة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ذکر من ظهورهما فی کون ما بین الکعبین إلی الأصابع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 للشیء فلا بدّ من الالتزام بالاستیعاب فی المسح طولاً و عرضاً کما هو ظاهر الآیة عنده و علی ما بیناه من عدم اختلاف الظهور الاستعمالی للآیة فی الاستیعاب فی المقدار المحدود من 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الکعبین فی الآیة و إن کان غایة لموضع المسح لا لنفس المسح إلّا أنّ ذلک لا ینافی اعتبار الاستیعاب فی مسح ظاهر الرجلین طولاً و عرضاً و لو بملاحظة ما ورد فی تفسیر الآیة من کون المعتبر فی مسح الرأس و الرجلین البعض 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المبدأ لمسح الرجلین یعنی لموضعه غیر مذکور فی الآیة، و عدم ذکره مقتضاه أن یراد بالرجلین تمامهما من الظاهر و الباطن کشمول الرأس فیها لمقدمه و مؤخّره، و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علامة علی ما هو مقتضی الصحیحة لإرادة بعض الرأس و بعض الرجلین إلی الکعبین، و قد حدّد هذا البعض فی الروایات بظهر القدمین إلی الکعبین خلافاً للعامّة حیث التزموا بغسل باطنهما أیضاً علی ما یأتی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فإنّ قوله علیه السلام فی صحیحة زرارة و بکیر بن أعین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مسحت بشیء من رأسک أو بشیء من قدمیک ما بین کعبیک إلی أطراف الأصابع فقد أجزأک</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ظاهرها الاکتفاء فی مسح الرجلین بمسمّاه فی ما بین الکعبین إلی أطراف الأصابع، و إلّا لو کان الاستیعاب فی المقدار المزبور لازماً بأن یکون ما بین الکعبین إلی أطراف الأصابع بیاناً للشیء ؛ لکان المناسب ترک ذکر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مسحت ما بین کعبیک إلی أطراف الأصابع فقد أجزأک، و أیضاً لم یکن مجال للتعبیر بالإجزاء الظاهر فی أقل مرتبة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المعتبر فی الوضوء مرتبة واحدة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کعبیک إلی أطراف الأصابع،بیان للقدمین، و یؤید ذلک ما فی روایة معمّر بن عمر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أصابع و کذلک الرجل</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فإنّه کما ذکرنا سابقاً أنّ المسح بثلاث أصابع یعمّ عرض الرجل و طولها کالرأس و التعبیر بالتأیید لضعف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علی کفایة المسمّی فی الطول أیضاً بما فی بعض الروایات من المنع من إدخال الأصابع تحت الشراک کما فی صحیحة زرارة، و بکیر بن أعین </w:t>
      </w:r>
      <w:r>
        <w:rPr>
          <w:rStyle w:val="FootnoteAnchor"/>
          <w:rtl w:val="true"/>
        </w:rPr>
        <w:footnoteReference w:id="776"/>
      </w:r>
      <w:r>
        <w:rPr>
          <w:rFonts w:ascii="IRNazanin" w:hAnsi="IRNazanin" w:eastAsia="IRNazanin"/>
          <w:color w:val="111111"/>
          <w:sz w:val="28"/>
          <w:sz w:val="28"/>
          <w:szCs w:val="28"/>
          <w:rtl w:val="true"/>
          <w:lang w:bidi="fa-IR"/>
        </w:rPr>
        <w:t>حیث لو کان الاستیعاب فی المسح بحسب الطول معتبراً تعیّن إدخال الید تحت الشراک، و فیه أنّ الاستدلال مبنیّ علی کون المراد بالکعبین إلی الساق، أو تمام الکعبین،بأن تکون الغایة داخلة فی حکم المغیّا و شیء منهما غیر ثابت کما یأتی، و إذا انتهی المسح فی مبدأ الکعب من مقدّم القدم لما أضر الشراک باستیعاب مسح ظهر الرجل طولاً، و کان الأولی أن یستدلّ بهذه الصحیحة و مثلها علی عدم لزوم الاستیعاب فی ظهر القدم عرضاً حیث الشراک الآخر علی بعض الإصبع مانع عن استیعابه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یمکن أن یستظهر کفایة المسمّی طولاً و عرضاً بروایة معمّر بن عمر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أصابع و کذلک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طول الرجل و عرضه کما ذکرنا فی مسح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التحدید فیها بلحاظ عرض الرأس و الرجل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یمکن استظهار کفایة المسمّی فی طول الرجل من صحیحة زرارة عن أبی جعفر علیه السلام أنّ علیّاً علیه السلام مسح علی النعلین و لم یستبطن الشراکین </w:t>
      </w:r>
      <w:r>
        <w:rPr>
          <w:rStyle w:val="FootnoteAnchor"/>
          <w:rtl w:val="true"/>
        </w:rPr>
        <w:footnoteReference w:id="778"/>
      </w:r>
      <w:r>
        <w:rPr>
          <w:rFonts w:ascii="IRNazanin" w:hAnsi="IRNazanin" w:eastAsia="IRNazanin"/>
          <w:color w:val="111111"/>
          <w:sz w:val="28"/>
          <w:sz w:val="28"/>
          <w:szCs w:val="28"/>
          <w:rtl w:val="true"/>
          <w:lang w:bidi="fa-IR"/>
        </w:rPr>
        <w:t>، لما تقدّم فی صحیحة الأخوین أنّ عدم إدخال الید تحت الشراک لا یلازم عدم تحقّق المسح من رءوس الأصابع إلی الکعب، و إنّما یلازم عدم استیعاب المسح لعرض الرجل للشراک الآخر فی النعل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ذکر أنّه لا یمکن الاستدلال علی اعتبار الاستیعاب فی مسح الرجلین طولاً بالآیة،بل مقتضی صحیحة الأخوین، و روایة معمّر بن عمر عدم اعتباره، نعم المستفاد من بعض الروایات الحاکیة لوضوء النبی صلی الله علیه و آله عن الإمام أنّه علیه السلام استوعب المسح علی الرجلین طولاً، و فی صحیحة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مسح رأسه و قدمیه إلی الکعبین بفضل کفّیه لم یجدّد لهما ماءً </w:t>
      </w:r>
      <w:r>
        <w:rPr>
          <w:rStyle w:val="FootnoteAnchor"/>
          <w:rtl w:val="true"/>
        </w:rPr>
        <w:footnoteReference w:id="779"/>
      </w:r>
      <w:r>
        <w:rPr>
          <w:rFonts w:ascii="IRNazanin" w:hAnsi="IRNazanin" w:eastAsia="IRNazanin"/>
          <w:color w:val="111111"/>
          <w:sz w:val="28"/>
          <w:sz w:val="28"/>
          <w:szCs w:val="28"/>
          <w:rtl w:val="true"/>
          <w:lang w:bidi="fa-IR"/>
        </w:rPr>
        <w:t xml:space="preserve">، فإنّ هذه الصحیحة و إن لم تکن ناظرة إلی بیان کمیّة المسح من حیث العرض و الطول فی الرأس و لا من حیث العرض فی الرجلین إلّا أنّ ظاهرها استیعاب علی الرجلین طولاً إلی الکعب، کما أنّ الأمر بمسح ظهر قدمک الیمنی و ظهر قدمک الیسری فی صحیحة زرارة عن أبی جعفر علیه السلام </w:t>
      </w:r>
      <w:r>
        <w:rPr>
          <w:rStyle w:val="FootnoteAnchor"/>
          <w:rtl w:val="true"/>
        </w:rPr>
        <w:footnoteReference w:id="780"/>
      </w:r>
      <w:bookmarkStart w:id="441" w:name="pg12061_112672"/>
    </w:p>
    <w:p>
      <w:pPr>
        <w:pStyle w:val="BookText"/>
        <w:rPr/>
      </w:pPr>
      <w:bookmarkEnd w:id="441"/>
      <w:r>
        <w:rPr>
          <w:rFonts w:ascii="IRNazanin" w:hAnsi="IRNazanin" w:eastAsia="IRNazanin"/>
          <w:color w:val="111111"/>
          <w:sz w:val="28"/>
          <w:sz w:val="28"/>
          <w:szCs w:val="28"/>
          <w:rtl w:val="true"/>
          <w:lang w:bidi="fa-IR"/>
        </w:rPr>
        <w:t>و هما قبتا القدمین علی المشهور، و المفصل بین الساق و القدم علی قول بعضهم و هو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 فی المسح علی الرجلین طولاً و عرضاً، إلّا أنّه لا یمکن التمسّک بمثل ذلک فی مقابل ما تقدم من دلالة صحیحتی الأخوین علی إجزاء المسح علی الرأس و الرجلین بمسمّاه؛ فإنّ لهما نظر حکومة علی مثل ذلک ممّا یدلّ علی اعتبار المسح علی الرجلین فی الوضوء، و مع ذلک رعایة الاحتیاط فی مسح الرجلین خروج عن مخالفة المشهور</w:t>
      </w:r>
      <w:r>
        <w:rPr>
          <w:rFonts w:eastAsia="IRNazanin" w:cs="IRNazanin"/>
          <w:color w:val="111111"/>
          <w:sz w:val="28"/>
          <w:szCs w:val="28"/>
          <w:rtl w:val="true"/>
          <w:lang w:bidi="fa-IR"/>
        </w:rPr>
        <w:t>.</w:t>
      </w:r>
    </w:p>
    <w:p>
      <w:pPr>
        <w:pStyle w:val="Heading5"/>
        <w:numPr>
          <w:ilvl w:val="4"/>
          <w:numId w:val="1"/>
        </w:numPr>
        <w:rPr/>
      </w:pPr>
      <w:bookmarkStart w:id="442" w:name="__RefHeading___Toc1723428_417432637"/>
      <w:bookmarkStart w:id="443" w:name="_Toc162"/>
      <w:bookmarkEnd w:id="442"/>
      <w:r>
        <w:rPr>
          <w:rtl w:val="true"/>
        </w:rPr>
        <w:t>المراد من الکعبین</w:t>
      </w:r>
      <w:bookmarkEnd w:id="443"/>
    </w:p>
    <w:p>
      <w:pPr>
        <w:pStyle w:val="BookText"/>
        <w:rPr/>
      </w:pPr>
      <w:r>
        <w:rPr>
          <w:rFonts w:ascii="IRNazanin" w:hAnsi="IRNazanin" w:eastAsia="IRNazanin"/>
          <w:color w:val="111111"/>
          <w:sz w:val="28"/>
          <w:sz w:val="28"/>
          <w:szCs w:val="28"/>
          <w:rtl w:val="true"/>
          <w:lang w:bidi="fa-IR"/>
        </w:rPr>
        <w:t xml:space="preserve">المشهور عند أصحابنا أنّ الکعبین هما العظمان الناتئان أی العالیان فوق ظهر القدمین و یعبّر عنهما بقبّتا القدمین؛ لأنّ کلّ عال یسمی کعباً خلافاً للعامّة حیث إنّ المعروف عندهم علی ما حکی هما العظمان العالیان عن یمین منتهی الساق و یساره </w:t>
      </w:r>
      <w:r>
        <w:rPr>
          <w:rStyle w:val="FootnoteAnchor"/>
          <w:rtl w:val="true"/>
        </w:rPr>
        <w:footnoteReference w:id="781"/>
      </w:r>
      <w:r>
        <w:rPr>
          <w:rFonts w:ascii="IRNazanin" w:hAnsi="IRNazanin" w:eastAsia="IRNazanin"/>
          <w:color w:val="111111"/>
          <w:sz w:val="28"/>
          <w:sz w:val="28"/>
          <w:szCs w:val="28"/>
          <w:rtl w:val="true"/>
          <w:lang w:bidi="fa-IR"/>
        </w:rPr>
        <w:t xml:space="preserve">، و لعلّهم استفادوا ذلک بالاستظهار من الآیة المبارکة من فرض الکعبین فی کلّ من الرجلین إلّا فی الرجلین معاً، لا أنّ الکعب لا یطلق علی قبّة القدم، و عن العلّامة أنّ الکعب هو المفصل بین الساق و القدم و لم یکتفِ قدس سره علی ذلک،بل حمل کلمات الأصحاب علیه و قال إنّ ذلک أقرب إلی تعریف أهل اللغة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المتأمل فی کلمات الأصحاب یجد أنّ الکعب عندهم بین مفصل الساق و المشط و المراد بالمشط مفصل أصابع الرجل، کما أنّ الناظر فی کلمات اللغویین لا یحرز اتّفاقهم علی أنّه مفصل الساق و منتهی الساق من أسفله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ما کان فالکلام فی أنّ الکعبین المذکورین فی الآیة غایة لموضع المسح من الرجل مفروضان فی کلّ من الرجلین أو أنّهما مفروضان فی الرجلین معاً؛ فعلی الأول لا بدّ من أن یراد منهما ما عن یمین منتهی الساق و یساره من أسفله، و علی الثانی یتعیّن أن یکون المراد بهما قبّتی القدمین کما علیه المشهور بین أصحابنا بحیث نسب المخالفون هذا المعنی إلی الشیعة أو مفصل الساق الذی یقرب من المعنی الأوّل، فإن لم یحرز شیء منهما من الروایات و دار الأمر بین کون المراد بهما قبّتی القدمین أو مفصل الساق فالمرجع البراءة عن مسح الزائد إلی منتهی القبّة بناءً علی أنّ الطهارة عنوان لنفس الوضوء، و الاحتیاط بناءً علی أنّها أمر مسبب عن الوضوء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تصل النوبة إلی الأصل العملی؛ لوجود الأصل اللفظی کصحیحة زرارة، حیث ذکر فیها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تمسح من بلة یمناک ظهر قدمک الیمنی و تمسح ببلّة یسراک ظهر قدمیک الیسری </w:t>
      </w:r>
      <w:r>
        <w:rPr>
          <w:rStyle w:val="FootnoteAnchor"/>
          <w:rtl w:val="true"/>
        </w:rPr>
        <w:footnoteReference w:id="783"/>
      </w:r>
      <w:r>
        <w:rPr>
          <w:rFonts w:ascii="IRNazanin" w:hAnsi="IRNazanin" w:eastAsia="IRNazanin"/>
          <w:color w:val="111111"/>
          <w:sz w:val="28"/>
          <w:sz w:val="28"/>
          <w:szCs w:val="28"/>
          <w:rtl w:val="true"/>
          <w:lang w:bidi="fa-IR"/>
        </w:rPr>
        <w:t>، حیث إنّ فی المقدار المجمل للمقیّد یؤخذ بإطلاق الظهر و الحکم بلزوم مسح ظاهر الرجل إلی مفصل الساق من طرف الأصابع، سواء قیل باستیعاب المسح أم لا کما لا یخفی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علی ما ذهب إلیه المشهور ببعض الروایات کصحیحة البزنطی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المسح عن القدمین کیف هو؟ فوضع کفّه علی الأصابع فمسحها إلی الکعبین إلی ظاهر القدم </w:t>
      </w:r>
      <w:r>
        <w:rPr>
          <w:rStyle w:val="FootnoteAnchor"/>
          <w:rtl w:val="true"/>
        </w:rPr>
        <w:footnoteReference w:id="784"/>
      </w:r>
      <w:r>
        <w:rPr>
          <w:rFonts w:ascii="IRNazanin" w:hAnsi="IRNazanin" w:eastAsia="IRNazanin"/>
          <w:color w:val="111111"/>
          <w:sz w:val="28"/>
          <w:sz w:val="28"/>
          <w:szCs w:val="28"/>
          <w:rtl w:val="true"/>
          <w:lang w:bidi="fa-IR"/>
        </w:rPr>
        <w:t>، و یقال إنّ الغایة الثانیة بعینها الغایة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ذکرت بیاناً لها، و المراد بظاهر القدم موضع علوه، و فی بعض النسخ إلی ظهر القدم و لو کان الصحیح هذه النسخة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أنّه لا یمکن أن یراد بظاهر القدم مقابل باطنه و أنّ مسحه علیه السلام قد انتهی فی ظاهر القدم بهذا المعنی، فإنّ هذا ینافی مع وضع الکفّ علی الأصابع مع أنّ مسح الباطن فی نفسه غیر محتمل فلا بد من أن یراد بظاهر القدم موضع علوّه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أنّه یحتمل أن یکون المراد بظاهر القدم أو ظهره معنی ظاهرهما و هو مقابل باطن الرجل و بطنه، و المراد أنّ مسح أوّل الأصابع إلی آخر ظهر القدم المنتهی فی مفصل الساق فدلالتها علی ذلک و إن لا تخلو عن خلل، و لکن لا بدّ من ارتکاب خلاف الظهور فیها لا محالة، و کحسنة میسر عن أبی جعفر علیه السلام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ثمّ وضع یده علی ظهر القدم،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الکعب و قال و أومأ بیده إلی أسفل العرقوب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الظنبوب</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فإن ظاهره أن الکعب فی ظهر القدم، و أن ما فی أسفل الساق هو الظنبوب الذی التزم العامة بأنه الکعب، و لو کان الکعب مفصل الساق و الرجل لم یختلف عن الظنبوب، و فی مقابل ذلک صحیحة الأخوین زرارة و بکیر فإن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بشیء من رأسه أو بشیء من قدمیه ما بین الکعبین إلی أطراف الأصابع فقد أجزأه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الکعبان؟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یعنی المفصل دون عظم الساق،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هو؟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عظم الساق و الکعب أسفل من ذلک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أن الاستظهار منها بأنّ الکعب هو مفصل الساق مبنیّ علی 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عظم الساق،بمعنی تحت عظم الساق و هو مفصل أُصول، الأصابع و من المحتمل جدّاً أن یکون وصفاً للمفصل یعنی الکعب الذی یکون قریباً من عظم الساق أو غیر عظم الساق، و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هذا؟ ما هو لا یحتمل غیر السؤال عمّا علیه العامّة و جوابه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عظم الساق، قرینة علی أنّ المراد من دون عظم الساق بمعنی غیر عظم الساق أو بمعنی القریب منه خصوصاً بملاحظة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 أسفل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لو لم یکن هذا ظاهر الصحیحة فلا أقلّ من عدم ظهورها بمعنی مفصل الساق و الرجل،بل علی تقدیر ظهورها فیه أیضاً یحمل علی ما ذکر؛ لما تقدّم فی الاستدلال علی المشهور بحسنة میسر من أنّها کالصریح فیما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قیل من الدلیل علی المشهور أیضاً ما ورد من النهی من إدخال الید و الأصابع تحت الشراکین </w:t>
      </w:r>
      <w:r>
        <w:rPr>
          <w:rStyle w:val="FootnoteAnchor"/>
          <w:rtl w:val="true"/>
        </w:rPr>
        <w:footnoteReference w:id="787"/>
      </w:r>
      <w:r>
        <w:rPr>
          <w:rFonts w:ascii="IRNazanin" w:hAnsi="IRNazanin" w:eastAsia="IRNazanin"/>
          <w:color w:val="111111"/>
          <w:sz w:val="28"/>
          <w:sz w:val="28"/>
          <w:szCs w:val="28"/>
          <w:rtl w:val="true"/>
          <w:lang w:bidi="fa-IR"/>
        </w:rPr>
        <w:t xml:space="preserve">و الشراک </w:t>
      </w:r>
      <w:r>
        <w:rPr>
          <w:rStyle w:val="FootnoteAnchor"/>
          <w:rtl w:val="true"/>
        </w:rPr>
        <w:footnoteReference w:id="788"/>
      </w:r>
      <w:r>
        <w:rPr>
          <w:rFonts w:ascii="IRNazanin" w:hAnsi="IRNazanin" w:eastAsia="IRNazanin"/>
          <w:color w:val="111111"/>
          <w:sz w:val="28"/>
          <w:sz w:val="28"/>
          <w:szCs w:val="28"/>
          <w:rtl w:val="true"/>
          <w:lang w:bidi="fa-IR"/>
        </w:rPr>
        <w:t xml:space="preserve">و المسح علی النعل </w:t>
      </w:r>
      <w:r>
        <w:rPr>
          <w:rStyle w:val="FootnoteAnchor"/>
          <w:rtl w:val="true"/>
        </w:rPr>
        <w:footnoteReference w:id="789"/>
      </w:r>
      <w:r>
        <w:rPr>
          <w:rFonts w:ascii="IRNazanin" w:hAnsi="IRNazanin" w:eastAsia="IRNazanin"/>
          <w:color w:val="111111"/>
          <w:sz w:val="28"/>
          <w:sz w:val="28"/>
          <w:szCs w:val="28"/>
          <w:rtl w:val="true"/>
          <w:lang w:bidi="fa-IR"/>
        </w:rPr>
        <w:t>حیث لو کان المقدار الممسوح إلی مفصل الساق کما علیه العامّة تعیّن إدخال الید و الأصابع</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بالمسح من أطراف الأصابع إلی أصل الساق یندفع الشراک إلی ما فوق مفصل الساق لا یمکن المساعدة علیها، فإنّ عدم الاندفاع فی بعض النعال خصوصاً الجدید منها لو لم یکن غالبیاً فلا أقل من أنه متعارف، و عدم تقیید النهی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الإدخال بصورة الاندفاع دلیل علی أنّ الکعب المذکور غایة لموضع المسح، لیس هو مفصل الساق،بل مفصل أُصول أصابع الرجل و الأشاجع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بالنهی من إدخال الید و الأصابع تحت الشراک و الشراکین مبنی علی اعتبار الاستیعاب فی المسح طولاً، و أمّا مع عدم اعتباره یصحّ النهی المزبور حتّی لو کان المراد بالکعب مفصل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العمدة فی کون المراد بالکعب قبّة القدم ما تقدّم مع ملاحظة أنّ معروفیة کونها هی الکعب کانت عند الشیعة من زمان الصادق علیه السلام لو لم تکن قبله کما یظهر من کلمات بعض أهل اللغة، ثمّ إنّ البحث فی أنّ الغایة داخلة فی المغیّا بناءً علی اعتبار الاستیعاب فی المسح طولاً فیتعیّن مسح الکعب أیضاً أم لا غیر جار فی المقام، فإنه لو قیل بما علیه العلّامة و من تابعه قدس سرهم من أنّ المراد بالکعب مفصل الساق </w:t>
      </w:r>
      <w:r>
        <w:rPr>
          <w:rStyle w:val="FootnoteAnchor"/>
          <w:rtl w:val="true"/>
        </w:rPr>
        <w:footnoteReference w:id="790"/>
      </w:r>
      <w:r>
        <w:rPr>
          <w:rFonts w:ascii="IRNazanin" w:hAnsi="IRNazanin" w:eastAsia="IRNazanin"/>
          <w:color w:val="111111"/>
          <w:sz w:val="28"/>
          <w:sz w:val="28"/>
          <w:szCs w:val="28"/>
          <w:rtl w:val="true"/>
          <w:lang w:bidi="fa-IR"/>
        </w:rPr>
        <w:t>فالأمر ظاهر؛ لأنّ المفصل خطّ موهومی لیس له عرض خارجی لیقال بأنّه یمسح أو لا یمسح</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أنّه قبّة القدم فالأخبار الواردة فی النهی عن إدخال الیدین تحت الشراک دلیل علی عدم دخولها بتمامها و المقدار منها یمسح لا محالة، سواء قیل بالدخول أم لا، و ذلک لإحراز الاستیعاب من الکعب إلی رءوس الأصابع أو من رءوس الأصابع إلی الکعب علی ما تقدّم فی المقدّمة العلمیة فی غسل الوجه و الیدین فلاحظ و تدبّر، و اللّٰه سبحانه هو العالم</w:t>
      </w:r>
      <w:r>
        <w:rPr>
          <w:rFonts w:eastAsia="IRNazanin" w:cs="IRNazanin"/>
          <w:color w:val="111111"/>
          <w:sz w:val="28"/>
          <w:szCs w:val="28"/>
          <w:rtl w:val="true"/>
          <w:lang w:bidi="fa-IR"/>
        </w:rPr>
        <w:t>.</w:t>
      </w:r>
      <w:bookmarkStart w:id="444" w:name="pg12061_112677"/>
    </w:p>
    <w:p>
      <w:pPr>
        <w:pStyle w:val="BookText"/>
        <w:rPr/>
      </w:pPr>
      <w:bookmarkEnd w:id="444"/>
      <w:r>
        <w:rPr>
          <w:rFonts w:ascii="IRNazanin" w:hAnsi="IRNazanin" w:eastAsia="IRNazanin"/>
          <w:color w:val="111111"/>
          <w:sz w:val="28"/>
          <w:sz w:val="28"/>
          <w:szCs w:val="28"/>
          <w:rtl w:val="true"/>
          <w:lang w:bidi="fa-IR"/>
        </w:rPr>
        <w:t>و یکفی المسمّی عرضاً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بعرض إصبع أو أقلّ، و الأفضل أن یکون بمقدار عرض ثلاث أصابع و أفضل من ذلک مسح تمام ظهر القدم</w:t>
      </w:r>
      <w:r>
        <w:rPr>
          <w:rFonts w:eastAsia="IRNazanin" w:cs="IRNazanin"/>
          <w:color w:val="111111"/>
          <w:sz w:val="28"/>
          <w:szCs w:val="28"/>
          <w:rtl w:val="true"/>
          <w:lang w:bidi="fa-IR"/>
        </w:rPr>
        <w:t>.</w:t>
      </w:r>
    </w:p>
    <w:p>
      <w:pPr>
        <w:pStyle w:val="Heading5"/>
        <w:numPr>
          <w:ilvl w:val="4"/>
          <w:numId w:val="1"/>
        </w:numPr>
        <w:rPr/>
      </w:pPr>
      <w:bookmarkStart w:id="445" w:name="__RefHeading___Toc1723430_417432637"/>
      <w:bookmarkStart w:id="446" w:name="_Toc163"/>
      <w:bookmarkEnd w:id="445"/>
      <w:r>
        <w:rPr>
          <w:rtl w:val="true"/>
        </w:rPr>
        <w:t>کفایة مسمّی المسح عرضاً</w:t>
      </w:r>
      <w:bookmarkEnd w:id="446"/>
    </w:p>
    <w:p>
      <w:pPr>
        <w:pStyle w:val="BookText"/>
        <w:rPr/>
      </w:pPr>
      <w:r>
        <w:rPr>
          <w:rFonts w:ascii="IRNazanin" w:hAnsi="IRNazanin" w:eastAsia="IRNazanin"/>
          <w:color w:val="111111"/>
          <w:sz w:val="28"/>
          <w:sz w:val="28"/>
          <w:szCs w:val="28"/>
          <w:rtl w:val="true"/>
          <w:lang w:bidi="fa-IR"/>
        </w:rPr>
        <w:t xml:space="preserve">هذا هو المعروف بین أصحابنا قدیماً و حدیثاً علی ما حکی عنهم قدس سرهم و عن الصدوق قدس سره فی الفقیه اعتبار المسح علی جمیع الأصابع بمقدار الکفّ و لکن فی النسبة تأمّل یظهر لمن راجع الفقیه </w:t>
      </w:r>
      <w:r>
        <w:rPr>
          <w:rStyle w:val="FootnoteAnchor"/>
          <w:rtl w:val="true"/>
        </w:rPr>
        <w:footnoteReference w:id="791"/>
      </w:r>
      <w:r>
        <w:rPr>
          <w:rFonts w:ascii="IRNazanin" w:hAnsi="IRNazanin" w:eastAsia="IRNazanin"/>
          <w:color w:val="111111"/>
          <w:sz w:val="28"/>
          <w:sz w:val="28"/>
          <w:szCs w:val="28"/>
          <w:rtl w:val="true"/>
          <w:lang w:bidi="fa-IR"/>
        </w:rPr>
        <w:t xml:space="preserve">، و عن الأردبیلی المیل إلیه </w:t>
      </w:r>
      <w:r>
        <w:rPr>
          <w:rStyle w:val="FootnoteAnchor"/>
          <w:rtl w:val="true"/>
        </w:rPr>
        <w:footnoteReference w:id="792"/>
      </w:r>
      <w:r>
        <w:rPr>
          <w:rFonts w:ascii="IRNazanin" w:hAnsi="IRNazanin" w:eastAsia="IRNazanin"/>
          <w:color w:val="111111"/>
          <w:sz w:val="28"/>
          <w:sz w:val="28"/>
          <w:szCs w:val="28"/>
          <w:rtl w:val="true"/>
          <w:lang w:bidi="fa-IR"/>
        </w:rPr>
        <w:t xml:space="preserve">، و فی المفاتیح أنّه جزمی لو لا الإجماع علی خلافه </w:t>
      </w:r>
      <w:r>
        <w:rPr>
          <w:rStyle w:val="FootnoteAnchor"/>
          <w:rtl w:val="true"/>
        </w:rPr>
        <w:footnoteReference w:id="793"/>
      </w:r>
      <w:r>
        <w:rPr>
          <w:rFonts w:ascii="IRNazanin" w:hAnsi="IRNazanin" w:eastAsia="IRNazanin"/>
          <w:color w:val="111111"/>
          <w:sz w:val="28"/>
          <w:sz w:val="28"/>
          <w:szCs w:val="28"/>
          <w:rtl w:val="true"/>
          <w:lang w:bidi="fa-IR"/>
        </w:rPr>
        <w:t xml:space="preserve">، و نسب إلی ظاهر النهایة و المقنعة اعتبار المسح بمقدار عرض إصبع واحدة </w:t>
      </w:r>
      <w:r>
        <w:rPr>
          <w:rStyle w:val="FootnoteAnchor"/>
          <w:rtl w:val="true"/>
        </w:rPr>
        <w:footnoteReference w:id="794"/>
      </w:r>
      <w:r>
        <w:rPr>
          <w:rFonts w:ascii="IRNazanin" w:hAnsi="IRNazanin" w:eastAsia="IRNazanin"/>
          <w:color w:val="111111"/>
          <w:sz w:val="28"/>
          <w:sz w:val="28"/>
          <w:szCs w:val="28"/>
          <w:rtl w:val="true"/>
          <w:lang w:bidi="fa-IR"/>
        </w:rPr>
        <w:t xml:space="preserve">، و عن الغنیة </w:t>
      </w:r>
      <w:r>
        <w:rPr>
          <w:rStyle w:val="FootnoteAnchor"/>
          <w:rtl w:val="true"/>
        </w:rPr>
        <w:footnoteReference w:id="795"/>
      </w:r>
      <w:r>
        <w:rPr>
          <w:rFonts w:ascii="Amiri" w:hAnsi="Amiri" w:eastAsia="Amiri" w:cs="Amiri"/>
          <w:color w:val="111111"/>
          <w:sz w:val="28"/>
          <w:sz w:val="28"/>
          <w:szCs w:val="28"/>
          <w:rtl w:val="true"/>
          <w:lang w:bidi="ar-SA"/>
        </w:rPr>
        <w:t xml:space="preserve">و الإشارة </w:t>
      </w:r>
      <w:r>
        <w:rPr>
          <w:rStyle w:val="FootnoteAnchor"/>
          <w:rtl w:val="true"/>
        </w:rPr>
        <w:footnoteReference w:id="796"/>
      </w:r>
      <w:r>
        <w:rPr>
          <w:rFonts w:ascii="IRNazanin" w:hAnsi="IRNazanin" w:eastAsia="IRNazanin"/>
          <w:color w:val="111111"/>
          <w:sz w:val="28"/>
          <w:sz w:val="28"/>
          <w:szCs w:val="28"/>
          <w:rtl w:val="true"/>
          <w:lang w:bidi="fa-IR"/>
        </w:rPr>
        <w:t>أنّ الأقلّ إصبعان و عن بعض لزوم کون المسح بمقدار ثلاث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المشهور بصحیحتی الأخوین عن أبی جعفر علیه السلام و فی إحداهما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علی النعلین و لا تدخل یدک تحت الشراک و إذا مسحت بشیء من رأسک أو بشیء من قدمیک ما بین کعبیک إلی أطراف الأصابع فقد أجزأک</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 فی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مسح بشیء من رأسه أو بشیء من قدمیه ما بین الکعبین إلی أطراف الأصابع فقد أجزأه</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bookmarkStart w:id="447" w:name="pg12061_112678"/>
    </w:p>
    <w:p>
      <w:pPr>
        <w:pStyle w:val="BookText"/>
        <w:rPr/>
      </w:pPr>
      <w:bookmarkEnd w:id="4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کعبیک إلی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للقدمین من حیث موضع المسح، و أنّ المعتبر مسح شیء من ذلک الموضع؛ و لذا ذکرنا سابقاً أنّ ظاهر الصحیحتین إجزاء المسمّی فی الرأس و الرجل عرضاً و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أنّه یورد علی هذا الاستدلال بکون ما بین الکعبین إلی أطراف الأصابع تحدید للشیء و لو احتمالاً و أنّ هذا الشیء یعتبر مسحه فی مسح الرجلین فیدلّ علی اعتبار استیعاب المسح فی المقدار المزبور من القدمین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الجواب ما تقدّم من أنّ هذا خلاف ظاهر التعبیر بالإجزاء، فإنّ ظاهره أنّ ما ذکر المرتبة الأدنی و الأقلّ من الواجب أو فرد منه، و بناءً علی کون ما بین أطراف الأصابع إلی الکعبین بیاناً للشیء و أنّه یتعین استیعاب المسح علیه طولاً و عرضاً فلیس للمسح المعتبر فرد أو مرتبة أُخری کما لا یخفی</w:t>
      </w:r>
      <w:r>
        <w:rPr>
          <w:rFonts w:eastAsia="IRNazanin" w:cs="IRNazanin"/>
          <w:color w:val="111111"/>
          <w:sz w:val="28"/>
          <w:szCs w:val="28"/>
          <w:rtl w:val="true"/>
          <w:lang w:bidi="fa-IR"/>
        </w:rPr>
        <w:t>.</w:t>
      </w:r>
    </w:p>
    <w:p>
      <w:pPr>
        <w:pStyle w:val="Heading5"/>
        <w:numPr>
          <w:ilvl w:val="4"/>
          <w:numId w:val="1"/>
        </w:numPr>
        <w:rPr/>
      </w:pPr>
      <w:bookmarkStart w:id="448" w:name="__RefHeading___Toc1723432_417432637"/>
      <w:bookmarkStart w:id="449" w:name="_Toc164"/>
      <w:bookmarkEnd w:id="448"/>
      <w:r>
        <w:rPr>
          <w:rtl w:val="true"/>
        </w:rPr>
        <w:t>عدم اعتبار الاستیعاب فی مسح الرجلین</w:t>
      </w:r>
      <w:bookmarkEnd w:id="449"/>
    </w:p>
    <w:p>
      <w:pPr>
        <w:pStyle w:val="BookText"/>
        <w:rPr/>
      </w:pPr>
      <w:r>
        <w:rPr>
          <w:rFonts w:ascii="IRNazanin" w:hAnsi="IRNazanin" w:eastAsia="IRNazanin"/>
          <w:color w:val="111111"/>
          <w:sz w:val="28"/>
          <w:sz w:val="28"/>
          <w:szCs w:val="28"/>
          <w:rtl w:val="true"/>
          <w:lang w:bidi="fa-IR"/>
        </w:rPr>
        <w:t>و قد تقدّم أیضاً أنّ الأمر بالمسح علی النعلین فی الصحیحة الأُولی و النهی عن إدخال الید و الأصابع فیهما تحت الشراک شاهد واضح علی عدم اعتبار الاستیعاب فی مسح الرجلین عرضاً، حیث إنّ أحد الشراکین فی طول النعل یمنع استیعاب المسح علی عرض ظاهر القدم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عدم اعتبار الاستیعاب فی المسح علی ظاهر الرجل فی ما بین الکعبین إلی أطراف الأصابع روایة معمّر بن عمر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 من المسح علی الرأس موضع ثلاث أصابع و کذلک الرجل</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و قد تقدّم أنّ المتیقّن منها إجزاء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ثلاث أصابع عرض الرجل، و لکنّها کما ذکرنا مطلقة من حیث طول الرجل و الإصبع و عرضهما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فدلالتها علی عدم لزوم الاستیعاب فی عرض الرجل لا کلام فیها و لکن باعتبار عدم التوثیق لمعمّر بن عمر عبّرنا بالتأیید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لا یمکن الاستدلال بها علی اعتبار المسح بمقدار ثلاث أصابع فی کلّ من مسح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علیه المشهور أیضاً روایة جعفر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یکون خفّ الرجل مخرّقاً فیدخل یده فیمسح ظهر قدمیه أ یجزیه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علی عدم لزوم الاستیعاب فی مسح الرجلین طولاً و عرضاً ظاهرة؛ لأنّ الخفّ لا یکون مخرّقاً من ظاهر الرجل بتمامه و إلّا لم یمکن المشی معه، و لا یکون إدخال الید من موضع خرقه إلّا بالمسح علی بعض ظاهر الرجل، و لضعف سندها أیضاً عبّرنا بالتأیید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 السند أنّ جعفر بن سلیمان الراوی عن أبی جعفر مجهول، و فی بعض النسخ جعفر بن سلیمان عن عمّه بدل جعفر بن سلیمان عمّه، یعنی عمّ الراوی عن جعفر و هو القاسم بن محمد و علیه فعمّ جعفر أیضاً مجهول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یستدلّ علی المشهور من کفایة المسمّی فی مسح الرجل عرضاً بصحیحة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أ لا تخبرنی من أین علمت و قلت إنّ المسح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ببعض الرأس و الرجلین</w:t>
      </w:r>
      <w:r>
        <w:rPr>
          <w:rFonts w:eastAsia="IRNazanin" w:cs="IRNazanin"/>
          <w:color w:val="111111"/>
          <w:sz w:val="28"/>
          <w:szCs w:val="28"/>
          <w:rtl w:val="true"/>
          <w:lang w:bidi="fa-IR"/>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لکن الاستدلال غیر صحیح لما ذکرنا من ظهور الرجل کظهور الید فی تمام ظاهرها و باطنها و 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الأمر بغسل الیدین إلی المرفقین یختلف عن الأمر بمسح الرجلین إلی الکعبین، و أنّ الموضع الممسوح من الرجلین بعضهما، و أنّ هذا البعض أی موضع و أی مقدار فلیست الروایة فی مقام بیانها؛ لأنّ زرارة لم یسأل عنهما،بل الظاهر أنّ زرارة کان یعلم ذلک علی قول الإمام علیه السلام و إنّما سأل عن منشأ ذلک القول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أیضاً أنّه لا یمکن الاستدلال علی کفایة المسمّی و البعض بالآیة حتی مع انضمام الصحیحة إلیها لعدم تعیین ظهور الآیة بالصحیحة، و فی مقابل ما ذکر صحیحة البزنطی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المسح علی القدمین کیف هو؟ فوضع کفّه علی الأصابع فمسحها إلی الکعبین إلی ظاهر القدم،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لو أنّ رجلاً قال بإصبعین من أصابعه هکذا؟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بکفّه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احتمل بعضهم أن یکون الصحیح بکفّیه و حینئذٍ یحمل علی بیان مسح الرجل بالکفین مسحاً لباطنها و ظاهرها فتحمل کبعض الروایات الوارد فیها اعتبار مسحها باطناً و ظاهراً علی التقیّة، و لکن لا یخفی أنّ هذا الاحتمال غیر وارد و إلّا لم یکن للسؤال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قال بإصبعین من أصابعه هکذا، فإنّ ظاهر السؤال فرض عدم استیعاب المسح للرجل، و هذا لا یکون إلّا فی ظاهر القدم عرضاً و لو کانت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یحمل کالکعبین علی 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الرجل الیمنی و الرجل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فی ظهورها فی اعتبار الاستیعاب موثّقة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ینقطع ظفره هل یجوز له أن یجعل علیه علکاً؟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یجعل علیه إلّا ما یقدر علی أخذه عنه عند الوضوء و لا یجعل علیه ما لا یصل إلیه الماء</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و روایة عبد الأعلی مولی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عثرت فانقطع ظفری فجعلت علی إصبعی مرارة فکیف أصنع بالوضوء؟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 أشباهه من کتاب اللّٰه عز و جلّ،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ظهورهما أنّه لو لم یتعیّن فی المسح علی الرجلین من أطراف الأصابع إلی الکعبین طولاً و عرضاً لم یکن للنهی عن وضع العلک علی موضع الظفر المقطوع أو الأمر بالمسح علی المرارة استشهاداً برفع الحرج فی الآیة وجه لإمکان مسمّی المسح عرضاً بالمسح من سائر الإصبع، و مع معارضة کلّ ذلک بما تقدّم فی صحیحتی الأخوین الظاهرتین فی کفایة مسمّی المسح علی ما تقدّم، و لو لم نقل بأنّ هذه الطائفة موافقة لظاهر الکتاب و أنه مجمل بعد قیام الدلیل علی أنّ التحدید فیها إلی الکعبین، ناظرٌ إلی موضع المسح یرجع إلی مثل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ظهر قدمک الیمنی و ببلّة یسراک ظهر قدمک الیسری</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فإنّ المتیقن من</w:t>
      </w:r>
      <w:bookmarkStart w:id="450" w:name="pg12061_112682"/>
    </w:p>
    <w:p>
      <w:pPr>
        <w:pStyle w:val="BookText"/>
        <w:rPr/>
      </w:pPr>
      <w:bookmarkEnd w:id="450"/>
      <w:r>
        <w:rPr>
          <w:rFonts w:ascii="IRNazanin" w:hAnsi="IRNazanin" w:eastAsia="IRNazanin"/>
          <w:color w:val="111111"/>
          <w:sz w:val="28"/>
          <w:sz w:val="28"/>
          <w:szCs w:val="28"/>
          <w:rtl w:val="true"/>
          <w:lang w:bidi="fa-IR"/>
        </w:rPr>
        <w:t>و یجزی الابتداء بالأصابع و بالکعبین و الأحوط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تقییدها عدم اعتبار المسح فی الکعبین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بتعین حمل هذه الطائفة علی استحباب الاستیعاب؛ لأنّ غایة النهی عن المسح بالإصبعین فی الصحیحة و النهی عن جعل العلک و الأمر بالمسح علی المرارة ظهور ما ذکر فی تعیّن الاستیعاب حیث یحتمل کونه من الفرد الأفضل من المسح، و لکن ما ورد فی صحیحتی الأخوین من النهی عن إدخال الأصابع و الید تحت الشراک الذی یکون حاجباً لبعض ظهر القدم فی العرض لا محالة یکون نصّاً فی إجزاء عدم الاستیعاب فی العرض علی ما تقدّم فیطرح الظهور بالنصّ بالحمل علی الاستحباب کسائر موارد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ارتکاز المتشرّعة حتّی من سابق الزمان علی عدم اعتبار الاستیعاب فی عرض ظهر الرجل، و لو کان الاستیعاب فیه أمراً معتبراً لکان من الواضحات عندهم؛ لعموم الابتلاء بالوضوء فی الیوم و اللیلة بمرّات، و لم یکن مورد لدعوی الإجماع علی عدم اعتبار الاستیعاب، و لکن لا یخفی أنّ روایات النهی عن إدخال الید تحت الشراک و الأمر بالمسح علی النعال ینفی الاستیعاب عرضاً لا طولاً، کما تقدّم من خروج موضع الشراک فی عرض النعال عن مبدأ الکعب فیحکم بالإجزاء بالمسمّی فی عرض الرجل،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451" w:name="__RefHeading___Toc1723434_417432637"/>
      <w:bookmarkStart w:id="452" w:name="_Toc165"/>
      <w:bookmarkEnd w:id="451"/>
      <w:r>
        <w:rPr>
          <w:rtl w:val="true"/>
        </w:rPr>
        <w:t>الأحوط الابتداء فی المسح بالأصابع</w:t>
      </w:r>
      <w:bookmarkEnd w:id="45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مقتضی صحیحة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و مدبراً</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و صحیحته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القدمین مقبلاً و مدبراً</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جواز</w:t>
      </w:r>
      <w:bookmarkStart w:id="453" w:name="pg12061_112683"/>
    </w:p>
    <w:p>
      <w:pPr>
        <w:pStyle w:val="BookText"/>
        <w:rPr/>
      </w:pPr>
      <w:bookmarkEnd w:id="453"/>
      <w:r>
        <w:rPr>
          <w:rFonts w:ascii="IRNazanin" w:hAnsi="IRNazanin" w:eastAsia="IRNazanin"/>
          <w:color w:val="111111"/>
          <w:sz w:val="28"/>
          <w:sz w:val="28"/>
          <w:szCs w:val="28"/>
          <w:rtl w:val="true"/>
          <w:lang w:bidi="fa-IR"/>
        </w:rPr>
        <w:t>کما أنّ الأحوط تقدیم الرجل الیمنی علی الیسری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جواز مسحهما معاً، نعم لا یقدّم الیسری علی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النکس فی کلّ من المسح علی الرأس و الرجلین، و فی مصحّحة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مسح الرجلین موسّع من شاء مسح مقبلاً و من شاء مسح مدبراً فإنّه من الأمر الموسع إن شاء اللّٰه</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أنّ المراد من صحیحة حمّاد بن عثمان یحتمل أن یکون الجمع بین المسح مقبلاً و مدبراً مع أنّه ینافی ظهورها لا یجری فی مصححة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تعلیق الجواز فیها علی المشیة یوجب الخلل فیها لم یظهر وجهها مع تصدّی الإمام علیه السلام للمسح بکلّ من النحوین، و لما ذکر یرفع الید عن ظهور صحیحة البزنطی المتقدّمة فی تعیّن المسح من أطراف الأصابع، و ما ربّما یظهر ممّا ورد فی بعض الوضوءات البیانیة لصحیحتی زرارة و بکیر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إلی الکعبین</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حیث إنّ ظاهرها کون الکعبین غایة للمسح، و لعلّه لذلک یمکن أن یقال إنّ المسح من الأصابع أفضل و أحوط لرعایة ممّا تقدّم من الاحتمال فیما دلّ علی جواز النکس</w:t>
      </w:r>
      <w:r>
        <w:rPr>
          <w:rFonts w:eastAsia="IRNazanin" w:cs="IRNazanin"/>
          <w:color w:val="111111"/>
          <w:sz w:val="28"/>
          <w:szCs w:val="28"/>
          <w:rtl w:val="true"/>
          <w:lang w:bidi="fa-IR"/>
        </w:rPr>
        <w:t>.</w:t>
      </w:r>
    </w:p>
    <w:p>
      <w:pPr>
        <w:pStyle w:val="Heading5"/>
        <w:numPr>
          <w:ilvl w:val="4"/>
          <w:numId w:val="1"/>
        </w:numPr>
        <w:rPr/>
      </w:pPr>
      <w:bookmarkStart w:id="454" w:name="__RefHeading___Toc1723436_417432637"/>
      <w:bookmarkStart w:id="455" w:name="_Toc166"/>
      <w:bookmarkEnd w:id="454"/>
      <w:r>
        <w:rPr>
          <w:rtl w:val="true"/>
        </w:rPr>
        <w:t>عدم اعتبار الترتیب بین مسح الرجلین</w:t>
      </w:r>
      <w:bookmarkEnd w:id="45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المحکی </w:t>
      </w:r>
      <w:r>
        <w:rPr>
          <w:rStyle w:val="FootnoteAnchor"/>
          <w:rtl w:val="true"/>
        </w:rPr>
        <w:footnoteReference w:id="810"/>
      </w:r>
      <w:r>
        <w:rPr>
          <w:rFonts w:ascii="IRNazanin" w:hAnsi="IRNazanin" w:eastAsia="IRNazanin"/>
          <w:color w:val="111111"/>
          <w:sz w:val="28"/>
          <w:sz w:val="28"/>
          <w:szCs w:val="28"/>
          <w:rtl w:val="true"/>
          <w:lang w:bidi="fa-IR"/>
        </w:rPr>
        <w:t>عن جماعة اعتبار الترتیب فی مسح الرجلین و أنّه یعتبر تقدّم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المسح بالیمنی علی المسح بالیسری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المنسوب </w:t>
      </w:r>
      <w:r>
        <w:rPr>
          <w:rStyle w:val="FootnoteAnchor"/>
          <w:rtl w:val="true"/>
        </w:rPr>
        <w:footnoteReference w:id="811"/>
      </w:r>
      <w:r>
        <w:rPr>
          <w:rFonts w:ascii="IRNazanin" w:hAnsi="IRNazanin" w:eastAsia="IRNazanin"/>
          <w:color w:val="111111"/>
          <w:sz w:val="28"/>
          <w:sz w:val="28"/>
          <w:szCs w:val="28"/>
          <w:rtl w:val="true"/>
          <w:lang w:bidi="fa-IR"/>
        </w:rPr>
        <w:t>إلی الأکثر عدم اعتبار الترتیب فی المسح علیهما فیجوز المسح علیهما معاً، و صرح بعض کالماتن بأنّه و إن یکفی المسح علیها معاً إلّا أنّه لا یجوز تقدیم المسح علی الرجل الیسری علی المسح بالیمنی،بل یعتبر مع فرض عدم مسحهما معاً تقدیم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نفی اعتبار الترتیب الإطلاق فی بعض الروایات الواردة فی الأمر بمسح الرجلین فی الوضوء نظیر ما ورد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تمسح من بلّة یمینک ظهر قدمک الیمنی و تمسح ببلة یسارک ظهر قدمک الیسری </w:t>
      </w:r>
      <w:r>
        <w:rPr>
          <w:rStyle w:val="FootnoteAnchor"/>
          <w:rtl w:val="true"/>
        </w:rPr>
        <w:footnoteReference w:id="812"/>
      </w:r>
      <w:r>
        <w:rPr>
          <w:rFonts w:ascii="IRNazanin" w:hAnsi="IRNazanin" w:eastAsia="IRNazanin"/>
          <w:color w:val="111111"/>
          <w:sz w:val="28"/>
          <w:sz w:val="28"/>
          <w:szCs w:val="28"/>
          <w:rtl w:val="true"/>
          <w:lang w:bidi="fa-IR"/>
        </w:rPr>
        <w:t>، حیث لو کان الترتیب معتبراً لقیّد ذلک بذکر لفظ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أیضاً استدلّ بروایات الوضوءات البیانیة حیث لم یتعرّض فیها للنقل بأنّ الإمام علیه السلام فی وضوئه حکایة لوضوء رسول اللّٰه صلی الله علیه و آله مسح رجله الیمنی أولاً ثمّ مسح رجله الیسری، و لو کانت هذه الخصوصیة مراعاة من الإمام علیه السلام أو فهموا اعتباره لنقل ذلک و لو فی بعض تلک الروایات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المکاتبة المرویة فی الاحتجاج حیث نقل الطبرسی قدس سره عن محمد بن عبد اللّه بن جعفر الحمیری عن صاحب الزمان علیه السلام أنّه کتب إلیه یسأله عن المسح علی الرجلین بأیّهما یبدأ بالیمین أو یمسح علیهما جمیعاً معاً؟ فأجاب علیه السلام یمسح علیهما معاً فإن بدأ بإحداهما قبل الأُخری فلا یبتدئ إلّا بالیمین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صحیحة محمّد بن مسلم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امسح علی القدمین و ابدأ بالشق الأیمن </w:t>
      </w:r>
      <w:r>
        <w:rPr>
          <w:rStyle w:val="FootnoteAnchor"/>
          <w:rtl w:val="true"/>
        </w:rPr>
        <w:footnoteReference w:id="814"/>
      </w:r>
      <w:r>
        <w:rPr>
          <w:rFonts w:ascii="IRNazanin" w:hAnsi="IRNazanin" w:eastAsia="IRNazanin"/>
          <w:color w:val="111111"/>
          <w:sz w:val="28"/>
          <w:sz w:val="28"/>
          <w:szCs w:val="28"/>
          <w:rtl w:val="true"/>
          <w:lang w:bidi="fa-IR"/>
        </w:rPr>
        <w:t xml:space="preserve">، فیحمل فیما إذا أراد المسح مرتباً للجمع بینها و بین التوقیع، کما أنّ خبر أبی هریرة أنّ النبی صلی الله علیه و آله کان إذا توضّأ بدأ بمیامینه </w:t>
      </w:r>
      <w:r>
        <w:rPr>
          <w:rStyle w:val="FootnoteAnchor"/>
          <w:rtl w:val="true"/>
        </w:rPr>
        <w:footnoteReference w:id="815"/>
      </w:r>
      <w:r>
        <w:rPr>
          <w:rFonts w:ascii="IRNazanin" w:hAnsi="IRNazanin" w:eastAsia="IRNazanin"/>
          <w:color w:val="111111"/>
          <w:sz w:val="28"/>
          <w:sz w:val="28"/>
          <w:szCs w:val="28"/>
          <w:rtl w:val="true"/>
          <w:lang w:bidi="fa-IR"/>
        </w:rPr>
        <w:t>، و خبر محمّد بن عبید اللّٰه بن أبی رافع و کان کاتب أمیر المؤمنین علیه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توضّأ أحدکم للصلاة فلیبدأ بالیمین قبل الشمال من جسده</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یحمل علی الغسل مع ضعف سندهما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الاطلاق فی الأمر بمسح الرجلین فلا یمکن الأخذ به مع ورود خطاب المقیّد کما هو ظاهر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رفع الید عن إطلاق الأمر بمسح الرجلین بالالتزام باعتبار کونه بالیدین و لا یکفی المسح علیهما بالید الواحدة، کذلک یرفع الید عن إطلاقه، و الإطلاق الأمر بمسحهما بالیدین بصحیحة محمد بن مسلم الظاهرة فی اعتبار تقدیم المسح علی الیمنی علی المسح بالیسری، و رفع الید عن إطلاق صحیحة محمّد بن مسلم بالمکاتبة غیر ممکن؛ لعدم ثبوت طریق الطبرسی إلی محمّد بن عبد اللّه بن جعفر الحمیری عندنا لیمکن الاعتماد علیها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الإطلاق فی روایات الوضوءات التی وقعت عن الإمام علیه السلام حکایة عن وضوء النبی صلی الله علیه و آله فلا بدّ من أن یراد منه عدم تعرّض الرواة فی تلک الروایات إلی أنّ</w:t>
      </w:r>
      <w:bookmarkStart w:id="456" w:name="pg12061_112686"/>
    </w:p>
    <w:p>
      <w:pPr>
        <w:pStyle w:val="BookText"/>
        <w:rPr/>
      </w:pPr>
      <w:bookmarkEnd w:id="456"/>
      <w:r>
        <w:rPr>
          <w:rFonts w:ascii="IRNazanin" w:hAnsi="IRNazanin" w:eastAsia="IRNazanin"/>
          <w:color w:val="111111"/>
          <w:sz w:val="28"/>
          <w:sz w:val="28"/>
          <w:szCs w:val="28"/>
          <w:rtl w:val="true"/>
          <w:lang w:bidi="fa-IR"/>
        </w:rPr>
        <w:t>و الأحوط أن یکون مسح الیمنی بالیمنی، و الیسری بالیسری و إن کان لا یبعد جواز مسح کلیهما بکلّ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علیه السلام راعی خصوصیة الترتیب و لکن عدم تعرّضهم لها لا یدلّ علی عدم تلک الخصوصیة أو عدم اعتبارها؛ و ذلک فإنّه قد تقدّم أنّ ما ورد فی تلک الروایات من نقل الخصوصیة یؤخذ بها إلّا إذا قام دلیل علی عدم اعتبار تلک الخصوصیة فی نفس الوضوء،بل فی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نقل الخصوصیة فلا یدلّ علی عدم اعتبارها أو عدم مراعاتها من الإمام علیه السلام فلعلّ الإمام علیه السلام راعی تلک الخصوصیة و لکن لم تکن تلک الخصوصیّة مورداً لاهتمام الرواة، و لو لعدم کونها موضع الجدل بین الناس أو موضع الکلام بین العامّة و الخاصّة، و یشهد لذلک عدم احتمال أنّ الإمام علیه السلام قد مسح علی قدمیه معاً فی جمیع الموارد التی توضّأ فی مقام الحکایة عن وضوء رسول اللّٰه صلی الله علیه و آله أو غیره علی ما فی الروایات، و المتحصّل الأخذ بالإطلاق فی صحیحة محمّد بن مسلم متعیّن و لا وجه لدعوی إعراض المشهور عنه فإنّ الإعراض غیر محرز أوّلاً، و ثانیاً فلعله لبعض ما تقدّم</w:t>
      </w:r>
      <w:r>
        <w:rPr>
          <w:rFonts w:eastAsia="IRNazanin" w:cs="IRNazanin"/>
          <w:color w:val="111111"/>
          <w:sz w:val="28"/>
          <w:szCs w:val="28"/>
          <w:rtl w:val="true"/>
          <w:lang w:bidi="fa-IR"/>
        </w:rPr>
        <w:t>.</w:t>
      </w:r>
    </w:p>
    <w:p>
      <w:pPr>
        <w:pStyle w:val="Heading5"/>
        <w:numPr>
          <w:ilvl w:val="4"/>
          <w:numId w:val="1"/>
        </w:numPr>
        <w:rPr/>
      </w:pPr>
      <w:bookmarkStart w:id="457" w:name="__RefHeading___Toc1723438_417432637"/>
      <w:bookmarkStart w:id="458" w:name="_Toc167"/>
      <w:bookmarkEnd w:id="457"/>
      <w:r>
        <w:rPr>
          <w:rtl w:val="true"/>
        </w:rPr>
        <w:t>مسح الیمنی بالیمنی و الیسری بالیسری</w:t>
      </w:r>
      <w:bookmarkEnd w:id="45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أیضاً للإطلاق فی بعض الروایات من الأمر بمسح الرجلین و عدم التعرّض لخصوصیّة کون مسح الیمنی بالیمنی و الیسری بالیسری فی الروایات البیانیة، و قد تقدّم أنّ الإطلاق لا مجال للأخذ به فی مقابل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تمسح ببلّة یمناک ظهر قدمک الیمنی و تمسح ببلة یسراک ظهر قدمک الیسری </w:t>
      </w:r>
      <w:r>
        <w:rPr>
          <w:rStyle w:val="FootnoteAnchor"/>
          <w:rtl w:val="true"/>
        </w:rPr>
        <w:footnoteReference w:id="817"/>
      </w:r>
      <w:r>
        <w:rPr>
          <w:rFonts w:ascii="Amiri" w:hAnsi="Amiri" w:eastAsia="Amiri" w:cs="Amiri"/>
          <w:color w:val="111111"/>
          <w:sz w:val="28"/>
          <w:sz w:val="28"/>
          <w:szCs w:val="28"/>
          <w:rtl w:val="true"/>
          <w:lang w:bidi="ar-SA"/>
        </w:rPr>
        <w:t>، و بیّنا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الصحیحة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 ببلّة یمناک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جملة ابتدائیة غیر معطوفة علی ثلاث غرفات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فی الوضوءات البیانیّة فقد ذکرنا من أنّ عدم التعرض فیها لخصوصیّة لا یدلّ علی عدم اعتبارها و لا أقل من أن یکون من الإطلاق المقامی، و یرفع الید عنه ببیان الاعتبار فی خطاب آخر، و ما فی صحیحة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ببلل کفّه لم یحدث لهما ماءً جدیداً</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بما بقی فی یده رأسه و رجلیه و لم یعدهما فی الإناء</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من عدم التعرّض لکون المسح بالیدین یظهر جوابه ممّا تقدّم مع أنّه قد ورد المسح علی الرجلین بالیدین فی غیرهما فی مقام الحکایة عن وضوء النبی صلی الله علیه و آله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کما یکفی فی مسح الرأس المسح منحنیاً کذلک یکفی ذلک فی مسح الرجلین،بل لا یعتبر فی مسح الرجلین کونه إمّا مقبلاً بتمامه أو نکساً بتمامه، بل یجوز التبعیض کلّ ذلک للإطلاق فی مثل صحیحة زرارة المتقدّمة الواردة فیها الأمر بظهر القدمین کیف ما اتفق، غایة الأمر یعتبر فی مسحهما استیعاب المسح طولاً علی ما تقدّم، و ما فی صحیحة حمّاد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بمسح الوضوء مقبلاً أو مدبراً</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لا ینفی التبعیض و لا المسح انحناءً علی ما تقدّم فی المسح علی الرأس</w:t>
      </w:r>
      <w:r>
        <w:rPr>
          <w:rFonts w:eastAsia="IRNazanin" w:cs="IRNazanin"/>
          <w:color w:val="111111"/>
          <w:sz w:val="28"/>
          <w:szCs w:val="28"/>
          <w:rtl w:val="true"/>
          <w:lang w:bidi="fa-IR"/>
        </w:rPr>
        <w:t>.</w:t>
      </w:r>
      <w:bookmarkStart w:id="459" w:name="pg12061_112688"/>
    </w:p>
    <w:p>
      <w:pPr>
        <w:pStyle w:val="BookText"/>
        <w:rPr/>
      </w:pPr>
      <w:bookmarkEnd w:id="459"/>
      <w:r>
        <w:rPr>
          <w:rFonts w:ascii="IRNazanin" w:hAnsi="IRNazanin" w:eastAsia="IRNazanin"/>
          <w:color w:val="111111"/>
          <w:sz w:val="28"/>
          <w:sz w:val="28"/>
          <w:szCs w:val="28"/>
          <w:rtl w:val="true"/>
          <w:lang w:bidi="fa-IR"/>
        </w:rPr>
        <w:t>و إن کان شعر علی ظاهر القدمین فالأحوط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البشرة فی المسح</w:t>
      </w:r>
      <w:r>
        <w:rPr>
          <w:rFonts w:eastAsia="IRNazanin" w:cs="IRNazanin"/>
          <w:color w:val="111111"/>
          <w:sz w:val="28"/>
          <w:szCs w:val="28"/>
          <w:rtl w:val="true"/>
          <w:lang w:bidi="fa-IR"/>
        </w:rPr>
        <w:t>.</w:t>
      </w:r>
    </w:p>
    <w:p>
      <w:pPr>
        <w:pStyle w:val="Heading5"/>
        <w:numPr>
          <w:ilvl w:val="4"/>
          <w:numId w:val="1"/>
        </w:numPr>
        <w:rPr/>
      </w:pPr>
      <w:bookmarkStart w:id="460" w:name="__RefHeading___Toc1723440_417432637"/>
      <w:bookmarkStart w:id="461" w:name="_Toc168"/>
      <w:bookmarkEnd w:id="460"/>
      <w:r>
        <w:rPr>
          <w:rtl w:val="true"/>
        </w:rPr>
        <w:t>إذا کان شعر علی القدمین</w:t>
      </w:r>
      <w:bookmarkEnd w:id="461"/>
    </w:p>
    <w:p>
      <w:pPr>
        <w:pStyle w:val="BookText"/>
        <w:rPr/>
      </w:pPr>
      <w:r>
        <w:rPr>
          <w:rFonts w:ascii="IRNazanin" w:hAnsi="IRNazanin" w:eastAsia="IRNazanin"/>
          <w:color w:val="111111"/>
          <w:sz w:val="28"/>
          <w:sz w:val="28"/>
          <w:szCs w:val="28"/>
          <w:rtl w:val="true"/>
          <w:lang w:bidi="fa-IR"/>
        </w:rPr>
        <w:t>قد یقال إنّ المسح علی الرجلین یتعیّن فیه مسح بشرتهما فإنّ الرجل اسم للعضو و الشعر النابت علیهما لا یعدّ رجلاً، و لا یقاس بمسح الرأس حیث إنّ وجود الشعر الکثیف علی الرأس المانع عن مماسة العضو الماسح للعضو الممسوح بغیر بشرة الرأس قرینة ظاهره علی أنّ المراد بمسح الرأس أعمّ من مسح بشرته أو الشعر النابت علیه،بخلاف المقام؛ فإنّ الشعر الکثیف علی الرجلین بحیث لا یمسّ الید الماسحة بشرة الرجل أصلاً أمر نادر فلا موجب فی المقام لرفع الید عن ظهور الأمر بمسح الرجلین فی المسح علی بشرتهما، و ما ورد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لا یعمّ المسح فغایتها کفایة غسل الشعر عن غسل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 المسح علی الرجلین لا یفهم منه إلّا لزوم مباشرة الید الماسحة لظاهر الرجل من غیر حائل خارجی فی مماسة الید مع الرجل، و أمّا ما هو تابع للرجل کالشعر النابت علیها فلا یفهم من الأمر بمسحها إزالة ذلک التابع فیکون مسح ذلک التابع مسحاً للرجل حتّی فی ما إذا لم تصل الید الماسحة إلی نفس بشرة الرجل فی بعض مواضع عرض الرجل أصلاً لفرض الشعر الکثیف فیه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 هذا فمقتضاه إجزاء المسح علی الشعر الکثیف علی بعض مواضع ظهر الرجل لا تعیّنه،بحیث لو دفع المکلّف ذلک الشعر إلی الأطراف بحیث مسح نفس بشرة الرجل بمسمّاه من طرف الأصابع إلی الکعبین لا یکون هذا کافیاً کما</w:t>
      </w:r>
      <w:bookmarkStart w:id="462" w:name="pg12061_112689"/>
    </w:p>
    <w:p>
      <w:pPr>
        <w:pStyle w:val="BookText"/>
        <w:rPr/>
      </w:pPr>
      <w:bookmarkEnd w:id="462"/>
      <w:r>
        <w:rPr>
          <w:rFonts w:ascii="IRNazanin" w:hAnsi="IRNazanin" w:eastAsia="IRNazanin"/>
          <w:color w:val="111111"/>
          <w:sz w:val="28"/>
          <w:sz w:val="28"/>
          <w:szCs w:val="28"/>
          <w:rtl w:val="true"/>
          <w:lang w:bidi="fa-IR"/>
        </w:rPr>
        <w:t>و یجب إزالة الموانع و الحواجب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بوصول الرطوبة إلی البشرة و لا یکفی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یشعر بذلک عبارة الماتن قدس سره حیث ذکر أنّ الأحوط الجمع بین الشعر و البشرة فی المسح، و هذا بالإضافة إلی الشعر الکثیف علی الرجل الذی لا یری ما تحته من البشرة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الشعر الخفیف الذی هو متعارف فی أصابع الرجل و الکعب منها فلا ینبغی التأمّل فی جواز المسح علی الرجل مع ذلک الشعر و إن منع ذلک الشعر من وصول الید الماسحة فی نقاط علی ظهر الرجل من مماسة الید الماسحة للبشرة و وصول رطوبتها إلی تلک النقاط حیث إنّ اعتبار غیر ذلک یحتاج إلی التنبیه إلیه، و لم یرد شیء علی ذلک لا فی الروایات البیانیّة للوضوء و لا فی غیرها مع صدق أنّه مسح ظاهر رجلیه، و إن کان الأحوط فی هذا الفرض رعایة وصول الرطوبة إلی البشرة و لو بتوسیط الشعر الخفیف،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463" w:name="__RefHeading___Toc1723442_417432637"/>
      <w:bookmarkStart w:id="464" w:name="_Toc169"/>
      <w:bookmarkEnd w:id="463"/>
      <w:r>
        <w:rPr>
          <w:rtl w:val="true"/>
        </w:rPr>
        <w:t>تجب إزالة المانع</w:t>
      </w:r>
      <w:bookmarkEnd w:id="46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الأمر بمسح الرجلین ببلّة الید ظاهره عدم کفایة المسح علی الحائل و إن وصلت رطوبة الید إلی البشرة و کأنّ اعتبار ذلک فی الوضوء من ضروریات المذهب، و الوجه فی الظهور أنّ المسح علی الجورب أو الخفّ أو غیرهما لا یعدّ مسحاً للرجلین، و یشهد لذلک أیضاً ما ورد فی النهی عن المسح علی الخمار و العمامة و الخفّین، و فی روایة نسابة الکلبی عن الصادق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المسح علی الخفّین؟ فتبسّم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و ردّ اللّٰه کلّ شیء إلی شیئه</w:t>
      </w:r>
      <w:bookmarkStart w:id="465" w:name="pg12061_112690"/>
    </w:p>
    <w:p>
      <w:pPr>
        <w:pStyle w:val="BookText"/>
        <w:rPr/>
      </w:pPr>
      <w:bookmarkEnd w:id="465"/>
      <w:r>
        <w:rPr>
          <w:rFonts w:ascii="IRNazanin" w:hAnsi="IRNazanin" w:eastAsia="IRNazanin"/>
          <w:color w:val="111111"/>
          <w:sz w:val="28"/>
          <w:sz w:val="28"/>
          <w:szCs w:val="28"/>
          <w:rtl w:val="true"/>
          <w:lang w:bidi="fa-IR"/>
        </w:rPr>
        <w:t>و من قطع بعض قدمه مسح علی الباقی و یسقط مع قطع تمامه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الجلد إلی الغنم فتری أصحاب المسح أین یذهب وضوؤهم</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ظاهر ما ورد فی مسح الرجل ببلّة الید أی الباقیة فیها من ماء الوضوء إیصالها إلی موضع المسح و علیه فلم تصل تلک الرطوبة إلی البشرة أو لا یحرز وصولها إلیها لم یکفِ و لو لاستصحاب عدم حصول ذلک المسح المعتبر و لا أقلّ من قاعدة الاشتغال، و لا یرفع الید عن مقتضی ذلک بالظن بوصول الرطوبة فإنّ مجرّد الظنّ لا دلیل علی اعتباره، نعم لو کان بمرتبة الاطمینان کفی علی ما تقدّم مراراً من اعتباره کالیقین، إلّا فیما استثنی و لیس المقام منه</w:t>
      </w:r>
      <w:r>
        <w:rPr>
          <w:rFonts w:eastAsia="IRNazanin" w:cs="IRNazanin"/>
          <w:color w:val="111111"/>
          <w:sz w:val="28"/>
          <w:szCs w:val="28"/>
          <w:rtl w:val="true"/>
          <w:lang w:bidi="fa-IR"/>
        </w:rPr>
        <w:t>.</w:t>
      </w:r>
    </w:p>
    <w:p>
      <w:pPr>
        <w:pStyle w:val="Heading5"/>
        <w:numPr>
          <w:ilvl w:val="4"/>
          <w:numId w:val="1"/>
        </w:numPr>
        <w:rPr/>
      </w:pPr>
      <w:bookmarkStart w:id="466" w:name="__RefHeading___Toc1723444_417432637"/>
      <w:bookmarkStart w:id="467" w:name="_Toc170"/>
      <w:bookmarkEnd w:id="466"/>
      <w:r>
        <w:rPr>
          <w:rtl w:val="true"/>
        </w:rPr>
        <w:t>من قطع بعض قدمه</w:t>
      </w:r>
      <w:bookmarkEnd w:id="467"/>
    </w:p>
    <w:p>
      <w:pPr>
        <w:pStyle w:val="BookText"/>
        <w:rPr/>
      </w:pPr>
      <w:r>
        <w:rPr>
          <w:rFonts w:ascii="IRNazanin" w:hAnsi="IRNazanin" w:eastAsia="IRNazanin"/>
          <w:color w:val="111111"/>
          <w:sz w:val="28"/>
          <w:sz w:val="28"/>
          <w:szCs w:val="28"/>
          <w:rtl w:val="true"/>
          <w:lang w:bidi="fa-IR"/>
        </w:rPr>
        <w:t>إذا کان الباقی من قدمه داخلاً فی الحدّ المتقدّم فالمسح علیه مقتضی الآیة المبارکة و نحوهما ممّا أمر فیها بمسح الرجلین إلی الکعبین کما ذکرنا ذلک فی تقریب الاستدلال علی وجوب الغسل علی من قطعت یده دون المرفق، و ذکرنا أنّ یده إلی المرفق هو المقدار الباقی، و التحدید برءوس الأصابع مفروض فیمن له أصابع الرجل و لا یعمّ المقطوع منه، و لا حاجة فی الفرض إلی ضمّ الضرورة و الإجماع علی عدم سقوط فرض الصلاة عنه و أنّ ما دل علی التیمّم علی الفاقد للماء لا یعمّ الفرض، و لا إلی ضمّ قاعدة المیسور کما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یبق شیء من الحدّ فمقتضی العلم بعدم سقوط فرض الصلاة عنه و عدم شمول ما دلّ علی لزوم التیمّم علی فاقد الماء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المراد من فاقده إمّا عدم الماء أو عدم التمکن من استعماله کالمرض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سقوط اعتبار المسح علی الرجل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لا یحتاج فی الفرض أیضاً إلی قاعدة المیسور کما قیل لیرد علیه بأنّ قاعدة المیسور لم یتمّ الدلیل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فی عدم الحاجة إلی تلک القاعدة أنّ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انحلالی بالإضافة إلی کلّ مکلّف و أنّ کلّ مکلّف یغسل وجهه و یدیه و مسحه الرأس و الرجلین، و حیث إنّ المجعول لکلّ مکلّف بنحو القضیة الحقیقیة و أنّه یغسل یدیه علی تقدیر الیدین له، و یمسح رجلیه أی کلّ واحد منهما علی تقدیر کلّ من الرجلین له، کما هو الحال فی کلّ القیود الخارجة عن قدرة المکلف و اختیاره، فإنّه یکون مأخوذاً فی الموضوع مفروض الوجود فیکون المراد أنّ المکلّف یمسح رجله الیمنی علی تقدیرها، و یمسح رجله الیسری علی تقدیرها، و مع عدمهما أو عدم أحدهما یؤخذ بإطلاق الأمر بغسل الوجه و الیدین، و الأمر بمسح الرأس أو الأمر بمسح الرجل الموجودة أیضاً و لا تصل النوبة إلی التمسّک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کما تقدّم؛ لأنّ الفقدان المذکور فی الآیة موضوعاً للتیمّم یکون بأحد أمرین و شیء منهما غیر حاصل فی مقطوع الرجل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الوجه المزبور غیر تام؛ فإنّ الوضوء مجموعه طهارة أو یحصل من مجموعه الطهارة المشروط بها الصلاة، فیکون الأمر بغسل الوجه أمراً ضمنیّاً تکلیفیّاً غیریّاً أو إرشادیّاً فالأمر بغسله متوجّه إلی من تکون له الیدین إلی</w:t>
      </w:r>
      <w:bookmarkStart w:id="468" w:name="pg12061_112692"/>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أنّه یعتبر أن یکون المسح بنداوة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أنّه یعتبر أن یکون المسح بنداوة الوضوء فلا یجوز المسح بماء 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الأحوط أن یکون بالنداوة الباقیة فی الکفّ فلا یضع یده بعد تمامیّة الغسل علی سائر أعضاء الوضوء لئلا یمتزج ما فی الکفّ بما فیها، لکن الأقوی جواز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المرفقین و الرجلین إلی الکعبین، و کذلک الأمر بغسل الیدین یتوجه إلی من له الیدین إلی المرفقین و الرجلین إلی الکعبین، و کذا الحال فی الأمر بمسح الرجلین فإنّه یتوجّه إلی من له الرجلین و الیدین إلی المرفقین، و لیس الأمر بکلّ من الأجزاء أمراً استقلالیّاً نفسیّاً أو غیریّاً لیقال فی الأمر بغسل الیدین لم یفرض إلّا وجود الیدین و إن لم یکن للمکلّف المزبور رجلین، و هذا ظاهر لا ینبغی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یمکن فی المقام التمسّک بشیء من تلک الخطابات الواردة فیها الأمر بغسل الوجه و الید و مسح الرأس و الرجلین فالأولی التمسّک فی الفرض بالعلم بعدم سقوط فرض الوضوء و لو بواسطة ما تقدّم فی الأقطع من الید، و ذکرنا أنّ ما ورد فیه و إن یدلّ علی غسل ما فوق المرفق أیضاً إلّا أنّه حملنا الأمر علی الاستحباب علی ما تقدّم و کیف ما کان فمدلولها عدم سقوط فرض الوضوء و لو مع قطّع العضو بتمامه</w:t>
      </w:r>
      <w:r>
        <w:rPr>
          <w:rFonts w:eastAsia="IRNazanin" w:cs="IRNazanin"/>
          <w:color w:val="111111"/>
          <w:sz w:val="28"/>
          <w:szCs w:val="28"/>
          <w:rtl w:val="true"/>
          <w:lang w:bidi="fa-IR"/>
        </w:rPr>
        <w:t>.</w:t>
      </w:r>
    </w:p>
    <w:p>
      <w:pPr>
        <w:pStyle w:val="Heading5"/>
        <w:numPr>
          <w:ilvl w:val="4"/>
          <w:numId w:val="1"/>
        </w:numPr>
        <w:rPr/>
      </w:pPr>
      <w:bookmarkStart w:id="469" w:name="__RefHeading___Toc1723446_417432637"/>
      <w:bookmarkStart w:id="470" w:name="_Toc171"/>
      <w:bookmarkEnd w:id="469"/>
      <w:r>
        <w:rPr>
          <w:rtl w:val="true"/>
        </w:rPr>
        <w:t>المسح بنداوة الوضوء</w:t>
      </w:r>
      <w:bookmarkEnd w:id="47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معروف أو منقول غیر ما یحکی عن ابن الجنید </w:t>
      </w:r>
      <w:r>
        <w:rPr>
          <w:rStyle w:val="FootnoteAnchor"/>
          <w:rtl w:val="true"/>
        </w:rPr>
        <w:footnoteReference w:id="825"/>
      </w:r>
      <w:r>
        <w:rPr>
          <w:rFonts w:ascii="IRNazanin" w:hAnsi="IRNazanin" w:eastAsia="IRNazanin"/>
          <w:color w:val="111111"/>
          <w:sz w:val="28"/>
          <w:sz w:val="28"/>
          <w:szCs w:val="28"/>
          <w:rtl w:val="true"/>
          <w:lang w:bidi="fa-IR"/>
        </w:rPr>
        <w:t>و قد تقدّم فی مسح الرأس الروایات الدالّة علی اعتبار کون المسح ببلّة الوضوء، و أنّه لا یجوز المسح بتجدید الماء علی الیدین کما یجدّد فی غسل الأعضاء، و قد یقال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مقتضاها عدم جواز تجدید الماء علی الیدین و لو من أعضاء الوضوء، و لکن استفادة ذلک من تلک الروایات غیر ممکن، فإنّ ما ورد فی صحیحة زرارة و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رأسه و قدمیه ببلل کفّه لم یحدث لهما ماءً</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و نحوها یکون منصرفاً إلی التعرّض بعدم جواز ما علیه العامّة من تجدیدهم الماء للمسح کما یجدّد للغسل، و أمّا الأمر بمسح الرأس بفضل ما بقی یدک من الماء و رجلیک إلی الکعبین کما فی صحیحة عمر بن اذینة </w:t>
      </w:r>
      <w:r>
        <w:rPr>
          <w:rStyle w:val="FootnoteAnchor"/>
          <w:rtl w:val="true"/>
        </w:rPr>
        <w:footnoteReference w:id="827"/>
      </w:r>
      <w:r>
        <w:rPr>
          <w:rFonts w:ascii="IRNazanin" w:hAnsi="IRNazanin" w:eastAsia="IRNazanin"/>
          <w:color w:val="111111"/>
          <w:sz w:val="28"/>
          <w:sz w:val="28"/>
          <w:szCs w:val="28"/>
          <w:rtl w:val="true"/>
          <w:lang w:bidi="fa-IR"/>
        </w:rPr>
        <w:t>، و قوله علیه السلام فی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 ناصیتک و ما بقی من بلّة یمینک ظهر قدمک الیمنی، و تمسح ببلّة یسارک ظهر قدمک الیسری</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فقد یدّعی أنّ مقتضی ظهورهما اعتبار کون المسح بالنداوة الباقیة فی الکفّ بعد غسل الیدین فلا یجوز المسح فیما إذا أخذ الکفّ النداوة من سائر الأعضاء، و إنّ هذا الظهور یکون موجباً لرفع الید عن إطلاق الأمر بمسح الرأس و الرجلین فی الآیة و غیرها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یجاب عن ذلک بأنّ حدیث المعراج لیس فی مقام بیان الحکم الشرعی و لعلّ الأمر بالمسح کما ورد فیه کان أفضل فإنّه کان الإمام علیه السلام فی حکایة المعراج و ما جری فیه و لم یکن فی مقام بیان الحکم فلم یمکن التمسّک بالظهور الإطلاقی بعدمه و فیه أنّ ظاهر نقله علیه السلام فی الذیل واقعة الأمر بالوضوء أنّه فی مقام بیان کیفیّة تشریع الوضوء و ما اعتبر فیه من ذلک الحین کما کان فی صدره فی بیان کیفیّة تشریع الأذان و کیفیّته من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کفایة کونه برطوبة الوضوء و إن کانت من سائر الأعضاء فلا یضرّ الامتزاج المزبور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البلّة باقیة فی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الغرض من النقل بیان التشریع و کیفیّته للتعلیم و بأنّ صحیحة زرارة المراد منها بیان اعتبار کون مسح الناصیة و الرجل الیمنی بالید الیمنی المبتلة و مسح الرجل الیسری بالید الیسری، فالمقابلة بین الید الیمنی المبتلّة و الید الیسری المبتلّة لا بین بلّة الیمنی و بلّة الیسری؛ لأنّ فی غالب موارد الوضوء یکون الوضوء بغیر ارتماس الأعضاء و بالاغتراف، و من الظاهر أنّ البلّة فی الیمنی من بلّة غسل الید الیسری و أیضاً لا یجوز مسح الرأس و الرجل الیمنی بغیر الید و إن ابتلّه ببلّة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المسح علی الرأس و الرجلین و إن کان بالید یعنی الکفّ بقرینة ما ورد فی کیفیة المسح من صحیحة البزنطی و غیرها إلّا أنّ ظاهر الصحیحتین کون الید الماسحة مصاحبة بالفضل و البلّة من ماء الوضوء الباقیة فی الید الماسحة بتمام غسل الوجه و الیدین لا البلة الحادثة فیها بعد تمام غسل الأعضاء بإمرار الید الماسحة علی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المراد بالبلّة و الفضل من ماء غسل الوجه و الیدین فیهما أیضاً فی مقابل تجدید الماء علیهما من ماء الإناء و نحوه و فی صحیحة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ما بقی فیه یدیه رأسه و رجلیه و لم یعدهما فی الإناء</w:t>
      </w:r>
      <w:r>
        <w:rPr>
          <w:rFonts w:eastAsia="IRNazanin" w:cs="IRNazanin"/>
          <w:color w:val="111111"/>
          <w:sz w:val="28"/>
          <w:szCs w:val="28"/>
          <w:rtl w:val="true"/>
          <w:lang w:bidi="fa-IR"/>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لم یذکر فی شیء من الأخبار عدم إمرار الید الماسحة بعد تمام غسل الأعضاء علی تلک الأعضاء خصوصاً علی الید الیسری کما هو المتعارف عند عامّة الناس، و لو کان هذا أمراً معتبراً لذکر اعتبار ذلک فی شیء من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غایة ظهور صحیحة عمر بن أُذینة و صحیحة زرارة عدم شمول بلل الیمنی للبلل المأخوذ من الوجه أو حتّی بلل الید الیسری المأخوذ من الیمنی بعد تمام الوضوء، و لا تعمّان بلل الیمنی الذی یکون علیها بإمرارها علی الیسری و لو بعد تمام غسلها کما لا یخفی، مع أنّه یمکن أن یقال إنّ المقدار المحرز من تقیید مسح الرأس و الرجلین کون البلة للعضو الماسحة بلّة أعضاء الوضوء لا الماء الخارجی أو ما هو نظیره بأن یمسح بغسالة الأعضاء المجتمع فی إناء و نحوه فإنّه و لو سلّم ظهور الصحیحتین فی کون الید الماسحة مبتلّة ببلل نفس الید عند تمام غسل الوضوء إلّا أنّ ذلک لا یوجب رفع الید عن الإطلاق المزبور؛ لأنّ کون البلّة فی الکف عند تمام غسل الأعضاء و الأخذ بالمسح أمر غالبی فلا یکون ذکره فی الصحیحتین موجباً لرفع الید عن إطلاق الأمر بالمسح و لو من غیرها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جواز أخذ البلل من سائر الأعضاء أو امتزاج بلل الکفّ ببلل سائر الأعضاء قبل المسح ما ورد فی من نسی المسح من أنّه یأخذ البلل للمسح من اللحیة و غیرها </w:t>
      </w:r>
      <w:r>
        <w:rPr>
          <w:rStyle w:val="FootnoteAnchor"/>
          <w:rtl w:val="true"/>
        </w:rPr>
        <w:footnoteReference w:id="830"/>
      </w:r>
      <w:r>
        <w:rPr>
          <w:rFonts w:ascii="IRNazanin" w:hAnsi="IRNazanin" w:eastAsia="IRNazanin"/>
          <w:color w:val="111111"/>
          <w:sz w:val="28"/>
          <w:sz w:val="28"/>
          <w:szCs w:val="28"/>
          <w:rtl w:val="true"/>
          <w:lang w:bidi="fa-IR"/>
        </w:rPr>
        <w:t>، علی ما یأتی فإنّه من البعید أن یختصّ ذلک بصورة النسیان بأن یعتبر المسح ببلّة الکفّ بالمعنی المتقدّم فی غیر النسیان و لا یعتبر ذلک حال النسیان، و لکن لا یخفی أنّه لا بعد فی ذلک، و یحتمل الاشتراط کذلک ثبوتاً مع أنّ أخذ البلل من غیر اللحیة من سائر الأعضاء حتّی مع النسیان غیر ثابت کما یأتی</w:t>
      </w:r>
      <w:r>
        <w:rPr>
          <w:rFonts w:eastAsia="IRNazanin" w:cs="IRNazanin"/>
          <w:color w:val="111111"/>
          <w:sz w:val="28"/>
          <w:szCs w:val="28"/>
          <w:rtl w:val="true"/>
          <w:lang w:bidi="fa-IR"/>
        </w:rPr>
        <w:t>.</w:t>
      </w:r>
      <w:bookmarkStart w:id="471" w:name="pg12061_112696"/>
    </w:p>
    <w:p>
      <w:pPr>
        <w:pStyle w:val="BookText"/>
        <w:rPr/>
      </w:pPr>
      <w:bookmarkEnd w:id="471"/>
      <w:r>
        <w:rPr>
          <w:rFonts w:ascii="IRNazanin" w:hAnsi="IRNazanin" w:eastAsia="IRNazanin"/>
          <w:color w:val="111111"/>
          <w:sz w:val="28"/>
          <w:sz w:val="28"/>
          <w:szCs w:val="28"/>
          <w:rtl w:val="true"/>
          <w:lang w:bidi="fa-IR"/>
        </w:rPr>
        <w:t>و أمّا لو جفّت فیجوز الأخذ من سائر الأعضاء بلا إشکال من غیر ترتیب بینها علی الأقوی، و إن کان الأحوط تقدیم اللحیة و الحواجب علی غیرهما من سائر الأعضاء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72" w:name="__RefHeading___Toc1723448_417432637"/>
      <w:bookmarkStart w:id="473" w:name="_Toc172"/>
      <w:bookmarkEnd w:id="472"/>
      <w:r>
        <w:rPr>
          <w:rtl w:val="true"/>
        </w:rPr>
        <w:t>لو جفّت الرطوبة أخذ من سائر الأعضاء</w:t>
      </w:r>
      <w:bookmarkEnd w:id="473"/>
    </w:p>
    <w:p>
      <w:pPr>
        <w:pStyle w:val="BookText"/>
        <w:rPr/>
      </w:pPr>
      <w:r>
        <w:rPr>
          <w:rFonts w:ascii="IRNazanin" w:hAnsi="IRNazanin" w:eastAsia="IRNazanin"/>
          <w:color w:val="111111"/>
          <w:sz w:val="28"/>
          <w:sz w:val="28"/>
          <w:szCs w:val="28"/>
          <w:rtl w:val="true"/>
          <w:lang w:bidi="fa-IR"/>
        </w:rPr>
        <w:t>لا ینبغی التأمّل فی أنّه یجوز أخذ البلل من اللحیة عند عدم البلل للکفّ سواء نسی مسح الرأس و القدمین أو شکّ فیها و فی صحیحة الحلبی عن أبی عبد اللّه علیه السلام إذا ذکرت و أنت فی صلاتک أنک قد ترکت شیئاً من وضوئک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یکفیک من مسح رأسک أن تأخذ من لحیتک بللها إذا نسیت أن تمسح رأسک فتمسح به مقدّم رأسک </w:t>
      </w:r>
      <w:r>
        <w:rPr>
          <w:rStyle w:val="FootnoteAnchor"/>
          <w:rtl w:val="true"/>
        </w:rPr>
        <w:footnoteReference w:id="831"/>
      </w:r>
      <w:r>
        <w:rPr>
          <w:rFonts w:ascii="IRNazanin" w:hAnsi="IRNazanin" w:eastAsia="IRNazanin"/>
          <w:color w:val="111111"/>
          <w:sz w:val="28"/>
          <w:sz w:val="28"/>
          <w:szCs w:val="28"/>
          <w:rtl w:val="true"/>
          <w:lang w:bidi="fa-IR"/>
        </w:rPr>
        <w:t>، و نحوها روایة زرارة عن أبی عبد اللّه علیه السلام فی الرجل نسی مسح رأسه حتّی دخل فی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لحیته بلل بقدر ما یمسح رأسه و رجلیه فلیفعل ذلک و لیصلِّ</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الکلام فی جواز أخذ البلل من غیر اللحیة، سواء لم تکن علیها رطوبة أو کانت علیها أو أنه یختص جواز الأخذ باللحیة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علی عدم الفرق بین اللحیة و غیرها بمرسلة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نسیت مسح رأسک فامسح علیه و علی رجلیک من بلّة وضوئک فإن لم یکن بقی فی یدک من نداوة وضوئک فخذ ما بقی منه فی لحیتک و امسح به رأسک و رجلیک و إن لم یکن لک لحیة فخذ من حاجبیک و أشفار عینک و امسح به رأسک و رجلیک و إن لم یبقَ من بلّة وضوئک شیء أعدت الوضوء</w:t>
      </w:r>
      <w:r>
        <w:rPr>
          <w:rFonts w:eastAsia="IRNazanin" w:cs="IRNazanin"/>
          <w:color w:val="111111"/>
          <w:sz w:val="28"/>
          <w:szCs w:val="28"/>
          <w:rtl w:val="true"/>
          <w:lang w:bidi="fa-IR"/>
        </w:rPr>
        <w:t xml:space="preserve">» </w:t>
      </w:r>
      <w:r>
        <w:rPr>
          <w:rStyle w:val="FootnoteAnchor"/>
          <w:rtl w:val="true"/>
        </w:rPr>
        <w:footnoteReference w:id="833"/>
      </w:r>
      <w:r>
        <w:rPr>
          <w:rFonts w:ascii="Amiri" w:hAnsi="Amiri" w:eastAsia="Amiri" w:cs="Amiri"/>
          <w:color w:val="111111"/>
          <w:sz w:val="28"/>
          <w:sz w:val="28"/>
          <w:szCs w:val="28"/>
          <w:rtl w:val="true"/>
          <w:lang w:bidi="ar-SA"/>
        </w:rPr>
        <w:t>و نحوها مرسلة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w:t>
      </w:r>
      <w:r>
        <w:rPr>
          <w:rStyle w:val="FootnoteAnchor"/>
          <w:rtl w:val="true"/>
        </w:rPr>
        <w:footnoteReference w:id="834"/>
      </w:r>
      <w:r>
        <w:rPr>
          <w:rFonts w:ascii="IRNazanin" w:hAnsi="IRNazanin" w:eastAsia="IRNazanin"/>
          <w:color w:val="111111"/>
          <w:sz w:val="28"/>
          <w:sz w:val="28"/>
          <w:szCs w:val="28"/>
          <w:rtl w:val="true"/>
          <w:lang w:bidi="fa-IR"/>
        </w:rPr>
        <w:t>، و ظاهر ما ذکر فیها من الترتیب لکثرة البلّة فی اللحیة علی تقدیرها لا أنّ للترتیب خصوصیّة أُخری؛ و لذا ذکر فی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بلّة وضوئک شیء أعدت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أیضاً أن ذلک مقتضی إطلاق الأمر بمسح الرأس و الرجلین، فإنّ مقتضی هذا الإطلاق إجزاء المسح علی الرأس و الرجلین ببلّة أی عضو من أعضاء الوضوء بعد تقییده بعدم جواز المسح بالماء الجدید، و قد ورد لهذا الإطلاق قید آخر و هو أن یکون المسح بالبلّة الباقیة فی الکفّ و الید، و بما أنّ هذا التقیید فرض فیه البلّة الباقیة فی الکفّ و مع عدم تلک البلّة یؤخذ بالإطلاق المزبور و مقتضاه جواز الأخذ من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بمسح الرأس و الرجل بالبلّة الباقیة فی الید و الکفّ اشتراطه فی الوضوء مطلقاً لا فی خصوص فرض وجود البلّة الباقیة فیه، فیکون مقتضی الأمر بالمسح بالبلّة الباقیة تجدید الوضوء مع عدم البلّة فیها، و قد خرج عن ذلک فرض إمکان أخذ البلّة من اللحیة، و یؤخذ فی فرض عدم إمکان أخذها منها بإطلاق الاشتراط و لا تصل النوبة إلی التمسّک بإطلاق الأمر بمسح الرأس و الرجلین، حیث إنّ إطلاق خطاب المقیّد یتقدّم علی إطلاق خطاب المطلق و المرسلة لضعف السند، بل و احتمال کون المراد بها مرسلة حمّاد بن عثمان لا یمکن الاعتماد علیها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اللحیة فی صحیحة الحلبی و روایة زرارة لتخلّف النداوة فیها عادة، و إلّا فلا یفهم الخصوصیّة لها</w:t>
      </w:r>
      <w:r>
        <w:rPr>
          <w:rFonts w:eastAsia="IRNazanin" w:cs="IRNazanin"/>
          <w:color w:val="111111"/>
          <w:sz w:val="28"/>
          <w:szCs w:val="28"/>
          <w:rtl w:val="true"/>
          <w:lang w:bidi="fa-IR"/>
        </w:rPr>
        <w:t>.</w:t>
      </w:r>
      <w:bookmarkStart w:id="474" w:name="pg12061_112698"/>
    </w:p>
    <w:p>
      <w:pPr>
        <w:pStyle w:val="BookText"/>
        <w:rPr/>
      </w:pPr>
      <w:bookmarkEnd w:id="474"/>
      <w:r>
        <w:rPr>
          <w:rFonts w:ascii="IRNazanin" w:hAnsi="IRNazanin" w:eastAsia="IRNazanin"/>
          <w:color w:val="111111"/>
          <w:sz w:val="28"/>
          <w:sz w:val="28"/>
          <w:szCs w:val="28"/>
          <w:rtl w:val="true"/>
          <w:lang w:bidi="fa-IR"/>
        </w:rPr>
        <w:t>نعم، الأحوط عدم أخذها ممّا خرج من اللحیة عن حدّ الوجه کالمسترسل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الکفّ ما یکفی الرأس فقط مسح به الرأس، ثمّ یأخذ للرجلین من سائرها علی الأحوط و إلّا فقد عرفت أنّ الأقوی جواز الأخذ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ذلک و أن یکون ذکر اللحیة لرعایة الغلبة إلّا أنّه لا إطلاق فی المقام یقتضی جواز الأخذ من مطلق الأعضاء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صحیحة الحلبی باعتبار تلک الغلبة لا تقیّد الإطلاق،بل الموجود فی المقام ما تقدّم من خطاب الأمر یمسح الرأس و الرجلین ببلّة الید و الکفّ الباقیة فیهما من غسل الأعضاء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نوقش فی دلالة ما تقدّم علی اعتبار عدم امتزاج بلّة الید و الکفّ لسائر الرطوبة من الأعضاء لکان عدم اعتبار بلل اللحیة و جواز الأخذ من سائر الأعضاء علی القاعدة أخذاً بالإطلاق المزبور</w:t>
      </w:r>
      <w:r>
        <w:rPr>
          <w:rFonts w:eastAsia="IRNazanin" w:cs="IRNazanin"/>
          <w:color w:val="111111"/>
          <w:sz w:val="28"/>
          <w:szCs w:val="28"/>
          <w:rtl w:val="true"/>
          <w:lang w:bidi="fa-IR"/>
        </w:rPr>
        <w:t>.</w:t>
      </w:r>
    </w:p>
    <w:p>
      <w:pPr>
        <w:pStyle w:val="Heading5"/>
        <w:numPr>
          <w:ilvl w:val="4"/>
          <w:numId w:val="1"/>
        </w:numPr>
        <w:rPr/>
      </w:pPr>
      <w:bookmarkStart w:id="475" w:name="__RefHeading___Toc1723450_417432637"/>
      <w:bookmarkStart w:id="476" w:name="_Toc173"/>
      <w:bookmarkEnd w:id="475"/>
      <w:r>
        <w:rPr>
          <w:rtl w:val="true"/>
        </w:rPr>
        <w:t>الأحوط عدم الأخذ من مسترسل اللحیة</w:t>
      </w:r>
      <w:bookmarkEnd w:id="476"/>
    </w:p>
    <w:p>
      <w:pPr>
        <w:pStyle w:val="BookText"/>
        <w:rPr/>
      </w:pPr>
      <w:r>
        <w:rPr>
          <w:rFonts w:ascii="IRNazanin" w:hAnsi="IRNazanin" w:eastAsia="IRNazanin"/>
          <w:color w:val="111111"/>
          <w:sz w:val="28"/>
          <w:sz w:val="28"/>
          <w:szCs w:val="28"/>
          <w:rtl w:val="true"/>
          <w:lang w:bidi="fa-IR"/>
        </w:rPr>
        <w:t>ظاهر کلامه أنّه قدس سره قد احتاط وجوباً فی أخذ البلل من اللحیة بأن یؤخذ ذلک من البلل من حدّ الوجه المذکور سابقاً لیکون المسح بها ببلل الوضوء</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إنّ الموجود فی اللحیة و لو فی المقدار الخارج عن حدّ الوجه یصدق علیه بلل الوضوء، و فیه أنّ ظاهر ما تقدّم المسح بفضل الماء الموجود فی أعضاء الغسل من الوضوء أو فی خصوص الکفین، و إلّا فلم لا یجوز المسح بالماء النازل من أعضاء الوضوء إذا غسلها فی إناء و أخذ البلة من الإناء المزبور لمسح الرأس و الرجلین أو أخذ بلّة الوضوء الساقط علی سائر أعضاء البدن، اللهمّ إلّا أن یتمسّک بالإطلاق فی صحیحة الحلبی حیث لم یقیّد علیه السلام أخذ البلّة ممّا یکون من مقدار اللحیة الواقع فی حدّ الوجه</w:t>
      </w:r>
      <w:r>
        <w:rPr>
          <w:rFonts w:eastAsia="IRNazanin" w:cs="IRNazanin"/>
          <w:color w:val="111111"/>
          <w:sz w:val="28"/>
          <w:szCs w:val="28"/>
          <w:rtl w:val="true"/>
          <w:lang w:bidi="fa-IR"/>
        </w:rPr>
        <w:t>.</w:t>
      </w:r>
      <w:bookmarkStart w:id="477" w:name="pg12061_112699"/>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أن یتأثّر الممسوح برطوبة الماسح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أن یتأثّر الممسوح برطوبة الماسح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ذلک بواسطة الماسح لا بأمر آخر، و إن کان علی الممسوح رطوبة خارجة فإن کانت قلیلة غیر مانعة من تأثیر رطوبة الماسح فلا بأس و إلّا لا بدّ من تجفیفها، و الشکّ فی التأثیر کالظنّ لا یکفی،بل لا بدّ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فالاحتیاط المزبور فی محلّه</w:t>
      </w:r>
      <w:r>
        <w:rPr>
          <w:rFonts w:eastAsia="IRNazanin" w:cs="IRNazanin"/>
          <w:color w:val="111111"/>
          <w:sz w:val="28"/>
          <w:szCs w:val="28"/>
          <w:rtl w:val="true"/>
          <w:lang w:bidi="fa-IR"/>
        </w:rPr>
        <w:t>.</w:t>
      </w:r>
    </w:p>
    <w:p>
      <w:pPr>
        <w:pStyle w:val="Heading5"/>
        <w:numPr>
          <w:ilvl w:val="4"/>
          <w:numId w:val="1"/>
        </w:numPr>
        <w:rPr/>
      </w:pPr>
      <w:bookmarkStart w:id="478" w:name="__RefHeading___Toc1723452_417432637"/>
      <w:bookmarkStart w:id="479" w:name="_Toc174"/>
      <w:bookmarkEnd w:id="478"/>
      <w:r>
        <w:rPr>
          <w:rtl w:val="true"/>
        </w:rPr>
        <w:t>اعتبار تأثّر الممسوح برطوبة الماسح</w:t>
      </w:r>
      <w:bookmarkEnd w:id="479"/>
    </w:p>
    <w:p>
      <w:pPr>
        <w:pStyle w:val="BookText"/>
        <w:rPr/>
      </w:pPr>
      <w:r>
        <w:rPr>
          <w:rFonts w:ascii="IRNazanin" w:hAnsi="IRNazanin" w:eastAsia="IRNazanin"/>
          <w:color w:val="111111"/>
          <w:sz w:val="28"/>
          <w:sz w:val="28"/>
          <w:szCs w:val="28"/>
          <w:rtl w:val="true"/>
          <w:lang w:bidi="fa-IR"/>
        </w:rPr>
        <w:t>و ذلک فالأمر بمسح الرأس و الرجلین ببلّة الیمنی و الیسری أو بفضل ما فی یده من ماء الوضوء و بلله تأثّر الرأس و الرجلین بذلک البلل، نظیر الأمر بمسحها بالدهن و نحوه، و أمّا کون هذا التأثّر بإمرار الید علی الجزء الممسوح فقد تقدّم أنّ ذلک مقتضی ما ورد فی کیفیة المسح، و ما ذکر فی الروایات الواردة المعبر عنها بروایات الوضوءات البیانیة، و علی ذلک فإن کان علی الرأس أو الرجلین رطوبة قبل المسح فإن کان بحیث تغلب بلّة الید الماسحة علی تلک الرطوبة بتأثّر الجزء الممسوح بها،بأن یری فیه تلک الرطوبة بعد المسح کفی ذلک و لا دلیل علی جفاف الجزء الممسوح، و أمّا إذا لم تغلب رطوبة الید الماسحة کذلک بحیث یصدق مسح الجزء الممسوح ببلّة الید الماسحة و الرطوبة الموجودة فی الممسوح فهذا غیر مجزٍ لما تقدّم من اعتبار کون المسح ببلّة الید لا بها و البلّة الخارجیة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أنّه لو لم یحرز أحد الأمرین فلا بدّ من تجفیف الرأس و الرجلین لإحراز تأثّرها بالرطوبة الباقیة فی الکفّ من الوضوء و أصالة عدم الرطوبة المانعة فی الرأس و الرجلین فلا یثبت التأثّر بتلک الرطوبة، و الظنّ بعدم المانع لا اعتبار به ما لم یحصل مرتبة الاطمینان، و أمّا معه فیکفی الاطمینان و لا یعتبر خصوص الیقین</w:t>
      </w:r>
      <w:bookmarkStart w:id="480" w:name="pg12061_112700"/>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الماسح حاجب و لو وصلة رقیقة لا بدّ من 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 الماسح حاجب و لو وصلة رقیقة لا بدّ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و لو لم یکن مانعاً من تأثیر رطوبته فی الممسوح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المسح بباطن الکفّ یجزی المسح بظاهرها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المسح بباطن الکفّ یجزی المسح بظاهرها، و إن لم یکن علیه رطوبة نقلها من سائر المواضع إلیه ثمّ یمسح به، و إن تعذّر بالظاهر أیضاً مسح بذراعه، و مع عدم رطوبته یأخذ من سائر المواضع، و إن کان عدم التمکّن من المسح بالباطن من جهة عدم الرطوبة و عدم إمکان الأخذ من سائر المواضع أعاد الوضوء، و کذا بالنسبة إلی ظاهر الکفّ فإنّه إذا کان عدم التمکّن من المسح به عدم الرطوبة و عدم إمکان أخذها من سائر المواضع لا ینتقل إلی الذراع، بل علیه أن یعید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الوجدانی حیث إنّ الاطمینان طریق یعتبره العقلاء فی إحراز الشیء کما ذکرنا کراراً</w:t>
      </w:r>
      <w:r>
        <w:rPr>
          <w:rFonts w:eastAsia="IRNazanin" w:cs="IRNazanin"/>
          <w:color w:val="111111"/>
          <w:sz w:val="28"/>
          <w:szCs w:val="28"/>
          <w:rtl w:val="true"/>
          <w:lang w:bidi="fa-IR"/>
        </w:rPr>
        <w:t>.</w:t>
      </w:r>
    </w:p>
    <w:p>
      <w:pPr>
        <w:pStyle w:val="Heading5"/>
        <w:numPr>
          <w:ilvl w:val="4"/>
          <w:numId w:val="1"/>
        </w:numPr>
        <w:rPr/>
      </w:pPr>
      <w:bookmarkStart w:id="481" w:name="__RefHeading___Toc1723454_417432637"/>
      <w:bookmarkStart w:id="482" w:name="_Toc175"/>
      <w:bookmarkEnd w:id="481"/>
      <w:r>
        <w:rPr>
          <w:rtl w:val="true"/>
        </w:rPr>
        <w:t>وجوب إزالة المانع من وصول الرطوبة</w:t>
      </w:r>
      <w:bookmarkEnd w:id="482"/>
    </w:p>
    <w:p>
      <w:pPr>
        <w:pStyle w:val="BookText"/>
        <w:rPr/>
      </w:pPr>
      <w:r>
        <w:rPr>
          <w:rFonts w:ascii="IRNazanin" w:hAnsi="IRNazanin" w:eastAsia="IRNazanin"/>
          <w:color w:val="111111"/>
          <w:sz w:val="28"/>
          <w:sz w:val="28"/>
          <w:szCs w:val="28"/>
          <w:rtl w:val="true"/>
          <w:lang w:bidi="fa-IR"/>
        </w:rPr>
        <w:t>فإنّ ظاهر الأمر بمسح الرأس و الرجلین بیدیه أو بما فی کفّیه من بلّة وضوئه أو ببلّة یمناه و یساره مباشرة الید الماسحة ببشرتها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أنّ الممسوح الرأس و الرجلین ببشرتهما و أنّ الحائل علیهما و لم یکن مانعاً عن وصول الرطوبة إلی الرأس و الرجلین لا یصحّح المسح، کما هو منصرف ما دلّ علی مسح الرأس و الرجلین بیدیه، و ما دلّ علی إدخال الأصابع تحت الخمار کذلک الحائل علی العضو الماسح خلاف منصرف تلک الخطابات، و أنّ ظاهر مباشرة الیدین و الکفّین بشرتهما الرأس و القدمین</w:t>
      </w:r>
      <w:r>
        <w:rPr>
          <w:rFonts w:eastAsia="IRNazanin" w:cs="IRNazanin"/>
          <w:color w:val="111111"/>
          <w:sz w:val="28"/>
          <w:szCs w:val="28"/>
          <w:rtl w:val="true"/>
          <w:lang w:bidi="fa-IR"/>
        </w:rPr>
        <w:t>.</w:t>
      </w:r>
    </w:p>
    <w:p>
      <w:pPr>
        <w:pStyle w:val="Heading5"/>
        <w:numPr>
          <w:ilvl w:val="4"/>
          <w:numId w:val="1"/>
        </w:numPr>
        <w:rPr/>
      </w:pPr>
      <w:bookmarkStart w:id="483" w:name="__RefHeading___Toc1723456_417432637"/>
      <w:bookmarkStart w:id="484" w:name="_Toc176"/>
      <w:bookmarkEnd w:id="483"/>
      <w:r>
        <w:rPr>
          <w:rtl w:val="true"/>
        </w:rPr>
        <w:t>إذا تعذر المسح بالباطن یجزی المسح بالظاهر</w:t>
      </w:r>
      <w:bookmarkEnd w:id="48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قدس سره فی هذه المسألة أُموراً 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یتمکّن المکلّف من المسح بباطن الکفّ لا لعدم البلل فی باطن الکفّ و عدم إمکان أخذ البلل فی سائر الأعضاء،بل لموجب آخر فی باطنها کالجرح تنتقل الوظیفة إلی المسح بظاهرها و لا یجزی المسح، و لا بباطن الذراع و لا بباطن الکف الأُخری،بأن یمسح بباطن الکفّ الیسری کلّاً من رجلیه الیمنی و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المسح لا بباطن کفّه و لا بظاهره، إمّا لفقد الکفّ أو کونها مجروحةً أو مجبورة تنتقل الوظیفة إلی المسح بالذراع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عدم إمکان المسح بباطن الکف فی الأمر الأول لفقد البلل فیها و عدم إمکان أخذه من سائر الأعضاء، و کذلک عدم إمکان المسح بظاهر الکفّ فی الأمر الثانی لفقد البلل فیه و عدم إمکان أخذه من سائر الأعضاء فعلیه إعادة الوضوء و المسح بالباطن فی الأوّل، و بالظاهر فی الثانی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فلا ینبغی التأمّل فیه و ذلک فإنّ الدلیل علی اعتبار کون المسح بباطن الکفّ هو الوضوءات البیانیّة حیث إنّ ظاهر مسح الإمام علیه السلام کلّاً من رأسه و رجلیه بباطن کفّیه، حیث إنّ المسح بظاهر الکفّ خلاف المتعارف، و لو کان هذا النحو من المسح صادراً عنه علیه السلام لتعرض و لو فی بعض الروایات الواردة فیها لنقله، و بما أنّ الإمام علیه السلام لم یکن له مانع فی باطن کفّه فلا تدلّ تلک الروایات إلّا علی اعتبار باطن الکفّ مع عدم المانع من الجرح و نحوه، و فی غیر ذلک یؤخذ بإطلاق ما دلّ علی اعتبار المسح علی الرأس و الرجلین ببلة الیمنی و الیسری کما فی صحیحة زرارة المتقدّمة و مقتضاه عدم الفرق بین ظاهر الکفّ و باطنها، قال فی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محلّ المسح باطن الید دون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تعذّر المسح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بالباطن أجزأ الظاهر قطعاً</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أمّا الأمر الثانی فهو أیضاً کما ذکر فی المتن و لا یحتاج فی الحکم بما ذکره إلی التشبث بقاعدة المیسور لیقال إنّها لم تثبت،بل لما ذکرنا سابقاً من أنّ انصراف الید إلی الکفّ فی ما أُطلق مثل المسح و الغسل و نحوهما ممّا یستعمل فیه الکفّ و إن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بالإضافة إلی من له الکفّ، و أمّا بالإضافة إلی غیره فیده ما بقی من یمناه، و حیث إنّ الید محدودة فی الوضوء إلی المرفق فیکون المسح علی رأسه و رجله بما بقی من ذلک المحدود من بعض الذراع بلا فرق بین ظاهره و باطنه، و إن کان الأحوط رعایة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بعض الأخبار من کون المسح بالکفّ فقد ورد فی الوضوءات البیانیة المفروض فیها سلامة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اعتبار کون المسح بالکفّ لما ذکر لا یمنع من التمسّک فی غیر ذی الکفّ و نحوه بالإطلاق فی الأمر بالمسح بالیمنی و الیسری أو بالیدین علی الرأس و الرجلین کما لا یخفی، و قد تقدّم نظیر ذلک فی الحکم بوجوب غسل الباقی من مقطوع الید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الأمر الثالث أیضاً کما ذکر قدس سره فإنّ المعتبر فی الصلاة التمکّن من صرف الوجود من الوضوء بأن یأتی به صلاته بین الحدّین و إذا تمکّن المکلّف من المسح ببلة الیدین و الکفّ و لو باستیناف الوضوء بغسل الأعضاء تعیّن ذلک لتمکنه من صرف الوجود من الوضوء، و إنّما لا یتمکّن علی المسح بنداوة الوضوء فی الکفّ فی خصوص</w:t>
      </w:r>
      <w:bookmarkStart w:id="485" w:name="pg12061_112703"/>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الرطوبة علی الماسح زائدة بحیث توجب جریان الماء علی الممسوح لا یجب تقلیلها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الرطوبة علی الماسح زائدة بحیث توجب جریان الماء علی الممسوح لا یجب تقلیلها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یقصد المسح بإمرار الید و إن حصل به الغسل و الأولی تقلیلها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المفروض فعدم التمکّن فیه غیر موضوع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یتمکّن من المسح بنداوة الوضوء أصلاً علی ما یأتی فهی مسألة أُخری یکون مقتضی ما ذکر فی المسألة جواز الوضوء و المسح بالماء الجدید فی تلک المسألة فتدبّر</w:t>
      </w:r>
      <w:r>
        <w:rPr>
          <w:rFonts w:eastAsia="IRNazanin" w:cs="IRNazanin"/>
          <w:color w:val="111111"/>
          <w:sz w:val="28"/>
          <w:szCs w:val="28"/>
          <w:rtl w:val="true"/>
          <w:lang w:bidi="fa-IR"/>
        </w:rPr>
        <w:t>.</w:t>
      </w:r>
    </w:p>
    <w:p>
      <w:pPr>
        <w:pStyle w:val="Heading5"/>
        <w:numPr>
          <w:ilvl w:val="4"/>
          <w:numId w:val="1"/>
        </w:numPr>
        <w:rPr/>
      </w:pPr>
      <w:bookmarkStart w:id="486" w:name="__RefHeading___Toc1723458_417432637"/>
      <w:bookmarkStart w:id="487" w:name="_Toc177"/>
      <w:bookmarkEnd w:id="486"/>
      <w:r>
        <w:rPr>
          <w:rtl w:val="true"/>
        </w:rPr>
        <w:t>إذا کانت رطوبة الماسح کثیرة</w:t>
      </w:r>
      <w:bookmarkEnd w:id="487"/>
    </w:p>
    <w:p>
      <w:pPr>
        <w:pStyle w:val="BookText"/>
        <w:rPr/>
      </w:pPr>
      <w:r>
        <w:rPr>
          <w:rFonts w:ascii="IRNazanin" w:hAnsi="IRNazanin" w:eastAsia="IRNazanin"/>
          <w:color w:val="111111"/>
          <w:sz w:val="28"/>
          <w:sz w:val="28"/>
          <w:szCs w:val="28"/>
          <w:rtl w:val="true"/>
          <w:lang w:bidi="fa-IR"/>
        </w:rPr>
        <w:t>کما صرّح بذلک بعض الأصحاب و ذلک فإنّ الواجب لصدق المسح ببلّة الوضوء هو إمرار العضو الماسح علی الرأس و الرجلین بحیث یتأثّر الرأس و الرجلان بتلک البلّة، جرت تلک البلّة علی الجزء الممسوح أم لا، کما أنّ الموجب لصدق الغسل جریان الماء علی العضو کان بإمرار العضو الماسح أم لا؛ و لذا قد یجتمع المسح و الغسل بترکیب انضمامی؛ و لذا ورد فی بعض روایات غسل الوجه و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کفّاً من ماء فأسدله علی وجهه ثمّ مسح وجهه من الجانبین جمیعاً</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ضعف ما عن جامع المقاصد من اعتبار تقلیل الرطوبة حتّی لا یجری الماء علی الممسوح لاشتراط عدم الجریان فی المسح، و مقتضی الإجماع و الأخبار تعیّن المسح علی الرأس و الرجلین و عدم إجزاء غسلها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الضعف أنّ عدم إجزاء الغسل لا ینافی إجزاء المسح المصاحب لذلک</w:t>
      </w:r>
      <w:bookmarkStart w:id="488" w:name="pg12061_112704"/>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إمرار الماسح علی الممسوح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المسح إمرار الماسح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الممسوح فلو عکس بطل، نعم الحرکة الیسیرة فی الممسوح لا تضرّ بصدق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 کما أنّ الأمر فی غسل الوجه و الیدین علی العکس، و ما فی عبارة الماتن من أنّ التقلیل أولی فإن أُرید استحبابه الشرعی بعنوان التقلیل فلا دلیل علیه فإن أُرید الاحتیاط استحباباً فلا بأس به خروجاً عن الخلاف عن بعض کالمحقق الثانی</w:t>
      </w:r>
      <w:r>
        <w:rPr>
          <w:rFonts w:eastAsia="IRNazanin" w:cs="IRNazanin"/>
          <w:color w:val="111111"/>
          <w:sz w:val="28"/>
          <w:szCs w:val="28"/>
          <w:rtl w:val="true"/>
          <w:lang w:bidi="fa-IR"/>
        </w:rPr>
        <w:t>.</w:t>
      </w:r>
    </w:p>
    <w:p>
      <w:pPr>
        <w:pStyle w:val="Heading5"/>
        <w:numPr>
          <w:ilvl w:val="4"/>
          <w:numId w:val="1"/>
        </w:numPr>
        <w:rPr/>
      </w:pPr>
      <w:bookmarkStart w:id="489" w:name="__RefHeading___Toc1723460_417432637"/>
      <w:bookmarkStart w:id="490" w:name="_Toc178"/>
      <w:bookmarkEnd w:id="489"/>
      <w:r>
        <w:rPr>
          <w:rtl w:val="true"/>
        </w:rPr>
        <w:t>اعتبار إمرار الماسح علی الممسوح</w:t>
      </w:r>
      <w:bookmarkEnd w:id="490"/>
    </w:p>
    <w:p>
      <w:pPr>
        <w:pStyle w:val="BookText"/>
        <w:rPr/>
      </w:pPr>
      <w:r>
        <w:rPr>
          <w:rFonts w:ascii="IRNazanin" w:hAnsi="IRNazanin" w:eastAsia="IRNazanin"/>
          <w:color w:val="111111"/>
          <w:sz w:val="28"/>
          <w:sz w:val="28"/>
          <w:szCs w:val="28"/>
          <w:rtl w:val="true"/>
          <w:lang w:bidi="fa-IR"/>
        </w:rPr>
        <w:t>و کان ذلک باعتبار أنّ المستفاد من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تمسح ببلّة یمناک</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ما بقی فی یدک</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کما فی صحیحة عمر بن أُذینة و غیرها کون الید عضواً ماسحاً، و یطلق الماسح علی الذی یمرّ علی الشیء الآخر، و نوقش فیه بصحة قول القائل مسحت یدی بالجدار أو رجلی بالأرض حیث یراد الجدار و الأرض ماسحاً مع إمرار الید و الرجل علیهما فکان الممسوح ما یقصد إزالة الشیء عنه و الماسح ما یکون موجباً للإزالة، و حیث یراد فی المقام إزالة البلّة أو بعضها بالرأس و الرجلین یکون مناسبة ذلک عدم اعتبار الإمرار فی الید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 المناقشة فإنّ کون المسح المعتبر فی الوضوء لإزالة البلّة و لو ببعضها أو إزالة ما علی ظهر الرجلین و الرأس من الغبار و نحوه ممّا لم یقم علیه دلیل،بل ظاهر ما ورد فی بیان الوضوء کون مقدّم الرأس و ظاهر الرجلین ممسوحة، و فی صحیحة داود بن فرقد عن أبی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یقول إنّ للوضوء</w:t>
      </w:r>
      <w:bookmarkStart w:id="491" w:name="pg12061_112705"/>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یمکن حفظ الرطوبة فی الماسح فالأقوی جواز المسح بالماء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یمکن حفظ الرطوبة فی الماسح من جهة الحرّ فی الهواء أو حرارة البدن أو نحو ذلک و لو باستعمال ماء کثیر بحیث کلّما أعاد الوضوء لم ینفع فالأقوی جواز المسح بالماء الجدید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المسح بالید الیابسة ثمّ بالماء الجدید ثمّ التیمم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مسح الرجلین أن یضع یده علی الأصابع و یمسح إلی الکعبین بالتدریج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فی مسح الرجلین أن یضع یده علی الأصابع و یمسح إلی الکعبین بالتدریج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 من تعدّاه لم یؤجر، و 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یتلدّد، فقال له رجل و ما حدّه؟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تغسل وجهک و یدیک و تمسح رأسک و رجلیک</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فإنّ ظهورها فی کون الوجه و الیدین مغسولة و الرأس و الرجلین ممسوحة مما لا ینکر و فیما لا یقصد من المسح الإزالة کما ذکرنا ظاهر کون الشیء ممسوحاً إمرار الماسح علیه</w:t>
      </w:r>
      <w:r>
        <w:rPr>
          <w:rFonts w:eastAsia="IRNazanin" w:cs="IRNazanin"/>
          <w:color w:val="111111"/>
          <w:sz w:val="28"/>
          <w:szCs w:val="28"/>
          <w:rtl w:val="true"/>
          <w:lang w:bidi="fa-IR"/>
        </w:rPr>
        <w:t>.</w:t>
      </w:r>
    </w:p>
    <w:p>
      <w:pPr>
        <w:pStyle w:val="Heading5"/>
        <w:numPr>
          <w:ilvl w:val="4"/>
          <w:numId w:val="1"/>
        </w:numPr>
        <w:rPr/>
      </w:pPr>
      <w:bookmarkStart w:id="492" w:name="__RefHeading___Toc1723462_417432637"/>
      <w:bookmarkStart w:id="493" w:name="_Toc179"/>
      <w:bookmarkEnd w:id="492"/>
      <w:r>
        <w:rPr>
          <w:rtl w:val="true"/>
        </w:rPr>
        <w:t>إذا لم یمکن حفظ الرطوبة لحرّ و غیره</w:t>
      </w:r>
      <w:bookmarkEnd w:id="493"/>
    </w:p>
    <w:p>
      <w:pPr>
        <w:pStyle w:val="BookText"/>
        <w:rPr/>
      </w:pPr>
      <w:r>
        <w:rPr>
          <w:rFonts w:ascii="IRNazanin" w:hAnsi="IRNazanin" w:eastAsia="IRNazanin"/>
          <w:color w:val="111111"/>
          <w:sz w:val="28"/>
          <w:sz w:val="28"/>
          <w:szCs w:val="28"/>
          <w:rtl w:val="true"/>
          <w:lang w:bidi="fa-IR"/>
        </w:rPr>
        <w:t>یمکن أن یکون الوجه فیما ذکره أن المسح بالماء الجدید میسور للمسح بالبلة الباقیة فی الید المعتبر فی الوضوء کما تقدّم، و أنّه إذا لم یمکن المرتبة المعتبرة من المسح فی الوضوء فینزل إلی المرتبة المیسورة منه کما یظهر ذلک من روایة عبد الأعلی مولی آل سام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 فجعلت علی إصبعی مرارة فکیف أصنع بالوضوء؟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هذا و أشباهه من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مقتضی الآیة المبارکة جواز المسح بالماء الجدید علی الرأس و الرجلین،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إنّ ظاهرها استعمال الماء فی المسح کاستعماله فی الغسل خصوصاً بملاحظة قوله سبحانه فی الذیل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بتعبیر آخر، لو لم نقل بهذا الظهور أیضاً فلا أقل من عدم ظهورها فی مسح الرأس و الرجلین بلا رطوبة و ماء، و یرفع الید من إطلاق الأمر بمسح الرأس و الرجلین و لو بالماء الجدید فی صورة إمکان المسح علی کلّ من الرأس و الرجلین بالبلّة الباقیة عن الوضوء، و یؤخذ فی غیر هذه الصورة بالإطلاق المزبور، فإنّ العمدة فی اعتبار المسح بالبلّة الروایات الواردة فی الوضوءات البیانیة، و ما فی صحیحتی عمر بن أُذینة الحاکیة فی صدرها قضیة المعراج </w:t>
      </w:r>
      <w:r>
        <w:rPr>
          <w:rStyle w:val="FootnoteAnchor"/>
          <w:rtl w:val="true"/>
        </w:rPr>
        <w:footnoteReference w:id="841"/>
      </w:r>
      <w:r>
        <w:rPr>
          <w:rFonts w:ascii="IRNazanin" w:hAnsi="IRNazanin" w:eastAsia="IRNazanin"/>
          <w:color w:val="111111"/>
          <w:sz w:val="28"/>
          <w:sz w:val="28"/>
          <w:szCs w:val="28"/>
          <w:rtl w:val="true"/>
          <w:lang w:bidi="fa-IR"/>
        </w:rPr>
        <w:t xml:space="preserve">، و الآمره فی الثانیة بالمسح ببلّة الیمنی الرأس و ظهر الرجل الیمنی و ببلّة الیسری ظهر الرجل الیسری </w:t>
      </w:r>
      <w:r>
        <w:rPr>
          <w:rStyle w:val="FootnoteAnchor"/>
          <w:rtl w:val="true"/>
        </w:rPr>
        <w:footnoteReference w:id="842"/>
      </w:r>
      <w:r>
        <w:rPr>
          <w:rFonts w:ascii="IRNazanin" w:hAnsi="IRNazanin" w:eastAsia="IRNazanin"/>
          <w:color w:val="111111"/>
          <w:sz w:val="28"/>
          <w:sz w:val="28"/>
          <w:szCs w:val="28"/>
          <w:rtl w:val="true"/>
          <w:lang w:bidi="fa-IR"/>
        </w:rPr>
        <w:t>، و من الظاهر المفروض فی الروایات البیانیة فرض إمکان المسح بالبلّة الباقیة فی الکفین، و کذا فی صحیحة عمر بن أُذینة، و أمّا صحیحة زرارة فقد تقدّم أنّ المراد بها المسح بالید الیمنی مع رطوبتها و المسح بالید الیسری مع بلتها، سواء کانت البلة من غسل الیدین أو بإدخالهما فی الإناء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کون المسح بالماء الجدید میسوراً للمسح بالبلة الباقیة علی الیدین من غسلهما غیر ظاهر، و قاعدة المیسور لم یتمّ لها مدرک معتبر، و ما فی روایة عبد الأعلی مولی آل سام </w:t>
      </w:r>
      <w:r>
        <w:rPr>
          <w:rStyle w:val="FootnoteAnchor"/>
          <w:rtl w:val="true"/>
        </w:rPr>
        <w:footnoteReference w:id="843"/>
      </w:r>
      <w:r>
        <w:rPr>
          <w:rFonts w:ascii="IRNazanin" w:hAnsi="IRNazanin" w:eastAsia="IRNazanin"/>
          <w:color w:val="111111"/>
          <w:sz w:val="28"/>
          <w:sz w:val="28"/>
          <w:szCs w:val="28"/>
          <w:rtl w:val="true"/>
          <w:lang w:bidi="fa-IR"/>
        </w:rPr>
        <w:t>مع الغض عن سندها حیث لم یتمّ توثیق له، و کونه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الأعلی بن أعین العجلی غیر ثابت لا دلالة فیها علی استفادة الأمر بالمسح علی المرارة من الکتاب المجید،بل المستفاد منها عدم الأمر بالوضوء المعتبر فیه المسح علی أصابع الرجل مع وجود المرارة علیها، و هذا مستفاد من الکتاب لا الأمر بالمسح علی تلک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الآیة المبارکة من أنّ مقتضاها الأمر بمسح الرأس و الرجلین و لو بالماء الجدید، فلو سلم ذلک فلا ینبغی التأمّل فی أنّه یرفع الید عن إطلاقها و تقییدها بکون المسح بالبلة الباقیة علی الیمنی و الیسری مطلقاً، فإنّ الأمر یمسح الرأس و الرجلین بالیمنی و الیسری ببلّتهما فی صحیحة زرارة إرشاد إلی اعتبار ذلک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إرشاداً إلی الجزئیة و الشرطیة لا یتقیّد بصور التمکّن علی ذات الجزء و الشرط،بل المتقیّد بصور التمکّن هو الأمر بالکلّ و المشروط، و علی ذلک فظاهر الصحیحة اعتبار المسح بالبلّة الباقیة خصوصاً بملاحظة ما ذکر فیها قبل ذلک من إجزاء ثلاث غرفات، فإنّ ثلاث غرفات یستعمل فی غسل الوجه و الیدین، و الأمر بالمسح بالبلّة بعد ذلک ظاهرها اعتبار تلک البلّة فی مسح الرأس و الرجلین، فیکون مقتضی القاعدة فی الفرض تعیّن التیمم حیث لا یتمکّن المکلّف علی الوضوء فی الفرض، فکل مورد تمّ فیه الدلیل علی الأمر بالوضوء الناقص فلا یبقی للتیمم موضوع و فی غیره یؤخذ بمقتضاها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أنّ المسح بالید الیابسة لا وجه لاعتباره،بل الأمر یدور بین المسح بالماء الجدید و التیمّم، و لو لم یکن الأظهر تعیّن التیمّم فالأحوط الجمع</w:t>
      </w:r>
    </w:p>
    <w:p>
      <w:pPr>
        <w:pStyle w:val="BookText"/>
        <w:rPr/>
      </w:pPr>
      <w:r>
        <w:rPr>
          <w:rFonts w:ascii="IRNazanin" w:hAnsi="IRNazanin" w:eastAsia="IRNazanin"/>
          <w:color w:val="111111"/>
          <w:sz w:val="28"/>
          <w:sz w:val="28"/>
          <w:szCs w:val="28"/>
          <w:rtl w:val="true"/>
          <w:lang w:bidi="fa-IR"/>
        </w:rPr>
        <w:t>فیجوز أن یضع تمام کفّه علی تمام ظهر القدم من طرف الطول إلی المفصل و یجرّها قلیلاً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صدق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 بین المسح بالماء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 قدس سره إلی إطلاقات المسح علی الرجلین إلی الکعبین، و لیس فی البین ما یوجب رفع الید عنها غیر ما ورد فی صحیحة البزنطی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المسح علی القدمین کیف هو فوضع کفّه علی الأصابع فمسحها إلی الکعبین إلی ظاهر القدم،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لو أنّ رجلاً قال بإصبعین من أصابعه هکذا قال لا إلّا بکفّه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ربّما یقال بظهورها فی تعیّن المسح تدریجاً و الأخذ به لا ینافی رفع الید عن ظهورها فی تحدید المسح عرضاً بالکفّ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أنّها فی مقام تحدید المسح طولاً و عرضاً و لیس فی مقام کیفیة المسح؛ و لذا یجوز المسح نکساً لا یمکن المساعدة علیها، فإنّ ظهورها فی تحدید المسح لا ینافی بیان کیفیّته أیضاً کما هو الأصل فی کلّ خطاب یتضمّن بیان المتعلّق أو الحکم 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ظهور لها فی تعیّن المسح تدریجاً فإنّ مقتضاها أنّه لو وضع کفّه علی تمام الأصابع و یجرّها قلیلاً إلی الکعب یحصل المسح، و بناءً علی کون الکعبین علو القدمین کظاهرهما لا یکون المسح تدریجیاً و إنّما یکون التدریج إذا وضع یده علی رءوس الأصابع، و لم یذکر فی صحیحة وضعها علی رءوسها</w:t>
      </w:r>
      <w:r>
        <w:rPr>
          <w:rFonts w:eastAsia="IRNazanin" w:cs="IRNazanin"/>
          <w:color w:val="111111"/>
          <w:sz w:val="28"/>
          <w:szCs w:val="28"/>
          <w:rtl w:val="true"/>
          <w:lang w:bidi="fa-IR"/>
        </w:rPr>
        <w:t>.</w:t>
      </w:r>
      <w:bookmarkStart w:id="494" w:name="pg12061_112709"/>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المسح علی الحائل کالقناع و الخفّ و الجورب و نحوها فی حال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المسح علی الحائل کالقناع و الخفّ و الجورب و نحوها فی حال الضرورة من تقیة أو برد یخاف منه علی رجله، أو لا یمکن معه نزع الخف مثلاً، و کذا لو خاف من سبع أو عدوّ أو نحو ذلک ممّا یصدق علیه الاضطرار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مسح الرأس و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إنّه قد ورد الرخصة فی جواز المسح نکساً سواء کان ذلک النکس بنحو التدریج أم لا، و إذا جاز الأمرین فی النکس فلا یحتمل الفرق بینه و بین صورة عدم النکس و لکن یمکن العکس، و بأنّ هذه الصحیحة إذا دلّت علی اعتبار التدریج فی صورة عدم النکس یلتزم به فی النکس أیضاً لعدم احتمال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ما ورد فی جواز النکس ناظر إلی بیان عدم اعتبار البدء من الأصابع لا بیان لسائر ما یعتبر فی المسح فالعمدة عدم دلالتها علی التدریج بالمعنی المقصود</w:t>
      </w:r>
      <w:r>
        <w:rPr>
          <w:rFonts w:eastAsia="IRNazanin" w:cs="IRNazanin"/>
          <w:color w:val="111111"/>
          <w:sz w:val="28"/>
          <w:szCs w:val="28"/>
          <w:rtl w:val="true"/>
          <w:lang w:bidi="fa-IR"/>
        </w:rPr>
        <w:t>.</w:t>
      </w:r>
    </w:p>
    <w:p>
      <w:pPr>
        <w:pStyle w:val="Heading5"/>
        <w:numPr>
          <w:ilvl w:val="4"/>
          <w:numId w:val="1"/>
        </w:numPr>
        <w:rPr/>
      </w:pPr>
      <w:bookmarkStart w:id="495" w:name="__RefHeading___Toc1723464_417432637"/>
      <w:bookmarkStart w:id="496" w:name="_Toc180"/>
      <w:bookmarkEnd w:id="495"/>
      <w:r>
        <w:rPr>
          <w:rtl w:val="true"/>
        </w:rPr>
        <w:t>المسح علی الحائل</w:t>
      </w:r>
      <w:bookmarkEnd w:id="4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جواز المسح علی الحائل فی حال التقیّة فیأتی الکلام فیه، و أمّا جواز المسح علیه فی غیرها من الضرورة من برد و نحوه فقد حکی جواز المسح علیه فی البرد عن الأصحاب، و عن السید فی الناصریات، و الشیخ فی الخلاف و العلّامة فی المختلف و التذکرة و عن الشهید فی الذکری الإجماع علیه، و فی الحدائق ظاهر الأصحاب الاتفاق علیه </w:t>
      </w:r>
      <w:r>
        <w:rPr>
          <w:rStyle w:val="FootnoteAnchor"/>
          <w:rtl w:val="true"/>
        </w:rPr>
        <w:footnoteReference w:id="845"/>
      </w:r>
      <w:r>
        <w:rPr>
          <w:rFonts w:ascii="IRNazanin" w:hAnsi="IRNazanin" w:eastAsia="IRNazanin"/>
          <w:color w:val="111111"/>
          <w:sz w:val="28"/>
          <w:sz w:val="28"/>
          <w:szCs w:val="28"/>
          <w:rtl w:val="true"/>
          <w:lang w:bidi="fa-IR"/>
        </w:rPr>
        <w:t>، و یستدلّ علیه بما رواه فی الصحیح محمّد بن النعمان الأحول، عن أبی الورد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ظبیان حدّثنی أنّه رأی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 علیه السلام أراق الماء ثمّ مسح علی الخفّین؟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أبو ظبیان أما بلغک قول علیّ علیه السلام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الکتاب الخفّین،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فیهما رخصة؟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إلّا من عدوّ تقیه أو ثلج تخاف علی رجلیک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یناقش فی الروایة بضعف السند؛ لعدم ثبوت التوثیق لأبی الورد، و یجاب عن ذلک بانجبار ضعفها بعمل المشهور حیث لم یعرف و لم ینقل الخلاف فی جواز المسح علی الحائل للبرد عن أحد من المتقدّمین، و إنّما ناقش فی الحکم أو خالفه بعض المتأخرین، أضف إلی ذلک وقوع أبی الورد فی أسناد تفسیر القمی الذی قیل إنّ من وقع فی أسانیده موثق بتوثیق علی بن إبراهیم القمی قدس سره </w:t>
      </w:r>
      <w:r>
        <w:rPr>
          <w:rStyle w:val="FootnoteAnchor"/>
          <w:rtl w:val="true"/>
        </w:rPr>
        <w:footnoteReference w:id="847"/>
      </w:r>
      <w:r>
        <w:rPr>
          <w:rFonts w:ascii="IRNazanin" w:hAnsi="IRNazanin" w:eastAsia="IRNazanin"/>
          <w:color w:val="111111"/>
          <w:sz w:val="28"/>
          <w:sz w:val="28"/>
          <w:szCs w:val="28"/>
          <w:rtl w:val="true"/>
          <w:lang w:bidi="fa-IR"/>
        </w:rPr>
        <w:t xml:space="preserve">، و قد ذکر فی الحدائق أنّ شیخنا المجلسی عدّه فی وجیزته من الممدوحین، و شیخنا أبو الحسن قال روی مدحه مع أنّ حماد بن عثمان الراوی عنه بواسطة من أصحاب الإجماع و من اجتمعت العصابة علی تصحیح ما یصحّ عنهم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المشهور بالروایة ممّا لا ینبغی التأمّل فیه، و أمّا کون وجه عملهم بها أمراً کان عندهم لم یصل إلینا ذلک الأمر فهو غیر معلوم، و لعلّهم استفادوا ذلک ممّا ورد فی المسح علی الدواء و الجبائر خصوصاً بملاحظة ما ورد فی روایة عبد الأعلی مولی آل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 أشباهه من کتاب اللّٰه،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علیه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بعضهم بتلک الروایة فی جواز المسح علی الحائل عند الضرورة، و لکن قد تقدّم أنّه مع الغضّ عن سندها أنّ الأمر بالمسح علی المرارة لیس تفریعاً علی الاستفادة من کتاب اللّٰه،بل المستفاد منه عدم اعتبار الوضوء بغسل البشرة و مسحها مع الحرج، و أمّا وقوع أبی الورد فی أسناد تفسیر القمی فلا یفید شیئاً کما ذکرنا ذلک فی رجاله و رجال کامل الزیارات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المجلسی بأنّ الرجل ممدوح ظاهره أنّه استظهره ممّا رواه فی الکافی فی الصحیح عن سلمة بن محرز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إذ جاءه رجل یقال له أبو الورد، فقال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الورد أما أنتم فترجعون مغفوراً لکم و أمّا غیرکم فیحفظون فی أهالیهم و أموالهم </w:t>
      </w:r>
      <w:r>
        <w:rPr>
          <w:rStyle w:val="FootnoteAnchor"/>
          <w:rtl w:val="true"/>
        </w:rPr>
        <w:footnoteReference w:id="850"/>
      </w:r>
      <w:r>
        <w:rPr>
          <w:rFonts w:ascii="IRNazanin" w:hAnsi="IRNazanin" w:eastAsia="IRNazanin"/>
          <w:color w:val="111111"/>
          <w:sz w:val="28"/>
          <w:sz w:val="28"/>
          <w:szCs w:val="28"/>
          <w:rtl w:val="true"/>
          <w:lang w:bidi="fa-IR"/>
        </w:rPr>
        <w:t>، و لکن لا یمکن لنا استظهار المدح حیث لا تدلّ الروایة إلّا علی کون أبی الورد شیعیّاً و أنّ حجّ الشیعة یوجب غفران ذنوبهم بخلاف غیرهم، فإنّ حجّهم لا یفیدهم فی ذلک، مع أنّ من أین لنا أن نعرف أن الرجل الذی یقال له أبو الورد هو نفس أبو الورد الذی یروی عن الباقر علیه السلام روایة المسح و غیرها، و کون حمّاد بن عثمان ممّن اجمعت العصابة علی تصحیح ما یصحّ عنهم مقتضاه عدم خروج الروایة بهم عن الصحّة بالاتّفاق، و أمّا خروجها بغیرهم ممّن یروون تلک العصابة عنهم عن الإمام مع الواسطة أو بدونها فلا دلالة فی کلام الکشی المزبور علی ذلک کما ذکرنا مراراً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الحائل إذا کان من قبیل الدواء و الجبیرة و کان فی رفعهما مشقّة یمسح علیهما و لا یمکن التعدیّ إلی غیرهما</w:t>
      </w:r>
      <w:r>
        <w:rPr>
          <w:rFonts w:eastAsia="IRNazanin" w:cs="IRNazanin"/>
          <w:color w:val="111111"/>
          <w:sz w:val="28"/>
          <w:szCs w:val="28"/>
          <w:rtl w:val="true"/>
          <w:lang w:bidi="fa-IR"/>
        </w:rPr>
        <w:t>.</w:t>
      </w:r>
      <w:bookmarkStart w:id="497" w:name="pg12061_112712"/>
    </w:p>
    <w:p>
      <w:pPr>
        <w:pStyle w:val="BookText"/>
        <w:rPr/>
      </w:pPr>
      <w:bookmarkEnd w:id="497"/>
      <w:r>
        <w:rPr>
          <w:rFonts w:ascii="IRNazanin" w:hAnsi="IRNazanin" w:eastAsia="IRNazanin"/>
          <w:color w:val="111111"/>
          <w:sz w:val="28"/>
          <w:sz w:val="28"/>
          <w:szCs w:val="28"/>
          <w:rtl w:val="true"/>
          <w:lang w:bidi="fa-IR"/>
        </w:rPr>
        <w:t>و لو کان الحائل متعدّداً لا یجب نزع ما یمکن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إنّه قد ورد فی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یخضّب رأسه بالحنّاء ثمّ یبدو له فی الوضوء؟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 فوق الحناء</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فی صحیحة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یحلق رأسه ثمّ یطلیه بالحنّاء ثمّ یتوضّأ للصلاة،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یمسح رأسه و الحنّاء علیه</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أنّه لا یمکن العمل بإطلاقهما و القدر المتیقّن منهما صورة التداوی و علیه فمقتضی القاعدة المشار إلیها سابقاً تعیّن التیمم فی الفرض؛ لعدم التمکّن من الوضوء أو کونه حرجیّاً، نعم الأحوط وجوباً الجمع بینه و بین الوضوء المزبور خروجاً عن خلاف المشهور، و هذا فی الضرورة من البرد و الظاهر عدم الفرق بینه و بین الضرورة من الحرّ و نحوه، و اللّٰه سبحانه هو العالم</w:t>
      </w:r>
      <w:r>
        <w:rPr>
          <w:rFonts w:eastAsia="IRNazanin" w:cs="IRNazanin"/>
          <w:color w:val="111111"/>
          <w:sz w:val="28"/>
          <w:szCs w:val="28"/>
          <w:rtl w:val="true"/>
          <w:lang w:bidi="fa-IR"/>
        </w:rPr>
        <w:t>.</w:t>
      </w:r>
    </w:p>
    <w:p>
      <w:pPr>
        <w:pStyle w:val="Heading5"/>
        <w:numPr>
          <w:ilvl w:val="4"/>
          <w:numId w:val="1"/>
        </w:numPr>
        <w:rPr/>
      </w:pPr>
      <w:bookmarkStart w:id="498" w:name="__RefHeading___Toc1723466_417432637"/>
      <w:bookmarkStart w:id="499" w:name="_Toc181"/>
      <w:bookmarkEnd w:id="498"/>
      <w:r>
        <w:rPr>
          <w:rtl w:val="true"/>
        </w:rPr>
        <w:t>فی الحائل المتعدد</w:t>
      </w:r>
      <w:bookmarkEnd w:id="4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ما یمکن نزعه رقیقاً أو غیر رقیق واحداً کان أو متعدّداً، فإنّ ظاهر روایة أبی الورد أنّ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تتقیه أو تخاف من البرد علی رجلک، </w:t>
      </w:r>
      <w:r>
        <w:rPr>
          <w:rStyle w:val="FootnoteAnchor"/>
          <w:rtl w:val="true"/>
        </w:rPr>
        <w:footnoteReference w:id="853"/>
      </w:r>
      <w:r>
        <w:rPr>
          <w:rFonts w:ascii="IRNazanin" w:hAnsi="IRNazanin" w:eastAsia="IRNazanin"/>
          <w:color w:val="111111"/>
          <w:sz w:val="28"/>
          <w:sz w:val="28"/>
          <w:szCs w:val="28"/>
          <w:rtl w:val="true"/>
          <w:lang w:bidi="fa-IR"/>
        </w:rPr>
        <w:t>یسقط اعتبار مباشرة الجزء الماسح لبشرة الجزء الممسوح فلا فرق معه بالحائل الواحد أو المتعدّد، و أیضاً إذا کانت التقیّة من العدو موجبة للمسح علی الخفّ فربّما یکون الشخص لابساً للجورب فنزع ذلک الجورب و لبس الخفّ، و المسح علی الخفّ یدفع التقیّة کما أنّ المسح علی نفس الجورب کافٍ فی رعایة التقیّة، و لم یقیّد علیه السلام فی</w:t>
      </w:r>
      <w:bookmarkStart w:id="500" w:name="pg12061_112713"/>
    </w:p>
    <w:p>
      <w:pPr>
        <w:pStyle w:val="BookText"/>
        <w:rPr/>
      </w:pPr>
      <w:bookmarkEnd w:id="500"/>
      <w:r>
        <w:rPr>
          <w:rFonts w:ascii="IRNazanin" w:hAnsi="IRNazanin" w:eastAsia="IRNazanin"/>
          <w:color w:val="111111"/>
          <w:sz w:val="28"/>
          <w:sz w:val="28"/>
          <w:szCs w:val="28"/>
          <w:rtl w:val="true"/>
          <w:lang w:bidi="fa-IR"/>
        </w:rPr>
        <w:t>و فی المسح علی الحائل أیضاً لا بدّ من الرطوبة المؤثّرة فی الماسح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ما یعتبر فی مسح البشرة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الوقت عن رفع الحائل أیضاً مسوّغ للمسح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بضمّ التیمم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المسح علی الخفّ بما إذا لم یکن لابساً للجورب</w:t>
      </w:r>
      <w:r>
        <w:rPr>
          <w:rFonts w:eastAsia="IRNazanin" w:cs="IRNazanin"/>
          <w:color w:val="111111"/>
          <w:sz w:val="28"/>
          <w:szCs w:val="28"/>
          <w:rtl w:val="true"/>
          <w:lang w:bidi="fa-IR"/>
        </w:rPr>
        <w:t>.</w:t>
      </w:r>
    </w:p>
    <w:p>
      <w:pPr>
        <w:pStyle w:val="Heading5"/>
        <w:numPr>
          <w:ilvl w:val="4"/>
          <w:numId w:val="1"/>
        </w:numPr>
        <w:rPr/>
      </w:pPr>
      <w:bookmarkStart w:id="501" w:name="__RefHeading___Toc1723468_417432637"/>
      <w:bookmarkStart w:id="502" w:name="_Toc182"/>
      <w:bookmarkEnd w:id="501"/>
      <w:r>
        <w:rPr>
          <w:rtl w:val="true"/>
        </w:rPr>
        <w:t>اعتبار الرطوبة المؤثرة فی الماسح</w:t>
      </w:r>
      <w:bookmarkEnd w:id="502"/>
    </w:p>
    <w:p>
      <w:pPr>
        <w:pStyle w:val="BookText"/>
        <w:rPr/>
      </w:pPr>
      <w:r>
        <w:rPr>
          <w:rFonts w:ascii="IRNazanin" w:hAnsi="IRNazanin" w:eastAsia="IRNazanin"/>
          <w:color w:val="111111"/>
          <w:sz w:val="28"/>
          <w:sz w:val="28"/>
          <w:szCs w:val="28"/>
          <w:rtl w:val="true"/>
          <w:lang w:bidi="fa-IR"/>
        </w:rPr>
        <w:t>روایة أبی الورد و غیرها مما ورد فیه الأمر بالمسح علی الدواء و الجبیرة ظاهرها بیان عدم اعتبار مسح البشرة فی تلک الموارد لا عدم اعتبار سائر ما یعتبر فی مسح الرأس و الرجلین من اعتبار وجود الرطوبة المؤثّرة فی الجزء الماسح أو حتّی کونها من بلل الوضوء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ما ورد فی تلک الموارد توسعة فی المسح بلحاظ الجزء الممسوح خاصّة لا بلحاظ سائر ما یعتبر فی المسح بلحاظ نفس الجزء الماسح أو ما یعتبر فیه</w:t>
      </w:r>
      <w:r>
        <w:rPr>
          <w:rFonts w:eastAsia="IRNazanin" w:cs="IRNazanin"/>
          <w:color w:val="111111"/>
          <w:sz w:val="28"/>
          <w:szCs w:val="28"/>
          <w:rtl w:val="true"/>
          <w:lang w:bidi="fa-IR"/>
        </w:rPr>
        <w:t>.</w:t>
      </w:r>
    </w:p>
    <w:p>
      <w:pPr>
        <w:pStyle w:val="Heading5"/>
        <w:numPr>
          <w:ilvl w:val="4"/>
          <w:numId w:val="1"/>
        </w:numPr>
        <w:rPr/>
      </w:pPr>
      <w:bookmarkStart w:id="503" w:name="__RefHeading___Toc1723470_417432637"/>
      <w:bookmarkStart w:id="504" w:name="_Toc183"/>
      <w:bookmarkEnd w:id="503"/>
      <w:r>
        <w:rPr>
          <w:rtl w:val="true"/>
        </w:rPr>
        <w:t>مسوغات المسح علی الحائل و فروعها</w:t>
      </w:r>
      <w:bookmarkEnd w:id="504"/>
    </w:p>
    <w:p>
      <w:pPr>
        <w:pStyle w:val="BookText"/>
        <w:rPr/>
      </w:pPr>
      <w:r>
        <w:rPr>
          <w:rFonts w:ascii="IRNazanin" w:hAnsi="IRNazanin" w:eastAsia="IRNazanin"/>
          <w:color w:val="111111"/>
          <w:sz w:val="28"/>
          <w:sz w:val="28"/>
          <w:szCs w:val="28"/>
          <w:rtl w:val="true"/>
          <w:lang w:bidi="fa-IR"/>
        </w:rPr>
        <w:t>ظاهره أنَّ ضیق وقت الصلاة أیضاً مسوّغ للمسح علی الحائل بمعنی أنّه لو مسح بشرة الرأس و الرجلین تقع تمام الصلاة أو بعضها خارج الوقت فیمسح فی الفرض علی الحائل، و لکنّ الأحوط أن لا یترک ضمّ التیمّم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جواز المسح علی الحائل فی الفرض لا من روایة أبی الورد و لا من روایة أبی الأعلی مولی آل سام و لا من أخبار المسح علی الجبائر و الدواء،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یجوز المسح علی الحائل فی الضرورات ما عدا التقیّة إذا لم یمکن رفعها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یجوز المسح علی الحائل فی الضرورات ما عدا التقیّة إذا لم یمکن رفعها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بدّ من المسح علی الحائل و لو بالتأخیر إلی آخر الوقت، و أمّا فی التقیّة فالأمر أوسع فلا یجب الذهاب إلی مکان لا تقیّة فیه و إن أمکن بلا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الورد ظاهرها الخوف من عدوّ تقیه و ثلج تخاف علی رجلک، فعلی التعدّی ینحصر مورد جواز المسح علی الحائل بما إذا کان فی مسح البشرة خوف الضرر نفساً أو طرفاً أو مالاً لنفسه أو من یتعلّق به، و أمّا جواز المسح علیه إدراکاً للصلاة فی وقتها بتمامها فلا دلالة لها علی ذلک و مقتضی القاعدة المشار إلیها سابقاً الانتقال إلی التیمّم لعدم تمکّنه علی الوضوء لفریضة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مع إمکان رفع الضرورات کما إذا کان فی البین مندوحة و لو بتأخیر فریضة الوقت و الوضوء لها إلی آخر الوقت لا یحصل الاضطرار إلی المسح علی الخفّین، حیث إنّ المعتبر فی الأمر بالصلاة مع الوضوء الاختیاری التمکّن من صرف وجودها بین الحدّین، و مع حصول هذا التمکّن لا یکون للمکلّف خوف من عدوّ أو من ثلج و غیرهما فی مسحه فی الوضوء المعتبر فی صلاته؛ و لذا ذکرنا أنّ البدار فی الاضطرار فی بعض الوقت لا یسوّغ البدل الاضطراری إلّا فی مورد قیام الدلیل علیه بالخصوص</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الاضطرار فی أوّل الوقت و احتمل بقاؤه إلی آخر الوقت یجوز البدار باستصحاب بقاء العذر إلّا أنّ هذا الجواز ظاهری، فمع کشف الخلاف یکون إجزاؤه عن المأمور به الواقعی مبنیّاً علی إجزاء الحکم الظاهری عن المأمور به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أمکنه و هو فی ذلک المکان ترک التقیّة و إراءتهم المسح علی الخف مثلاً فالأحوط بل الأقوی ذلک، و لا یجب بذل المال لرفع التقیّة بخلاف سائر الضرورات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التقیّة أیضاً الحیلة فی رفعها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التقیة من سائر الضرورات، و أمّا فیها فالأمر أوسع حیث یجوز للمکلف إدخال نفسه مورد التقیّة کما هو مقتضی الترغیب إلی الذهاب إلی جماعاتهم و الصلاة معهم و غیرهما ممّا یأتی، کما یأتی الکلام فی لزوم رعایة الواقع فی موضع التقیّة فیما إذا أمکن رعایته فیه مع إراءة أنّه یعمل کعملهم، و إذا جاز إدخال النفس موضع التقیّة فلا یجب بذل المال لرفع التقیّة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بذل المال فی الفرض بأنّه مقتضی التمکّن علی الوضوء التام فیؤمر به، کما إذا أمکن له بذل المال للدخول فی مکان حارّ و یتوضّأ فیه بمسحه علی بشرة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وجوب الوضوء التامّ فی الفرض ضرری، و مقتضی نفی الضرر عدم وجوب الوضوء بالمسح علی بشرة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الوضوء کوجوب الخمس و الزکاة فی نفسه حکم ضرری فیخصّص به دلیل نفی الضرر کما هو الحال فی وجوب الخمس و الزکاة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وجوب شراء ماء الوضوء و لو کان بثمن کثیر، </w:t>
      </w:r>
      <w:r>
        <w:rPr>
          <w:rStyle w:val="FootnoteAnchor"/>
          <w:rtl w:val="true"/>
        </w:rPr>
        <w:footnoteReference w:id="854"/>
      </w:r>
      <w:r>
        <w:rPr>
          <w:rFonts w:ascii="IRNazanin" w:hAnsi="IRNazanin" w:eastAsia="IRNazanin"/>
          <w:color w:val="111111"/>
          <w:sz w:val="28"/>
          <w:sz w:val="28"/>
          <w:szCs w:val="28"/>
          <w:rtl w:val="true"/>
          <w:lang w:bidi="fa-IR"/>
        </w:rPr>
        <w:t>یستفاد منه وجوب الوضوء فی الفرض أیضاً، و لکن شیء من الوجهین غیر تام، فان إطلاق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بالوضوء فی الفرض ضرری لا أصله،بخلاف الأمر بالخمس أو الزکاة و ما ورد فی شراء الماء للوضوء و لو بثمن کثیر لا یستفاد منه حکم غیر شراء الماء و التعدی یشبه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یمکن فی الفرض إثبات عدم وجوب الوضوء علی المکلّف بمسحه علی بشرة الرجلین بقاعدة نفی الضرر کنفی وجوبه فیما إذا أوجب التوضّؤ ذهاب متاعه بالسرقة و نحوها، إلّا أنّه لا یمکن إثبات أنّ وظیفته الوضوء بالمسح علی الخفین، حیث إنَّ شأن قاعدة نفی الضرر نفی التکلیف لا إثبات تکلیف آخر، و لا یمکن فی الفرض إثبات الأمر بالوضوء بالمسح علی الحائل؛ لأنّ مع تمکّنه من بذل المال لا یخاف علی رجلیه من المسح کما فی صورة وجود المندوحة فلا یدخل الفرض فی مدلول روایة أبی الورد فتکون الوظیفة فی الفرض کموارد نفی وجوب الوضوء بنفی الحرج الصلاة مع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توضّأ الوضوء الاختیاری ببذل المال یکون وضوؤه طهارة بمقتضی ما دلّ علی استحباب الطهارة للمحدث فیجوز الصلاة معها، و لعلّ مراد الماتن أیضاً من وجوب دفع المال عدم سقوط اعتبار المسح علی البشرة فی وضوئه، هذا کلّه فی الضرورة من غیر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التقیّة فقد ذکر فیها أنّه لا یعتبر فی جواز الوضوء تقیّة عدم إمکان رفعها بالمندوحة، و أنّه إذا أمکن فی موضع التقیّة العمل بالواقع و إراءتهم العمل المطابق لمذهبهم وجب، و أنّه لا یجب بذل المال لرفع التقیّة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التکلم فی التقیة فی مقامات،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إدخال المکلّف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التقیّة فی مقام وجوبها و مسح علی البشرة ففی صحّة الوضوء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التقیّة فی مقام وجوبها و مسح علی البشرة ففی صحّة الوضوء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التقیّة و لو بعد دخول الوقت و تمکّنه من الصلاة بالوضوء الاختیاری بعدم الذهاب إلی موضع التقیّة، و یأتی هذا الکلام فیها بعد ذکر الفروع المتعلّقة بسائر الضرورات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بأنّ التقیّة فی المسح علی الخفّین و إن تجب بعضاً إلّا أنّ إجزاء الوضوء بالمسح علیها یستفاد من روایة أبی الورد المتقدّمة، و تلک الروایة لا تدلّ علی کون المسح علی الخفّین فی تلک الحال داخل فی الوضوء بحیث ینحصر الوضوء المعتبر فی الصلاة بذلک الوضوء،بل غایتها کون المسح علیها بدلاً عن المسح علی الرجلین ففی الوضوء فی تلک الحال توسعة، و ربّما یضاف إلی ذلک بأنّ بالمسح علی الرجلین ضدّ خاصّ للأمر بالوضوء بالمسح علی الخفّین، و الأمر بالشیء لا یقتضی النهی عن ضدّه الخاصّ لیحکم بفساده، و فیه ما یأتی من أنّ العمل علی طبق رعایة التقیّة و إن تجب لرعایتها إلّا أنّ أدلّة وجوب رعایة التقیّة لا تقتضی إجزاء المأتی به تقیّة، و المستفاد من روایة أبی الورد أن الوضوء بمسح الخفین یجزی فی مقام التقیة، و لکن لا دلالة لها علی وجوب رعایة التقیّة، و إذا فرض وجوب رعایتها یکون المسح علی الرجلین بنفسه ترکاً للتقیّة و إراءة لمذهبه للعدوّ فتکون مخالفة للواجب المزبور لا أنّه ضد للواجب، فلا یمکن أن یشمل الوضوء المزبور الترخیص فی التطبیق لا فی أدلّة استحباب الوضوء للمحدث، و لا فی الأمر الغیری بالوضوء، و لا فی الأمر النفسیّ بالصلاة المقیّدة بالوضوء،بل یمکن أن یقال إنّه لو کانت التقیّة أمراً کالمداراة معهم یشکل الحکم بصحّة الوضوء المزبور؛ لأنّ المسح علی الخفّین فیه إراءة للمخالفة لهم فیکون مرجوحاً فی نفسه، و المرجوح لا یکون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و لا جزءاً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کان ظاهر ما ورد فی الوضوء تبدّل الوظیفة إلی ما کان موافقة التقیّة فالحکم بصحة غیرها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إذا کان الواجب الواقعی هو الأقل و العمل بالتقیّة یقتضی الإتیان بالأکثر فیمکن أن یقال بصحّة عمله، فإنّه و إن کانت رعایة التقیّة واجبة علیه فترکها إلّا أن ترکها یکون بترک خصوص العمل الزائد فکأنه یجب علیه العملان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بالأقل و ذلک الأمر الزائد کمن ترک التکتّف فی الصلاة معهم، و ترک الزائد یکون مخالفة للأمر بالتقیّة فلا یوجب بطلان الواجب الواقعی، و أمّا إذا کان ترک التقیة بالإتیان بما هو واجب واقعی لو لا التقیّة فالإتیان به حال التقیّة بما أنّه مخالفة للأمر بالتقیّة لا یقع إلّا مبغوضاً أو بنحو فیه فساد فلا تصحّ عبادة حیث لا یشمله الترخیص فی التطبیق علی ما تقدم، و المسح علی الرجلین حال التقیّة من هذا القبیل فتدبّر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الحکم بعدم الإجزاء فیما إذا أتی بالواقع الأولی إنّما هو فی العبادات، و أمّا المعاملات فإن خالف و أتی بالمعاملة الواقعیة المشروعة فیحکم بصحّتها؛ لأنّ تحریمها أو وجوب ترکها لا ینافی إمضاءها علی ما هو المقرر فی محلّه من أنّ النهی عن معاملة لا یقتضی فسادها، کما أنّه لو راعی التقیّة و أتی بالمعاملة علی مذهبهم فانّه لا یحکم بصحّتها؛ لما تقدّم من عدم دلالة ما ورد فی تشریع التقیّة أو وجوبها علی إجزائها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بعد دخول الوقت أنّه لو أخّر الوضوء و الصلاة یضطرّ إلی المسح علی الحائل فالظاهر وجوب المبادرة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بعد دخول الوقت أنّه لو أخّر الوضوء و الصلاة یضطرّ إلی المسح علی الحائل فالظاهر وجوب المبادرة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غیر ضرورة التقیّة و إن کان متوضّئاً و علم أنّه لو أبطله یضطرّ إلی المسح علی الحائل لا یجوز له الإبطال و إن کان ذلک قبل دخول الوقت فوجوب المبادرة أو حرمة الإبطال غیر معلوم، و أمّا إذا کان الاضطرار بسبب التقیّة فالظاهر عدم وجوب المبادرة و کذا یجوز الإبطال و إن کان بعد دخول الوقت لما مرّ من الوسعة فی أمر التقیّة لکن الأولی و الأحوط فیها أیضاً المبادرة أو عدم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الوضوء بالمسح علی الحائل بدل اضطراری للوضوء المعتبر فی الصلاة، و أنّ المتفاهم العرفی من خطابات البدل الاضطراری أنّ الانتقال إلیه فیما إذا لم یتمکّن المکلّف من الفعل الاختیاری أی علی صرف وجوده، و مع التمکّن من الوضوء الاختیاری فی أوّل الوقت کالتمکّن منه فی آخر الوقت یتمّ الموضوع للفعل الاختیاری؛ و لذا لو لم یکن العلم بعدم سقوط تکلیف الصلاة لإراقة الماء أو إبطال الوضوء بعد دخول الوقت؛ لکان الالتزام بوجوب الفعل الاضطراری غیر خال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دلیل فی مورد علی کفایة الاضطرار و لو فی بعض الوقت فی الأمر بالاضطراری أو جواز إلقاء النفس فی الاضطرار کما فی موارد التقیّة یحکم بلزوم الاضطراری بعد التفویت فی الأوّل، کما یحکم بجواز تفویت الاختیاری فی الثانی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متمکناً من الوضوء الاختیاری أو ایقاع الصلاة معه بعد دخول الوقت، و أمّا إذا کان متمکناً من الوضوء قبل دخول الوقت، أو علی عدم إبطاله قبل الوقت لیصلّی مع الوضوء الاختیاری بعد دخول الوقت، فلا یجب الوضوء و لا یحرم الإبطال قبل دخوله؛ لأنّ التکلیف بالصلاة المقیدة بالوضوء یتعلّق علی المکلّف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جواز المسح علی الحائل فی حال الضرورة بین الوضوء الواجب و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جواز المسح علی الحائل فی حال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الوضوء الواجب و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التقیّة أو تحقّق إحدی الضرورات الاُخر فمسح علی الحائل ثمّ بان أنّه لم یکن موضع تقیّة أو ضرورة ففی صحّة وضوئه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التقیّة أو تحقّق إحدی الضرورات الاُخر فمسح علی الحائل، ثمّ بان أنّه لم یکن موضع تقیّة أو ضرورة ففی صحّة وضوئه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بدخول الوقت، و لا تکلیف قبله لیجب غیریاً أو عقلاً تحصیل الوضوء أو الإبقاء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فی ترک الوضوء قبله أو فی إبطاله تفویت الملاک الملزم مع التمکّن من استیفائه لا یمکن المساعدة علیها؛ فإنّ الکاشف عن الملاک هو التکلیف و المقدار المنکشف حصول الملاک بالقدرة علیه عند دخول الوقت، و مع عدم القدرة علیه عند دخوله لا تکلیف و لو کان منشأ عدم التکلیف عدم تحصیل القدرة أو عدم التحفّظ بها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الوارد فی روایة أبی الورد </w:t>
      </w:r>
      <w:r>
        <w:rPr>
          <w:rStyle w:val="FootnoteAnchor"/>
          <w:rtl w:val="true"/>
        </w:rPr>
        <w:footnoteReference w:id="855"/>
      </w:r>
      <w:r>
        <w:rPr>
          <w:rFonts w:ascii="IRNazanin" w:hAnsi="IRNazanin" w:eastAsia="IRNazanin"/>
          <w:color w:val="111111"/>
          <w:sz w:val="28"/>
          <w:sz w:val="28"/>
          <w:szCs w:val="28"/>
          <w:rtl w:val="true"/>
          <w:lang w:bidi="fa-IR"/>
        </w:rPr>
        <w:t>الخوف علی الرجلین بلا فرق بین الوضوء الواجب أو المستحبّ کما إذا توضّأ قبل وقت الصلاة، نعم اعتبار استیعاب الاضطرار فی الوقت أمر آخر کما تقدّم، و کذا ما ورد فی الصلاة فی عشائرهم المقتضی تجویز الوضوء عندهم قبل الوقت و بعده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أراد أنّ المکلّف اعتقد أنّ الذی ینظر إلی وضوئه أو الذین یتوضّأ عندهم من العامّة فمسح علی الخفّین أو غسل رجلیه رعایة للتقیّة و إخفاءً لمذهبه ثمّ بان أنّ الناظر کان من الشیعة أو الذین یتوضّأ عندهم من طائفة الشیعة، و کذا إذا کان یتوضّأ فی البریّة و رأی شبحاً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أنّه سبع فمسح علی خفّیه؛ لئلا یطول مکثه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أمکنت التقیّة بغسل الرجل فالأحوط تعیّنه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أمکنت التقیّة بغسل الرجل فالأحوط تعیّنه، و إن کان الأقوی جواز المسح علی الحائل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الوضوء، ثمّ ظهر أن الشبح المزبور کان حجراً کبیراً أو حیواناً غیر السبع ففی مثل ذلک یحکم ببطلان الوضوء؛ لعدم الموضوع للتقیّة أو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الإجزاء المستفاد من روایة أبی الورد إنّما هو فی صورة وجود العدو أو وجود الموجب للخوف علی الرجلین من البرد و نحوها، و أمّا إذا لم یکن فی البین عدوّ أو موجب الخوف یعنی السبع،بل کان وجودهما تخیّلیّاً فاستفادة الإجزاء منها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البین عدوّ أو برد و خاف من ضررهما بالمسح علی الرجلین ثمّ بان أنّه لا ضرر منهما لو کان مسحهما، فمقتضی الروایة المزبورة إجزاء الوضوء المزبور؛ لأنّ ظاهر الروایة أنّ الخوف منهما تمام الموضوع لجواز المسح علی الخفّین فی فرض وجود العدوّ و البرد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المستند فی الحکم بالإجزاء السیرة الجاریة من المتشرعة لرعایة التقیّة حتّی فی موارد المداراة و الاکتفاء به، فالأمر أیضاً کما ذکر من إحراز ذلک فی موارد العمل عند العامّة و لم یحرز جریانها فی موارد العمل عند الشیعة بتخیّل أنّهم من العامّة، و کذا ما إذا کان المدرک الأمر بالصلاة فی مساجدهم و عشائرهم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کلاً من غسل الرجلین و المسح علی الخفّین عمل لرعایة التقیّة، و أقربیّة الغسل إلی المسح علی الرجلین لا یوجب تعیّنه، نعم إذا أمکن مسحهما بالنداوة قبل الغسل تعیّن لما تقدّم من أنّه إذا أمکن رعایة الواقع و إراءتهم الإتیان بعملهم 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 المسوّغ للمسح علی الحائل فإن کان بعد الوضوء فالأقوی عدم وجوب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 السبب المسوّغ للمسح علی الحائل من تقیّة أو ضرورة فإن کان بعد الوضوء فالأقوی عدم وجوب إعادته و إن کان قبل الصلاة إلّا إذا کانت بلّة الید باقیة فیجب إعادة المسح، و إن کان فی أثناء الوضوء فالأقوی الإعادة إذا لم تبقِ البلّة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المسح بالماء الجدید فهو لیس جزءاً للوضوء الاختیاری و لا میسوراً منه، نعم قد یقال إنه تتعین التقیة بغسل الرجلین لا لکونه أقرب إلی المسح بالنداوة،بل لأن الأمر بغسل الرجلین قد ورد الأمر به بالخصوص الظاهر فی التعیین،بخلاف الأمر بالمسح علی الخفّین فإنّه لم یرد الأمر به إلّا فی روایة أبی الورد و هی ضعیفة مع أنّ الأمر فی المقام دائر بین التعیین و التخییر فإنّه لا یحتمل التعیّن فی المسح علی الخفّین مع إمکان التقیّة بغسلهما،بخلاف غسلهما، و رعایة التعیین موافق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یظفر بروایة معتبرة وردت فی الأمر بغسل الرجلین فی خصوص حال التقیّة، نعم ورد فی بعض الروایات الأمر بغسل الرجلین مطلقاً و لکن أمرها دائر بین التقیید بحال التقیّة أو حملها علی الغسل الخارج عن الوضوء و لو أثناءه أو حملها علی کونها من باب التقیّة فی مقام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 إنّه لا موجب لرفع الید عما دلّ علی نفی التقیّة فی المسح علی الخفّین فمع وجوب التقیّة یتعیّن رفعها و رعایتها بغسل الرجلین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ارتفاع العذر بعد انقضاء وقت الصلاة التی توضّأ لها یحکم بإجزاء الوضوء و الصلاة المزبورة،بل قد یقال إنّ الوضوء المزبور یجوز به الصلاة الآتیة أیضاً مع عدم حصول الناقض له و ما قیل من أنّ الوضوء الاضطراری بقاؤه أو بقاء الطهارة الحاصلة به دائر مدار بقاء الاضطرار، و ینتقض بارتفاع الاضطرار کانتقاض التیمم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بوجدان الماء لا یمکن المساعدة علیه، حیث إنّ الأخبار الواردة فی نواقض الوضوء عدم انتقاضه بغیرها سواء کان وضوءاً اختیاریاً أو اضطراریاً و لکن لا یخفی ما فیه؛لما تقدم من انصراف أخبار النواقض إلی بقاء الوضوء الاختیاری إلی حصولها نظیر الانصراف فی سائر الموارد التی یکون ما له فرد اضطراری موضوعاً لحکم کالقبلة حیث ورد النهی عن استقبال القبلة و استدبارها فی الاستنجاء فإنّه ینصرف إلی القبلة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ارتفاع العذر قبل خروج وقت الصلاة التی توضّأ لها فإن کان المسح علی الحائل لرعایة التقیّة فالوضوء المزبور صحیح؛ لما تقدّم من إجزاء العمل المأتی به تقیّة، و عدم اعتبار عدم المندوحة فیها، و جواز إدخال النفس فی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المسح علیه لغیره من الأعذار فالإجزاء مشکل؛ لما تقدّم من أنّ الموضوع للوضوء الاضطراری عدم التمکّن علی الاختیاری منه بصرف وجوده فی الوقت، و مع التمکّن منه و لو فی آخر الوقت یعلم أنّه مکلّف بالصلاة مع الوضوء الاختیاری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الحال فیما إذا کان ارتفاع الاضطرار بعد تمام الوضوء و قبل الصلاة و أنّه لا بدّ من إعادة الوضوء الاختیاری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فی غیر التقیّة من سائر الضرورات، و أمّا فی التقیة فقد تقدّم توسعة أمرها و أنّ العمل المأتی به تقیّة یجزی و لو کان فی بعض الوقت، نعم إذا ارتفع الموضوع للتقیّة أثناء الوضوء فهو مکلّف بالمسح علی الرجلین ببلّة الوضوء و إن مسح قبله بالخفّین، حیث إنّ المکلّف فی وضوئه هذا تمکّن من مسح رجلیه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فی مقام التقیّة بخلاف مذهب من یتّقیه ففی صحّة وضوئه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فی مقام التقیّة بخلاف مذهب من یتّقیه ففی صحّة وضوئه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التقیّة ترتفع به کما إذا کان مذهبه وجوب المسح علی الحائل دون غسل الرجلین فغسلهما أو بالعکس کما أنّه لو ترک المسح و الغسل بالمرة یبطل وضوؤه و إن ارتفعت التقیّة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التقیّة، و غایة ما ورد فی إجزاء العمل تقیّة عدم لزوم إعادة الوضوء الذی روعی فیه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یبقَ من بلّة الوضوء شیء بعد مسح خفّیه فالوضوء المزبور تامّ لا یحتاج إلی الإعادة،بخلاف ما إذا کان ذلک قبل مسح خفّیه فإنّه یجب علیه الوضوء الاختیاری بالمسح علی الرجلین بالبلّة و لو کان بإعادة غسل الأعضاء حیث ارتفع التقیّة قبل العمل بها، هذا إذا قیل باعتبار خبر أبی الورد، </w:t>
      </w:r>
      <w:r>
        <w:rPr>
          <w:rStyle w:val="FootnoteAnchor"/>
          <w:rtl w:val="true"/>
        </w:rPr>
        <w:footnoteReference w:id="856"/>
      </w:r>
      <w:r>
        <w:rPr>
          <w:rFonts w:ascii="IRNazanin" w:hAnsi="IRNazanin" w:eastAsia="IRNazanin"/>
          <w:color w:val="111111"/>
          <w:sz w:val="28"/>
          <w:sz w:val="28"/>
          <w:szCs w:val="28"/>
          <w:rtl w:val="true"/>
          <w:lang w:bidi="fa-IR"/>
        </w:rPr>
        <w:t>و أمّا مع عدم اعتباره فالأظهر وجوب إعادة الوضوء إذا ارتفعت التقیّة قبل الصلاة فإنّ ما استفید منه الإجزاء فی الوضوء امّا صحیحة داود بن زربی و نحوها ممّا یکون المفروض فیها بقاء التقیّة، و إمّا الأخبار الآمرة بالصلاة فی مساجدهم و عشائرهم لا یستظهر منهما الإجزاء فی غیر فرض التقیّة إلی أن یصلی، و لم یعلم أیضاً ثبوت السیرة علی الاعتناء بذلک الوضوء و لو مع ارتفاع التقیّة قبل صلاة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ممّا دلّ علی مشروعیة التقیّة أو وجوبها و إجزاء الوضوء و الصلاة المأتی بها أن یراعی فی وضوئه أو صلاته مذهب العامّة و یخفی برعایته مذهبه، و إذا فرض أنّه غسل الرجلین عند حضور من یری تعیّن المسح علی الحائل فالغسل المزبور أیضاً مراعاة لمذهبهم حتّی أنّ الحاضر المزبور یری صحّة وضوء من غسل</w:t>
      </w:r>
      <w:bookmarkStart w:id="505" w:name="pg12061_112725"/>
    </w:p>
    <w:p>
      <w:pPr>
        <w:pStyle w:val="BookText"/>
        <w:rPr/>
      </w:pPr>
      <w:bookmarkEnd w:id="5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رجلیه موضع مسح الخفین؛ و لذا ترتفع التقیّة به فلا موجب للحکم بعدم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یستظهر فی شیء ممّا ورد فی التقیّة و الوضوء تعیّن رعایة مذهب الحاضر،بل ربّما یکون ذلک خلاف التقیّة کما إذا کان المتوضّئ معروفاً أنّه من بلد فلانی عامّة أهله علی مذهب الشافعیة فالأولی له أن یراعی مذهبهم و لو کان الحاضر عنده من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فرض أنّ مذهب من یتقیه غسل الرجلین، و لکنّه مسح الخفین فقد تقدّم الإشکال فی إجزاء المسح علی الخفّین حتّی فیما إذا کان مذهب من یتّقیه المسح؛ لما تقدّم من عدم مشروعیة التقیّة و وجوبها بالمسح علیها، فکیف إذا کان مذهب من یتّقیه غسلهما؟</w:t>
      </w:r>
    </w:p>
    <w:p>
      <w:pPr>
        <w:pStyle w:val="BookText"/>
        <w:rPr/>
      </w:pPr>
      <w:r>
        <w:rPr>
          <w:rFonts w:ascii="IRNazanin" w:hAnsi="IRNazanin" w:eastAsia="IRNazanin"/>
          <w:color w:val="111111"/>
          <w:sz w:val="28"/>
          <w:sz w:val="28"/>
          <w:szCs w:val="28"/>
          <w:rtl w:val="true"/>
          <w:lang w:bidi="fa-IR"/>
        </w:rPr>
        <w:t>و أمّا إذا ترک غسل الرجلین و المسح علی الخفّین معاً، فإن کان ذلک بالمسح علی بشرة الرجلین فقد تقدم حکمه، و إن کان بترک المسح علیها أیضاً کما إذا أری الغیر أنّه قطع وضوءه لحاجة عرضته؛ و لذا ترتفع التقیّة به فلا إشکال فی بطلان وضوئه؛ لأنّه لم یأتِ من العمل ما هو علی مذهبم، و ما دلّ علی الإجزاء مدلولها لا یعمّ غیر فرض العمل علی مذهبهم کما لم یأت بما یکون الوضوء الواقعی کما هو الفرض</w:t>
      </w:r>
      <w:r>
        <w:rPr>
          <w:rFonts w:eastAsia="IRNazanin" w:cs="IRNazanin"/>
          <w:color w:val="111111"/>
          <w:sz w:val="28"/>
          <w:szCs w:val="28"/>
          <w:rtl w:val="true"/>
          <w:lang w:bidi="fa-IR"/>
        </w:rPr>
        <w:t>.</w:t>
      </w:r>
    </w:p>
    <w:p>
      <w:pPr>
        <w:pStyle w:val="Heading5"/>
        <w:numPr>
          <w:ilvl w:val="4"/>
          <w:numId w:val="1"/>
        </w:numPr>
        <w:rPr/>
      </w:pPr>
      <w:bookmarkStart w:id="506" w:name="__RefHeading___Toc1723472_417432637"/>
      <w:bookmarkStart w:id="507" w:name="_Toc184"/>
      <w:bookmarkEnd w:id="506"/>
      <w:r>
        <w:rPr>
          <w:rtl w:val="true"/>
        </w:rPr>
        <w:t>فی مشروعیة التقیة و وجوبها</w:t>
      </w:r>
      <w:bookmarkEnd w:id="50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نتعرض فی المقام فی العمل المأتی به تقیةً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التأمّل و الخلاف فی مشروعیة التقیّة،بل فی وجوبها فی مثل موارد الخوف علی النفس أو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غیره، و فی صحیحة حریز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اللّٰه بینه و بین خلقه</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 فی صحیحة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أحبّ إلیه من الخبء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 فی صحیحة 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القیام للولاة؟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 و لا إیمان لمن لا تقیّة له</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فی صحیحة عبد اللّه بن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ترس المؤمن و التقیة حرز المؤمن و لا إیمان لمن لا تقیّة له</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 فی موثّقة أبی بصیر المرویة فی المحاسن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فیمن لا تقیّة له، و لا إیمان لمن لا تقیّة له</w:t>
      </w:r>
      <w:r>
        <w:rPr>
          <w:rFonts w:eastAsia="IRNazanin" w:cs="IRNazanin"/>
          <w:color w:val="111111"/>
          <w:sz w:val="28"/>
          <w:szCs w:val="28"/>
          <w:rtl w:val="true"/>
          <w:lang w:bidi="fa-IR"/>
        </w:rPr>
        <w:t xml:space="preserve">» </w:t>
      </w:r>
      <w:r>
        <w:rPr>
          <w:rStyle w:val="FootnoteAnchor"/>
          <w:rtl w:val="true"/>
        </w:rPr>
        <w:footnoteReference w:id="86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ممّا ظاهره مشروعیة التقیّة،بل وجوبها فی موارد الخوف علی نفسه أو سائر المؤمنین ممّا یُعدّ ضرورة و اضطراراً علیها، و فی صحیحة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فی کلّ ضرورة و صاحبها أعلم بها حین تنزل به</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إسماعیل الجعفی و معمّر بن یحیی بن سالم و محمّد بن مسلم و زرارة قالوا سمعنا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کلّ شیء یضطر إلیه ابن آدم فقد أحله اللّٰه له</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ثمّ إنّ الضرر المترتّب علی ترک التقیّة إن کان ممّا یجب التحفّظ عنه کتلف النفس أو العرض منه أو من سائر المؤمنین فلا ینبغی التأمّل فی وجوب تلک التقیّة، سواء کان ترکها بالإتیان بالواجب کالصوم فی الیوم الذی حکم قضاتهم بأنّه یوم العید، أو کان بالاجتناب عن المحرم کالاجتناب عن شرب النبیذ الذی عندنا من الخمر، أو الإتیان بالواجب علی النحو المعتبر عندنا و ترک الإتیان علی النحو المعتبر عندهم، أو المعاملة علی النحو المعتبر فیها عندنا و ترک النحو المعتبر عندهم، سواء کان الاعتبار المزبور عندنا فیها علی نحو الشرطیة و الجزئیة و المانعیة أو بنحو الفضل و الاستحباب، و کذا الاعتبار المزبور عندهم، کلّ ذلک أخذاً بما دلّ علی وجوب التقیّة و وجوب التحفّظ عن الضرر المخاف عنه و سقوط التکلیف الواقعی بأدلّة وجوبها و أدلّة نفی الضرر الحاکمة علی التکالیف الواقعیة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التقیّة لا ینحصر بموارد خوف الضرر الذی یلزم التحفّظ عنه،بل التقیّة فی تلک الموارد بمعناها العام؛ و أمّا التقیّة الخاصّة و هی موافقة العامّة فی مذهبهم دفعاً لضررهم فوجوبها یعمّ حتّی الموارد التی یکون الضرر منهم یسیراً، بحیث لو کان هذا الضرر الیسیر من غیرهم لم یجب التحفّظ علیه کما هو مقتضی نفی الإیمان و الدین ممّن لا ینفی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یخفی ما فیه من التأمّل فإنّ مع الضرر الیسیر الذی لا یکون فی تحمّله أیّ محذور، و إن لا یجب مراعاة التکلیف الواقعی کما هو مقتضی خطاب نفی الضرر فإنّ التکلیف الواقعی یرتفع فی موارد کون امتثاله ضرریاً إلّا أنّ الإتیان بما هو مقتضی مذهبهم یعنی لزوم مراعاة التقیّة غیر ثابت للصحیحتین الأخیرتین؛ لأنّه علیه السلام قد حصر التقیّة بکلّ ضرورة، و ذکر أنّ صاحبها أعلم بها حین تنزل کما فی صحیحة زرارة، کما حصرها بکلّ شیء یضطر إلیه ابن آدم کما فی الصحیحة الأخیرة، و الاضطرار إلیها مع کون الضرر یسیراً لا یکون فی تحمّله أی محذور لا یصدق الضرورة و الاضطرار إلیه أو لا أقلّ من عدم إحراز صدقهما بملاحظة ما یأتی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شرعت التقیّة لحقن الدماء و إذا بلغت الدماء فلا تقیّة، </w:t>
      </w:r>
      <w:r>
        <w:rPr>
          <w:rStyle w:val="FootnoteAnchor"/>
          <w:rtl w:val="true"/>
        </w:rPr>
        <w:footnoteReference w:id="864"/>
      </w:r>
      <w:r>
        <w:rPr>
          <w:rFonts w:ascii="IRNazanin" w:hAnsi="IRNazanin" w:eastAsia="IRNazanin"/>
          <w:color w:val="111111"/>
          <w:sz w:val="28"/>
          <w:sz w:val="28"/>
          <w:szCs w:val="28"/>
          <w:rtl w:val="true"/>
          <w:lang w:bidi="fa-IR"/>
        </w:rPr>
        <w:t>غایة الأمر یلحق بالدم غیره ممّا یعلم بعدم الفرق بینه و بین الدم فی لزوم التحفّظ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التقیّة بمعناها الخاصّ أی موافقة العامّة فی مذهبهم و إن کان لها بعض أحکام خاصّة إلّا أنّه لیس من تلک الأحکام وجوبها، و لو لم یکن فی ترکها إلّا ضرر یسیر بحیث لا یکون التحفّظ عن ذلک الضرر لازماً فیما لو کان من غیرهم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یعتبر فی وجوب التقیّة أو جوازها فیما إذا کانت التقیّة بالإتیان بالمحرّم الواقعی کشرب النبیذ أو ترک الواجب الواقعی کترک الصوم من آخر یوم رمضان الذی یرونه أو العید أن لا یکون فی البین مندوحة، و الّا لم تجز؛ و ذلک لأنَّ الضرورة و الاضطرار علی شرب النبیذ أو علی الإفطار فی نهار شهر رمضان لا یتحقق مع إمکان اختیار المندوحة، و إن لم نناقش فی صدق عنوان التقیّة علی الشرب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الإفطار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سیأتی جواز إدخال النفس فی التقیّة فیما إذا کان مقتضی التقیّة الإتیان بالواجب علی طبق مذهبهم کالصلاة فی مساجدهم، و هذا غیر ما ذکرنا من اعتبار عدم المندوحة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البین قسم ثالث یسمّی بالتقیّة مداراة و لا ینبغی التأمّل فی استحبابها فیما کانت موجبة لجلب محبّتهم و الأنس مع الشیعة من غیر أن یستلزم ارتکاب المحرّم تکلیفاً أو ترک الواجب کذلک، کعیادة مرضاهم و شهود جنائزهم و مجالسهم أو حتّی فیما لو استلزم الإتیان بالواجب ببعض الخلل عندنا الذی یرونه معتبراً فی ذلک الواجب أو فضلاً فیه کالصلاة فی مساجدهم و مع جماعتهم، نعم لو استلزم هذا النحو من التقیّة الإخلال فی الواجب کذلک فجواز التقیّة یحتاج إلی ورود نصّ فی جوازها أو العلم بعدم الفرق بین مورد النصّ و بین ما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اللّه بن سنان المرویّة فی المحاسن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عز و جل و لا تحملوا الناس علی أکتافکم فتذلّوا إنّ اللّٰه تبارک و تعالی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عودوا مرضاهم و اشهدوا جنائزهم و اشهدوا لهم و علیهم و صلّوا معهم فی مساجدهم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هشام بن الحکم الکندی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تعملوا عملاً نعیّر به فإنّ ولد السوء یعیّر والده بعمله کونوا لمن انقطعتم إلیه زیناً</w:t>
      </w:r>
      <w:bookmarkStart w:id="508" w:name="pg12061_112730"/>
    </w:p>
    <w:p>
      <w:pPr>
        <w:pStyle w:val="BookText"/>
        <w:rPr/>
      </w:pPr>
      <w:bookmarkEnd w:id="5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تکونوا علیه شیناً صلّوا فی عشائرهم و عودوا مرضاهم و اشهدوا جنائزهم و لا یسبقونکم إلی شیء من الخیر فأنتم أولی به منهم، و اللّٰه ما عبد اللّه بشیء أحبّ إلیه من الخبء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الخبء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 w:name="__RefHeading___Toc1723474_417432637"/>
      <w:bookmarkStart w:id="510" w:name="_Toc185"/>
      <w:bookmarkEnd w:id="509"/>
      <w:r>
        <w:rPr>
          <w:rtl w:val="true"/>
        </w:rPr>
        <w:t>موارد الاستثناء من وجوب التقیة و مشروعیتها</w:t>
      </w:r>
      <w:bookmarkEnd w:id="510"/>
    </w:p>
    <w:p>
      <w:pPr>
        <w:pStyle w:val="BookText"/>
        <w:rPr/>
      </w:pPr>
      <w:r>
        <w:rPr>
          <w:rFonts w:ascii="IRNazanin" w:hAnsi="IRNazanin" w:eastAsia="IRNazanin"/>
          <w:color w:val="111111"/>
          <w:sz w:val="28"/>
          <w:sz w:val="28"/>
          <w:szCs w:val="28"/>
          <w:rtl w:val="true"/>
          <w:lang w:bidi="fa-IR"/>
        </w:rPr>
        <w:t>و ینبغی التکلم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بعدم مشروعیّة التقیّة أو عدم وجوبها فی موارد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التقیّة فی الدماء سواء کانت التقیّة فیها بالمعنی الأوّل أو بالمعنی الثانی و إذا أُکره أو اضطر إلی قتل نفس محترمة أو اقتضت التقیّة بالمعنی الثانی قتلها کما إذا سبّ أحد المتصاحبین من یکون سبّه عند المخالفین موجباً لقتل السابّ، و صاحب السابّ یری أنّه لو لم یقتل صاحبه السابّ لقتله المخالفون و صاحبه، فلا یجوز له قتل صاحبه السابّ تحفّظاً علی نفسه، و إراءته أنّه لیس من الشیعة، کلّ ذلک لما فی 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جعلت التقیّة لیحقن بها الدم فإذا بلغ الدم فلیس تقیّة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نفی مشروعیّة التقیّة و جعلها، و لما فی موثّقة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الأرض إلّا و فیها منّا عالم یعرف الحقّ من الباطل،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 فإذا بلغت التقیّة الدم فلا تقیّة، و ایم اللّٰه لو دعیتم لتنصرونا لقلتم لا نفعل إنّما نتقی و لکانت التقیّة أحبّ إلیکم من آبائکم و أُمّهاتکم و لو قد قام القائم ما احتاج إلی مساءلتکم عن ذلک و لأقام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کثیر منکم من أهل النفاق حدّ اللّٰه، </w:t>
      </w:r>
      <w:r>
        <w:rPr>
          <w:rStyle w:val="FootnoteAnchor"/>
          <w:rtl w:val="true"/>
        </w:rPr>
        <w:footnoteReference w:id="868"/>
      </w:r>
      <w:r>
        <w:rPr>
          <w:rFonts w:ascii="IRNazanin" w:hAnsi="IRNazanin" w:eastAsia="IRNazanin"/>
          <w:color w:val="111111"/>
          <w:sz w:val="28"/>
          <w:sz w:val="28"/>
          <w:szCs w:val="28"/>
          <w:rtl w:val="true"/>
          <w:lang w:bidi="fa-IR"/>
        </w:rPr>
        <w:t>و لو نوقش فی دلالة الثانیة علی ما ذکر بدعوی أنّ صدرها و ذیلها قرینة علی أنّ العارف بالحقّ و الباطل علیه السلام إذا أمر بالقتال الملازم عادة لإراقة الدم من القاتلین فلیس لأحد ترک القتال بالاعتذار بالتقیّة و إراءته التحفّظ علی دمه فلا تمنع ذلک عن الأخذ بظهور الصحیحة الأُولی حیث إنّها روایة أُخری لا تمنع الثانیة إرادة ما تقدّم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قیل إنه إذا أکرهه الجائر علی قتل أحد و قال إنّه لو لم تقتله قتلتک، أو علم المکره بالفتح أنّه لو لم یقتله لقتله الجائر جاز للمکره بالفتح قتل ذلک الشخص؛ و ذلک لا لحکومة حدیث رفع عن أُمّتی ما استکرهوا علیه، </w:t>
      </w:r>
      <w:r>
        <w:rPr>
          <w:rStyle w:val="FootnoteAnchor"/>
          <w:rtl w:val="true"/>
        </w:rPr>
        <w:footnoteReference w:id="869"/>
      </w:r>
      <w:r>
        <w:rPr>
          <w:rFonts w:ascii="IRNazanin" w:hAnsi="IRNazanin" w:eastAsia="IRNazanin"/>
          <w:color w:val="111111"/>
          <w:sz w:val="28"/>
          <w:sz w:val="28"/>
          <w:szCs w:val="28"/>
          <w:rtl w:val="true"/>
          <w:lang w:bidi="fa-IR"/>
        </w:rPr>
        <w:t>لیقال إنّ الرفع فیه امتنانی فلا یعمّ المورد الذی یکون الرفع فیه خلاف الامتنان،بل لأنّ حرمة قتل النفس المحترمة مع وجوب التحفّظ علی النفس و حرمة إلقائها فی الهلاکة من التکلیفین المتزاحمین فی الفرض، و بما أنّه لم یثبت الترجیح فی ناحیة أحد التکلیفین لو لم نقل بأنّه ثبت التکافؤ فی الدماء، فمقتضی ذلک أنّ للمکره بالفتح اختیار امتثال التکلیف بحرمة إلقاء نفسه فی الهلاکة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الجائر المزبور إذا کان إکراهه بمقتضی مذهبه الفاسد لکان اختیار التحفّظ علی النفس بقتل ذلک الشخص من التقیّة المنفی مشروعیتها، و لا یحتمل الفرق بین ما إذا کان الإکراه من المکره بالکسر بمقتضی مذهبه الفاسد أو بغیره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فمقتضی صحیحة محمّد بن مسلم عدم مشروعیة الاختیار المزبورة، و إلّا لما کان فرق بین صورة الإکراه علی القتل أو الاضطرار علیه کما أنّه لو علم أنّه لو لم یقتل فلاناً لقتلهما الجائر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انطبق علی قتله الآخر الدفاع عن النفس، کما إذا علم أنّه لو لم یقتل الآخر قتله ذلک الآخر لا محالة قصداً أو بلا قصد یجوز له الدفاع عن نفسه من هجوم الآخر و لو بقتله فإنّه یجوز للمکلّف الدفاع عن نفسه،بل یجب و هذا أمر آخر لا یرتبط بمسألة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الاستثناء من مشروعیة التقیة ما إذا لم یترتب علی ترک التقیّة أی ضرر عاجل أو آجل فإنّه قد ذکر عدم مشروعیتها فی الفرض، و لا یخفی أنّه إن أُرید بالتقیّة ترک الوظیفة الشرعیّة الواقعیة و العمل علی طبق مذهب العامّة و الاقتصار علیه، فقد تقدّم أنّه مع العلم بعدم ترتّب ضرر لا یتحقّق عنوان التقیّة، و إن أُرید العمل علی طبق مذهب العامّة بلا اقتصار علیه،بل یؤتی بما هو اللازم واقعاً قبله أو بعده من غیر فوت شیء ،بل یوافقهم فی صورة العمل من غیر قصد التشریع فلا دلیل علی حرمة ذلک، غایة الأمر أنّه لا یکون واجباً و لا مستحباً إلّا اذا أوجب جلب المحبّة للشیعة لو فرض علی ما تقدّم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الاستثناء المسح علی الخفّین، و فی صحیحة زرارة التی هی مضمرة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مسح الخفّین تقیّة؟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أتّقی فیهن أحداً شرب المسکر، و مسح الخفّین، و متعة الحج</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و فی الصحیحة الأُخری لزرارة عن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فی المسح علی الخفّین تقیّة؟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یتّقی فی ثلاثة قلت و ما 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و المسح علی الخفّین، و متعة الحجّ</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فی روایة محمّد بن الفضل الهاشمی المرویّة فی باب أصناف الحج من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إخوتی علی أبی عبد اللّه علیه السلام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نرید الحجّ و بعضنا صرورة،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بالتمتّع فإنّا لا نتّقی فی التمتع بالعمرة إلی الحجّ سلطاناً، و اجتناب المسکر، و المسح علی الخفّین</w:t>
      </w:r>
      <w:r>
        <w:rPr>
          <w:rFonts w:eastAsia="IRNazanin" w:cs="IRNazanin"/>
          <w:color w:val="111111"/>
          <w:sz w:val="28"/>
          <w:szCs w:val="28"/>
          <w:rtl w:val="true"/>
          <w:lang w:bidi="fa-IR"/>
        </w:rPr>
        <w:t xml:space="preserve">.» </w:t>
      </w:r>
      <w:r>
        <w:rPr>
          <w:rStyle w:val="FootnoteAnchor"/>
          <w:rtl w:val="true"/>
        </w:rPr>
        <w:footnoteReference w:id="87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هشام بن سالم عن أبی عمر الأعجمی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 و التقیّة فی کلّ شیء إلّا فی النبیذ و المسح علی الخفّین</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و هذه الروایات المستدلّ بها علی نفی التقیّة فی المسح علی الخفّین، و لا أظنّ أن یستظهر منها أنّه یحرم علی المکلّف أن یغسل وجهه و یدیه و یمسح رأسه و خفّیه علی ما یفعل بعض العامّة، و لو کان قصده الإتیان بصورة الوضوء دفعاً لضرر عنه أو حتی جلباً لمحبّتهم من غیر قصده الوضوء المشروع للصلاة،بل للاعتناء بالتقیّة خاصّة، فیتعیّن أن یکون المراد بها حرمة المسح علی الخفّین فیما إذا قصد المکلّف أنّ الشارع أمر به و لو بعنوان الأمر برعایة التقیّة أو رغب إلیه بهذا العنوان، و إن لا یجزی للصلاة و نحوها أو أنّه لا یوجد مورد التقیّة و الموضوع لها فی المسح علی الخفّین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روایة أبی عمر الأعجمی </w:t>
      </w:r>
      <w:r>
        <w:rPr>
          <w:rStyle w:val="FootnoteAnchor"/>
          <w:rtl w:val="true"/>
        </w:rPr>
        <w:footnoteReference w:id="874"/>
      </w:r>
      <w:r>
        <w:rPr>
          <w:rFonts w:ascii="IRNazanin" w:hAnsi="IRNazanin" w:eastAsia="IRNazanin"/>
          <w:color w:val="111111"/>
          <w:sz w:val="28"/>
          <w:sz w:val="28"/>
          <w:szCs w:val="28"/>
          <w:rtl w:val="true"/>
          <w:lang w:bidi="fa-IR"/>
        </w:rPr>
        <w:t xml:space="preserve">أنَّ مشروعیة التقیّة وجوباً أو استحباباً علی اختلاف مواردها لا یعمّ شرب النبیذ و المسح علی الخفّین، و لکنّ أبا عمر الأعجمی لم یثبت له توثیق، و کذا روایة محمد بن الفضل الهاشمی </w:t>
      </w:r>
      <w:r>
        <w:rPr>
          <w:rStyle w:val="FootnoteAnchor"/>
          <w:rtl w:val="true"/>
        </w:rPr>
        <w:footnoteReference w:id="875"/>
      </w:r>
      <w:r>
        <w:rPr>
          <w:rFonts w:ascii="IRNazanin" w:hAnsi="IRNazanin" w:eastAsia="IRNazanin"/>
          <w:color w:val="111111"/>
          <w:sz w:val="28"/>
          <w:sz w:val="28"/>
          <w:szCs w:val="28"/>
          <w:rtl w:val="true"/>
          <w:lang w:bidi="fa-IR"/>
        </w:rPr>
        <w:t xml:space="preserve">حیث إنّ ظاهرها أمر الإمام علیه السلام بأنّه لا یُراعی التقیّة فی حجّ التمتّع و المسح علی الخفّین و اجتناب المسکر، و أنّه لیس عدم رعایتها فی خصوص الأئمة علیهم السلام کما فهم زرارة ذلک من صحیحته الأُولیٰ؛ و لذا أمر بأن یؤتیٰ یحجّ التمتّع،بل ظاهر صحیحتی زرارة </w:t>
      </w:r>
      <w:r>
        <w:rPr>
          <w:rStyle w:val="FootnoteAnchor"/>
          <w:rtl w:val="true"/>
        </w:rPr>
        <w:footnoteReference w:id="876"/>
      </w:r>
      <w:r>
        <w:rPr>
          <w:rFonts w:ascii="IRNazanin" w:hAnsi="IRNazanin" w:eastAsia="IRNazanin"/>
          <w:color w:val="111111"/>
          <w:sz w:val="28"/>
          <w:sz w:val="28"/>
          <w:szCs w:val="28"/>
          <w:rtl w:val="true"/>
          <w:lang w:bidi="fa-IR"/>
        </w:rPr>
        <w:t>أیضاً أنّه لا ترعیٰ التقیّة فی المسح علی الخفّین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أتّقی أو لا تتّقی، فی مقام الجواب عن السؤال عن حکم مسح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لرعایة التقیّة ظاهرة أن یبیّن للسائل الجواب، خصوصاً بملاحظة أنّ الوارد فی الصحیحة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یتقی، کما علیه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الروایتین واحدة یدفعها بأنّ الراوی فی الأُولی عن الإمام علیه السلام و السائل عنه زرارة، و فی الثانیة یروی زرارة عن غیر واحد عن أبی جعفر علیه السلام ، و لا بُعد فی أن یروی الراوی ما سمعه عن الإمام علیه السلام بالمباشرة، و ما رواه له غیره عنه علیه السلام و إن کان مضمونهما مختلفاً عنده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مثلها دعوی أنّ المراد من الروایات المتقدّمة انّه لا مورد و لا موضوع للتقیّة فی المسح علی الخفّین و شرب المسکر و حجّ التمتّع،بتقریب أنّ موافقة مذهب العامّة و حکمهم کما هو المراد من التقیّة بالمعنی الخاصّ التی وجب علی المکلّف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رعایتها لا یتوقّف علی المسح علی الخفّین؛ فإنّ ذلک لیس أمراً تعیینیاً عندهم، و یمکن موافقتهم بغسل الرجلین کما أمر به فی بعض الروایات، و لو فرض مورد لا یحصل رفع خوف الضرر إلّا بالمسح علی الخفّین فهذا أمر نادر لا تکون صحیحة زرارة ناظرة إلیه، و یشهد لکون المراد نفی الموضوع للتقیّة نفی التقیة فی شرب المسکر فإنّ أحداً من العامّة لم یجوّز شرب الخمر، فلو تحقّق فیه الاضطرار إلیه فلا یدخل فی التقیّة بمعناها الخاصّ،بل یکون من الاضطرار العامّ کالخوف من الجائر، و کذا الحال فی متعة الحجّ فإنّ إحرام عمرة التمتّع و امتیازه عن إحرام حجّ الإفراد مثلا یکون بالقصد، و الإحلال من إحرامها یکون بأخذ الظفر أو شعرة من رأسه أو لحیته، فالمکلّف متمکّن من حجّ التمتّع و لو بإخفائه هذا الأخذ و الإحرام بعده بالحج عند إرادة الخروج إلی مکة یکون بالتلبیة و لا محذور فی ذکر التلبیة عند إرادة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ضعف هذه الدعوی أنَّ ظاهر الروایات نفی مشروعیّة التقیّة الخاصّة فی تلک الأُمور، غایة الأمر إن کان المنفی عنه التقیّة أمراً دخیلاً فی الواجب بنظرهم تعییناً أو تخییریّاً، فنفی المشروعیّة أنّه لا یتعلّق الأمر بذلک الواجب معه تعیّناً أو تخییراً و لو بعنوان التقیّة، کما أنّه لو کان واجباً نفسیّاً عندهم و الواجب النفسی بحسب الواقع غیره، یکون المراد من نفیها أنّه لا یکون رعایة مذهبهم موجباً لرفع الید عن الواجب الواقعی المزبور مطلقاً أو فیما یکون مندوحة عند العمل بأن یمکن إراءة عمله موافقاً لما عندهم کما فی حجّ التمتّع علی ما تقدم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حلالاً عندهم و حراماً واقعیّاً فنفی مشروعیّة التقیّة فیه أنه لا یکون رعایة التقیّة موجباً لحلّیّة ذلک الحرام کما فی النبیذ المسکر الذی أحلّه جلّهم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بعضهم، کما یتّضح ذلک بملاحظة ما ورد فی شرب النبیذ فلا قرینة فی نفی التقیّة علی شرب المسکر علی ما ذکره؛ و لذا ذکر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أتّقی أو لا نتّقی أو لا یتّقی فی شرب المسکر، و لم یثبت روایة ورد فیها نفی التقیّة عن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فی مورد ترتّب الخوف من تلف النفس و بعض العرض و نحوه ممّا یعلم بوجوب التحفّظ عنه شرعاً، فیدخل ذلک فی باب التزاحم بین حرمة شربه لوجوب التحفّظ عن ذلک الضرر لو قیل بعدم جواز التمسّک فی الفرض بقاعدة نفی الضرر أو نفی الاضطرار؛ لفحوی ما دلّ علی مشروعیّة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بأنّ ظاهر نفی التقیّة فی شرب المسکر کظاهر نفیها فی الدم فی أنّ المستفاد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رعایة حرمة شرب المسکر حتّی فیما إذا کان الضرر المخوف قتلاً و نحوه، فنقول لا بدّ من ترک العمل بهذه الفقرة للعلم بأهمّیّة حفظ النفس و بعض العرض من حرمة شرب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لو تمّ أمر السند فی روایة أبی الورد الواردة </w:t>
      </w:r>
      <w:r>
        <w:rPr>
          <w:rStyle w:val="FootnoteAnchor"/>
          <w:rtl w:val="true"/>
        </w:rPr>
        <w:footnoteReference w:id="877"/>
      </w:r>
      <w:r>
        <w:rPr>
          <w:rFonts w:ascii="IRNazanin" w:hAnsi="IRNazanin" w:eastAsia="IRNazanin"/>
          <w:color w:val="111111"/>
          <w:sz w:val="28"/>
          <w:sz w:val="28"/>
          <w:szCs w:val="28"/>
          <w:rtl w:val="true"/>
          <w:lang w:bidi="fa-IR"/>
        </w:rPr>
        <w:t>فی جریان التقیّة فی المسح علی الخفّین، فیجمع بینها و بین الروایات المتقدّمة،بأنّ النفی بالإضافة إلی المسح علی الخفّین فی تلک الروایة بنحو الکراهة، حیث إنّ صریح روایة أبی الورد جریان التقیّة فی المسح علی الخفّین،بل ظاهرها الإجزاء أیضاً، و أنّ الأمر بالمسح علیها ما عند التقیّة کالأمر به عند الخوف من الثلج کما لا یخفی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الاستثناء ما ورد فی التبرّی من أمیر المؤمنین علیه السلام فی جملة من الروایات من عدم التبرّی و تحمّل القتل، و فی ما رواه الشیخ فی مجالسه بإسناده إلی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میمون، عن جعفر بن محمّد، عن أبیه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ستدعون إلی سبّی فسبّونی و تدعون إلی البراءة منّی فمدّوا الرقاب فإنّی علی الفطرة</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رواه أیضاً فی مجالسه عن هلال بن محمد الحفار، عن إسماعیل بن علی الدعبلی، عن علی بن علی أخی دعبل بن علی الخزاعی، عن علی بن موسی الرضا عن أبیه عن آبائه عن علی بن أبی طالب علیهم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ستعرضون علی سبّی فإن خفتم علی أنفسکم فسبّونی ألا و إنّکم ستعرضون علی البراءة منّی فلا تفعلوا فإنّی علی الفطرة</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ما فی نهج البلاغة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سیظهر علیکم بعدی رجل رحب البلعوم مندحق البطن 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دلالتها علی ترک التقیّة و تحمّل القتل لا بأس بها و لکن مع الغمض عمّا یقال فی أمر السند یقال إنّ استفادة لزوم اختیار القتل و عدم جواز التبرّی منها مشکل؛ لأنّ الأمر بمدّ الأعناق للقتل ورد فی مقام توهّم الخطر حیث إنّ المرتکز فی الأذهان تحریم تعریض النفس للقتل مع نزول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ذکر المفید قدس سره 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ستعرضون من بعدی علی سبی فسبّونی فمن عرض علیه البراءة منّی فلیمدد عنقه فإن برئ منّی فلا دنیا له و لا آخرة، </w:t>
      </w:r>
      <w:r>
        <w:rPr>
          <w:rStyle w:val="FootnoteAnchor"/>
          <w:rtl w:val="true"/>
        </w:rPr>
        <w:footnoteReference w:id="882"/>
      </w:r>
      <w:r>
        <w:rPr>
          <w:rFonts w:ascii="IRNazanin" w:hAnsi="IRNazanin" w:eastAsia="IRNazanin"/>
          <w:color w:val="111111"/>
          <w:sz w:val="28"/>
          <w:sz w:val="28"/>
          <w:szCs w:val="28"/>
          <w:rtl w:val="true"/>
          <w:lang w:bidi="fa-IR"/>
        </w:rPr>
        <w:t>و لکن مع الإغماض عن رفعها أنّه من المحتمل جداً مراده الأخبار المتقدّمة و استفاد منها وجوب اختیار القتل، و مع ذلک فقد یقال إنّه علی تقدیر دلالتها علی وجوب اختیار القتل یعارضها معتبرة مسعدة بن 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علیه السلام قال علی المنبر فی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إنکم ستدعون إلی سبّی فسبّونی ثمّ تدعون إلی البراءة منّی فلا تبرءوا منّی،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أکثر ما یکذب الناس علی علیّ علیه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إنّکم ستدعون إلی سبّی فسبّونی ثمّ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البراءة منّی و إنّی لعلی دین محمّد صلی الله علیه و آله و لم یقل و لا تبرءوا منّی، 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إن اختار القتل دون البراءة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ذلک علیه و ما له إلّا ما مضی علیه عمار بن یاسر حیث أکرهه أهل مکّة و قلبه مطمئن بالإیمان، فأنزل اللّٰه عزّ و جلّ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النبی صلی الله علیه و آله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عمّار إن عادوا فعُد، فقد أنزل اللّٰه عذرک و أمرک أن تعود إن عادوا </w:t>
      </w:r>
      <w:r>
        <w:rPr>
          <w:rStyle w:val="FootnoteAnchor"/>
          <w:rtl w:val="true"/>
        </w:rPr>
        <w:footnoteReference w:id="88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اعتبار السند أنّ مسعدة بن صدقة من المعاریف و لم یرد فی حقّه تضعیف و قدح،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کونه عامیّاً و هو لا یقدح فی کونه راویاً، و لکن فی دلالتها علی حرمة اختیار القتل تأمّل؛ لأنّ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ذلک علیه، یعنی أنَّ اختیار القتل لیس تکلیفاً علیه أو ضرراً علیه، و أنّه لیس لنفعه إلّا ما مضی علیه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فلو کان ظهور الأخبار المتقدّمة وجوب اختیار القتل لزم رفع الید عنه بهذه المعتبرة الصریحة فی نفی وجوبه، فیکون للمکلف اختیار القتل أو التقیّة بالتبرّی و إن قیل إنّ الأولی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یعنی جواز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عطا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أهل الکوفة أُخذا فقیل لهما ابرأا عن أمیر المؤمنین علیه السلام فبرئ واحد منهما و أبی الآخر فخلّی سبیل الذی برئ و قتل 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برئ فرجل فقیه فی دینه، و أمّا الذی لم یبرأ فرجل تعجّل إلی الجنة</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أمّا الاستدلال علی أولویة اختیار التقیّة بمعتبرة محمّد بن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ما منع میثم رحمه الله من التقیّة؟ فو اللّٰه لقد علم أنّ هذه الآیة نزلت فی عمّار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 بدعوی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تعریض و قدح فی اختیار میثم ترک التقیّة و اختیاره القتل و مقتضی ذلک أولویة رعایة التقیّة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لم یعلم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ذلک الفعل حتّی یتمّ التعریض و القدح فی اختیاره،بل الظاهر و لا أقل من الاحتمال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المجهول، 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 عن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أیضاً أنّ التقیّة جائزة لعلمه بنزول الآیة فی عمّار، و مع ذلک اختار القتل، و وجه الظهور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منصرفة 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و الفاعل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میثماً رحمه الله من التقیّة، مع أنّ ظاهر النقل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bookmarkStart w:id="511" w:name="pg12061_112740"/>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ما رواه الکشی عن میثم رحمه الله أنّه دعاه أمیر المؤمنین علیّ بن أبی طالب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یا میثم إذا دعاک دعی بنی أُمیّة عبید اللّٰه بن زیاد إلی البراءة منّی؟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و اللّٰه لا أبرأ منک،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یقتلک و یصلبک،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 فذاک فی اللّٰه قلیل،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میثم إذاً تکون منّی فی درجتی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لم نقل بأولویة اختیار القتل؛ لضعف ما رواه الکشی سنداً فلا أقل من عدم الحکم بأولویة اختیار التقیّة بترک البراءة لما تقدّم و اللّٰه العالم</w:t>
      </w:r>
      <w:r>
        <w:rPr>
          <w:rFonts w:eastAsia="IRNazanin" w:cs="IRNazanin"/>
          <w:color w:val="111111"/>
          <w:sz w:val="28"/>
          <w:szCs w:val="28"/>
          <w:rtl w:val="true"/>
          <w:lang w:bidi="fa-IR"/>
        </w:rPr>
        <w:t>.</w:t>
      </w:r>
    </w:p>
    <w:p>
      <w:pPr>
        <w:pStyle w:val="Heading5"/>
        <w:numPr>
          <w:ilvl w:val="4"/>
          <w:numId w:val="1"/>
        </w:numPr>
        <w:rPr/>
      </w:pPr>
      <w:bookmarkStart w:id="512" w:name="__RefHeading___Toc1723476_417432637"/>
      <w:bookmarkStart w:id="513" w:name="_Toc186"/>
      <w:bookmarkEnd w:id="512"/>
      <w:r>
        <w:rPr>
          <w:rtl w:val="true"/>
        </w:rPr>
        <w:t>فی إجزاء ما أُتی به بنحو التقیّة</w:t>
      </w:r>
      <w:bookmarkEnd w:id="513"/>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فی الإجزاء فی موارد رعایة مشروعیّة التقیّة و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أنّ رعایة التقیّة ربّما یکون بارتکاب الحرام بأن یفعل المکلّف عملاً یکون ذلک العمل حراماً لو لا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بترک الواجب رأساً کما إذا اضطر إلی الافطار فی آخر یوم من شهر رمضان، ففی مثل ذلک إنّما تکون التقیّة موجبةً لجواز ارتکاب الأوّل و ترک الثانی فی صورة الضرورة و الاضطرار، فیعتبر عدم المندوحة بأن لا یمکن له الفرار من ارتکاب الأوّل و ترک الثانی؛ لما دلّ علی حصر التقیّة بموارد الضرورة و الاضطرار، نعم لو فرض فی مورد قیام الدلیل فیه علی جواز ارتکاب الحرام أو ترک الواجب و لو مع المندوحة یؤخذ به، کما لا یبعد ذلک فی جواز الحلف باللّٰه کاذباً لدفع ضرر الغیر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 ارتکاب الحرام أو ترک الواجب موضوعاً لأثر آخر من لزوم الحد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الکفّارة و نحوهما فیرتفع ذلک الأثر أیضاً بارتفاع الحرمة و الوجوب؛ لأنّ الموضوع لهما ارتکاب الحرام بما هو حرام أو ترک الواجب بما هو واجب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الأثر مترتّباً لارتکاب ذات الفعل أو الترک فلا ینتقی ذلک الأثر بمثل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إلّا و قد أحله الاضطرار، </w:t>
      </w:r>
      <w:r>
        <w:rPr>
          <w:rStyle w:val="FootnoteAnchor"/>
          <w:rtl w:val="true"/>
        </w:rPr>
        <w:footnoteReference w:id="887"/>
      </w:r>
      <w:r>
        <w:rPr>
          <w:rFonts w:ascii="IRNazanin" w:hAnsi="IRNazanin" w:eastAsia="IRNazanin"/>
          <w:color w:val="111111"/>
          <w:sz w:val="28"/>
          <w:sz w:val="28"/>
          <w:szCs w:val="28"/>
          <w:rtl w:val="true"/>
          <w:lang w:bidi="fa-IR"/>
        </w:rPr>
        <w:t>أو ما ورد فیه الأمر برعایة التقیّة، نعم إذا کان ذلک الأثر المترتّب علی الارتکاب أو الترک فی نفسه ممّا کان فی رفعه عند الاضطرار أو الإکراه علیه توسعة و امتنان علی المکلف، فیرتفع بحدیث الرفع بفقرته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عن أُمتی ما استکرهوا علیه، أو ما اضطروا إلیه، </w:t>
      </w:r>
      <w:r>
        <w:rPr>
          <w:rStyle w:val="FootnoteAnchor"/>
          <w:rtl w:val="true"/>
        </w:rPr>
        <w:footnoteReference w:id="888"/>
      </w:r>
      <w:r>
        <w:rPr>
          <w:rFonts w:ascii="IRNazanin" w:hAnsi="IRNazanin" w:eastAsia="IRNazanin"/>
          <w:color w:val="111111"/>
          <w:sz w:val="28"/>
          <w:sz w:val="28"/>
          <w:szCs w:val="28"/>
          <w:rtl w:val="true"/>
          <w:lang w:bidi="fa-IR"/>
        </w:rPr>
        <w:t>بناءً علی ما تقدّم فی محلّه من عدم اختصاص الرفع بخصوص المؤاخذة أو الحرمة،بخلاف ما لم یکن فی رفعه امتنان کضمان المال فإنّه و إن کان مترتّباً علی نفس إتلاف مال الغیر بلا إذن منه مجاناً من غیر أن یؤخذ فی ناحیة موضوعه حرمة الإتلاف، إلّا أنّه فی موارد الإکراه و الاضطرار خلاف الامتنان لصاحب المال فلا یرتفع، و کذلک ما إذا کان الأثر مترتباً علی عنوان لیس بنفسه فعلاً للمکلّف، و إن یلازم فعله أو ترکه کما فی وجوب قضاء الصوم و الصلاة فإنّ الموضوع لوجوب قضائهما فوتهما و إنّ یتحقق هذا الفوت بترک المکلّف</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یمکن الالتزام بعدم وجوب قضاء صوم ذلک الیوم لا بما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محرم إلّا و قد أحلّه الاضطرار، و لا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اضطروا علیه،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کون فوت الصلاة و الصوم فعلاً للمکلّف و أن یلازم فعله، و الاضطرار کالإکراه یتعلّق بالفعل و یرتفع الأثر المترتّب علی نفس الفعل، و لا بالأدلة الواردة فیه الأمر بالتقیّة و إن قیل باستفادة الإجزاء منها فإنّ تلک الاستفادة علی تقدیرها تختصّ بما إذا أتیٰ المکلّف الواجب و عمل فیه بالتقیّة لا ما إذا ترک الواجب رأساً و لم یعمل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التقیّة موجبة لترک الجزء أو الشرط من الواجب أو الإتیان به بالمانع، کما إذا اقتضت التقیة الإتیان بالواجب مع ترک السورة بعد الحمد أو الصلاة مع أجزاء المیتة التی دبغت، فیقع الکلام فی أنّه هل یستفاد من الأخبار الواردة فی التقیّة بخصوصها أو ورد فی رفع الاضطرار أو کون الاضطرار علی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الواجب موجباً لحلیة ما اضطر إلیه أنَّ العمل المتروک جزؤه أو شرطه أو المأتی به مع المانع محکوم بالصحّة فلا تجب إعادته أو قضاؤه أو أنّه لا یستفاد الصحّة و الإجزاء منها،بل لا بدّ فی الالتزام بالصحّة فی مورد من قیام دلیل خاصّ علیه؟</w:t>
      </w:r>
    </w:p>
    <w:p>
      <w:pPr>
        <w:pStyle w:val="BookText"/>
        <w:rPr/>
      </w:pPr>
      <w:r>
        <w:rPr>
          <w:rFonts w:ascii="IRNazanin" w:hAnsi="IRNazanin" w:eastAsia="IRNazanin"/>
          <w:color w:val="111111"/>
          <w:sz w:val="28"/>
          <w:sz w:val="28"/>
          <w:szCs w:val="28"/>
          <w:rtl w:val="true"/>
          <w:lang w:bidi="fa-IR"/>
        </w:rPr>
        <w:t>و لیعلم أنّ المانعیّة فی شیء للواجب إذا کان لامتناع اجتماع الأمر و النهی، و تقدیم جانب النهی علی خطاب الأمر بتقیید متعلّق الأمر بغیر المجمع، فلا کلام فی أنّه مع الاضطرار إلی ذلک الحرام تسقط المانعیّة فیکون امتثال الواجب بالمجمع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اضطرّ إلی الکون فی المکان المغصوب أو لبس لباس مغصوب حیث إن مع سقوط الحرمة للاضطرار إلیهما لا موجب لتقیید متعلّق الأمر بغیرهم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الموجب لتقیید متعلّق التکلیف ملاک الحرمة و مفسدة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بالاضطرار إلیه لا یرتفع الملاک و المفسدة؛ و لذا ذکر الرفع عند الاضطرار إلیه الظاهر فی وجود المقتضی لها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إلّا أحلّه الاضطرار، </w:t>
      </w:r>
      <w:r>
        <w:rPr>
          <w:rStyle w:val="FootnoteAnchor"/>
          <w:rtl w:val="true"/>
        </w:rPr>
        <w:footnoteReference w:id="889"/>
      </w:r>
      <w:r>
        <w:rPr>
          <w:rFonts w:ascii="IRNazanin" w:hAnsi="IRNazanin" w:eastAsia="IRNazanin"/>
          <w:color w:val="111111"/>
          <w:sz w:val="28"/>
          <w:sz w:val="28"/>
          <w:szCs w:val="28"/>
          <w:rtl w:val="true"/>
          <w:lang w:bidi="fa-IR"/>
        </w:rPr>
        <w:t>ظاهره أنّ الاضطرار من العناوین الطارئة المغیّرة للملاک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المفسدة لا تنافی المصلحة الراجحة المانعة الموجبة للأخذ بإطلاق الترخیص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ربّما یقال الکلام فیما إذا کان لدلیل الجزء أو الشرط أو مانعیة شیء للواجب إطلاق بحیث یکون إرشاداً إلی عدم حصول الواجب بدونه فی حال، و إلّا لو لم یکن له هذا الإطلاق کما إذا قام الإجماع علی اعتبار شیء فیه، و کان المتیقّن منه صورة الاختیار فیحکم بصحّة العمل عند الاضطرار علی ترکه أخذاً بأصالة البراءة فی نفی الجزئیة أو الشرطیة أو المانعیة حال الاضطرار</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الاضطرار لو کان بمعناه العام لا بعنوان التقیّة، و کان مستوعباً الوقت فأصالة البراءة من الجزئیة أو الشرطیة أو المانعیة لا یفید فی إثبات التکلیف واقعاً بالباقی من الواجب، و لا یقاس المقام بالشکّ فی الجزئیّة و الشرطیّة و المانعیّة عند دوران تعلّق التکلیف الواقعی بالأقل أو بالأکثر حیث إنّ العلم فیه بثبوت التکلیف الواقعی فیه مفروض،بخلاف مورد الاضطرار إلی ترک ما یحتمل جزئیته أو شرطیته واقعاً إلی تمام الوقت، و إذا فرض وجوب قضاء الواجب علی تقدیر فوته و لو مع عدم التکلیف به فی الوقت یحصل العلم الإجمالی إمّا بوجوب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المقدور من الواجب فی الوقت، أو جوب قضائه خارج الوقت بتمامه أو کماله و مقتضی قاعدة الاشتغال الجمع بینهما و هذا یساوق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الاضطرار بعنوان التقیّة بمعناها الخاصّ یعنی التقیّة عن المخالفین علی مذهبهم فینحل هذا العلم الإجمالی بوجوب المقدور داخل الوقت یقیناً إمّا أنّه الواجب بعنوان التقیة فقط، و إمّا أنّه واجب واقعی أیضاً و معه یکون الشکّ فی وجوب القضاء بدویاً، فلو قیل بعدم جریان استصحاب عدم الفوت فی ناحیة الواجب فلا أقل من أصالة البراءة عن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یستوعب الاضطرار بمعناه العام تمام الوقت و لم یمکن لدلیل الجزئیّة أو الشرطیّة أو المانعیّة إطلاق یجوز للمکلّف الاقتصار بما یأتی حال الاضطرار؛ لکون الواجب فی الفرض مردّداً بین التعیین بأن یأتی بالواجب تماماً و لو فی آخر الوقت، أو أنّه مخیّر بین الإتیان به کذلک أو الإتیان بالناقص حال الاضطرار، و قد ذکرنا فی محلّه أنّ أصالة البراءة تجری فی ناحیة نفی التعیین؛ لأنّ فیه کلفة زائدة، بخلاف التخییر فإنّ فیه سعة للمکلف</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الاضطرار تقیّة بمعناها الخاصّ فیکون وجوب الإتیان بالباقی حال التقیّة معلوماً، إمّا بعنوان التقیّة فقط أو حتّی بعنوان الواجب الواقعی و یشکّ فی وجوب الإتیان بالتامّ قبل خروج الوقت و أصالة البراءة تنفی وجوبها، و إذا کان لدلیل الجزئیّة أو الشرطیّة أو المانعیّة إطلاق یقتضی عدم حصول المرکّب أو المشروط بنقص الجزء و الشرط أو حصول ذلک المانع، فلا یمکن الحکم بصحّة العمل مع النقص المزبور أو حصول المانع أخذاً بحدیث رفع الاضطرار، حیث تقدّم 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الرفع أنّه و إن کان رفع الجزء و الشرط أو المانع عند الاضطرار إلی ترک الأولین و الإتیان بالثالث، إلّا أنَّ رفعها یکون برفع التکلیف المتعلّق بالکلّ أو المشروط، و لا یثبت تعلّق تکلیف آخر بالباقی من الکلّ و ذات المشروط،فإن کان فی البین دلیل آخر علی تعلّق التکلیف بالباقی فهو، و إلّا فلا یستفاد ذلک الأمر من حدیث الرفع، فإنّ مفاده الرفع لا الوضع، هذا فیما کان الاضطرار مستوعباً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الاضطرار فی بعض الأفراد و فی بعض الوقت فلا حکومة لحدیث الرفع حتّی بالإضافة إلی التکلیف المتعلّق بالکلّ أو المشروط؛ لأنّ الواجب علی المکلّف صرف طبیعیّ الکلّ و المشروط بین المبدأ و المنتهی، و مع تمکّن المکلّف علی صرف وجود ذلک الطبیعی بین الحدین لا اضطرار علیه فی ترک الکلّ أو المشروط لینتفی التکلیف المتعلّق به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فغایة حدیث الرفع رفع الجزء أو الشرط المضطرّ إلی ترکه أو رفع المانع المضطرّ إلی فعله، و هذا یکون برفع التکلیف المتعلّق بالکلّ و المشروط، و بما أنّ لدلیل الجزئیّة أو الشرطیّة أو المانعیّة إطلاق فمقتضاه أنّ الواجب فیما إذا فرض لفوته القضاء قضاء ذلک الکلّ أو المشروط خارج الوقت، حیث إنَّ الإطلاق المزبور حصول الفوت، و بهذا یظهر الفرق فیما إذا لم یکن لدلیل الجزئیّة أو الشرطیّة أو المانعیّة إطلاق کما تقدّم، فإنّ وجوب القضاء فیه مقتضی العلم الإجمالی إمّا بلزوم الإتیان بالباقی داخل الوقت أو وجوب قضائه خارجه،بخلاف ما إذا کان لدلیلها إطلاق کما هو الفرض فإنّ مقتضاه فوت الواجب فی الوقت و لو مع الاضطرار المستوعب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أراد القائل بالإجزاء فی الفرض بقوله علیه السلام ما من شیء یضطر إلیه ابن آدم فقد أحله اللّٰه، </w:t>
      </w:r>
      <w:r>
        <w:rPr>
          <w:rStyle w:val="FootnoteAnchor"/>
          <w:rtl w:val="true"/>
        </w:rPr>
        <w:footnoteReference w:id="890"/>
      </w:r>
      <w:r>
        <w:rPr>
          <w:rFonts w:ascii="IRNazanin" w:hAnsi="IRNazanin" w:eastAsia="IRNazanin"/>
          <w:color w:val="111111"/>
          <w:sz w:val="28"/>
          <w:sz w:val="28"/>
          <w:szCs w:val="28"/>
          <w:rtl w:val="true"/>
          <w:lang w:bidi="fa-IR"/>
        </w:rPr>
        <w:t>و نحوه کما یظهر من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هذه الطائفة لا تعمّ الاضطرار غیر المستوعب، فإنّ المکلّف فیه لا یضطرّ إلی ترک الجزء أو الشرط أو الإتیان بالمانع فی الطبیعی الواجب علیه بین الحدّین، فإنّه یمکن أن یأتی بذلک الواجب بتمامه و کماله و لو فی آخر الوقت، و إنّما یضطرّ إلی ترک الجزء أو الشرط أو الإتیان فی الفرد، و المفروض أنّ التکلیف الواقعی لم یتعلّق بذلک الفرد، نعم لو فرض فی مورد تعلّق تکلیف بما یؤتی به من الفرد کما فی حرمة إبطال الصلاة التی شرع فیها بالنقص فیهما جزءاً أو شرطاً أو الإتیان بالقاطع، فمقتضی الاضطرار إلی الإخلال فیه عدم حرمة الإبطال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الاضطرار مستوعباً لجمیع الوقت فربّما یدّعی أنَّ مقتضی الاضطرار إلی الإخلال فی المأتی به حلّیة ذلک الإخلال وضعاً، و یلزم علی حلیّة الإخلال المزبور وضعاً تعلّق الأمر بالباقی من العمل، و إلّا لو سقط الأمر عن ذلک الواجب رأساً تکون الجزئیّة و الشرطیّة و المانعیّة مطلقة لم ترفع عند الاضطرار إلی ترک الأولین و الاضطرار إلی الإتیان بالثالث</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 أیضاً أنّ الإخلال المزبور اضطراراً إلی ترک الجزء أو الشرط أو الإتیان بالمانع خاصّة دون أن یکون اضطراراً إلی مخالفة التکلیف الثابت فی حقّ سائر المکلّفین من الواجب الاختیاری، موقوف علی تعلّق الأمر بذلک الواجب و لو بسائر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أجزائه، و إلّا یکون اضطراراً إلی مخالفة التکلیف الثابت حال الاختیار فهو المرفوع و المحلّل عند الاضطرار، و المفروض أنّ تعلق الوجوب بسائر العمل لا یستفاد إلّا من حدیث تحلیل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کون حدیث تحلیل الاضطرار شامل للجزئیّة و الشرطیّة و المانعیّة خاصّة فی الفرض موقوف علی ثبوت الأمر بالباقی، و إلّا کان المکلّف مضطراً إلی مخالفة التکلیف بالواجب الواقعی، فهذا الترک هو الحلال، و المفروض أنّه لا یحرز تعلّق الأمر بالباقی إلّا کون حدیث التحلیل شامل للجزئیّة و الشرطیّة و المانعیّة خاصّة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أدلة الجزئیة و الشرطیة و المانعیة مطلقة یعیّن إطلاقها کون التحلیل فی الفرض نفس الترک الواجب الأولی؛ و لذا یحرز للمکلّف مع الاضطرار إلی الإخلال بالشرط مثلاً ترک الواجب رأساً، کما ذکرنا ذلک فی فاقد الطهورین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موارد الاضطرار بمعناه العامّ، و أمّا فی موارد التقیّة بمعناها الخاصّ الأمر بسائر العمل موجود أخذاً بما دلّ علی وجوب التقیّة و مشروعیتها عند الضرورة و الاضطرار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مفاد أدلّة وجوب التقیّة و مشروعیّتها الأمر بسائر العمل، بل الأمر بالعمل المقیّد بالإخلال، و لا دلالة فیها علی أنّ العمل المقیّد بالإخلال، بدل عن الواجب الواقعی الاختیاری أو امتثال للأمر بذلک الواجب تعبّداً و تنزیلاً حتّی یستفاد منها إجزاء العمل تقیّة</w:t>
      </w:r>
      <w:r>
        <w:rPr>
          <w:rFonts w:eastAsia="IRNazanin" w:cs="IRNazanin"/>
          <w:color w:val="111111"/>
          <w:sz w:val="28"/>
          <w:szCs w:val="28"/>
          <w:rtl w:val="true"/>
          <w:lang w:bidi="fa-IR"/>
        </w:rPr>
        <w:t>.</w:t>
      </w:r>
      <w:bookmarkStart w:id="514" w:name="pg12061_112748"/>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ورد فی مورد خاص ما ظاهره ذلک فلا بأس بالالتزام فیه بالإجزاء کما یأتی</w:t>
      </w:r>
      <w:r>
        <w:rPr>
          <w:rFonts w:eastAsia="IRNazanin" w:cs="IRNazanin"/>
          <w:color w:val="111111"/>
          <w:sz w:val="28"/>
          <w:szCs w:val="28"/>
          <w:rtl w:val="true"/>
          <w:lang w:bidi="fa-IR"/>
        </w:rPr>
        <w:t>.</w:t>
      </w:r>
    </w:p>
    <w:p>
      <w:pPr>
        <w:pStyle w:val="Heading5"/>
        <w:numPr>
          <w:ilvl w:val="4"/>
          <w:numId w:val="1"/>
        </w:numPr>
        <w:rPr/>
      </w:pPr>
      <w:bookmarkStart w:id="515" w:name="__RefHeading___Toc1723478_417432637"/>
      <w:bookmarkStart w:id="516" w:name="_Toc187"/>
      <w:bookmarkEnd w:id="515"/>
      <w:r>
        <w:rPr>
          <w:rtl w:val="true"/>
        </w:rPr>
        <w:t>استظهار الإجزاء عند الإخلال بالجزء أو غیره فی موارد التقیة</w:t>
      </w:r>
      <w:bookmarkEnd w:id="516"/>
    </w:p>
    <w:p>
      <w:pPr>
        <w:pStyle w:val="BookText"/>
        <w:rPr/>
      </w:pPr>
      <w:r>
        <w:rPr>
          <w:rFonts w:ascii="IRNazanin" w:hAnsi="IRNazanin" w:eastAsia="IRNazanin"/>
          <w:color w:val="111111"/>
          <w:sz w:val="28"/>
          <w:sz w:val="28"/>
          <w:szCs w:val="28"/>
          <w:rtl w:val="true"/>
          <w:lang w:bidi="fa-IR"/>
        </w:rPr>
        <w:t>نعم، ربّما یقال یستفاد الإجزاء فی موارد العمل تقیّة من صحیحة أبی الصباح المراد به الکنانی،بقرینة ما صرّح به سیف بن عمیرة الراوی عنه فی غیر هذه الروایة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قال لی جعفر بن محمد علیه السلام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 من شیء أو حلفتم علیه من یمین فی تقیة فأنتم منه فی سعة</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بدعوی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الإتیان بالواجب الواقعی عند التقیّة مع الإخلال فیه جزءاً أو شرطاً أو مع المانع فکون الشخص فی سعة مقتضاها الإجزاء و عدم الجزئیّة أو الشرطیّة أو المانعیّة فی ترک الأولین أو الإتیان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ما أتی به المکلّف ممّا تعلّق به تکلیف فیه ضیق یرتفع ذلک التکلیف المزبور عند الإتیان به تقیّة، کما إذا کان الفعل المزبور حراماً کشرب الخمر و إفطار الصوم، و کذلک إذا کان الفعل المزبور موضوعاً لحکم فیه ضیق یرتفع ذلک الحکم عنه عند الإتیان به تقیةً، کالکفارة و الحدّ و وجوب الوفاء به، کما إذا کان العمل المزبور عهداً أو یمیناً و غیر ذلک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الإتیان بالواجب الاختیاری فلیس العمل المأتی به تقیة موضوع لذلک الوجوب و لا ترک الجزء أو الشرط أو الإتیان بالمانع،بل وجوب الإتیان بالواجب الواقعی فی وقته الموضوع له تمکّن المکلّف علیه فی ذلک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وجوب القضاء فقد تقدّم أنّ الموضوع له فوت الواجب فی وقته، و الفوت و إن یتحقّق بترک الواجب الواقعی فی وقته إلّا أنّه لیس بنفسه من فعل المکلّف،بل من وصف الصلاة و غیرها، و الصحّة و الفساد فی المأتی به فی الواجبات أمران ینتزعان من انطباق تعلّق الوجوب علی الخارج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أنّه لو طلّق امرأته بلا حضور عدلین تقیّةً لا یحکم بصحة الطلاق؛ لأنّ الموضوع للإمضاء غیر حاصل، و ما أتی به لیس بموضوع لحکم فیه ضیق،بل لا حکم فیه بالصحّة لو لا التقیّة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 أنّه فی موارد الإتیان بالواجب مع الخلل بترک جزئه أو شرطه أو الإتیان به مع المانع فإن کان فی البین أمر بذات المشروط و الباقی من ذلک العمل یکون المکلّف فی سعة من ترکه الجزء أو الشرط أو فعل المانع و إن لم یکن بالباقی أمر یکون فی سعة من ترکه الواجب الواقعی فی الوقت، فانطباق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ترک الجزء أو الشرط أو الإتیان بالمانع یتوقّف علی ثبوت الأمر بالباقی، و مع عدمه ینطبق علی ترک الواجب الواقعی فی وقته و یفید ارتفاع التکلیف بذلک الواجب، فتکون استفادة تعلّق الأمر بالباقی من الحدیث دوریاً کما أنّ استفادة الإجزاء بلا توسیط استفادة الأمر بالباقی غیر ممکن؛ لعدم کون وجوب القضاء و کذا الإعادة من أثر ترک الجزء أو الشرط أو الإتیان بالمانع کما تقدّم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یستظهر الإجزاء فی موارد الإخلال بجزء الواجب أو شرطه أو الإتیان بالمانع من الصحیح عن هشام بن سالم عن أبی عمر الأعجمی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 و التقیّة فی کلّ شیء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النبیذ و المسح علی الخفّین</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هذه الروایة و ما تقدّم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التقیّة فی ثلاثة أو لا أتّقی فی ثلاثة، أنَّ دلالته علی جریان التقیّة فی غیر الثلاثة بمفهوم العدد الذی هو غیر ثابت،بخلاف دلالة هذه الروایة فانّها بعموم المستثنی منه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الاستظهار أنّ نفی التقیّة فی المسح علی الخفّین قرینة علی أنّ المنفی فی موارد التقیّة یعمّ الحرمة التکلیفیّة و الحرمة الوضعیّة المعبر عنها بالحرمة الغیریّة؛ لأنّ المسح علی الخفّین لیس بنفسه من المحرمات النفسیّة لیقال إنّ نفی التقیّة فیه بمعنی ثبوت تلک الحرمة حتّی فی حال التقیّة، فالمستفاد من الروایة أنَّ الجزئیة و الشرطیّة و المانعیّة کالحرمة النفسیّة ترتفع فی موارد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شرب النبیذ و المسح علی الخفّین، و یلزم علی ذلک القول بأنّ القاعدة الأوّلیّة فی موارد النقص فی العمل للتقیّة الإجزاء و فیه أنَّ الروایة بحسب السند ضعیفة فإنّ أبا عمر الأعجمی مجهول،بل لم أظفر إلی الآن منه بغیر هذه الروایة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الإغماض عن السند فقد یستشکل فی دلالتها علی ما ذکر بأنّ المنفی فی شرب النبیذ و المسح علی الخفّین موضوع التقیّة لا أنّ الموضوع لها یتحقّق و لکن لا ینفی فیها الحکم الثابت مع قطع النظر عن طرو عنوان التقیّة بطروّه علیهما حیث إنّه لا یمکن الالتزام بارتفاع الحرمة عن الحرام فی سائر الموارد بطرو عنوان الاضطرار و التقیّة دون شرب النبیذ، فإنّ الاضطرار و التقیّة یوجب ارتفاع الحرمة فیما هو أعظم حرمةً من حرمة شرب المسکر فکیف لا یرتفع فی شرب المسکر، فمعنیٰ الروایة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التقیّة و إن تطرأ علی سائر الموارد و لکن لا تطرأ فی شرب النبیذ و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حرمة شرب المسکر مما اتّفق علیه المسلمون، و کذلک المسح علی الخفّین فإنّه لم یعهد من أقوال العامّة من التزم باشتراط المسح علی الخفّین بخصوصه فی الوضوء،بل یجوز عندهم غسل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فیهما تحقّق التقیّة بالمعنی العامّ، کما إذا أجبره جائر علی شرب المسکر أو المسح علی الخفّین إلّا أنّ الروایة ناظرة إلی ما هو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ذکر شرب النبیذ لا یکون قرینة علی إرادة نفی الموضوع، حیث إنّ بعض العامّة یرون جواز شربه إذا لم یکن کثیراً یوجب السکر و ظاهر نفی التقیّة فیهما نفی تعبّدی؛ و لذا ذکر أنّ الاستثناء فیها معرض عنه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عن الاستظهار أن یقال إنّ استثناء شرب النبیذ و المسح علی الخفّین و إن لم یکن بمعنی نفی الموضوع و المورد فیهما للتقیّة، و إنّ الروایة ناظرة إلی بیان الحکم إلّا أنّ الحکم الوارد فیها الوجوب التکلیفی المتعلّق بالعمل المتقیٰ به و أنّه واجب تکلیفاً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فالصلاة المأتی بها تقیّة مع ترک الجزء أو الشرط أو مع المانع واجبة تکلیفاً و یترتّب العقاب علی ترکها، و کذا من ترک التوضؤ تقیّة فإنّ ترک ذلک التوضّؤ موجب للعقاب، و أمّا أنّ هذا الواجب تقیّة یجزی عن الواجب الواقعی فیما إذا ترک فی بعض الوقت أو تمامها فهذا أمر آخر فلا تعرض فی الروایة لذلک</w:t>
      </w:r>
      <w:r>
        <w:rPr>
          <w:rFonts w:eastAsia="IRNazanin" w:cs="IRNazanin"/>
          <w:color w:val="111111"/>
          <w:sz w:val="28"/>
          <w:szCs w:val="28"/>
          <w:rtl w:val="true"/>
          <w:lang w:bidi="fa-IR"/>
        </w:rPr>
        <w:t>.</w:t>
      </w:r>
      <w:bookmarkStart w:id="517" w:name="pg12061_112752"/>
    </w:p>
    <w:p>
      <w:pPr>
        <w:pStyle w:val="BookText"/>
        <w:rPr/>
      </w:pPr>
      <w:bookmarkEnd w:id="5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 لیس معنی الروایة أنّ کلّ حکم کان مترتّباً علی العمل المتّقی به لو لا التقیّة فهو یرتفع عنه بطروّ عنوان التقیّة علیه،بل الصدر قرینة علی أنّها فی مقام إیجاب العمل المتّقی به بعنوان التقیّة کما لا یخفی</w:t>
      </w:r>
      <w:r>
        <w:rPr>
          <w:rFonts w:eastAsia="IRNazanin" w:cs="IRNazanin"/>
          <w:color w:val="111111"/>
          <w:sz w:val="28"/>
          <w:szCs w:val="28"/>
          <w:rtl w:val="true"/>
          <w:lang w:bidi="fa-IR"/>
        </w:rPr>
        <w:t>.</w:t>
      </w:r>
    </w:p>
    <w:p>
      <w:pPr>
        <w:pStyle w:val="Heading5"/>
        <w:numPr>
          <w:ilvl w:val="4"/>
          <w:numId w:val="1"/>
        </w:numPr>
        <w:rPr/>
      </w:pPr>
      <w:bookmarkStart w:id="518" w:name="__RefHeading___Toc1723480_417432637"/>
      <w:bookmarkStart w:id="519" w:name="_Toc188"/>
      <w:bookmarkEnd w:id="518"/>
      <w:r>
        <w:rPr>
          <w:rtl w:val="true"/>
        </w:rPr>
        <w:t>فی ما یستدل به علی الإجزاء فی موارد التقیّة</w:t>
      </w:r>
      <w:bookmarkEnd w:id="519"/>
    </w:p>
    <w:p>
      <w:pPr>
        <w:pStyle w:val="BookText"/>
        <w:rPr/>
      </w:pPr>
      <w:r>
        <w:rPr>
          <w:rFonts w:ascii="IRNazanin" w:hAnsi="IRNazanin" w:eastAsia="IRNazanin"/>
          <w:color w:val="111111"/>
          <w:sz w:val="28"/>
          <w:sz w:val="28"/>
          <w:szCs w:val="28"/>
          <w:rtl w:val="true"/>
          <w:lang w:bidi="fa-IR"/>
        </w:rPr>
        <w:t>و ممّا استظهر منها الإجزاء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کان یصلّی فخرج الإمام و قد صلّی الرجل رکعة من صلاة فریضة؟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عدلاً فلیصلّ أُخری و ینصرف و یجعلهما تطوّعاً، و لیدخل مع الإمام فی صلاته کما هو، و إن لم یکن إمام عدل فلیبنِ علی صلاته کما هو و یصلّی رکعة أُخری و یجلس قدر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ثمّ لیتمّ صلاته معه علی ما استطاع فإنّ التقیّة واسعة و لیس شیء من التقیّة إلّا و صاحبها مأجور علیها إن شاء اللّٰه تعالی</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الاستظهار هو أنّه قد ذکر فیها أنّ مع عدم کون الإمام عدلاً یتمّ صلاته التی بدأ بها و أتی منها برکعة و أضاف إلیها رکعة أُخری مع الإمام المزبور بالإتیان علی ما یستطیع من واجبات الصلاة و أجزائها و یترک ما لا یستطیع منهما مع عدم اضطرار المکلّف إلی الإتیان بصلاة فریضة فی ذلک الوقت کما هو مقتضی فرض دخول الإمام فإنّه یکون فی أوائل وقت الفریضة عادة فتجویز إتمام الصلاة معهم علی ما استطاع من الإتیان من واجباتها معللاً بالتوسعة فی التقیّة مقتضاه الإجزاء فی 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الاستدلال مبنیّ علی کون ما استطاع لوحظ بالإضافة إلی واجبات الصلاة من أجزائها و ترک موانعها و لکن ذلک غیر ظاهر،بل ظاهر الروایة أنّه بلحاظ إظهار الائتمام و الصلاة معهم، حیث إنَّ مقتضی التفصیل بین کون الإمام عدلاً و بین غیره بالانصراف عن الصلاة التی بدأ بها قبل خروج الإمام فی الأوّل، و عدم انصرافه عنها فی الثانی أن یظهر فی الثانی الائتمام بقدر ما یستطیع بأن یخفی انصرافه عن صلاته التی بدأ بها بعد إتمامها، و یظهر أنّه ینصرف معهم بعد أن أظهر أنّه دخل فی الصلاة معهم فإنّ هذا الإخفاء المعبّر عنه بالتقیّة واسع، و صاحبه مأجور علیه إن شاء اللّٰه تعالی؛ و لذا عبّر فی عنوان الباب فی الوسائل استحباب إظهار المتابعة فی أثناء الصلاة مع المخالف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استظهر الشیخ قدس سره الإجزاء ما فی معتبرة مسعدة بن صدقة، و وجه کونها معتبرة کون مسعدة من المعاریف مع عدم ورود القدح فیه عن أبی عبد اللّه علیه السلام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شیء یعمل المؤمن بینهم لمکان التقیّة ممّا لا یؤدی إلی الفساد فی الدین فإنّه جائز</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ظاهرها علی ما استظهره أنّ کلّ عمل کان للتقیّة فإنّه جائز تکلیفاً و وضعاً و لو کان بترک الجزء أو الشرط أو الإتیان بالمانع من واجب أو بتعبیر آخر یکون الجواز بالإضافة إلی موارد الفعل المتعلّق به التکلیف تکلیفیّاً، و بالإضافة إلی موارد الوجوب الغیری و الحرمة الغیریّة وضعیّاً، و لکن ملاحظة صدر الروایة یعطی أنّ الجواز فیها هو جواز الفعل بعنوان التقیّة تکلیفاً، و أنّ الشخص لا یؤخذ بعمله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اتقی به لضرورته بأن یعزّر علیه أو یحدّ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الاضطرار بمعناه العامّ و فی التقیّة بمعناها الخاصّ بحسب الأدلّة الواردة فی نفی الاضطرار و تحلیله الحرام و وجوب التقیّة و مشروعیّتها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بالنظر إلی خصوص ما ورد فی بعض الموارد من بعض الروایات، فإنّه لو استفید منها تبدّل الوظیفة فی حال التقیّة إلی ما یقتضی رعایتها کالتوضّؤ فی موارد التقیّة، أو استفید منها أنّ الشارع قد رخّص فی امتثال الواجب الواقعی بجعل ما یقتضی التقیّة بدلاً عنه یحکم بالإجزاء، سواء کان استفادة جعل البدل من الروایات کما فی الصلاة معهم أو استفید ذلک من جریان السیرة علی رعایة تلک التقیّة مع عموم الابتلاء بها، و لم یرد فی شیء من الروایات أنّه لا یعتنی بالعمل المزبور بالإضافة إلی الواجب الواقعی، و أنّه یجب تدارکه کما فی مسألة الوقوف بعرفة و المشعر مع کون الیوم عندهم یوم التاسع من ذی الحجّة و لو بحکم قضاتهم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فی الموارد التی یحکم فیها بالإجزاء بالعمل بالتقیّة الموجبة لنقض الجزء أو الشرط أو الإتیان بالمانع، فالأحوط لو لم یکن أقوی رعایة ما أمکن من التحفّظ علی الواجب الواقعی،بمعنی أنّه و إن لم یعتبر فی التوضّؤ للتقیّة و الصلاة عدم المندوحة فی الوقت أخذاً بإطلاق ما ورد فی الترغیب فی مساجدهم و معهم و فی عشائرهم إلّا أنّه إذا أمکن فی الصلاة معهم ببعض ما یعتبر فیها کالسجود علی الارض و نحوها من نبات الأرض، و فی التوضّؤ الإتیان بمسمّی المسح علی الرجلین قبل غسلهما تعیّن ذلک، فإنّ هذا هو المستفاد ممّا ورد فی الصلاة معهم من الأمر بالقراءة سمع صوت الإمام أم لم یسمع</w:t>
      </w:r>
      <w:r>
        <w:rPr>
          <w:rFonts w:eastAsia="IRNazanin" w:cs="IRNazanin"/>
          <w:color w:val="111111"/>
          <w:sz w:val="28"/>
          <w:szCs w:val="28"/>
          <w:rtl w:val="true"/>
          <w:lang w:bidi="fa-IR"/>
        </w:rPr>
        <w:t>.</w:t>
      </w:r>
      <w:bookmarkStart w:id="520" w:name="pg12061_112755"/>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کلّ من الغسلات أن یصبّ علی العضو عشر غرفات بقصد غسلة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کلّ من الغسلات أن یصبّ علی العضو عشر غرفات بقصد غسلة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فی تعدّد الغسل المستحب ثانیه الحرام ثالثه لیس تعدّد الصبّ،بل تعدّد الغسل مع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الابتداء فی الغسل بالأعلی لکن لا یجب الصبّ علی الأعلی فلو صبّ علی الأسفل و غسل من الأعلی بإعانة الید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تقدّم فی موثّقة سماعة الواردة فیمن صلّی رکعة من صلاة الفریضة و قد خرج الإمام عن أمره بإتمام صلاته علی ما استطاع و أنّه لا یقطع صلاته کما یقطع للائتمام فیما إذا کان الإمام عدلاً</w:t>
      </w:r>
      <w:r>
        <w:rPr>
          <w:rFonts w:eastAsia="IRNazanin" w:cs="IRNazanin"/>
          <w:color w:val="111111"/>
          <w:sz w:val="28"/>
          <w:szCs w:val="28"/>
          <w:rtl w:val="true"/>
          <w:lang w:bidi="fa-IR"/>
        </w:rPr>
        <w:t>.</w:t>
      </w:r>
    </w:p>
    <w:p>
      <w:pPr>
        <w:pStyle w:val="Heading5"/>
        <w:numPr>
          <w:ilvl w:val="4"/>
          <w:numId w:val="1"/>
        </w:numPr>
        <w:rPr/>
      </w:pPr>
      <w:bookmarkStart w:id="521" w:name="__RefHeading___Toc1723482_417432637"/>
      <w:bookmarkStart w:id="522" w:name="_Toc189"/>
      <w:bookmarkEnd w:id="521"/>
      <w:r>
        <w:rPr>
          <w:rtl w:val="true"/>
        </w:rPr>
        <w:t>فروع فی غسل الأعضاء</w:t>
      </w:r>
      <w:bookmarkEnd w:id="522"/>
    </w:p>
    <w:p>
      <w:pPr>
        <w:pStyle w:val="BookText"/>
        <w:rPr/>
      </w:pPr>
      <w:r>
        <w:rPr>
          <w:rFonts w:ascii="IRNazanin" w:hAnsi="IRNazanin" w:eastAsia="IRNazanin"/>
          <w:color w:val="111111"/>
          <w:sz w:val="28"/>
          <w:sz w:val="28"/>
          <w:szCs w:val="28"/>
          <w:rtl w:val="true"/>
          <w:lang w:bidi="fa-IR"/>
        </w:rPr>
        <w:t>المراد قصده غسل تمام الوجه المعتبر فی الوضوء مرّة واحدة، و هذا یحصل و لو مع کثرة الصبّات بأن یقصد من صبّه الأوّل من الأعلی غسل موضع الصبّ و ما یجری علیه من بعض الوجه، و یقصد من صبّه ثانیاً من الأعلی أو فالأعلی غسل ذلک الموضع و ما یجری فیه من البعض الآخر من الوجه و هکذا، و لا یضرّ تعدّد الغسل فی بعض الوجه قبل تمام الغسلة الأُولی فی تمام الوجه کما ذکرنا سابقاً، فإنّ ظاهر ما دلّ علی أنّ الغسلة الثانیة من الوضوء و الثالثة بدعة ظاهرها تکرار الغسلة الأُولی للوجه بعد تمامها ثانیة أو ثالثة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قدس سره من عدم وجوب الصبّ من الأعلی صورة عدم قصد الوضوء بتلک الصبّات، فإنّه إذا صبّ الماء علی وجهه من أیّ جهة من جهات الوجه ثمّ أمرّ یده علی وجهه من قصاص الشعر إلی الذقن بقصد الغسل الوضوئی حصل الغسل المعتبر فی الوضوء، و هذا منه قدس سره مبنیّ علی کفایة الغسل بقاءً فی الوضوء، فقد ناقشنا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فی ماء الوضوء 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 فی ماء الوضوء مکروه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الإسباغ مستحبّ و قد مرّ أنّه یستحبّ أن یکون ماء الوضوء بمقدار مدّ، و الظاهر أنّ ذلک لتمام ما یصرف فیه من أفعاله و مقدّماته من المضمضة و الاستنشاق و غسل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سابقاً و ذکرنا أنّ ظاهر الأمر بفعل الأمر بحدوثه و کفایة الفعل البقائی یحتاج إلی قرینة علیه، و علیه فلا بدّ فی الصبّ الأخیر من صبّه من الأعلی و إمرار یده علی وجهه من قصاص شعره إلی الذقن بتلک الصبّة لیکون غسل وجهه وضوءاً حدوثیّاً، و مثله ما إذا أخذ ما صبّه علی وجهه من غیر الأعلی بیده ثمّ أجراه علی وجهه ثانیاً من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علی ذلک بروایة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ملکاً یکتب سرف الوضوء کما یکتب عدوانه</w:t>
      </w:r>
      <w:r>
        <w:rPr>
          <w:rFonts w:eastAsia="IRNazanin" w:cs="IRNazanin"/>
          <w:color w:val="111111"/>
          <w:sz w:val="28"/>
          <w:szCs w:val="28"/>
          <w:rtl w:val="true"/>
          <w:lang w:bidi="fa-IR"/>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کون المراد بها الکراهة خصوصاً بملاحظة إطلاقها بالإضافة إلی الموارد التی لا مالیة فیها للماء المستعمل لکثرته، و إن لا بأس به إلّا أنّ الکراهة الالتزام بها مبنیّ علی التسامح فی أدلّة السنن، فإنّ فی سندها سهل بن زیاد و محمّد بن الحسن بن شمّون و الأمر فی سهل معروف و محمّد بن الحسن بن شمّون ضعیف</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استحباب کون الوضوء بمدّ من الماء، و المدّ یکفی للوضوء بمقدّماته من المضمضة و الاستنشاق و غسل الیدین قبله، و حتّی ما إذا کان الوضوء بغسل الوجه و الیدین بالغسل بنحو الإسباغ الذی ورد الترغیب إلیه فی بعض الروایات بناءً علی أنّ المراد بإسباغ الوضوء تکثیر الماء علی العضو فی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برمس الأعضاء و یجوز برمس 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الوضوء برمس الأعضاء کما مرّ، و یجوز برمس 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إتیان البقیّة علی المتعارف،بل یجوز التبعیض فی غسل عضو واحد مع مراعاة الشروط المتقدّمة من البدأة بالأعلی و عدم کون المسح بماء جدید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صحّة وضوء الوسواسی إذا زاد فی غسل الیسری من 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صحّة وضوء الوسواسی إذا زاد فی غسل الیسری من الیدین فی الماء من جهة لزوم المسح بالماء الجدید فی بعض الأوقات،بل إن قلنا بلزوم کون المسح ببلّة الکف دون رطوبة سائر الأعضاء یجیء الإشکال فی مبالغته فی إمرار الید؛ لأنه یوجب مزج رطوبة الکفّ برطوبة الذراع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الوسواسی إذا بالغ فی إمرار یده علی الیسری لزیادة الیقین لا بأس به ما دام یصدق علیه أنّه غسل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الوسواسی إذا بالغ فی إمرار یده علی الیسری لزیادة الیقین لا بأس به ما دام یصدق علیه أنّه غسل واحد، نعم بعد الیقین إذا صبّ علیها ماء خارجیّاً یشکل و إن کان الغرض منه زیادة الیقین لعدَّه فی العرف غسلة أُخری،</w:t>
      </w:r>
    </w:p>
    <w:p>
      <w:pPr>
        <w:pStyle w:val="BookText"/>
        <w:rPr/>
      </w:pPr>
      <w:r>
        <w:rPr>
          <w:rFonts w:ascii="IRNazanin" w:hAnsi="IRNazanin" w:eastAsia="IRNazanin"/>
          <w:color w:val="111111"/>
          <w:sz w:val="28"/>
          <w:sz w:val="28"/>
          <w:szCs w:val="28"/>
          <w:rtl w:val="true"/>
          <w:lang w:bidi="fa-IR"/>
        </w:rPr>
        <w:t>لما تقدّم من أنّ الوضوء غسل الوجه و الیدین و مسح الرأس و الرجلین و الغسل فی کلّ من الوجه و الیدین و إن قید بکونه من الأعلی و المرفق، و لکن الإطلاق بالإضافة إلی الغسل رمساً أو بغیره أو بنحو التبعیض باقٍ فی الإطلاق، و ما ورد فی الوضوءات البیانیّة لا ینافی الإطلاق؛ لأنّ الوضوء کان فیه بالماء القلیل فی الإناء، و لا یتحقّق فی مورده الرمس کما لا یخفی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أدخل یده الیسری فی الماء ثانیاً أو ثالثاً لعدم یقینه بوصول الماء إلی بشرة الذراعین تماماً فی المرة الأُولی و الثانیة فیکون المسح بالماء الجدید،بل کما تقدّم یشکل وضوؤه کذلک حتّی فی ما إذا غسل یده الیسری بغیر الرمس و لکن کرّر علیه الغسل لیحصل الیقین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غسله للیسری بإجراء الماء من الإجابة بریق مثلاً و زاد علی مقدار الحاجة مع الاتصال لا یضرّ ما دام یعدّ غسلة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مسح الرجلین المسح بواحدة من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مسح الرجلین المسح بواحدة من الأصابع الخمس إلی الکعبین أیّها کانت حتّی الخنصر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مقتضی ما تقدّم من أنّ المعتبر من المسح فی الوضوء مسمّاه من طرف القدم إلی الکعب، و هذا المسمّی یحصل بالمسح المزبور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عنه فی وسائل الشیعة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الباب الأول من أبواب أحکام الخلوة، الحدیث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الوسائل الشیعة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 xml:space="preserve">،باب الحمام،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عنه فی وسائل الشیعة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 الحدیث الأول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آدابه،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 الحدیث الأول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الحدیث الأول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فی وسائل الشیعة</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 الحدیث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تقدمت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 عنه فی وسائل الشیعة </w:t>
      </w:r>
      <w:r>
        <w:rPr>
          <w:rFonts w:eastAsia="IRNazanin" w:cs="IRNazanin"/>
          <w:b w:val="false"/>
          <w:bCs w:val="false"/>
          <w:i w:val="false"/>
          <w:iCs w:val="false"/>
          <w:color w:val="333333"/>
          <w:sz w:val="20"/>
          <w:szCs w:val="20"/>
        </w:rPr>
        <w:t>26:291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انظر المدارک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،باب الموضع الذی یکره أن یتغوط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عنه فی وسائل الشیعة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الحدیث الأول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الوقوف و الصدقات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البیهقی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الشیخ الأنصاری فی کتاب الطهارة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و السید الحکیم فی المستمسک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 أحکام الخلوة، الحدیث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المعتبر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 بالأشعثیات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الفقیه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ابن ادریس فی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الخوئی فی التنقیح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حکاه المحقق عن علم الهدی، انظر المعتبر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 السید الحکیم فی المستمسک عنهما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،باب التسعة،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،باب التسعة،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تقدمت فی 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شرح النفلیّة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شرح النفلیّة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الجواهر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انظر المدارک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و 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و قد حکی ما عن المدارک و الغنیة أیضاً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انظر الذکری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 نهایة الاحکام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السید الحکیم فی المستمسک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الإحکام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فی شرح العروة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الحدیث الأول، و من لا یحضره الفقیه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الحدائق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الحدیث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العلامة فی نهایة الإحکام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الأول، و قد تقدّمت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مشکاة الأنوار عن المحاسن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 عن الجعفریّات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الباب الأوّل من أبواب نواقض الوضوء، الحدیث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السید الحکیم فی المستمسک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الشهید الأول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السبزواری فی ذخیرة المعاد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السبزواری فی ذخیرة المعاد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انظر التهذیب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الحدیث الأول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 الحدیث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 الحدیث الأول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9:377</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مجمع الفائدة و البرهان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زبدة البیان فی 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و الروضة البهیة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نصّها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 الحدیث الأول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13:495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الحدیث الأول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الباب الأول من أبواب سجدتی الشکر، الحدیث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الحدیث الأول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البحرانی فی الحدائق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المقنع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من لا یحضره الفقیه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نواقض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 الأول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9:179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زکاة الغلات،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 الحدیث الأول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السواک، الحدیث الأول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تخریجهما فی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الحدیث الأول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انظر فقه الرضا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77:317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الأول، و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المستعمل،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المجلسی فی ملاذ الأخیار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 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البحرانی فی الحدائق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السید الحکیم فی المستمسک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حد الوضوء، الحدیث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تراجع الطبعة القدیمة منه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الطوسی فی الخلاف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العلامة فی التذکرة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المحقق الثانی فی جامع المقاصد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القمی فی غنائم الأیام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فی المدارک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الأیام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الخوئی فی التنقیح فی شرح العروة الوثقی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العاملی فی مفتاح الکرامة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الحدیث الأول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فی الذکری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المحقق فی المعتبر</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حکایة قوله و تخریجها فی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کشف اللثام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المدارک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تذکرة الفقهاء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أبوال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البحرانی فی الحدائق الناضرة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الجمهور العلامة فی التذکرة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الخونساری فی مشارق الشموس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الفقیه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الهمدانی فی مصباح الفقیه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الأول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التنقیح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السید الخوئی فی التنقیح</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26932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المعتبر</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 الأول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فی المستَمسک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الذکری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القائل السید الخوئی انظر معجم رجال الحدیث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أبوال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و النهی، الحدیث الأوّل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 الأوّل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البقرة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 الأوّل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 الأوّل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 السابقة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فی الصفحة</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16:225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 الأول من أبواب القیام،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15:370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 الأوّل من أبواب القیام،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23:224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الأیمان،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16:216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 الحدیث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103086</Words>
  <Characters>422882</Characters>
  <CharactersWithSpaces>523128</CharactersWithSpaces>
  <Paragraphs>2842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2026-08-23T06:03:57Z</dcterms:created>
  <dc:creator>ghaemiyeh.com</dc:creator>
  <dc:description/>
  <dc:language>en-US</dc:language>
  <cp:lastModifiedBy/>
  <dcterms:modified xsi:type="dcterms:W3CDTF">2026-08-23T09:34:08Z</dcterms:modified>
  <cp:revision>1</cp:revision>
  <dc:subject/>
  <dc:title>تنقیح مبانی العروه الاجتهاد والتقلید و الطهاره جلد 4</dc:title>
</cp:coreProperties>
</file>

<file path=docProps/custom.xml><?xml version="1.0" encoding="utf-8"?>
<Properties xmlns="http://schemas.openxmlformats.org/officeDocument/2006/custom-properties" xmlns:vt="http://schemas.openxmlformats.org/officeDocument/2006/docPropsVTypes"/>
</file>